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DA351" w14:textId="6ED51640" w:rsidR="003C18D0" w:rsidRPr="00B65D57" w:rsidRDefault="00C53541" w:rsidP="009B3EF9">
      <w:pPr>
        <w:tabs>
          <w:tab w:val="left" w:pos="8505"/>
        </w:tabs>
        <w:spacing w:before="480"/>
        <w:ind w:left="-142" w:right="-45"/>
        <w:jc w:val="center"/>
        <w:rPr>
          <w:sz w:val="36"/>
          <w:szCs w:val="36"/>
        </w:rPr>
      </w:pPr>
      <w:r w:rsidRPr="00B65D57">
        <w:rPr>
          <w:noProof/>
          <w:sz w:val="36"/>
          <w:szCs w:val="36"/>
        </w:rPr>
        <mc:AlternateContent>
          <mc:Choice Requires="wps">
            <w:drawing>
              <wp:anchor distT="0" distB="0" distL="114300" distR="114300" simplePos="0" relativeHeight="251658240" behindDoc="0" locked="0" layoutInCell="1" allowOverlap="1" wp14:anchorId="7168DD0D" wp14:editId="5EF53BB3">
                <wp:simplePos x="0" y="0"/>
                <wp:positionH relativeFrom="column">
                  <wp:posOffset>-394335</wp:posOffset>
                </wp:positionH>
                <wp:positionV relativeFrom="paragraph">
                  <wp:posOffset>6985</wp:posOffset>
                </wp:positionV>
                <wp:extent cx="6528435" cy="8867775"/>
                <wp:effectExtent l="0" t="0" r="5715" b="952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BBD0D" id="Rectangle 4" o:spid="_x0000_s1026" style="position:absolute;margin-left:-31.05pt;margin-top:.55pt;width:514.05pt;height:6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" filled="f"/>
            </w:pict>
          </mc:Fallback>
        </mc:AlternateContent>
      </w:r>
      <w:r w:rsidR="00E017DD" w:rsidRPr="00B65D57">
        <w:rPr>
          <w:sz w:val="36"/>
          <w:szCs w:val="36"/>
        </w:rPr>
        <w:t xml:space="preserve">Regulation (EU) No 528/2012 </w:t>
      </w:r>
      <w:r w:rsidR="003C18D0" w:rsidRPr="00B65D57">
        <w:rPr>
          <w:sz w:val="36"/>
          <w:szCs w:val="36"/>
        </w:rPr>
        <w:t xml:space="preserve">concerning the </w:t>
      </w:r>
      <w:r w:rsidR="00E017DD" w:rsidRPr="00B65D57">
        <w:rPr>
          <w:sz w:val="36"/>
          <w:szCs w:val="36"/>
        </w:rPr>
        <w:t xml:space="preserve">making available on the market and use </w:t>
      </w:r>
      <w:r w:rsidR="003C18D0" w:rsidRPr="00B65D57">
        <w:rPr>
          <w:sz w:val="36"/>
          <w:szCs w:val="36"/>
        </w:rPr>
        <w:t>of biocidal products</w:t>
      </w:r>
    </w:p>
    <w:p w14:paraId="556F0A14" w14:textId="77777777" w:rsidR="003C18D0" w:rsidRPr="00B65D57" w:rsidRDefault="003C18D0" w:rsidP="00C86723">
      <w:pPr>
        <w:tabs>
          <w:tab w:val="left" w:pos="8505"/>
        </w:tabs>
        <w:ind w:left="-142" w:right="-45"/>
      </w:pPr>
    </w:p>
    <w:p w14:paraId="1FE28F30" w14:textId="460A9042" w:rsidR="0074769D" w:rsidRPr="00B65D57" w:rsidRDefault="0074769D" w:rsidP="0074769D">
      <w:pPr>
        <w:jc w:val="center"/>
        <w:rPr>
          <w:b/>
          <w:bCs/>
          <w:sz w:val="36"/>
          <w:szCs w:val="36"/>
        </w:rPr>
      </w:pPr>
      <w:r w:rsidRPr="00B65D57">
        <w:rPr>
          <w:b/>
          <w:bCs/>
          <w:sz w:val="36"/>
          <w:szCs w:val="36"/>
        </w:rPr>
        <w:t>RISK A</w:t>
      </w:r>
      <w:r w:rsidR="00212E02" w:rsidRPr="00B65D57">
        <w:rPr>
          <w:b/>
          <w:bCs/>
          <w:sz w:val="36"/>
          <w:szCs w:val="36"/>
        </w:rPr>
        <w:t>SSESSMENT OF A BIOCIDAL PRODUCT</w:t>
      </w:r>
      <w:r w:rsidR="00BF5D00" w:rsidRPr="00B65D57">
        <w:rPr>
          <w:b/>
          <w:bCs/>
          <w:sz w:val="36"/>
          <w:szCs w:val="36"/>
        </w:rPr>
        <w:t xml:space="preserve"> </w:t>
      </w:r>
      <w:r w:rsidRPr="00B65D57">
        <w:rPr>
          <w:b/>
          <w:bCs/>
          <w:sz w:val="36"/>
          <w:szCs w:val="36"/>
        </w:rPr>
        <w:t xml:space="preserve">FOR </w:t>
      </w:r>
      <w:r w:rsidR="00316F21" w:rsidRPr="00B65D57">
        <w:rPr>
          <w:b/>
          <w:bCs/>
          <w:sz w:val="36"/>
          <w:szCs w:val="36"/>
        </w:rPr>
        <w:t xml:space="preserve">NATIONAL </w:t>
      </w:r>
      <w:r w:rsidRPr="00B65D57">
        <w:rPr>
          <w:b/>
          <w:bCs/>
          <w:sz w:val="36"/>
          <w:szCs w:val="36"/>
        </w:rPr>
        <w:t>AUTHORISATION APPLICATIONS</w:t>
      </w:r>
    </w:p>
    <w:p w14:paraId="519BE9D2" w14:textId="6001C1D2" w:rsidR="0074769D" w:rsidRPr="00B65D57" w:rsidRDefault="0074769D" w:rsidP="0074769D">
      <w:pPr>
        <w:jc w:val="center"/>
        <w:rPr>
          <w:bCs/>
          <w:sz w:val="24"/>
          <w:szCs w:val="24"/>
        </w:rPr>
      </w:pPr>
    </w:p>
    <w:p w14:paraId="6565FEC5" w14:textId="77777777" w:rsidR="00212E02" w:rsidRPr="00B65D57" w:rsidRDefault="00212E02" w:rsidP="0074769D">
      <w:pPr>
        <w:jc w:val="center"/>
        <w:rPr>
          <w:bCs/>
          <w:sz w:val="24"/>
          <w:szCs w:val="24"/>
        </w:rPr>
      </w:pPr>
    </w:p>
    <w:p w14:paraId="14EBB179" w14:textId="77777777" w:rsidR="00212E02" w:rsidRPr="00B65D57" w:rsidRDefault="00212E02" w:rsidP="0074769D">
      <w:pPr>
        <w:jc w:val="center"/>
        <w:rPr>
          <w:bCs/>
          <w:sz w:val="24"/>
          <w:szCs w:val="24"/>
        </w:rPr>
      </w:pPr>
    </w:p>
    <w:p w14:paraId="310423A2" w14:textId="77777777" w:rsidR="00212E02" w:rsidRPr="00B65D57" w:rsidRDefault="00212E02" w:rsidP="0074769D">
      <w:pPr>
        <w:jc w:val="center"/>
        <w:rPr>
          <w:bCs/>
          <w:sz w:val="24"/>
          <w:szCs w:val="24"/>
        </w:rPr>
      </w:pPr>
    </w:p>
    <w:p w14:paraId="06D7CBEE" w14:textId="77777777" w:rsidR="00212E02" w:rsidRPr="00B65D57" w:rsidRDefault="00212E02" w:rsidP="0074769D">
      <w:pPr>
        <w:jc w:val="center"/>
        <w:rPr>
          <w:bCs/>
          <w:sz w:val="24"/>
          <w:szCs w:val="24"/>
        </w:rPr>
      </w:pPr>
    </w:p>
    <w:p w14:paraId="1FB72747" w14:textId="77777777" w:rsidR="00212E02" w:rsidRPr="00B65D57" w:rsidRDefault="00212E02" w:rsidP="0074769D">
      <w:pPr>
        <w:jc w:val="center"/>
        <w:rPr>
          <w:bCs/>
          <w:sz w:val="24"/>
          <w:szCs w:val="24"/>
        </w:rPr>
      </w:pPr>
    </w:p>
    <w:p w14:paraId="506AA303" w14:textId="77777777" w:rsidR="00212E02" w:rsidRPr="00B65D57" w:rsidRDefault="00212E02" w:rsidP="0074769D">
      <w:pPr>
        <w:jc w:val="center"/>
        <w:rPr>
          <w:bCs/>
          <w:sz w:val="24"/>
          <w:szCs w:val="24"/>
        </w:rPr>
      </w:pPr>
    </w:p>
    <w:p w14:paraId="25FC8A3A" w14:textId="77777777" w:rsidR="00212E02" w:rsidRPr="00B65D57" w:rsidRDefault="00212E02" w:rsidP="0074769D">
      <w:pPr>
        <w:jc w:val="center"/>
        <w:rPr>
          <w:bCs/>
          <w:sz w:val="24"/>
          <w:szCs w:val="24"/>
        </w:rPr>
      </w:pPr>
    </w:p>
    <w:p w14:paraId="644F8844" w14:textId="77777777" w:rsidR="00EC2280" w:rsidRPr="00B65D57" w:rsidRDefault="00EC2280" w:rsidP="00C86723">
      <w:pPr>
        <w:tabs>
          <w:tab w:val="left" w:pos="8505"/>
        </w:tabs>
        <w:ind w:left="-142" w:right="-45"/>
        <w:jc w:val="center"/>
        <w:rPr>
          <w:bCs/>
          <w:sz w:val="24"/>
          <w:szCs w:val="24"/>
        </w:rPr>
      </w:pPr>
    </w:p>
    <w:p w14:paraId="55621048" w14:textId="77777777" w:rsidR="003C18D0" w:rsidRPr="00B65D57" w:rsidRDefault="00C53541" w:rsidP="00C86723">
      <w:pPr>
        <w:tabs>
          <w:tab w:val="left" w:pos="8505"/>
        </w:tabs>
        <w:ind w:left="-142" w:right="-45"/>
        <w:jc w:val="center"/>
        <w:rPr>
          <w:b/>
          <w:sz w:val="36"/>
        </w:rPr>
      </w:pPr>
      <w:r w:rsidRPr="00B65D57">
        <w:rPr>
          <w:noProof/>
          <w:lang w:eastAsia="en-GB"/>
        </w:rPr>
        <w:drawing>
          <wp:inline distT="0" distB="0" distL="0" distR="0" wp14:anchorId="01002529" wp14:editId="7D9E5548">
            <wp:extent cx="1198245" cy="124714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245" cy="1247140"/>
                    </a:xfrm>
                    <a:prstGeom prst="rect">
                      <a:avLst/>
                    </a:prstGeom>
                    <a:noFill/>
                    <a:ln>
                      <a:noFill/>
                    </a:ln>
                  </pic:spPr>
                </pic:pic>
              </a:graphicData>
            </a:graphic>
          </wp:inline>
        </w:drawing>
      </w:r>
    </w:p>
    <w:p w14:paraId="2E177100" w14:textId="0F9C99D4" w:rsidR="0074769D" w:rsidRPr="00B65D57" w:rsidRDefault="00551642"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r w:rsidRPr="00B65D57">
        <w:rPr>
          <w:bCs/>
          <w:sz w:val="32"/>
          <w:szCs w:val="32"/>
        </w:rPr>
        <w:t>Jerbor</w:t>
      </w:r>
    </w:p>
    <w:p w14:paraId="5456D47B" w14:textId="77777777" w:rsidR="0074769D" w:rsidRPr="00B65D57" w:rsidRDefault="0074769D" w:rsidP="0074769D">
      <w:pPr>
        <w:rPr>
          <w:bCs/>
        </w:rPr>
      </w:pPr>
    </w:p>
    <w:p w14:paraId="22225777" w14:textId="032C3E3B" w:rsidR="0074769D" w:rsidRPr="00B65D57" w:rsidRDefault="0074769D" w:rsidP="0074769D">
      <w:pPr>
        <w:tabs>
          <w:tab w:val="left" w:pos="8505"/>
        </w:tabs>
        <w:ind w:left="-142" w:right="-45"/>
        <w:jc w:val="center"/>
        <w:rPr>
          <w:bCs/>
          <w:sz w:val="32"/>
          <w:szCs w:val="32"/>
        </w:rPr>
      </w:pPr>
      <w:r w:rsidRPr="00B65D57">
        <w:rPr>
          <w:bCs/>
          <w:sz w:val="32"/>
          <w:szCs w:val="32"/>
        </w:rPr>
        <w:t xml:space="preserve">Product type </w:t>
      </w:r>
      <w:r w:rsidR="00906356" w:rsidRPr="00B65D57">
        <w:rPr>
          <w:bCs/>
          <w:sz w:val="32"/>
          <w:szCs w:val="32"/>
        </w:rPr>
        <w:t>8</w:t>
      </w:r>
    </w:p>
    <w:p w14:paraId="1A822F79" w14:textId="77777777" w:rsidR="0074769D" w:rsidRPr="00B65D57" w:rsidRDefault="0074769D" w:rsidP="009A28C0">
      <w:pPr>
        <w:tabs>
          <w:tab w:val="left" w:pos="8505"/>
        </w:tabs>
        <w:ind w:right="-45"/>
        <w:rPr>
          <w:bCs/>
        </w:rPr>
      </w:pPr>
    </w:p>
    <w:p w14:paraId="0F63F420" w14:textId="1B4DDD72" w:rsidR="0074769D" w:rsidRPr="00B65D57" w:rsidRDefault="00D93F73" w:rsidP="0074769D">
      <w:pPr>
        <w:tabs>
          <w:tab w:val="left" w:pos="8505"/>
        </w:tabs>
        <w:ind w:left="-142" w:right="-45"/>
        <w:jc w:val="center"/>
        <w:rPr>
          <w:bCs/>
          <w:sz w:val="32"/>
          <w:szCs w:val="32"/>
        </w:rPr>
      </w:pPr>
      <w:r w:rsidRPr="00B65D57">
        <w:rPr>
          <w:bCs/>
          <w:sz w:val="32"/>
          <w:szCs w:val="32"/>
        </w:rPr>
        <w:t xml:space="preserve">Boric acid and </w:t>
      </w:r>
      <w:r w:rsidR="00551642" w:rsidRPr="00B65D57">
        <w:rPr>
          <w:bCs/>
          <w:sz w:val="32"/>
          <w:szCs w:val="32"/>
        </w:rPr>
        <w:t>Disodium tetraborate penta</w:t>
      </w:r>
      <w:r w:rsidR="00906356" w:rsidRPr="00B65D57">
        <w:rPr>
          <w:bCs/>
          <w:sz w:val="32"/>
          <w:szCs w:val="32"/>
        </w:rPr>
        <w:t>hydrate</w:t>
      </w:r>
    </w:p>
    <w:p w14:paraId="089927D3" w14:textId="77777777" w:rsidR="0074769D" w:rsidRPr="00B65D57" w:rsidRDefault="0074769D" w:rsidP="0074769D">
      <w:pPr>
        <w:tabs>
          <w:tab w:val="left" w:pos="8505"/>
        </w:tabs>
        <w:ind w:right="-45"/>
        <w:rPr>
          <w:bCs/>
        </w:rPr>
      </w:pPr>
    </w:p>
    <w:p w14:paraId="769985F7" w14:textId="7A60247D" w:rsidR="0074769D" w:rsidRPr="00B65D57" w:rsidRDefault="0074769D" w:rsidP="0074769D">
      <w:pPr>
        <w:tabs>
          <w:tab w:val="left" w:pos="8505"/>
        </w:tabs>
        <w:ind w:right="-45"/>
        <w:jc w:val="center"/>
        <w:rPr>
          <w:bCs/>
          <w:sz w:val="32"/>
          <w:szCs w:val="32"/>
        </w:rPr>
      </w:pPr>
      <w:r w:rsidRPr="00B65D57">
        <w:rPr>
          <w:bCs/>
          <w:sz w:val="32"/>
          <w:szCs w:val="32"/>
        </w:rPr>
        <w:t>Cas</w:t>
      </w:r>
      <w:r w:rsidR="001A7DA7" w:rsidRPr="00B65D57">
        <w:rPr>
          <w:bCs/>
          <w:sz w:val="32"/>
          <w:szCs w:val="32"/>
        </w:rPr>
        <w:t xml:space="preserve">e Number in R4BP: </w:t>
      </w:r>
      <w:r w:rsidR="00A03FEC" w:rsidRPr="00B65D57">
        <w:rPr>
          <w:bCs/>
          <w:sz w:val="32"/>
          <w:szCs w:val="32"/>
        </w:rPr>
        <w:t>BC-FW057615-11</w:t>
      </w:r>
    </w:p>
    <w:p w14:paraId="7AB55D65" w14:textId="77777777" w:rsidR="0074769D" w:rsidRPr="00B65D57" w:rsidRDefault="0074769D" w:rsidP="0074769D">
      <w:pPr>
        <w:tabs>
          <w:tab w:val="left" w:pos="8505"/>
        </w:tabs>
        <w:ind w:right="-45"/>
        <w:rPr>
          <w:bCs/>
        </w:rPr>
      </w:pPr>
    </w:p>
    <w:p w14:paraId="1ACCF7E3" w14:textId="5FEB8FA6" w:rsidR="0074769D" w:rsidRPr="00B65D57" w:rsidRDefault="0074769D" w:rsidP="0074769D">
      <w:pPr>
        <w:tabs>
          <w:tab w:val="left" w:pos="8505"/>
        </w:tabs>
        <w:ind w:left="-142" w:right="-45"/>
        <w:jc w:val="center"/>
        <w:rPr>
          <w:bCs/>
          <w:sz w:val="32"/>
          <w:szCs w:val="32"/>
        </w:rPr>
      </w:pPr>
      <w:r w:rsidRPr="00B65D57">
        <w:rPr>
          <w:bCs/>
          <w:sz w:val="32"/>
          <w:szCs w:val="32"/>
        </w:rPr>
        <w:t>Eval</w:t>
      </w:r>
      <w:r w:rsidR="00D5071B" w:rsidRPr="00B65D57">
        <w:rPr>
          <w:bCs/>
          <w:sz w:val="32"/>
          <w:szCs w:val="32"/>
        </w:rPr>
        <w:t xml:space="preserve">uating Competent Authority: </w:t>
      </w:r>
      <w:r w:rsidR="00D93F73" w:rsidRPr="00B65D57">
        <w:rPr>
          <w:bCs/>
          <w:sz w:val="32"/>
          <w:szCs w:val="32"/>
        </w:rPr>
        <w:t>Sweden</w:t>
      </w:r>
    </w:p>
    <w:p w14:paraId="444E6D3F" w14:textId="77777777" w:rsidR="0074769D" w:rsidRPr="00B65D57" w:rsidRDefault="00234C10" w:rsidP="0074769D">
      <w:pPr>
        <w:tabs>
          <w:tab w:val="left" w:pos="8505"/>
        </w:tabs>
        <w:ind w:left="-142" w:right="-45"/>
        <w:jc w:val="center"/>
      </w:pPr>
      <w:r w:rsidRPr="00B65D57">
        <w:t xml:space="preserve"> </w:t>
      </w:r>
    </w:p>
    <w:p w14:paraId="0FC1E30E" w14:textId="1329731B" w:rsidR="001C6DC4" w:rsidRPr="00B65D57" w:rsidRDefault="0074769D" w:rsidP="00C86723">
      <w:pPr>
        <w:tabs>
          <w:tab w:val="left" w:pos="8505"/>
        </w:tabs>
        <w:ind w:left="-142" w:right="-45"/>
        <w:jc w:val="center"/>
      </w:pPr>
      <w:r w:rsidRPr="00B65D57">
        <w:rPr>
          <w:bCs/>
          <w:sz w:val="32"/>
          <w:szCs w:val="32"/>
        </w:rPr>
        <w:t>Date: [</w:t>
      </w:r>
      <w:r w:rsidR="008623F5" w:rsidRPr="008623F5">
        <w:rPr>
          <w:bCs/>
          <w:sz w:val="32"/>
          <w:szCs w:val="32"/>
        </w:rPr>
        <w:t>07/03</w:t>
      </w:r>
      <w:r w:rsidRPr="008623F5">
        <w:rPr>
          <w:bCs/>
          <w:sz w:val="32"/>
          <w:szCs w:val="32"/>
        </w:rPr>
        <w:t>/</w:t>
      </w:r>
      <w:r w:rsidR="00926506" w:rsidRPr="00B65D57">
        <w:rPr>
          <w:bCs/>
          <w:sz w:val="32"/>
          <w:szCs w:val="32"/>
        </w:rPr>
        <w:t>202</w:t>
      </w:r>
      <w:r w:rsidR="00CE45C8">
        <w:rPr>
          <w:bCs/>
          <w:sz w:val="32"/>
          <w:szCs w:val="32"/>
        </w:rPr>
        <w:t>3</w:t>
      </w:r>
      <w:r w:rsidRPr="00B65D57">
        <w:rPr>
          <w:bCs/>
          <w:sz w:val="32"/>
          <w:szCs w:val="32"/>
        </w:rPr>
        <w:t>]</w:t>
      </w:r>
      <w:r w:rsidR="00491C79" w:rsidRPr="00B65D57">
        <w:rPr>
          <w:bCs/>
          <w:sz w:val="32"/>
          <w:szCs w:val="32"/>
        </w:rPr>
        <w:t xml:space="preserve"> </w:t>
      </w:r>
      <w:r w:rsidR="00491C79" w:rsidRPr="00B65D57">
        <w:rPr>
          <w:rFonts w:ascii="Times New Roman" w:hAnsi="Times New Roman"/>
          <w:bCs/>
          <w:sz w:val="50"/>
          <w:szCs w:val="50"/>
        </w:rPr>
        <w:br w:type="page"/>
      </w:r>
    </w:p>
    <w:p w14:paraId="4737D09B" w14:textId="7A943CDA" w:rsidR="00A53EE0" w:rsidRPr="00B65D57" w:rsidRDefault="00A53EE0" w:rsidP="00A53EE0">
      <w:pPr>
        <w:pStyle w:val="Inhaltsverzeichnisberschrift"/>
        <w:rPr>
          <w:rFonts w:ascii="Verdana" w:hAnsi="Verdana"/>
          <w:color w:val="auto"/>
          <w:u w:val="single"/>
          <w:lang w:val="en-GB"/>
        </w:rPr>
      </w:pPr>
      <w:r w:rsidRPr="00B65D57">
        <w:rPr>
          <w:rFonts w:ascii="Verdana" w:hAnsi="Verdana"/>
          <w:color w:val="auto"/>
          <w:u w:val="single"/>
          <w:lang w:val="en-GB"/>
        </w:rPr>
        <w:lastRenderedPageBreak/>
        <w:t>Table of Contents</w:t>
      </w:r>
    </w:p>
    <w:p w14:paraId="02A36FED" w14:textId="003AFF35" w:rsidR="004E139D" w:rsidRDefault="00C94D3C">
      <w:pPr>
        <w:pStyle w:val="Innehll1"/>
        <w:tabs>
          <w:tab w:val="left" w:pos="400"/>
          <w:tab w:val="right" w:leader="dot" w:pos="9204"/>
        </w:tabs>
        <w:rPr>
          <w:rFonts w:asciiTheme="minorHAnsi" w:eastAsiaTheme="minorEastAsia" w:hAnsiTheme="minorHAnsi" w:cstheme="minorBidi"/>
          <w:b w:val="0"/>
          <w:bCs w:val="0"/>
          <w:caps w:val="0"/>
          <w:noProof/>
          <w:sz w:val="22"/>
          <w:szCs w:val="22"/>
          <w:lang w:val="sv-SE" w:eastAsia="sv-SE"/>
        </w:rPr>
      </w:pPr>
      <w:r w:rsidRPr="00B65D57">
        <w:rPr>
          <w:rFonts w:ascii="Verdana" w:eastAsia="Calibri" w:hAnsi="Verdana"/>
          <w:b w:val="0"/>
          <w:bCs w:val="0"/>
          <w:caps w:val="0"/>
          <w:lang w:eastAsia="en-US"/>
        </w:rPr>
        <w:fldChar w:fldCharType="begin"/>
      </w:r>
      <w:r w:rsidRPr="00B65D57">
        <w:rPr>
          <w:rFonts w:ascii="Verdana" w:eastAsia="Calibri" w:hAnsi="Verdana"/>
          <w:b w:val="0"/>
          <w:bCs w:val="0"/>
          <w:caps w:val="0"/>
          <w:lang w:eastAsia="en-US"/>
        </w:rPr>
        <w:instrText xml:space="preserve"> TOC \o "1-4" \h \z \u </w:instrText>
      </w:r>
      <w:r w:rsidRPr="00B65D57">
        <w:rPr>
          <w:rFonts w:ascii="Verdana" w:eastAsia="Calibri" w:hAnsi="Verdana"/>
          <w:b w:val="0"/>
          <w:bCs w:val="0"/>
          <w:caps w:val="0"/>
          <w:lang w:eastAsia="en-US"/>
        </w:rPr>
        <w:fldChar w:fldCharType="separate"/>
      </w:r>
      <w:hyperlink w:anchor="_Toc129689548" w:history="1">
        <w:r w:rsidR="004E139D" w:rsidRPr="0042404D">
          <w:rPr>
            <w:rStyle w:val="Hyperlnk"/>
            <w:rFonts w:eastAsia="Calibri"/>
            <w:noProof/>
          </w:rPr>
          <w:t>1.</w:t>
        </w:r>
        <w:r w:rsidR="004E139D">
          <w:rPr>
            <w:rFonts w:asciiTheme="minorHAnsi" w:eastAsiaTheme="minorEastAsia" w:hAnsiTheme="minorHAnsi" w:cstheme="minorBidi"/>
            <w:b w:val="0"/>
            <w:bCs w:val="0"/>
            <w:caps w:val="0"/>
            <w:noProof/>
            <w:sz w:val="22"/>
            <w:szCs w:val="22"/>
            <w:lang w:val="sv-SE" w:eastAsia="sv-SE"/>
          </w:rPr>
          <w:tab/>
        </w:r>
        <w:r w:rsidR="004E139D" w:rsidRPr="0042404D">
          <w:rPr>
            <w:rStyle w:val="Hyperlnk"/>
            <w:rFonts w:eastAsia="Calibri"/>
            <w:noProof/>
          </w:rPr>
          <w:t>CONCLUSION</w:t>
        </w:r>
        <w:r w:rsidR="004E139D">
          <w:rPr>
            <w:noProof/>
            <w:webHidden/>
          </w:rPr>
          <w:tab/>
        </w:r>
        <w:r w:rsidR="004E139D">
          <w:rPr>
            <w:noProof/>
            <w:webHidden/>
          </w:rPr>
          <w:fldChar w:fldCharType="begin"/>
        </w:r>
        <w:r w:rsidR="004E139D">
          <w:rPr>
            <w:noProof/>
            <w:webHidden/>
          </w:rPr>
          <w:instrText xml:space="preserve"> PAGEREF _Toc129689548 \h </w:instrText>
        </w:r>
        <w:r w:rsidR="004E139D">
          <w:rPr>
            <w:noProof/>
            <w:webHidden/>
          </w:rPr>
        </w:r>
        <w:r w:rsidR="004E139D">
          <w:rPr>
            <w:noProof/>
            <w:webHidden/>
          </w:rPr>
          <w:fldChar w:fldCharType="separate"/>
        </w:r>
        <w:r w:rsidR="004E139D">
          <w:rPr>
            <w:noProof/>
            <w:webHidden/>
          </w:rPr>
          <w:t>4</w:t>
        </w:r>
        <w:r w:rsidR="004E139D">
          <w:rPr>
            <w:noProof/>
            <w:webHidden/>
          </w:rPr>
          <w:fldChar w:fldCharType="end"/>
        </w:r>
      </w:hyperlink>
    </w:p>
    <w:p w14:paraId="530988C6" w14:textId="697BAEBD" w:rsidR="004E139D" w:rsidRDefault="004E139D">
      <w:pPr>
        <w:pStyle w:val="Innehll1"/>
        <w:tabs>
          <w:tab w:val="left" w:pos="400"/>
          <w:tab w:val="right" w:leader="dot" w:pos="9204"/>
        </w:tabs>
        <w:rPr>
          <w:rFonts w:asciiTheme="minorHAnsi" w:eastAsiaTheme="minorEastAsia" w:hAnsiTheme="minorHAnsi" w:cstheme="minorBidi"/>
          <w:b w:val="0"/>
          <w:bCs w:val="0"/>
          <w:caps w:val="0"/>
          <w:noProof/>
          <w:sz w:val="22"/>
          <w:szCs w:val="22"/>
          <w:lang w:val="sv-SE" w:eastAsia="sv-SE"/>
        </w:rPr>
      </w:pPr>
      <w:hyperlink w:anchor="_Toc129689549" w:history="1">
        <w:r w:rsidRPr="0042404D">
          <w:rPr>
            <w:rStyle w:val="Hyperlnk"/>
            <w:rFonts w:eastAsia="Calibri"/>
            <w:noProof/>
          </w:rPr>
          <w:t>2.</w:t>
        </w:r>
        <w:r>
          <w:rPr>
            <w:rFonts w:asciiTheme="minorHAnsi" w:eastAsiaTheme="minorEastAsia" w:hAnsiTheme="minorHAnsi" w:cstheme="minorBidi"/>
            <w:b w:val="0"/>
            <w:bCs w:val="0"/>
            <w:caps w:val="0"/>
            <w:noProof/>
            <w:sz w:val="22"/>
            <w:szCs w:val="22"/>
            <w:lang w:val="sv-SE" w:eastAsia="sv-SE"/>
          </w:rPr>
          <w:tab/>
        </w:r>
        <w:r w:rsidRPr="0042404D">
          <w:rPr>
            <w:rStyle w:val="Hyperlnk"/>
            <w:rFonts w:eastAsia="Calibri"/>
            <w:noProof/>
          </w:rPr>
          <w:t>ASSESSMENT REPORT</w:t>
        </w:r>
        <w:r>
          <w:rPr>
            <w:noProof/>
            <w:webHidden/>
          </w:rPr>
          <w:tab/>
        </w:r>
        <w:r>
          <w:rPr>
            <w:noProof/>
            <w:webHidden/>
          </w:rPr>
          <w:fldChar w:fldCharType="begin"/>
        </w:r>
        <w:r>
          <w:rPr>
            <w:noProof/>
            <w:webHidden/>
          </w:rPr>
          <w:instrText xml:space="preserve"> PAGEREF _Toc129689549 \h </w:instrText>
        </w:r>
        <w:r>
          <w:rPr>
            <w:noProof/>
            <w:webHidden/>
          </w:rPr>
        </w:r>
        <w:r>
          <w:rPr>
            <w:noProof/>
            <w:webHidden/>
          </w:rPr>
          <w:fldChar w:fldCharType="separate"/>
        </w:r>
        <w:r>
          <w:rPr>
            <w:noProof/>
            <w:webHidden/>
          </w:rPr>
          <w:t>6</w:t>
        </w:r>
        <w:r>
          <w:rPr>
            <w:noProof/>
            <w:webHidden/>
          </w:rPr>
          <w:fldChar w:fldCharType="end"/>
        </w:r>
      </w:hyperlink>
    </w:p>
    <w:p w14:paraId="2FD0FE2F" w14:textId="13EE2757" w:rsidR="004E139D" w:rsidRDefault="004E139D">
      <w:pPr>
        <w:pStyle w:val="Innehll2"/>
        <w:tabs>
          <w:tab w:val="left" w:pos="800"/>
          <w:tab w:val="right" w:leader="dot" w:pos="9204"/>
        </w:tabs>
        <w:rPr>
          <w:rFonts w:asciiTheme="minorHAnsi" w:eastAsiaTheme="minorEastAsia" w:hAnsiTheme="minorHAnsi" w:cstheme="minorBidi"/>
          <w:smallCaps w:val="0"/>
          <w:noProof/>
          <w:sz w:val="22"/>
          <w:szCs w:val="22"/>
          <w:lang w:val="sv-SE" w:eastAsia="sv-SE"/>
        </w:rPr>
      </w:pPr>
      <w:hyperlink w:anchor="_Toc129689550" w:history="1">
        <w:r w:rsidRPr="0042404D">
          <w:rPr>
            <w:rStyle w:val="Hyperlnk"/>
            <w:noProof/>
            <w:snapToGrid w:val="0"/>
          </w:rPr>
          <w:t>2.1.</w:t>
        </w:r>
        <w:r>
          <w:rPr>
            <w:rFonts w:asciiTheme="minorHAnsi" w:eastAsiaTheme="minorEastAsia" w:hAnsiTheme="minorHAnsi" w:cstheme="minorBidi"/>
            <w:smallCaps w:val="0"/>
            <w:noProof/>
            <w:sz w:val="22"/>
            <w:szCs w:val="22"/>
            <w:lang w:val="sv-SE" w:eastAsia="sv-SE"/>
          </w:rPr>
          <w:tab/>
        </w:r>
        <w:r w:rsidRPr="0042404D">
          <w:rPr>
            <w:rStyle w:val="Hyperlnk"/>
            <w:noProof/>
            <w:snapToGrid w:val="0"/>
          </w:rPr>
          <w:t>Summary of the product assessment</w:t>
        </w:r>
        <w:r>
          <w:rPr>
            <w:noProof/>
            <w:webHidden/>
          </w:rPr>
          <w:tab/>
        </w:r>
        <w:r>
          <w:rPr>
            <w:noProof/>
            <w:webHidden/>
          </w:rPr>
          <w:fldChar w:fldCharType="begin"/>
        </w:r>
        <w:r>
          <w:rPr>
            <w:noProof/>
            <w:webHidden/>
          </w:rPr>
          <w:instrText xml:space="preserve"> PAGEREF _Toc129689550 \h </w:instrText>
        </w:r>
        <w:r>
          <w:rPr>
            <w:noProof/>
            <w:webHidden/>
          </w:rPr>
        </w:r>
        <w:r>
          <w:rPr>
            <w:noProof/>
            <w:webHidden/>
          </w:rPr>
          <w:fldChar w:fldCharType="separate"/>
        </w:r>
        <w:r>
          <w:rPr>
            <w:noProof/>
            <w:webHidden/>
          </w:rPr>
          <w:t>6</w:t>
        </w:r>
        <w:r>
          <w:rPr>
            <w:noProof/>
            <w:webHidden/>
          </w:rPr>
          <w:fldChar w:fldCharType="end"/>
        </w:r>
      </w:hyperlink>
    </w:p>
    <w:p w14:paraId="7FB40AEA" w14:textId="45B56A63" w:rsidR="004E139D" w:rsidRDefault="004E139D">
      <w:pPr>
        <w:pStyle w:val="Innehll3"/>
        <w:tabs>
          <w:tab w:val="left" w:pos="1200"/>
          <w:tab w:val="right" w:leader="dot" w:pos="9204"/>
        </w:tabs>
        <w:rPr>
          <w:rFonts w:asciiTheme="minorHAnsi" w:eastAsiaTheme="minorEastAsia" w:hAnsiTheme="minorHAnsi" w:cstheme="minorBidi"/>
          <w:i w:val="0"/>
          <w:iCs w:val="0"/>
          <w:noProof/>
          <w:sz w:val="22"/>
          <w:szCs w:val="22"/>
          <w:lang w:val="sv-SE" w:eastAsia="sv-SE"/>
        </w:rPr>
      </w:pPr>
      <w:hyperlink w:anchor="_Toc129689551" w:history="1">
        <w:r w:rsidRPr="0042404D">
          <w:rPr>
            <w:rStyle w:val="Hyperlnk"/>
            <w:noProof/>
          </w:rPr>
          <w:t>2.1.1.</w:t>
        </w:r>
        <w:r>
          <w:rPr>
            <w:rFonts w:asciiTheme="minorHAnsi" w:eastAsiaTheme="minorEastAsia" w:hAnsiTheme="minorHAnsi" w:cstheme="minorBidi"/>
            <w:i w:val="0"/>
            <w:iCs w:val="0"/>
            <w:noProof/>
            <w:sz w:val="22"/>
            <w:szCs w:val="22"/>
            <w:lang w:val="sv-SE" w:eastAsia="sv-SE"/>
          </w:rPr>
          <w:tab/>
        </w:r>
        <w:r w:rsidRPr="0042404D">
          <w:rPr>
            <w:rStyle w:val="Hyperlnk"/>
            <w:noProof/>
          </w:rPr>
          <w:t>Administrative information</w:t>
        </w:r>
        <w:r>
          <w:rPr>
            <w:noProof/>
            <w:webHidden/>
          </w:rPr>
          <w:tab/>
        </w:r>
        <w:r>
          <w:rPr>
            <w:noProof/>
            <w:webHidden/>
          </w:rPr>
          <w:fldChar w:fldCharType="begin"/>
        </w:r>
        <w:r>
          <w:rPr>
            <w:noProof/>
            <w:webHidden/>
          </w:rPr>
          <w:instrText xml:space="preserve"> PAGEREF _Toc129689551 \h </w:instrText>
        </w:r>
        <w:r>
          <w:rPr>
            <w:noProof/>
            <w:webHidden/>
          </w:rPr>
        </w:r>
        <w:r>
          <w:rPr>
            <w:noProof/>
            <w:webHidden/>
          </w:rPr>
          <w:fldChar w:fldCharType="separate"/>
        </w:r>
        <w:r>
          <w:rPr>
            <w:noProof/>
            <w:webHidden/>
          </w:rPr>
          <w:t>6</w:t>
        </w:r>
        <w:r>
          <w:rPr>
            <w:noProof/>
            <w:webHidden/>
          </w:rPr>
          <w:fldChar w:fldCharType="end"/>
        </w:r>
      </w:hyperlink>
    </w:p>
    <w:p w14:paraId="3913BBE7" w14:textId="418DC4A4"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52" w:history="1">
        <w:r w:rsidRPr="0042404D">
          <w:rPr>
            <w:rStyle w:val="Hyperlnk"/>
            <w:noProof/>
          </w:rPr>
          <w:t>2.1.1.1 Identifier of the product</w:t>
        </w:r>
        <w:r>
          <w:rPr>
            <w:noProof/>
            <w:webHidden/>
          </w:rPr>
          <w:tab/>
        </w:r>
        <w:r>
          <w:rPr>
            <w:noProof/>
            <w:webHidden/>
          </w:rPr>
          <w:fldChar w:fldCharType="begin"/>
        </w:r>
        <w:r>
          <w:rPr>
            <w:noProof/>
            <w:webHidden/>
          </w:rPr>
          <w:instrText xml:space="preserve"> PAGEREF _Toc129689552 \h </w:instrText>
        </w:r>
        <w:r>
          <w:rPr>
            <w:noProof/>
            <w:webHidden/>
          </w:rPr>
        </w:r>
        <w:r>
          <w:rPr>
            <w:noProof/>
            <w:webHidden/>
          </w:rPr>
          <w:fldChar w:fldCharType="separate"/>
        </w:r>
        <w:r>
          <w:rPr>
            <w:noProof/>
            <w:webHidden/>
          </w:rPr>
          <w:t>6</w:t>
        </w:r>
        <w:r>
          <w:rPr>
            <w:noProof/>
            <w:webHidden/>
          </w:rPr>
          <w:fldChar w:fldCharType="end"/>
        </w:r>
      </w:hyperlink>
    </w:p>
    <w:p w14:paraId="451C615D" w14:textId="2872DF12"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53" w:history="1">
        <w:r w:rsidRPr="0042404D">
          <w:rPr>
            <w:rStyle w:val="Hyperlnk"/>
            <w:noProof/>
          </w:rPr>
          <w:t>2.1.1.2 Authorisation holder</w:t>
        </w:r>
        <w:r>
          <w:rPr>
            <w:noProof/>
            <w:webHidden/>
          </w:rPr>
          <w:tab/>
        </w:r>
        <w:r>
          <w:rPr>
            <w:noProof/>
            <w:webHidden/>
          </w:rPr>
          <w:fldChar w:fldCharType="begin"/>
        </w:r>
        <w:r>
          <w:rPr>
            <w:noProof/>
            <w:webHidden/>
          </w:rPr>
          <w:instrText xml:space="preserve"> PAGEREF _Toc129689553 \h </w:instrText>
        </w:r>
        <w:r>
          <w:rPr>
            <w:noProof/>
            <w:webHidden/>
          </w:rPr>
        </w:r>
        <w:r>
          <w:rPr>
            <w:noProof/>
            <w:webHidden/>
          </w:rPr>
          <w:fldChar w:fldCharType="separate"/>
        </w:r>
        <w:r>
          <w:rPr>
            <w:noProof/>
            <w:webHidden/>
          </w:rPr>
          <w:t>6</w:t>
        </w:r>
        <w:r>
          <w:rPr>
            <w:noProof/>
            <w:webHidden/>
          </w:rPr>
          <w:fldChar w:fldCharType="end"/>
        </w:r>
      </w:hyperlink>
    </w:p>
    <w:p w14:paraId="6CCFFB75" w14:textId="2A15065C"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54" w:history="1">
        <w:r w:rsidRPr="0042404D">
          <w:rPr>
            <w:rStyle w:val="Hyperlnk"/>
            <w:noProof/>
          </w:rPr>
          <w:t>2.1.1.3 Manufacturer of the product</w:t>
        </w:r>
        <w:r>
          <w:rPr>
            <w:noProof/>
            <w:webHidden/>
          </w:rPr>
          <w:tab/>
        </w:r>
        <w:r>
          <w:rPr>
            <w:noProof/>
            <w:webHidden/>
          </w:rPr>
          <w:fldChar w:fldCharType="begin"/>
        </w:r>
        <w:r>
          <w:rPr>
            <w:noProof/>
            <w:webHidden/>
          </w:rPr>
          <w:instrText xml:space="preserve"> PAGEREF _Toc129689554 \h </w:instrText>
        </w:r>
        <w:r>
          <w:rPr>
            <w:noProof/>
            <w:webHidden/>
          </w:rPr>
        </w:r>
        <w:r>
          <w:rPr>
            <w:noProof/>
            <w:webHidden/>
          </w:rPr>
          <w:fldChar w:fldCharType="separate"/>
        </w:r>
        <w:r>
          <w:rPr>
            <w:noProof/>
            <w:webHidden/>
          </w:rPr>
          <w:t>6</w:t>
        </w:r>
        <w:r>
          <w:rPr>
            <w:noProof/>
            <w:webHidden/>
          </w:rPr>
          <w:fldChar w:fldCharType="end"/>
        </w:r>
      </w:hyperlink>
    </w:p>
    <w:p w14:paraId="01EEAD12" w14:textId="116A6B14"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55" w:history="1">
        <w:r w:rsidRPr="0042404D">
          <w:rPr>
            <w:rStyle w:val="Hyperlnk"/>
            <w:noProof/>
          </w:rPr>
          <w:t>2.1.1.4 Manufacturer(s) of the active substance(s)</w:t>
        </w:r>
        <w:r>
          <w:rPr>
            <w:noProof/>
            <w:webHidden/>
          </w:rPr>
          <w:tab/>
        </w:r>
        <w:r>
          <w:rPr>
            <w:noProof/>
            <w:webHidden/>
          </w:rPr>
          <w:fldChar w:fldCharType="begin"/>
        </w:r>
        <w:r>
          <w:rPr>
            <w:noProof/>
            <w:webHidden/>
          </w:rPr>
          <w:instrText xml:space="preserve"> PAGEREF _Toc129689555 \h </w:instrText>
        </w:r>
        <w:r>
          <w:rPr>
            <w:noProof/>
            <w:webHidden/>
          </w:rPr>
        </w:r>
        <w:r>
          <w:rPr>
            <w:noProof/>
            <w:webHidden/>
          </w:rPr>
          <w:fldChar w:fldCharType="separate"/>
        </w:r>
        <w:r>
          <w:rPr>
            <w:noProof/>
            <w:webHidden/>
          </w:rPr>
          <w:t>6</w:t>
        </w:r>
        <w:r>
          <w:rPr>
            <w:noProof/>
            <w:webHidden/>
          </w:rPr>
          <w:fldChar w:fldCharType="end"/>
        </w:r>
      </w:hyperlink>
    </w:p>
    <w:p w14:paraId="3C723EDE" w14:textId="75720DDD"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56" w:history="1">
        <w:r w:rsidRPr="0042404D">
          <w:rPr>
            <w:rStyle w:val="Hyperlnk"/>
            <w:noProof/>
          </w:rPr>
          <w:t>2.1.2 Product composition and formulation</w:t>
        </w:r>
        <w:r>
          <w:rPr>
            <w:noProof/>
            <w:webHidden/>
          </w:rPr>
          <w:tab/>
        </w:r>
        <w:r>
          <w:rPr>
            <w:noProof/>
            <w:webHidden/>
          </w:rPr>
          <w:fldChar w:fldCharType="begin"/>
        </w:r>
        <w:r>
          <w:rPr>
            <w:noProof/>
            <w:webHidden/>
          </w:rPr>
          <w:instrText xml:space="preserve"> PAGEREF _Toc129689556 \h </w:instrText>
        </w:r>
        <w:r>
          <w:rPr>
            <w:noProof/>
            <w:webHidden/>
          </w:rPr>
        </w:r>
        <w:r>
          <w:rPr>
            <w:noProof/>
            <w:webHidden/>
          </w:rPr>
          <w:fldChar w:fldCharType="separate"/>
        </w:r>
        <w:r>
          <w:rPr>
            <w:noProof/>
            <w:webHidden/>
          </w:rPr>
          <w:t>7</w:t>
        </w:r>
        <w:r>
          <w:rPr>
            <w:noProof/>
            <w:webHidden/>
          </w:rPr>
          <w:fldChar w:fldCharType="end"/>
        </w:r>
      </w:hyperlink>
    </w:p>
    <w:p w14:paraId="05E28E64" w14:textId="7D0CEA04"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57" w:history="1">
        <w:r w:rsidRPr="0042404D">
          <w:rPr>
            <w:rStyle w:val="Hyperlnk"/>
            <w:noProof/>
          </w:rPr>
          <w:t>2.1.2.1 Identity of the active substance</w:t>
        </w:r>
        <w:r>
          <w:rPr>
            <w:noProof/>
            <w:webHidden/>
          </w:rPr>
          <w:tab/>
        </w:r>
        <w:r>
          <w:rPr>
            <w:noProof/>
            <w:webHidden/>
          </w:rPr>
          <w:fldChar w:fldCharType="begin"/>
        </w:r>
        <w:r>
          <w:rPr>
            <w:noProof/>
            <w:webHidden/>
          </w:rPr>
          <w:instrText xml:space="preserve"> PAGEREF _Toc129689557 \h </w:instrText>
        </w:r>
        <w:r>
          <w:rPr>
            <w:noProof/>
            <w:webHidden/>
          </w:rPr>
        </w:r>
        <w:r>
          <w:rPr>
            <w:noProof/>
            <w:webHidden/>
          </w:rPr>
          <w:fldChar w:fldCharType="separate"/>
        </w:r>
        <w:r>
          <w:rPr>
            <w:noProof/>
            <w:webHidden/>
          </w:rPr>
          <w:t>7</w:t>
        </w:r>
        <w:r>
          <w:rPr>
            <w:noProof/>
            <w:webHidden/>
          </w:rPr>
          <w:fldChar w:fldCharType="end"/>
        </w:r>
      </w:hyperlink>
    </w:p>
    <w:p w14:paraId="5F7D3E3C" w14:textId="0DDEF18B"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58" w:history="1">
        <w:r w:rsidRPr="0042404D">
          <w:rPr>
            <w:rStyle w:val="Hyperlnk"/>
            <w:noProof/>
          </w:rPr>
          <w:t>2.1.2.2. Candidate(s) for substitution</w:t>
        </w:r>
        <w:r>
          <w:rPr>
            <w:noProof/>
            <w:webHidden/>
          </w:rPr>
          <w:tab/>
        </w:r>
        <w:r>
          <w:rPr>
            <w:noProof/>
            <w:webHidden/>
          </w:rPr>
          <w:fldChar w:fldCharType="begin"/>
        </w:r>
        <w:r>
          <w:rPr>
            <w:noProof/>
            <w:webHidden/>
          </w:rPr>
          <w:instrText xml:space="preserve"> PAGEREF _Toc129689558 \h </w:instrText>
        </w:r>
        <w:r>
          <w:rPr>
            <w:noProof/>
            <w:webHidden/>
          </w:rPr>
        </w:r>
        <w:r>
          <w:rPr>
            <w:noProof/>
            <w:webHidden/>
          </w:rPr>
          <w:fldChar w:fldCharType="separate"/>
        </w:r>
        <w:r>
          <w:rPr>
            <w:noProof/>
            <w:webHidden/>
          </w:rPr>
          <w:t>7</w:t>
        </w:r>
        <w:r>
          <w:rPr>
            <w:noProof/>
            <w:webHidden/>
          </w:rPr>
          <w:fldChar w:fldCharType="end"/>
        </w:r>
      </w:hyperlink>
    </w:p>
    <w:p w14:paraId="62C96E91" w14:textId="7647D13C"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59" w:history="1">
        <w:r w:rsidRPr="0042404D">
          <w:rPr>
            <w:rStyle w:val="Hyperlnk"/>
            <w:noProof/>
          </w:rPr>
          <w:t>2.1.2.3 Qualitative and quantitative information on the composition of the biocidal product</w:t>
        </w:r>
        <w:r>
          <w:rPr>
            <w:noProof/>
            <w:webHidden/>
          </w:rPr>
          <w:tab/>
        </w:r>
        <w:r>
          <w:rPr>
            <w:noProof/>
            <w:webHidden/>
          </w:rPr>
          <w:fldChar w:fldCharType="begin"/>
        </w:r>
        <w:r>
          <w:rPr>
            <w:noProof/>
            <w:webHidden/>
          </w:rPr>
          <w:instrText xml:space="preserve"> PAGEREF _Toc129689559 \h </w:instrText>
        </w:r>
        <w:r>
          <w:rPr>
            <w:noProof/>
            <w:webHidden/>
          </w:rPr>
        </w:r>
        <w:r>
          <w:rPr>
            <w:noProof/>
            <w:webHidden/>
          </w:rPr>
          <w:fldChar w:fldCharType="separate"/>
        </w:r>
        <w:r>
          <w:rPr>
            <w:noProof/>
            <w:webHidden/>
          </w:rPr>
          <w:t>8</w:t>
        </w:r>
        <w:r>
          <w:rPr>
            <w:noProof/>
            <w:webHidden/>
          </w:rPr>
          <w:fldChar w:fldCharType="end"/>
        </w:r>
      </w:hyperlink>
    </w:p>
    <w:p w14:paraId="64A3AAA8" w14:textId="244DA9FD"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0" w:history="1">
        <w:r w:rsidRPr="0042404D">
          <w:rPr>
            <w:rStyle w:val="Hyperlnk"/>
            <w:noProof/>
          </w:rPr>
          <w:t>2.1.2.4 Information on technical equivalence</w:t>
        </w:r>
        <w:r>
          <w:rPr>
            <w:noProof/>
            <w:webHidden/>
          </w:rPr>
          <w:tab/>
        </w:r>
        <w:r>
          <w:rPr>
            <w:noProof/>
            <w:webHidden/>
          </w:rPr>
          <w:fldChar w:fldCharType="begin"/>
        </w:r>
        <w:r>
          <w:rPr>
            <w:noProof/>
            <w:webHidden/>
          </w:rPr>
          <w:instrText xml:space="preserve"> PAGEREF _Toc129689560 \h </w:instrText>
        </w:r>
        <w:r>
          <w:rPr>
            <w:noProof/>
            <w:webHidden/>
          </w:rPr>
        </w:r>
        <w:r>
          <w:rPr>
            <w:noProof/>
            <w:webHidden/>
          </w:rPr>
          <w:fldChar w:fldCharType="separate"/>
        </w:r>
        <w:r>
          <w:rPr>
            <w:noProof/>
            <w:webHidden/>
          </w:rPr>
          <w:t>8</w:t>
        </w:r>
        <w:r>
          <w:rPr>
            <w:noProof/>
            <w:webHidden/>
          </w:rPr>
          <w:fldChar w:fldCharType="end"/>
        </w:r>
      </w:hyperlink>
    </w:p>
    <w:p w14:paraId="75D6E424" w14:textId="5DD5A1D4"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1" w:history="1">
        <w:r w:rsidRPr="0042404D">
          <w:rPr>
            <w:rStyle w:val="Hyperlnk"/>
            <w:noProof/>
          </w:rPr>
          <w:t>2.1.2.5 Information on the substance(s) of concern</w:t>
        </w:r>
        <w:r>
          <w:rPr>
            <w:noProof/>
            <w:webHidden/>
          </w:rPr>
          <w:tab/>
        </w:r>
        <w:r>
          <w:rPr>
            <w:noProof/>
            <w:webHidden/>
          </w:rPr>
          <w:fldChar w:fldCharType="begin"/>
        </w:r>
        <w:r>
          <w:rPr>
            <w:noProof/>
            <w:webHidden/>
          </w:rPr>
          <w:instrText xml:space="preserve"> PAGEREF _Toc129689561 \h </w:instrText>
        </w:r>
        <w:r>
          <w:rPr>
            <w:noProof/>
            <w:webHidden/>
          </w:rPr>
        </w:r>
        <w:r>
          <w:rPr>
            <w:noProof/>
            <w:webHidden/>
          </w:rPr>
          <w:fldChar w:fldCharType="separate"/>
        </w:r>
        <w:r>
          <w:rPr>
            <w:noProof/>
            <w:webHidden/>
          </w:rPr>
          <w:t>8</w:t>
        </w:r>
        <w:r>
          <w:rPr>
            <w:noProof/>
            <w:webHidden/>
          </w:rPr>
          <w:fldChar w:fldCharType="end"/>
        </w:r>
      </w:hyperlink>
    </w:p>
    <w:p w14:paraId="4FFB359C" w14:textId="559736C2"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2" w:history="1">
        <w:r w:rsidRPr="0042404D">
          <w:rPr>
            <w:rStyle w:val="Hyperlnk"/>
            <w:noProof/>
          </w:rPr>
          <w:t>2.1.2.6 Type of formulation</w:t>
        </w:r>
        <w:r>
          <w:rPr>
            <w:noProof/>
            <w:webHidden/>
          </w:rPr>
          <w:tab/>
        </w:r>
        <w:r>
          <w:rPr>
            <w:noProof/>
            <w:webHidden/>
          </w:rPr>
          <w:fldChar w:fldCharType="begin"/>
        </w:r>
        <w:r>
          <w:rPr>
            <w:noProof/>
            <w:webHidden/>
          </w:rPr>
          <w:instrText xml:space="preserve"> PAGEREF _Toc129689562 \h </w:instrText>
        </w:r>
        <w:r>
          <w:rPr>
            <w:noProof/>
            <w:webHidden/>
          </w:rPr>
        </w:r>
        <w:r>
          <w:rPr>
            <w:noProof/>
            <w:webHidden/>
          </w:rPr>
          <w:fldChar w:fldCharType="separate"/>
        </w:r>
        <w:r>
          <w:rPr>
            <w:noProof/>
            <w:webHidden/>
          </w:rPr>
          <w:t>8</w:t>
        </w:r>
        <w:r>
          <w:rPr>
            <w:noProof/>
            <w:webHidden/>
          </w:rPr>
          <w:fldChar w:fldCharType="end"/>
        </w:r>
      </w:hyperlink>
    </w:p>
    <w:p w14:paraId="73447750" w14:textId="11792A1F"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63" w:history="1">
        <w:r w:rsidRPr="0042404D">
          <w:rPr>
            <w:rStyle w:val="Hyperlnk"/>
            <w:noProof/>
          </w:rPr>
          <w:t>2.1.3 Hazard and precautionary statements</w:t>
        </w:r>
        <w:r>
          <w:rPr>
            <w:noProof/>
            <w:webHidden/>
          </w:rPr>
          <w:tab/>
        </w:r>
        <w:r>
          <w:rPr>
            <w:noProof/>
            <w:webHidden/>
          </w:rPr>
          <w:fldChar w:fldCharType="begin"/>
        </w:r>
        <w:r>
          <w:rPr>
            <w:noProof/>
            <w:webHidden/>
          </w:rPr>
          <w:instrText xml:space="preserve"> PAGEREF _Toc129689563 \h </w:instrText>
        </w:r>
        <w:r>
          <w:rPr>
            <w:noProof/>
            <w:webHidden/>
          </w:rPr>
        </w:r>
        <w:r>
          <w:rPr>
            <w:noProof/>
            <w:webHidden/>
          </w:rPr>
          <w:fldChar w:fldCharType="separate"/>
        </w:r>
        <w:r>
          <w:rPr>
            <w:noProof/>
            <w:webHidden/>
          </w:rPr>
          <w:t>9</w:t>
        </w:r>
        <w:r>
          <w:rPr>
            <w:noProof/>
            <w:webHidden/>
          </w:rPr>
          <w:fldChar w:fldCharType="end"/>
        </w:r>
      </w:hyperlink>
    </w:p>
    <w:p w14:paraId="24A22982" w14:textId="511DC06F"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64" w:history="1">
        <w:r w:rsidRPr="0042404D">
          <w:rPr>
            <w:rStyle w:val="Hyperlnk"/>
            <w:noProof/>
          </w:rPr>
          <w:t>2.1.4 Authorised use and directions for use</w:t>
        </w:r>
        <w:r>
          <w:rPr>
            <w:noProof/>
            <w:webHidden/>
          </w:rPr>
          <w:tab/>
        </w:r>
        <w:r>
          <w:rPr>
            <w:noProof/>
            <w:webHidden/>
          </w:rPr>
          <w:fldChar w:fldCharType="begin"/>
        </w:r>
        <w:r>
          <w:rPr>
            <w:noProof/>
            <w:webHidden/>
          </w:rPr>
          <w:instrText xml:space="preserve"> PAGEREF _Toc129689564 \h </w:instrText>
        </w:r>
        <w:r>
          <w:rPr>
            <w:noProof/>
            <w:webHidden/>
          </w:rPr>
        </w:r>
        <w:r>
          <w:rPr>
            <w:noProof/>
            <w:webHidden/>
          </w:rPr>
          <w:fldChar w:fldCharType="separate"/>
        </w:r>
        <w:r>
          <w:rPr>
            <w:noProof/>
            <w:webHidden/>
          </w:rPr>
          <w:t>10</w:t>
        </w:r>
        <w:r>
          <w:rPr>
            <w:noProof/>
            <w:webHidden/>
          </w:rPr>
          <w:fldChar w:fldCharType="end"/>
        </w:r>
      </w:hyperlink>
    </w:p>
    <w:p w14:paraId="7C1F1400" w14:textId="1715FBA9"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5" w:history="1">
        <w:r w:rsidRPr="0042404D">
          <w:rPr>
            <w:rStyle w:val="Hyperlnk"/>
            <w:noProof/>
          </w:rPr>
          <w:t>2.1.4.1 Use description</w:t>
        </w:r>
        <w:r>
          <w:rPr>
            <w:noProof/>
            <w:webHidden/>
          </w:rPr>
          <w:tab/>
        </w:r>
        <w:r>
          <w:rPr>
            <w:noProof/>
            <w:webHidden/>
          </w:rPr>
          <w:fldChar w:fldCharType="begin"/>
        </w:r>
        <w:r>
          <w:rPr>
            <w:noProof/>
            <w:webHidden/>
          </w:rPr>
          <w:instrText xml:space="preserve"> PAGEREF _Toc129689565 \h </w:instrText>
        </w:r>
        <w:r>
          <w:rPr>
            <w:noProof/>
            <w:webHidden/>
          </w:rPr>
        </w:r>
        <w:r>
          <w:rPr>
            <w:noProof/>
            <w:webHidden/>
          </w:rPr>
          <w:fldChar w:fldCharType="separate"/>
        </w:r>
        <w:r>
          <w:rPr>
            <w:noProof/>
            <w:webHidden/>
          </w:rPr>
          <w:t>10</w:t>
        </w:r>
        <w:r>
          <w:rPr>
            <w:noProof/>
            <w:webHidden/>
          </w:rPr>
          <w:fldChar w:fldCharType="end"/>
        </w:r>
      </w:hyperlink>
    </w:p>
    <w:p w14:paraId="4F4F318B" w14:textId="5D098D6A"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6" w:history="1">
        <w:r w:rsidRPr="0042404D">
          <w:rPr>
            <w:rStyle w:val="Hyperlnk"/>
            <w:noProof/>
          </w:rPr>
          <w:t>2.1.4.2 Use-specific instructions for use</w:t>
        </w:r>
        <w:r>
          <w:rPr>
            <w:noProof/>
            <w:webHidden/>
          </w:rPr>
          <w:tab/>
        </w:r>
        <w:r>
          <w:rPr>
            <w:noProof/>
            <w:webHidden/>
          </w:rPr>
          <w:fldChar w:fldCharType="begin"/>
        </w:r>
        <w:r>
          <w:rPr>
            <w:noProof/>
            <w:webHidden/>
          </w:rPr>
          <w:instrText xml:space="preserve"> PAGEREF _Toc129689566 \h </w:instrText>
        </w:r>
        <w:r>
          <w:rPr>
            <w:noProof/>
            <w:webHidden/>
          </w:rPr>
        </w:r>
        <w:r>
          <w:rPr>
            <w:noProof/>
            <w:webHidden/>
          </w:rPr>
          <w:fldChar w:fldCharType="separate"/>
        </w:r>
        <w:r>
          <w:rPr>
            <w:noProof/>
            <w:webHidden/>
          </w:rPr>
          <w:t>11</w:t>
        </w:r>
        <w:r>
          <w:rPr>
            <w:noProof/>
            <w:webHidden/>
          </w:rPr>
          <w:fldChar w:fldCharType="end"/>
        </w:r>
      </w:hyperlink>
    </w:p>
    <w:p w14:paraId="2C2C90EA" w14:textId="2542E6FD"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7" w:history="1">
        <w:r w:rsidRPr="0042404D">
          <w:rPr>
            <w:rStyle w:val="Hyperlnk"/>
            <w:noProof/>
          </w:rPr>
          <w:t>2.1.4.3 Use-specific risk mitigation measures</w:t>
        </w:r>
        <w:r>
          <w:rPr>
            <w:noProof/>
            <w:webHidden/>
          </w:rPr>
          <w:tab/>
        </w:r>
        <w:r>
          <w:rPr>
            <w:noProof/>
            <w:webHidden/>
          </w:rPr>
          <w:fldChar w:fldCharType="begin"/>
        </w:r>
        <w:r>
          <w:rPr>
            <w:noProof/>
            <w:webHidden/>
          </w:rPr>
          <w:instrText xml:space="preserve"> PAGEREF _Toc129689567 \h </w:instrText>
        </w:r>
        <w:r>
          <w:rPr>
            <w:noProof/>
            <w:webHidden/>
          </w:rPr>
        </w:r>
        <w:r>
          <w:rPr>
            <w:noProof/>
            <w:webHidden/>
          </w:rPr>
          <w:fldChar w:fldCharType="separate"/>
        </w:r>
        <w:r>
          <w:rPr>
            <w:noProof/>
            <w:webHidden/>
          </w:rPr>
          <w:t>11</w:t>
        </w:r>
        <w:r>
          <w:rPr>
            <w:noProof/>
            <w:webHidden/>
          </w:rPr>
          <w:fldChar w:fldCharType="end"/>
        </w:r>
      </w:hyperlink>
    </w:p>
    <w:p w14:paraId="44C03EAB" w14:textId="50DC4AA9"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8" w:history="1">
        <w:r w:rsidRPr="0042404D">
          <w:rPr>
            <w:rStyle w:val="Hyperlnk"/>
            <w:noProof/>
          </w:rPr>
          <w:t>2.1.4.4 Where specific to the use, the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_Toc129689568 \h </w:instrText>
        </w:r>
        <w:r>
          <w:rPr>
            <w:noProof/>
            <w:webHidden/>
          </w:rPr>
        </w:r>
        <w:r>
          <w:rPr>
            <w:noProof/>
            <w:webHidden/>
          </w:rPr>
          <w:fldChar w:fldCharType="separate"/>
        </w:r>
        <w:r>
          <w:rPr>
            <w:noProof/>
            <w:webHidden/>
          </w:rPr>
          <w:t>11</w:t>
        </w:r>
        <w:r>
          <w:rPr>
            <w:noProof/>
            <w:webHidden/>
          </w:rPr>
          <w:fldChar w:fldCharType="end"/>
        </w:r>
      </w:hyperlink>
    </w:p>
    <w:p w14:paraId="1E3101E9" w14:textId="3EFA102B"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69" w:history="1">
        <w:r w:rsidRPr="0042404D">
          <w:rPr>
            <w:rStyle w:val="Hyperlnk"/>
            <w:noProof/>
          </w:rPr>
          <w:t>2.1.4.5 Where specific to the use, the instructions for safe disposal of the product and its packaging</w:t>
        </w:r>
        <w:r>
          <w:rPr>
            <w:noProof/>
            <w:webHidden/>
          </w:rPr>
          <w:tab/>
        </w:r>
        <w:r>
          <w:rPr>
            <w:noProof/>
            <w:webHidden/>
          </w:rPr>
          <w:fldChar w:fldCharType="begin"/>
        </w:r>
        <w:r>
          <w:rPr>
            <w:noProof/>
            <w:webHidden/>
          </w:rPr>
          <w:instrText xml:space="preserve"> PAGEREF _Toc129689569 \h </w:instrText>
        </w:r>
        <w:r>
          <w:rPr>
            <w:noProof/>
            <w:webHidden/>
          </w:rPr>
        </w:r>
        <w:r>
          <w:rPr>
            <w:noProof/>
            <w:webHidden/>
          </w:rPr>
          <w:fldChar w:fldCharType="separate"/>
        </w:r>
        <w:r>
          <w:rPr>
            <w:noProof/>
            <w:webHidden/>
          </w:rPr>
          <w:t>11</w:t>
        </w:r>
        <w:r>
          <w:rPr>
            <w:noProof/>
            <w:webHidden/>
          </w:rPr>
          <w:fldChar w:fldCharType="end"/>
        </w:r>
      </w:hyperlink>
    </w:p>
    <w:p w14:paraId="59230EAD" w14:textId="040F954E"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70" w:history="1">
        <w:r w:rsidRPr="0042404D">
          <w:rPr>
            <w:rStyle w:val="Hyperlnk"/>
            <w:noProof/>
          </w:rPr>
          <w:t>2.1.4.6 Where specific to the use, the conditions of storage and shelf-life of the product under normal conditions of storage</w:t>
        </w:r>
        <w:r>
          <w:rPr>
            <w:noProof/>
            <w:webHidden/>
          </w:rPr>
          <w:tab/>
        </w:r>
        <w:r>
          <w:rPr>
            <w:noProof/>
            <w:webHidden/>
          </w:rPr>
          <w:fldChar w:fldCharType="begin"/>
        </w:r>
        <w:r>
          <w:rPr>
            <w:noProof/>
            <w:webHidden/>
          </w:rPr>
          <w:instrText xml:space="preserve"> PAGEREF _Toc129689570 \h </w:instrText>
        </w:r>
        <w:r>
          <w:rPr>
            <w:noProof/>
            <w:webHidden/>
          </w:rPr>
        </w:r>
        <w:r>
          <w:rPr>
            <w:noProof/>
            <w:webHidden/>
          </w:rPr>
          <w:fldChar w:fldCharType="separate"/>
        </w:r>
        <w:r>
          <w:rPr>
            <w:noProof/>
            <w:webHidden/>
          </w:rPr>
          <w:t>11</w:t>
        </w:r>
        <w:r>
          <w:rPr>
            <w:noProof/>
            <w:webHidden/>
          </w:rPr>
          <w:fldChar w:fldCharType="end"/>
        </w:r>
      </w:hyperlink>
    </w:p>
    <w:p w14:paraId="30F6E42E" w14:textId="747ED50B"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71" w:history="1">
        <w:r w:rsidRPr="0042404D">
          <w:rPr>
            <w:rStyle w:val="Hyperlnk"/>
            <w:noProof/>
          </w:rPr>
          <w:t>2.1.5 General directions for use</w:t>
        </w:r>
        <w:r>
          <w:rPr>
            <w:noProof/>
            <w:webHidden/>
          </w:rPr>
          <w:tab/>
        </w:r>
        <w:r>
          <w:rPr>
            <w:noProof/>
            <w:webHidden/>
          </w:rPr>
          <w:fldChar w:fldCharType="begin"/>
        </w:r>
        <w:r>
          <w:rPr>
            <w:noProof/>
            <w:webHidden/>
          </w:rPr>
          <w:instrText xml:space="preserve"> PAGEREF _Toc129689571 \h </w:instrText>
        </w:r>
        <w:r>
          <w:rPr>
            <w:noProof/>
            <w:webHidden/>
          </w:rPr>
        </w:r>
        <w:r>
          <w:rPr>
            <w:noProof/>
            <w:webHidden/>
          </w:rPr>
          <w:fldChar w:fldCharType="separate"/>
        </w:r>
        <w:r>
          <w:rPr>
            <w:noProof/>
            <w:webHidden/>
          </w:rPr>
          <w:t>11</w:t>
        </w:r>
        <w:r>
          <w:rPr>
            <w:noProof/>
            <w:webHidden/>
          </w:rPr>
          <w:fldChar w:fldCharType="end"/>
        </w:r>
      </w:hyperlink>
    </w:p>
    <w:p w14:paraId="0A9C90AE" w14:textId="45FBD20A"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72" w:history="1">
        <w:r w:rsidRPr="0042404D">
          <w:rPr>
            <w:rStyle w:val="Hyperlnk"/>
            <w:noProof/>
          </w:rPr>
          <w:t>2.1.5.1 Instructions for use</w:t>
        </w:r>
        <w:r>
          <w:rPr>
            <w:noProof/>
            <w:webHidden/>
          </w:rPr>
          <w:tab/>
        </w:r>
        <w:r>
          <w:rPr>
            <w:noProof/>
            <w:webHidden/>
          </w:rPr>
          <w:fldChar w:fldCharType="begin"/>
        </w:r>
        <w:r>
          <w:rPr>
            <w:noProof/>
            <w:webHidden/>
          </w:rPr>
          <w:instrText xml:space="preserve"> PAGEREF _Toc129689572 \h </w:instrText>
        </w:r>
        <w:r>
          <w:rPr>
            <w:noProof/>
            <w:webHidden/>
          </w:rPr>
        </w:r>
        <w:r>
          <w:rPr>
            <w:noProof/>
            <w:webHidden/>
          </w:rPr>
          <w:fldChar w:fldCharType="separate"/>
        </w:r>
        <w:r>
          <w:rPr>
            <w:noProof/>
            <w:webHidden/>
          </w:rPr>
          <w:t>11</w:t>
        </w:r>
        <w:r>
          <w:rPr>
            <w:noProof/>
            <w:webHidden/>
          </w:rPr>
          <w:fldChar w:fldCharType="end"/>
        </w:r>
      </w:hyperlink>
    </w:p>
    <w:p w14:paraId="33672021" w14:textId="52ABD31A"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73" w:history="1">
        <w:r w:rsidRPr="0042404D">
          <w:rPr>
            <w:rStyle w:val="Hyperlnk"/>
            <w:noProof/>
          </w:rPr>
          <w:t>2.1.5.2 Risk mitigation measures</w:t>
        </w:r>
        <w:r>
          <w:rPr>
            <w:noProof/>
            <w:webHidden/>
          </w:rPr>
          <w:tab/>
        </w:r>
        <w:r>
          <w:rPr>
            <w:noProof/>
            <w:webHidden/>
          </w:rPr>
          <w:fldChar w:fldCharType="begin"/>
        </w:r>
        <w:r>
          <w:rPr>
            <w:noProof/>
            <w:webHidden/>
          </w:rPr>
          <w:instrText xml:space="preserve"> PAGEREF _Toc129689573 \h </w:instrText>
        </w:r>
        <w:r>
          <w:rPr>
            <w:noProof/>
            <w:webHidden/>
          </w:rPr>
        </w:r>
        <w:r>
          <w:rPr>
            <w:noProof/>
            <w:webHidden/>
          </w:rPr>
          <w:fldChar w:fldCharType="separate"/>
        </w:r>
        <w:r>
          <w:rPr>
            <w:noProof/>
            <w:webHidden/>
          </w:rPr>
          <w:t>14</w:t>
        </w:r>
        <w:r>
          <w:rPr>
            <w:noProof/>
            <w:webHidden/>
          </w:rPr>
          <w:fldChar w:fldCharType="end"/>
        </w:r>
      </w:hyperlink>
    </w:p>
    <w:p w14:paraId="16485F51" w14:textId="42B4D040"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74" w:history="1">
        <w:r w:rsidRPr="0042404D">
          <w:rPr>
            <w:rStyle w:val="Hyperlnk"/>
            <w:noProof/>
          </w:rPr>
          <w:t>2.1.5.3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_Toc129689574 \h </w:instrText>
        </w:r>
        <w:r>
          <w:rPr>
            <w:noProof/>
            <w:webHidden/>
          </w:rPr>
        </w:r>
        <w:r>
          <w:rPr>
            <w:noProof/>
            <w:webHidden/>
          </w:rPr>
          <w:fldChar w:fldCharType="separate"/>
        </w:r>
        <w:r>
          <w:rPr>
            <w:noProof/>
            <w:webHidden/>
          </w:rPr>
          <w:t>15</w:t>
        </w:r>
        <w:r>
          <w:rPr>
            <w:noProof/>
            <w:webHidden/>
          </w:rPr>
          <w:fldChar w:fldCharType="end"/>
        </w:r>
      </w:hyperlink>
    </w:p>
    <w:p w14:paraId="717D6B48" w14:textId="1B38391D"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75" w:history="1">
        <w:r w:rsidRPr="0042404D">
          <w:rPr>
            <w:rStyle w:val="Hyperlnk"/>
            <w:noProof/>
          </w:rPr>
          <w:t>2.1.5.4 Instructions for safe disposal of the product and its packaging</w:t>
        </w:r>
        <w:r>
          <w:rPr>
            <w:noProof/>
            <w:webHidden/>
          </w:rPr>
          <w:tab/>
        </w:r>
        <w:r>
          <w:rPr>
            <w:noProof/>
            <w:webHidden/>
          </w:rPr>
          <w:fldChar w:fldCharType="begin"/>
        </w:r>
        <w:r>
          <w:rPr>
            <w:noProof/>
            <w:webHidden/>
          </w:rPr>
          <w:instrText xml:space="preserve"> PAGEREF _Toc129689575 \h </w:instrText>
        </w:r>
        <w:r>
          <w:rPr>
            <w:noProof/>
            <w:webHidden/>
          </w:rPr>
        </w:r>
        <w:r>
          <w:rPr>
            <w:noProof/>
            <w:webHidden/>
          </w:rPr>
          <w:fldChar w:fldCharType="separate"/>
        </w:r>
        <w:r>
          <w:rPr>
            <w:noProof/>
            <w:webHidden/>
          </w:rPr>
          <w:t>16</w:t>
        </w:r>
        <w:r>
          <w:rPr>
            <w:noProof/>
            <w:webHidden/>
          </w:rPr>
          <w:fldChar w:fldCharType="end"/>
        </w:r>
      </w:hyperlink>
    </w:p>
    <w:p w14:paraId="7389A695" w14:textId="0F39B920"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76" w:history="1">
        <w:r w:rsidRPr="0042404D">
          <w:rPr>
            <w:rStyle w:val="Hyperlnk"/>
            <w:noProof/>
          </w:rPr>
          <w:t>2.1.5.5 Conditions of storage and shelf-life of the product under normal conditions of storage</w:t>
        </w:r>
        <w:r>
          <w:rPr>
            <w:noProof/>
            <w:webHidden/>
          </w:rPr>
          <w:tab/>
        </w:r>
        <w:r>
          <w:rPr>
            <w:noProof/>
            <w:webHidden/>
          </w:rPr>
          <w:fldChar w:fldCharType="begin"/>
        </w:r>
        <w:r>
          <w:rPr>
            <w:noProof/>
            <w:webHidden/>
          </w:rPr>
          <w:instrText xml:space="preserve"> PAGEREF _Toc129689576 \h </w:instrText>
        </w:r>
        <w:r>
          <w:rPr>
            <w:noProof/>
            <w:webHidden/>
          </w:rPr>
        </w:r>
        <w:r>
          <w:rPr>
            <w:noProof/>
            <w:webHidden/>
          </w:rPr>
          <w:fldChar w:fldCharType="separate"/>
        </w:r>
        <w:r>
          <w:rPr>
            <w:noProof/>
            <w:webHidden/>
          </w:rPr>
          <w:t>16</w:t>
        </w:r>
        <w:r>
          <w:rPr>
            <w:noProof/>
            <w:webHidden/>
          </w:rPr>
          <w:fldChar w:fldCharType="end"/>
        </w:r>
      </w:hyperlink>
    </w:p>
    <w:p w14:paraId="02C8A508" w14:textId="1A341BB1"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77" w:history="1">
        <w:r w:rsidRPr="0042404D">
          <w:rPr>
            <w:rStyle w:val="Hyperlnk"/>
            <w:noProof/>
          </w:rPr>
          <w:t>2.1.6 Other information</w:t>
        </w:r>
        <w:r>
          <w:rPr>
            <w:noProof/>
            <w:webHidden/>
          </w:rPr>
          <w:tab/>
        </w:r>
        <w:r>
          <w:rPr>
            <w:noProof/>
            <w:webHidden/>
          </w:rPr>
          <w:fldChar w:fldCharType="begin"/>
        </w:r>
        <w:r>
          <w:rPr>
            <w:noProof/>
            <w:webHidden/>
          </w:rPr>
          <w:instrText xml:space="preserve"> PAGEREF _Toc129689577 \h </w:instrText>
        </w:r>
        <w:r>
          <w:rPr>
            <w:noProof/>
            <w:webHidden/>
          </w:rPr>
        </w:r>
        <w:r>
          <w:rPr>
            <w:noProof/>
            <w:webHidden/>
          </w:rPr>
          <w:fldChar w:fldCharType="separate"/>
        </w:r>
        <w:r>
          <w:rPr>
            <w:noProof/>
            <w:webHidden/>
          </w:rPr>
          <w:t>16</w:t>
        </w:r>
        <w:r>
          <w:rPr>
            <w:noProof/>
            <w:webHidden/>
          </w:rPr>
          <w:fldChar w:fldCharType="end"/>
        </w:r>
      </w:hyperlink>
    </w:p>
    <w:p w14:paraId="666FE3F8" w14:textId="5799951C"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78" w:history="1">
        <w:r w:rsidRPr="0042404D">
          <w:rPr>
            <w:rStyle w:val="Hyperlnk"/>
            <w:noProof/>
          </w:rPr>
          <w:t>2.1.7 Packaging of the biocidal product</w:t>
        </w:r>
        <w:r>
          <w:rPr>
            <w:noProof/>
            <w:webHidden/>
          </w:rPr>
          <w:tab/>
        </w:r>
        <w:r>
          <w:rPr>
            <w:noProof/>
            <w:webHidden/>
          </w:rPr>
          <w:fldChar w:fldCharType="begin"/>
        </w:r>
        <w:r>
          <w:rPr>
            <w:noProof/>
            <w:webHidden/>
          </w:rPr>
          <w:instrText xml:space="preserve"> PAGEREF _Toc129689578 \h </w:instrText>
        </w:r>
        <w:r>
          <w:rPr>
            <w:noProof/>
            <w:webHidden/>
          </w:rPr>
        </w:r>
        <w:r>
          <w:rPr>
            <w:noProof/>
            <w:webHidden/>
          </w:rPr>
          <w:fldChar w:fldCharType="separate"/>
        </w:r>
        <w:r>
          <w:rPr>
            <w:noProof/>
            <w:webHidden/>
          </w:rPr>
          <w:t>16</w:t>
        </w:r>
        <w:r>
          <w:rPr>
            <w:noProof/>
            <w:webHidden/>
          </w:rPr>
          <w:fldChar w:fldCharType="end"/>
        </w:r>
      </w:hyperlink>
    </w:p>
    <w:p w14:paraId="6D89868C" w14:textId="2EEC531A"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79" w:history="1">
        <w:r w:rsidRPr="0042404D">
          <w:rPr>
            <w:rStyle w:val="Hyperlnk"/>
            <w:noProof/>
            <w:lang w:eastAsia="en-US"/>
          </w:rPr>
          <w:t>2.1.8 Documentation</w:t>
        </w:r>
        <w:r>
          <w:rPr>
            <w:noProof/>
            <w:webHidden/>
          </w:rPr>
          <w:tab/>
        </w:r>
        <w:r>
          <w:rPr>
            <w:noProof/>
            <w:webHidden/>
          </w:rPr>
          <w:fldChar w:fldCharType="begin"/>
        </w:r>
        <w:r>
          <w:rPr>
            <w:noProof/>
            <w:webHidden/>
          </w:rPr>
          <w:instrText xml:space="preserve"> PAGEREF _Toc129689579 \h </w:instrText>
        </w:r>
        <w:r>
          <w:rPr>
            <w:noProof/>
            <w:webHidden/>
          </w:rPr>
        </w:r>
        <w:r>
          <w:rPr>
            <w:noProof/>
            <w:webHidden/>
          </w:rPr>
          <w:fldChar w:fldCharType="separate"/>
        </w:r>
        <w:r>
          <w:rPr>
            <w:noProof/>
            <w:webHidden/>
          </w:rPr>
          <w:t>17</w:t>
        </w:r>
        <w:r>
          <w:rPr>
            <w:noProof/>
            <w:webHidden/>
          </w:rPr>
          <w:fldChar w:fldCharType="end"/>
        </w:r>
      </w:hyperlink>
    </w:p>
    <w:p w14:paraId="4FFB9774" w14:textId="414D0385"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80" w:history="1">
        <w:r w:rsidRPr="0042404D">
          <w:rPr>
            <w:rStyle w:val="Hyperlnk"/>
            <w:noProof/>
          </w:rPr>
          <w:t>2.1.8.1 Data submitted in relation to product application</w:t>
        </w:r>
        <w:r>
          <w:rPr>
            <w:noProof/>
            <w:webHidden/>
          </w:rPr>
          <w:tab/>
        </w:r>
        <w:r>
          <w:rPr>
            <w:noProof/>
            <w:webHidden/>
          </w:rPr>
          <w:fldChar w:fldCharType="begin"/>
        </w:r>
        <w:r>
          <w:rPr>
            <w:noProof/>
            <w:webHidden/>
          </w:rPr>
          <w:instrText xml:space="preserve"> PAGEREF _Toc129689580 \h </w:instrText>
        </w:r>
        <w:r>
          <w:rPr>
            <w:noProof/>
            <w:webHidden/>
          </w:rPr>
        </w:r>
        <w:r>
          <w:rPr>
            <w:noProof/>
            <w:webHidden/>
          </w:rPr>
          <w:fldChar w:fldCharType="separate"/>
        </w:r>
        <w:r>
          <w:rPr>
            <w:noProof/>
            <w:webHidden/>
          </w:rPr>
          <w:t>17</w:t>
        </w:r>
        <w:r>
          <w:rPr>
            <w:noProof/>
            <w:webHidden/>
          </w:rPr>
          <w:fldChar w:fldCharType="end"/>
        </w:r>
      </w:hyperlink>
    </w:p>
    <w:p w14:paraId="01EE1AE1" w14:textId="2345F9DF"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81" w:history="1">
        <w:r w:rsidRPr="0042404D">
          <w:rPr>
            <w:rStyle w:val="Hyperlnk"/>
            <w:noProof/>
          </w:rPr>
          <w:t>2.1.8.2 Access to documentation</w:t>
        </w:r>
        <w:r>
          <w:rPr>
            <w:noProof/>
            <w:webHidden/>
          </w:rPr>
          <w:tab/>
        </w:r>
        <w:r>
          <w:rPr>
            <w:noProof/>
            <w:webHidden/>
          </w:rPr>
          <w:fldChar w:fldCharType="begin"/>
        </w:r>
        <w:r>
          <w:rPr>
            <w:noProof/>
            <w:webHidden/>
          </w:rPr>
          <w:instrText xml:space="preserve"> PAGEREF _Toc129689581 \h </w:instrText>
        </w:r>
        <w:r>
          <w:rPr>
            <w:noProof/>
            <w:webHidden/>
          </w:rPr>
        </w:r>
        <w:r>
          <w:rPr>
            <w:noProof/>
            <w:webHidden/>
          </w:rPr>
          <w:fldChar w:fldCharType="separate"/>
        </w:r>
        <w:r>
          <w:rPr>
            <w:noProof/>
            <w:webHidden/>
          </w:rPr>
          <w:t>17</w:t>
        </w:r>
        <w:r>
          <w:rPr>
            <w:noProof/>
            <w:webHidden/>
          </w:rPr>
          <w:fldChar w:fldCharType="end"/>
        </w:r>
      </w:hyperlink>
    </w:p>
    <w:p w14:paraId="2689E622" w14:textId="2EEF7EF1" w:rsidR="004E139D" w:rsidRDefault="004E139D">
      <w:pPr>
        <w:pStyle w:val="Innehll2"/>
        <w:tabs>
          <w:tab w:val="left" w:pos="800"/>
          <w:tab w:val="right" w:leader="dot" w:pos="9204"/>
        </w:tabs>
        <w:rPr>
          <w:rFonts w:asciiTheme="minorHAnsi" w:eastAsiaTheme="minorEastAsia" w:hAnsiTheme="minorHAnsi" w:cstheme="minorBidi"/>
          <w:smallCaps w:val="0"/>
          <w:noProof/>
          <w:sz w:val="22"/>
          <w:szCs w:val="22"/>
          <w:lang w:val="sv-SE" w:eastAsia="sv-SE"/>
        </w:rPr>
      </w:pPr>
      <w:hyperlink w:anchor="_Toc129689582" w:history="1">
        <w:r w:rsidRPr="0042404D">
          <w:rPr>
            <w:rStyle w:val="Hyperlnk"/>
            <w:noProof/>
          </w:rPr>
          <w:t>2.2.</w:t>
        </w:r>
        <w:r>
          <w:rPr>
            <w:rFonts w:asciiTheme="minorHAnsi" w:eastAsiaTheme="minorEastAsia" w:hAnsiTheme="minorHAnsi" w:cstheme="minorBidi"/>
            <w:smallCaps w:val="0"/>
            <w:noProof/>
            <w:sz w:val="22"/>
            <w:szCs w:val="22"/>
            <w:lang w:val="sv-SE" w:eastAsia="sv-SE"/>
          </w:rPr>
          <w:tab/>
        </w:r>
        <w:r w:rsidRPr="0042404D">
          <w:rPr>
            <w:rStyle w:val="Hyperlnk"/>
            <w:noProof/>
          </w:rPr>
          <w:t>Assessment of the biocidal product</w:t>
        </w:r>
        <w:r>
          <w:rPr>
            <w:noProof/>
            <w:webHidden/>
          </w:rPr>
          <w:tab/>
        </w:r>
        <w:r>
          <w:rPr>
            <w:noProof/>
            <w:webHidden/>
          </w:rPr>
          <w:fldChar w:fldCharType="begin"/>
        </w:r>
        <w:r>
          <w:rPr>
            <w:noProof/>
            <w:webHidden/>
          </w:rPr>
          <w:instrText xml:space="preserve"> PAGEREF _Toc129689582 \h </w:instrText>
        </w:r>
        <w:r>
          <w:rPr>
            <w:noProof/>
            <w:webHidden/>
          </w:rPr>
        </w:r>
        <w:r>
          <w:rPr>
            <w:noProof/>
            <w:webHidden/>
          </w:rPr>
          <w:fldChar w:fldCharType="separate"/>
        </w:r>
        <w:r>
          <w:rPr>
            <w:noProof/>
            <w:webHidden/>
          </w:rPr>
          <w:t>18</w:t>
        </w:r>
        <w:r>
          <w:rPr>
            <w:noProof/>
            <w:webHidden/>
          </w:rPr>
          <w:fldChar w:fldCharType="end"/>
        </w:r>
      </w:hyperlink>
    </w:p>
    <w:p w14:paraId="134E6945" w14:textId="642442F3"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83" w:history="1">
        <w:r w:rsidRPr="0042404D">
          <w:rPr>
            <w:rStyle w:val="Hyperlnk"/>
            <w:noProof/>
          </w:rPr>
          <w:t>2.2.1 Intended use(s) as applied for by the applicant</w:t>
        </w:r>
        <w:r>
          <w:rPr>
            <w:noProof/>
            <w:webHidden/>
          </w:rPr>
          <w:tab/>
        </w:r>
        <w:r>
          <w:rPr>
            <w:noProof/>
            <w:webHidden/>
          </w:rPr>
          <w:fldChar w:fldCharType="begin"/>
        </w:r>
        <w:r>
          <w:rPr>
            <w:noProof/>
            <w:webHidden/>
          </w:rPr>
          <w:instrText xml:space="preserve"> PAGEREF _Toc129689583 \h </w:instrText>
        </w:r>
        <w:r>
          <w:rPr>
            <w:noProof/>
            <w:webHidden/>
          </w:rPr>
        </w:r>
        <w:r>
          <w:rPr>
            <w:noProof/>
            <w:webHidden/>
          </w:rPr>
          <w:fldChar w:fldCharType="separate"/>
        </w:r>
        <w:r>
          <w:rPr>
            <w:noProof/>
            <w:webHidden/>
          </w:rPr>
          <w:t>18</w:t>
        </w:r>
        <w:r>
          <w:rPr>
            <w:noProof/>
            <w:webHidden/>
          </w:rPr>
          <w:fldChar w:fldCharType="end"/>
        </w:r>
      </w:hyperlink>
    </w:p>
    <w:p w14:paraId="4229280D" w14:textId="21687617"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84" w:history="1">
        <w:r w:rsidRPr="0042404D">
          <w:rPr>
            <w:rStyle w:val="Hyperlnk"/>
            <w:noProof/>
          </w:rPr>
          <w:t>2.2.2. Physical, chemical and technical properties</w:t>
        </w:r>
        <w:r>
          <w:rPr>
            <w:noProof/>
            <w:webHidden/>
          </w:rPr>
          <w:tab/>
        </w:r>
        <w:r>
          <w:rPr>
            <w:noProof/>
            <w:webHidden/>
          </w:rPr>
          <w:fldChar w:fldCharType="begin"/>
        </w:r>
        <w:r>
          <w:rPr>
            <w:noProof/>
            <w:webHidden/>
          </w:rPr>
          <w:instrText xml:space="preserve"> PAGEREF _Toc129689584 \h </w:instrText>
        </w:r>
        <w:r>
          <w:rPr>
            <w:noProof/>
            <w:webHidden/>
          </w:rPr>
        </w:r>
        <w:r>
          <w:rPr>
            <w:noProof/>
            <w:webHidden/>
          </w:rPr>
          <w:fldChar w:fldCharType="separate"/>
        </w:r>
        <w:r>
          <w:rPr>
            <w:noProof/>
            <w:webHidden/>
          </w:rPr>
          <w:t>19</w:t>
        </w:r>
        <w:r>
          <w:rPr>
            <w:noProof/>
            <w:webHidden/>
          </w:rPr>
          <w:fldChar w:fldCharType="end"/>
        </w:r>
      </w:hyperlink>
    </w:p>
    <w:p w14:paraId="3FF2461A" w14:textId="7EFE113D"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85" w:history="1">
        <w:r w:rsidRPr="0042404D">
          <w:rPr>
            <w:rStyle w:val="Hyperlnk"/>
            <w:noProof/>
            <w:snapToGrid w:val="0"/>
            <w:lang w:eastAsia="fi-FI"/>
          </w:rPr>
          <w:t>2.2.3 Physical hazards and respective characteristics</w:t>
        </w:r>
        <w:r>
          <w:rPr>
            <w:noProof/>
            <w:webHidden/>
          </w:rPr>
          <w:tab/>
        </w:r>
        <w:r>
          <w:rPr>
            <w:noProof/>
            <w:webHidden/>
          </w:rPr>
          <w:fldChar w:fldCharType="begin"/>
        </w:r>
        <w:r>
          <w:rPr>
            <w:noProof/>
            <w:webHidden/>
          </w:rPr>
          <w:instrText xml:space="preserve"> PAGEREF _Toc129689585 \h </w:instrText>
        </w:r>
        <w:r>
          <w:rPr>
            <w:noProof/>
            <w:webHidden/>
          </w:rPr>
        </w:r>
        <w:r>
          <w:rPr>
            <w:noProof/>
            <w:webHidden/>
          </w:rPr>
          <w:fldChar w:fldCharType="separate"/>
        </w:r>
        <w:r>
          <w:rPr>
            <w:noProof/>
            <w:webHidden/>
          </w:rPr>
          <w:t>27</w:t>
        </w:r>
        <w:r>
          <w:rPr>
            <w:noProof/>
            <w:webHidden/>
          </w:rPr>
          <w:fldChar w:fldCharType="end"/>
        </w:r>
      </w:hyperlink>
    </w:p>
    <w:p w14:paraId="4C7822F2" w14:textId="7A44788B"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86" w:history="1">
        <w:r w:rsidRPr="0042404D">
          <w:rPr>
            <w:rStyle w:val="Hyperlnk"/>
            <w:noProof/>
            <w:snapToGrid w:val="0"/>
            <w:lang w:eastAsia="fi-FI"/>
          </w:rPr>
          <w:t>2.2.4 Methods for detection and identification</w:t>
        </w:r>
        <w:r>
          <w:rPr>
            <w:noProof/>
            <w:webHidden/>
          </w:rPr>
          <w:tab/>
        </w:r>
        <w:r>
          <w:rPr>
            <w:noProof/>
            <w:webHidden/>
          </w:rPr>
          <w:fldChar w:fldCharType="begin"/>
        </w:r>
        <w:r>
          <w:rPr>
            <w:noProof/>
            <w:webHidden/>
          </w:rPr>
          <w:instrText xml:space="preserve"> PAGEREF _Toc129689586 \h </w:instrText>
        </w:r>
        <w:r>
          <w:rPr>
            <w:noProof/>
            <w:webHidden/>
          </w:rPr>
        </w:r>
        <w:r>
          <w:rPr>
            <w:noProof/>
            <w:webHidden/>
          </w:rPr>
          <w:fldChar w:fldCharType="separate"/>
        </w:r>
        <w:r>
          <w:rPr>
            <w:noProof/>
            <w:webHidden/>
          </w:rPr>
          <w:t>29</w:t>
        </w:r>
        <w:r>
          <w:rPr>
            <w:noProof/>
            <w:webHidden/>
          </w:rPr>
          <w:fldChar w:fldCharType="end"/>
        </w:r>
      </w:hyperlink>
    </w:p>
    <w:p w14:paraId="37E16D0A" w14:textId="61E909D4"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87" w:history="1">
        <w:r w:rsidRPr="0042404D">
          <w:rPr>
            <w:rStyle w:val="Hyperlnk"/>
            <w:noProof/>
          </w:rPr>
          <w:t>2.2.5 Efficacy against target organisms</w:t>
        </w:r>
        <w:r>
          <w:rPr>
            <w:noProof/>
            <w:webHidden/>
          </w:rPr>
          <w:tab/>
        </w:r>
        <w:r>
          <w:rPr>
            <w:noProof/>
            <w:webHidden/>
          </w:rPr>
          <w:fldChar w:fldCharType="begin"/>
        </w:r>
        <w:r>
          <w:rPr>
            <w:noProof/>
            <w:webHidden/>
          </w:rPr>
          <w:instrText xml:space="preserve"> PAGEREF _Toc129689587 \h </w:instrText>
        </w:r>
        <w:r>
          <w:rPr>
            <w:noProof/>
            <w:webHidden/>
          </w:rPr>
        </w:r>
        <w:r>
          <w:rPr>
            <w:noProof/>
            <w:webHidden/>
          </w:rPr>
          <w:fldChar w:fldCharType="separate"/>
        </w:r>
        <w:r>
          <w:rPr>
            <w:noProof/>
            <w:webHidden/>
          </w:rPr>
          <w:t>35</w:t>
        </w:r>
        <w:r>
          <w:rPr>
            <w:noProof/>
            <w:webHidden/>
          </w:rPr>
          <w:fldChar w:fldCharType="end"/>
        </w:r>
      </w:hyperlink>
    </w:p>
    <w:p w14:paraId="5E20EB47" w14:textId="292F822E"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88" w:history="1">
        <w:r w:rsidRPr="0042404D">
          <w:rPr>
            <w:rStyle w:val="Hyperlnk"/>
            <w:noProof/>
          </w:rPr>
          <w:t>2.2.5.1 The proposed label claims for the product</w:t>
        </w:r>
        <w:r>
          <w:rPr>
            <w:noProof/>
            <w:webHidden/>
          </w:rPr>
          <w:tab/>
        </w:r>
        <w:r>
          <w:rPr>
            <w:noProof/>
            <w:webHidden/>
          </w:rPr>
          <w:fldChar w:fldCharType="begin"/>
        </w:r>
        <w:r>
          <w:rPr>
            <w:noProof/>
            <w:webHidden/>
          </w:rPr>
          <w:instrText xml:space="preserve"> PAGEREF _Toc129689588 \h </w:instrText>
        </w:r>
        <w:r>
          <w:rPr>
            <w:noProof/>
            <w:webHidden/>
          </w:rPr>
        </w:r>
        <w:r>
          <w:rPr>
            <w:noProof/>
            <w:webHidden/>
          </w:rPr>
          <w:fldChar w:fldCharType="separate"/>
        </w:r>
        <w:r>
          <w:rPr>
            <w:noProof/>
            <w:webHidden/>
          </w:rPr>
          <w:t>35</w:t>
        </w:r>
        <w:r>
          <w:rPr>
            <w:noProof/>
            <w:webHidden/>
          </w:rPr>
          <w:fldChar w:fldCharType="end"/>
        </w:r>
      </w:hyperlink>
    </w:p>
    <w:p w14:paraId="2FEEEA0C" w14:textId="0AE8343E"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89" w:history="1">
        <w:r w:rsidRPr="0042404D">
          <w:rPr>
            <w:rStyle w:val="Hyperlnk"/>
            <w:noProof/>
          </w:rPr>
          <w:t>2.2.5.2 Function and field of use</w:t>
        </w:r>
        <w:r>
          <w:rPr>
            <w:noProof/>
            <w:webHidden/>
          </w:rPr>
          <w:tab/>
        </w:r>
        <w:r>
          <w:rPr>
            <w:noProof/>
            <w:webHidden/>
          </w:rPr>
          <w:fldChar w:fldCharType="begin"/>
        </w:r>
        <w:r>
          <w:rPr>
            <w:noProof/>
            <w:webHidden/>
          </w:rPr>
          <w:instrText xml:space="preserve"> PAGEREF _Toc129689589 \h </w:instrText>
        </w:r>
        <w:r>
          <w:rPr>
            <w:noProof/>
            <w:webHidden/>
          </w:rPr>
        </w:r>
        <w:r>
          <w:rPr>
            <w:noProof/>
            <w:webHidden/>
          </w:rPr>
          <w:fldChar w:fldCharType="separate"/>
        </w:r>
        <w:r>
          <w:rPr>
            <w:noProof/>
            <w:webHidden/>
          </w:rPr>
          <w:t>35</w:t>
        </w:r>
        <w:r>
          <w:rPr>
            <w:noProof/>
            <w:webHidden/>
          </w:rPr>
          <w:fldChar w:fldCharType="end"/>
        </w:r>
      </w:hyperlink>
    </w:p>
    <w:p w14:paraId="7B958D5F" w14:textId="287B0830"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0" w:history="1">
        <w:r w:rsidRPr="0042404D">
          <w:rPr>
            <w:rStyle w:val="Hyperlnk"/>
            <w:noProof/>
          </w:rPr>
          <w:t>2.2.5.3 Organisms to be controlled and products, organisms or objects to be protected</w:t>
        </w:r>
        <w:r>
          <w:rPr>
            <w:noProof/>
            <w:webHidden/>
          </w:rPr>
          <w:tab/>
        </w:r>
        <w:r>
          <w:rPr>
            <w:noProof/>
            <w:webHidden/>
          </w:rPr>
          <w:fldChar w:fldCharType="begin"/>
        </w:r>
        <w:r>
          <w:rPr>
            <w:noProof/>
            <w:webHidden/>
          </w:rPr>
          <w:instrText xml:space="preserve"> PAGEREF _Toc129689590 \h </w:instrText>
        </w:r>
        <w:r>
          <w:rPr>
            <w:noProof/>
            <w:webHidden/>
          </w:rPr>
        </w:r>
        <w:r>
          <w:rPr>
            <w:noProof/>
            <w:webHidden/>
          </w:rPr>
          <w:fldChar w:fldCharType="separate"/>
        </w:r>
        <w:r>
          <w:rPr>
            <w:noProof/>
            <w:webHidden/>
          </w:rPr>
          <w:t>38</w:t>
        </w:r>
        <w:r>
          <w:rPr>
            <w:noProof/>
            <w:webHidden/>
          </w:rPr>
          <w:fldChar w:fldCharType="end"/>
        </w:r>
      </w:hyperlink>
    </w:p>
    <w:p w14:paraId="335D6C80" w14:textId="1789F34D"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1" w:history="1">
        <w:r w:rsidRPr="0042404D">
          <w:rPr>
            <w:rStyle w:val="Hyperlnk"/>
            <w:noProof/>
          </w:rPr>
          <w:t>2.2.5.4 Effects on target organisms, including unacceptable suffering</w:t>
        </w:r>
        <w:r>
          <w:rPr>
            <w:noProof/>
            <w:webHidden/>
          </w:rPr>
          <w:tab/>
        </w:r>
        <w:r>
          <w:rPr>
            <w:noProof/>
            <w:webHidden/>
          </w:rPr>
          <w:fldChar w:fldCharType="begin"/>
        </w:r>
        <w:r>
          <w:rPr>
            <w:noProof/>
            <w:webHidden/>
          </w:rPr>
          <w:instrText xml:space="preserve"> PAGEREF _Toc129689591 \h </w:instrText>
        </w:r>
        <w:r>
          <w:rPr>
            <w:noProof/>
            <w:webHidden/>
          </w:rPr>
        </w:r>
        <w:r>
          <w:rPr>
            <w:noProof/>
            <w:webHidden/>
          </w:rPr>
          <w:fldChar w:fldCharType="separate"/>
        </w:r>
        <w:r>
          <w:rPr>
            <w:noProof/>
            <w:webHidden/>
          </w:rPr>
          <w:t>40</w:t>
        </w:r>
        <w:r>
          <w:rPr>
            <w:noProof/>
            <w:webHidden/>
          </w:rPr>
          <w:fldChar w:fldCharType="end"/>
        </w:r>
      </w:hyperlink>
    </w:p>
    <w:p w14:paraId="22182F10" w14:textId="72447B7A"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2" w:history="1">
        <w:r w:rsidRPr="0042404D">
          <w:rPr>
            <w:rStyle w:val="Hyperlnk"/>
            <w:noProof/>
          </w:rPr>
          <w:t>2.2.5.5 Mode of action, including time delay</w:t>
        </w:r>
        <w:r>
          <w:rPr>
            <w:noProof/>
            <w:webHidden/>
          </w:rPr>
          <w:tab/>
        </w:r>
        <w:r>
          <w:rPr>
            <w:noProof/>
            <w:webHidden/>
          </w:rPr>
          <w:fldChar w:fldCharType="begin"/>
        </w:r>
        <w:r>
          <w:rPr>
            <w:noProof/>
            <w:webHidden/>
          </w:rPr>
          <w:instrText xml:space="preserve"> PAGEREF _Toc129689592 \h </w:instrText>
        </w:r>
        <w:r>
          <w:rPr>
            <w:noProof/>
            <w:webHidden/>
          </w:rPr>
        </w:r>
        <w:r>
          <w:rPr>
            <w:noProof/>
            <w:webHidden/>
          </w:rPr>
          <w:fldChar w:fldCharType="separate"/>
        </w:r>
        <w:r>
          <w:rPr>
            <w:noProof/>
            <w:webHidden/>
          </w:rPr>
          <w:t>40</w:t>
        </w:r>
        <w:r>
          <w:rPr>
            <w:noProof/>
            <w:webHidden/>
          </w:rPr>
          <w:fldChar w:fldCharType="end"/>
        </w:r>
      </w:hyperlink>
    </w:p>
    <w:p w14:paraId="14D23402" w14:textId="7334E497"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3" w:history="1">
        <w:r w:rsidRPr="0042404D">
          <w:rPr>
            <w:rStyle w:val="Hyperlnk"/>
            <w:noProof/>
          </w:rPr>
          <w:t>2.2.5.6 Efficacy data</w:t>
        </w:r>
        <w:r>
          <w:rPr>
            <w:noProof/>
            <w:webHidden/>
          </w:rPr>
          <w:tab/>
        </w:r>
        <w:r>
          <w:rPr>
            <w:noProof/>
            <w:webHidden/>
          </w:rPr>
          <w:fldChar w:fldCharType="begin"/>
        </w:r>
        <w:r>
          <w:rPr>
            <w:noProof/>
            <w:webHidden/>
          </w:rPr>
          <w:instrText xml:space="preserve"> PAGEREF _Toc129689593 \h </w:instrText>
        </w:r>
        <w:r>
          <w:rPr>
            <w:noProof/>
            <w:webHidden/>
          </w:rPr>
        </w:r>
        <w:r>
          <w:rPr>
            <w:noProof/>
            <w:webHidden/>
          </w:rPr>
          <w:fldChar w:fldCharType="separate"/>
        </w:r>
        <w:r>
          <w:rPr>
            <w:noProof/>
            <w:webHidden/>
          </w:rPr>
          <w:t>42</w:t>
        </w:r>
        <w:r>
          <w:rPr>
            <w:noProof/>
            <w:webHidden/>
          </w:rPr>
          <w:fldChar w:fldCharType="end"/>
        </w:r>
      </w:hyperlink>
    </w:p>
    <w:p w14:paraId="5F21F73C" w14:textId="2969330C"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4" w:history="1">
        <w:r w:rsidRPr="0042404D">
          <w:rPr>
            <w:rStyle w:val="Hyperlnk"/>
            <w:noProof/>
          </w:rPr>
          <w:t>2.2.5.7 Occurrence of resistance and resistance management</w:t>
        </w:r>
        <w:r>
          <w:rPr>
            <w:noProof/>
            <w:webHidden/>
          </w:rPr>
          <w:tab/>
        </w:r>
        <w:r>
          <w:rPr>
            <w:noProof/>
            <w:webHidden/>
          </w:rPr>
          <w:fldChar w:fldCharType="begin"/>
        </w:r>
        <w:r>
          <w:rPr>
            <w:noProof/>
            <w:webHidden/>
          </w:rPr>
          <w:instrText xml:space="preserve"> PAGEREF _Toc129689594 \h </w:instrText>
        </w:r>
        <w:r>
          <w:rPr>
            <w:noProof/>
            <w:webHidden/>
          </w:rPr>
        </w:r>
        <w:r>
          <w:rPr>
            <w:noProof/>
            <w:webHidden/>
          </w:rPr>
          <w:fldChar w:fldCharType="separate"/>
        </w:r>
        <w:r>
          <w:rPr>
            <w:noProof/>
            <w:webHidden/>
          </w:rPr>
          <w:t>44</w:t>
        </w:r>
        <w:r>
          <w:rPr>
            <w:noProof/>
            <w:webHidden/>
          </w:rPr>
          <w:fldChar w:fldCharType="end"/>
        </w:r>
      </w:hyperlink>
    </w:p>
    <w:p w14:paraId="35168FB7" w14:textId="60925888"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5" w:history="1">
        <w:r w:rsidRPr="0042404D">
          <w:rPr>
            <w:rStyle w:val="Hyperlnk"/>
            <w:noProof/>
          </w:rPr>
          <w:t>2.2.5.8 Known limitations</w:t>
        </w:r>
        <w:r>
          <w:rPr>
            <w:noProof/>
            <w:webHidden/>
          </w:rPr>
          <w:tab/>
        </w:r>
        <w:r>
          <w:rPr>
            <w:noProof/>
            <w:webHidden/>
          </w:rPr>
          <w:fldChar w:fldCharType="begin"/>
        </w:r>
        <w:r>
          <w:rPr>
            <w:noProof/>
            <w:webHidden/>
          </w:rPr>
          <w:instrText xml:space="preserve"> PAGEREF _Toc129689595 \h </w:instrText>
        </w:r>
        <w:r>
          <w:rPr>
            <w:noProof/>
            <w:webHidden/>
          </w:rPr>
        </w:r>
        <w:r>
          <w:rPr>
            <w:noProof/>
            <w:webHidden/>
          </w:rPr>
          <w:fldChar w:fldCharType="separate"/>
        </w:r>
        <w:r>
          <w:rPr>
            <w:noProof/>
            <w:webHidden/>
          </w:rPr>
          <w:t>45</w:t>
        </w:r>
        <w:r>
          <w:rPr>
            <w:noProof/>
            <w:webHidden/>
          </w:rPr>
          <w:fldChar w:fldCharType="end"/>
        </w:r>
      </w:hyperlink>
    </w:p>
    <w:p w14:paraId="3D942DEE" w14:textId="0310CD6F"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6" w:history="1">
        <w:r w:rsidRPr="0042404D">
          <w:rPr>
            <w:rStyle w:val="Hyperlnk"/>
            <w:noProof/>
          </w:rPr>
          <w:t>2.2.5.9 Relevant information if the product is intended to be authorised for use with other biocidal product(s)</w:t>
        </w:r>
        <w:r>
          <w:rPr>
            <w:noProof/>
            <w:webHidden/>
          </w:rPr>
          <w:tab/>
        </w:r>
        <w:r>
          <w:rPr>
            <w:noProof/>
            <w:webHidden/>
          </w:rPr>
          <w:fldChar w:fldCharType="begin"/>
        </w:r>
        <w:r>
          <w:rPr>
            <w:noProof/>
            <w:webHidden/>
          </w:rPr>
          <w:instrText xml:space="preserve"> PAGEREF _Toc129689596 \h </w:instrText>
        </w:r>
        <w:r>
          <w:rPr>
            <w:noProof/>
            <w:webHidden/>
          </w:rPr>
        </w:r>
        <w:r>
          <w:rPr>
            <w:noProof/>
            <w:webHidden/>
          </w:rPr>
          <w:fldChar w:fldCharType="separate"/>
        </w:r>
        <w:r>
          <w:rPr>
            <w:noProof/>
            <w:webHidden/>
          </w:rPr>
          <w:t>45</w:t>
        </w:r>
        <w:r>
          <w:rPr>
            <w:noProof/>
            <w:webHidden/>
          </w:rPr>
          <w:fldChar w:fldCharType="end"/>
        </w:r>
      </w:hyperlink>
    </w:p>
    <w:p w14:paraId="78B2E41E" w14:textId="31083FF4"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597" w:history="1">
        <w:r w:rsidRPr="0042404D">
          <w:rPr>
            <w:rStyle w:val="Hyperlnk"/>
            <w:noProof/>
          </w:rPr>
          <w:t>2.2.6 Risk assessment for human health</w:t>
        </w:r>
        <w:r>
          <w:rPr>
            <w:noProof/>
            <w:webHidden/>
          </w:rPr>
          <w:tab/>
        </w:r>
        <w:r>
          <w:rPr>
            <w:noProof/>
            <w:webHidden/>
          </w:rPr>
          <w:fldChar w:fldCharType="begin"/>
        </w:r>
        <w:r>
          <w:rPr>
            <w:noProof/>
            <w:webHidden/>
          </w:rPr>
          <w:instrText xml:space="preserve"> PAGEREF _Toc129689597 \h </w:instrText>
        </w:r>
        <w:r>
          <w:rPr>
            <w:noProof/>
            <w:webHidden/>
          </w:rPr>
        </w:r>
        <w:r>
          <w:rPr>
            <w:noProof/>
            <w:webHidden/>
          </w:rPr>
          <w:fldChar w:fldCharType="separate"/>
        </w:r>
        <w:r>
          <w:rPr>
            <w:noProof/>
            <w:webHidden/>
          </w:rPr>
          <w:t>45</w:t>
        </w:r>
        <w:r>
          <w:rPr>
            <w:noProof/>
            <w:webHidden/>
          </w:rPr>
          <w:fldChar w:fldCharType="end"/>
        </w:r>
      </w:hyperlink>
    </w:p>
    <w:p w14:paraId="01E638E1" w14:textId="40150C41"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8" w:history="1">
        <w:r w:rsidRPr="0042404D">
          <w:rPr>
            <w:rStyle w:val="Hyperlnk"/>
            <w:noProof/>
          </w:rPr>
          <w:t>2.2.6.1 Assessment of effects on Human Health</w:t>
        </w:r>
        <w:r>
          <w:rPr>
            <w:noProof/>
            <w:webHidden/>
          </w:rPr>
          <w:tab/>
        </w:r>
        <w:r>
          <w:rPr>
            <w:noProof/>
            <w:webHidden/>
          </w:rPr>
          <w:fldChar w:fldCharType="begin"/>
        </w:r>
        <w:r>
          <w:rPr>
            <w:noProof/>
            <w:webHidden/>
          </w:rPr>
          <w:instrText xml:space="preserve"> PAGEREF _Toc129689598 \h </w:instrText>
        </w:r>
        <w:r>
          <w:rPr>
            <w:noProof/>
            <w:webHidden/>
          </w:rPr>
        </w:r>
        <w:r>
          <w:rPr>
            <w:noProof/>
            <w:webHidden/>
          </w:rPr>
          <w:fldChar w:fldCharType="separate"/>
        </w:r>
        <w:r>
          <w:rPr>
            <w:noProof/>
            <w:webHidden/>
          </w:rPr>
          <w:t>45</w:t>
        </w:r>
        <w:r>
          <w:rPr>
            <w:noProof/>
            <w:webHidden/>
          </w:rPr>
          <w:fldChar w:fldCharType="end"/>
        </w:r>
      </w:hyperlink>
    </w:p>
    <w:p w14:paraId="7820CB74" w14:textId="02310FF9"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599" w:history="1">
        <w:r w:rsidRPr="0042404D">
          <w:rPr>
            <w:rStyle w:val="Hyperlnk"/>
            <w:noProof/>
          </w:rPr>
          <w:t>2.2.6.2 Exposure assessment</w:t>
        </w:r>
        <w:r>
          <w:rPr>
            <w:noProof/>
            <w:webHidden/>
          </w:rPr>
          <w:tab/>
        </w:r>
        <w:r>
          <w:rPr>
            <w:noProof/>
            <w:webHidden/>
          </w:rPr>
          <w:fldChar w:fldCharType="begin"/>
        </w:r>
        <w:r>
          <w:rPr>
            <w:noProof/>
            <w:webHidden/>
          </w:rPr>
          <w:instrText xml:space="preserve"> PAGEREF _Toc129689599 \h </w:instrText>
        </w:r>
        <w:r>
          <w:rPr>
            <w:noProof/>
            <w:webHidden/>
          </w:rPr>
        </w:r>
        <w:r>
          <w:rPr>
            <w:noProof/>
            <w:webHidden/>
          </w:rPr>
          <w:fldChar w:fldCharType="separate"/>
        </w:r>
        <w:r>
          <w:rPr>
            <w:noProof/>
            <w:webHidden/>
          </w:rPr>
          <w:t>53</w:t>
        </w:r>
        <w:r>
          <w:rPr>
            <w:noProof/>
            <w:webHidden/>
          </w:rPr>
          <w:fldChar w:fldCharType="end"/>
        </w:r>
      </w:hyperlink>
    </w:p>
    <w:p w14:paraId="1D2A186E" w14:textId="4F2EF4FD"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00" w:history="1">
        <w:r w:rsidRPr="0042404D">
          <w:rPr>
            <w:rStyle w:val="Hyperlnk"/>
            <w:noProof/>
          </w:rPr>
          <w:t>2.2.6.3 Risk characterisation for human health</w:t>
        </w:r>
        <w:r>
          <w:rPr>
            <w:noProof/>
            <w:webHidden/>
          </w:rPr>
          <w:tab/>
        </w:r>
        <w:r>
          <w:rPr>
            <w:noProof/>
            <w:webHidden/>
          </w:rPr>
          <w:fldChar w:fldCharType="begin"/>
        </w:r>
        <w:r>
          <w:rPr>
            <w:noProof/>
            <w:webHidden/>
          </w:rPr>
          <w:instrText xml:space="preserve"> PAGEREF _Toc129689600 \h </w:instrText>
        </w:r>
        <w:r>
          <w:rPr>
            <w:noProof/>
            <w:webHidden/>
          </w:rPr>
        </w:r>
        <w:r>
          <w:rPr>
            <w:noProof/>
            <w:webHidden/>
          </w:rPr>
          <w:fldChar w:fldCharType="separate"/>
        </w:r>
        <w:r>
          <w:rPr>
            <w:noProof/>
            <w:webHidden/>
          </w:rPr>
          <w:t>67</w:t>
        </w:r>
        <w:r>
          <w:rPr>
            <w:noProof/>
            <w:webHidden/>
          </w:rPr>
          <w:fldChar w:fldCharType="end"/>
        </w:r>
      </w:hyperlink>
    </w:p>
    <w:p w14:paraId="72F8051B" w14:textId="2A2F3F16"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01" w:history="1">
        <w:r w:rsidRPr="0042404D">
          <w:rPr>
            <w:rStyle w:val="Hyperlnk"/>
            <w:noProof/>
          </w:rPr>
          <w:t>2.2.7 Risk assessment for animal health</w:t>
        </w:r>
        <w:r>
          <w:rPr>
            <w:noProof/>
            <w:webHidden/>
          </w:rPr>
          <w:tab/>
        </w:r>
        <w:r>
          <w:rPr>
            <w:noProof/>
            <w:webHidden/>
          </w:rPr>
          <w:fldChar w:fldCharType="begin"/>
        </w:r>
        <w:r>
          <w:rPr>
            <w:noProof/>
            <w:webHidden/>
          </w:rPr>
          <w:instrText xml:space="preserve"> PAGEREF _Toc129689601 \h </w:instrText>
        </w:r>
        <w:r>
          <w:rPr>
            <w:noProof/>
            <w:webHidden/>
          </w:rPr>
        </w:r>
        <w:r>
          <w:rPr>
            <w:noProof/>
            <w:webHidden/>
          </w:rPr>
          <w:fldChar w:fldCharType="separate"/>
        </w:r>
        <w:r>
          <w:rPr>
            <w:noProof/>
            <w:webHidden/>
          </w:rPr>
          <w:t>75</w:t>
        </w:r>
        <w:r>
          <w:rPr>
            <w:noProof/>
            <w:webHidden/>
          </w:rPr>
          <w:fldChar w:fldCharType="end"/>
        </w:r>
      </w:hyperlink>
    </w:p>
    <w:p w14:paraId="2FE8D226" w14:textId="7C237E52"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02" w:history="1">
        <w:r w:rsidRPr="0042404D">
          <w:rPr>
            <w:rStyle w:val="Hyperlnk"/>
            <w:noProof/>
          </w:rPr>
          <w:t>2.2.8 Risk assessment for the environment</w:t>
        </w:r>
        <w:r>
          <w:rPr>
            <w:noProof/>
            <w:webHidden/>
          </w:rPr>
          <w:tab/>
        </w:r>
        <w:r>
          <w:rPr>
            <w:noProof/>
            <w:webHidden/>
          </w:rPr>
          <w:fldChar w:fldCharType="begin"/>
        </w:r>
        <w:r>
          <w:rPr>
            <w:noProof/>
            <w:webHidden/>
          </w:rPr>
          <w:instrText xml:space="preserve"> PAGEREF _Toc129689602 \h </w:instrText>
        </w:r>
        <w:r>
          <w:rPr>
            <w:noProof/>
            <w:webHidden/>
          </w:rPr>
        </w:r>
        <w:r>
          <w:rPr>
            <w:noProof/>
            <w:webHidden/>
          </w:rPr>
          <w:fldChar w:fldCharType="separate"/>
        </w:r>
        <w:r>
          <w:rPr>
            <w:noProof/>
            <w:webHidden/>
          </w:rPr>
          <w:t>76</w:t>
        </w:r>
        <w:r>
          <w:rPr>
            <w:noProof/>
            <w:webHidden/>
          </w:rPr>
          <w:fldChar w:fldCharType="end"/>
        </w:r>
      </w:hyperlink>
    </w:p>
    <w:p w14:paraId="11D2C0AB" w14:textId="72319A29"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03" w:history="1">
        <w:r w:rsidRPr="0042404D">
          <w:rPr>
            <w:rStyle w:val="Hyperlnk"/>
            <w:noProof/>
          </w:rPr>
          <w:t>2.2.8.1 Effects assessment on the environment</w:t>
        </w:r>
        <w:r>
          <w:rPr>
            <w:noProof/>
            <w:webHidden/>
          </w:rPr>
          <w:tab/>
        </w:r>
        <w:r>
          <w:rPr>
            <w:noProof/>
            <w:webHidden/>
          </w:rPr>
          <w:fldChar w:fldCharType="begin"/>
        </w:r>
        <w:r>
          <w:rPr>
            <w:noProof/>
            <w:webHidden/>
          </w:rPr>
          <w:instrText xml:space="preserve"> PAGEREF _Toc129689603 \h </w:instrText>
        </w:r>
        <w:r>
          <w:rPr>
            <w:noProof/>
            <w:webHidden/>
          </w:rPr>
        </w:r>
        <w:r>
          <w:rPr>
            <w:noProof/>
            <w:webHidden/>
          </w:rPr>
          <w:fldChar w:fldCharType="separate"/>
        </w:r>
        <w:r>
          <w:rPr>
            <w:noProof/>
            <w:webHidden/>
          </w:rPr>
          <w:t>78</w:t>
        </w:r>
        <w:r>
          <w:rPr>
            <w:noProof/>
            <w:webHidden/>
          </w:rPr>
          <w:fldChar w:fldCharType="end"/>
        </w:r>
      </w:hyperlink>
    </w:p>
    <w:p w14:paraId="5D3610D3" w14:textId="3AD2A45C"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04" w:history="1">
        <w:r w:rsidRPr="0042404D">
          <w:rPr>
            <w:rStyle w:val="Hyperlnk"/>
            <w:noProof/>
          </w:rPr>
          <w:t>2.2.8.2 Exposure assessment</w:t>
        </w:r>
        <w:r>
          <w:rPr>
            <w:noProof/>
            <w:webHidden/>
          </w:rPr>
          <w:tab/>
        </w:r>
        <w:r>
          <w:rPr>
            <w:noProof/>
            <w:webHidden/>
          </w:rPr>
          <w:fldChar w:fldCharType="begin"/>
        </w:r>
        <w:r>
          <w:rPr>
            <w:noProof/>
            <w:webHidden/>
          </w:rPr>
          <w:instrText xml:space="preserve"> PAGEREF _Toc129689604 \h </w:instrText>
        </w:r>
        <w:r>
          <w:rPr>
            <w:noProof/>
            <w:webHidden/>
          </w:rPr>
        </w:r>
        <w:r>
          <w:rPr>
            <w:noProof/>
            <w:webHidden/>
          </w:rPr>
          <w:fldChar w:fldCharType="separate"/>
        </w:r>
        <w:r>
          <w:rPr>
            <w:noProof/>
            <w:webHidden/>
          </w:rPr>
          <w:t>87</w:t>
        </w:r>
        <w:r>
          <w:rPr>
            <w:noProof/>
            <w:webHidden/>
          </w:rPr>
          <w:fldChar w:fldCharType="end"/>
        </w:r>
      </w:hyperlink>
    </w:p>
    <w:p w14:paraId="7E304B09" w14:textId="5834FC6B"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05" w:history="1">
        <w:r w:rsidRPr="0042404D">
          <w:rPr>
            <w:rStyle w:val="Hyperlnk"/>
            <w:noProof/>
          </w:rPr>
          <w:t>2.2.8.3 Risk characterisation</w:t>
        </w:r>
        <w:r>
          <w:rPr>
            <w:noProof/>
            <w:webHidden/>
          </w:rPr>
          <w:tab/>
        </w:r>
        <w:r>
          <w:rPr>
            <w:noProof/>
            <w:webHidden/>
          </w:rPr>
          <w:fldChar w:fldCharType="begin"/>
        </w:r>
        <w:r>
          <w:rPr>
            <w:noProof/>
            <w:webHidden/>
          </w:rPr>
          <w:instrText xml:space="preserve"> PAGEREF _Toc129689605 \h </w:instrText>
        </w:r>
        <w:r>
          <w:rPr>
            <w:noProof/>
            <w:webHidden/>
          </w:rPr>
        </w:r>
        <w:r>
          <w:rPr>
            <w:noProof/>
            <w:webHidden/>
          </w:rPr>
          <w:fldChar w:fldCharType="separate"/>
        </w:r>
        <w:r>
          <w:rPr>
            <w:noProof/>
            <w:webHidden/>
          </w:rPr>
          <w:t>102</w:t>
        </w:r>
        <w:r>
          <w:rPr>
            <w:noProof/>
            <w:webHidden/>
          </w:rPr>
          <w:fldChar w:fldCharType="end"/>
        </w:r>
      </w:hyperlink>
    </w:p>
    <w:p w14:paraId="1DBB970D" w14:textId="70BC0D4D"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06" w:history="1">
        <w:r w:rsidRPr="0042404D">
          <w:rPr>
            <w:rStyle w:val="Hyperlnk"/>
            <w:noProof/>
          </w:rPr>
          <w:t>2.2.9 Measures to protect man, animals and the environment</w:t>
        </w:r>
        <w:r>
          <w:rPr>
            <w:noProof/>
            <w:webHidden/>
          </w:rPr>
          <w:tab/>
        </w:r>
        <w:r>
          <w:rPr>
            <w:noProof/>
            <w:webHidden/>
          </w:rPr>
          <w:fldChar w:fldCharType="begin"/>
        </w:r>
        <w:r>
          <w:rPr>
            <w:noProof/>
            <w:webHidden/>
          </w:rPr>
          <w:instrText xml:space="preserve"> PAGEREF _Toc129689606 \h </w:instrText>
        </w:r>
        <w:r>
          <w:rPr>
            <w:noProof/>
            <w:webHidden/>
          </w:rPr>
        </w:r>
        <w:r>
          <w:rPr>
            <w:noProof/>
            <w:webHidden/>
          </w:rPr>
          <w:fldChar w:fldCharType="separate"/>
        </w:r>
        <w:r>
          <w:rPr>
            <w:noProof/>
            <w:webHidden/>
          </w:rPr>
          <w:t>107</w:t>
        </w:r>
        <w:r>
          <w:rPr>
            <w:noProof/>
            <w:webHidden/>
          </w:rPr>
          <w:fldChar w:fldCharType="end"/>
        </w:r>
      </w:hyperlink>
    </w:p>
    <w:p w14:paraId="409E8E16" w14:textId="1BA632A0"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07" w:history="1">
        <w:r w:rsidRPr="0042404D">
          <w:rPr>
            <w:rStyle w:val="Hyperlnk"/>
            <w:noProof/>
          </w:rPr>
          <w:t>2.2.10 Assessment of a combination of biocidal products</w:t>
        </w:r>
        <w:r>
          <w:rPr>
            <w:noProof/>
            <w:webHidden/>
          </w:rPr>
          <w:tab/>
        </w:r>
        <w:r>
          <w:rPr>
            <w:noProof/>
            <w:webHidden/>
          </w:rPr>
          <w:fldChar w:fldCharType="begin"/>
        </w:r>
        <w:r>
          <w:rPr>
            <w:noProof/>
            <w:webHidden/>
          </w:rPr>
          <w:instrText xml:space="preserve"> PAGEREF _Toc129689607 \h </w:instrText>
        </w:r>
        <w:r>
          <w:rPr>
            <w:noProof/>
            <w:webHidden/>
          </w:rPr>
        </w:r>
        <w:r>
          <w:rPr>
            <w:noProof/>
            <w:webHidden/>
          </w:rPr>
          <w:fldChar w:fldCharType="separate"/>
        </w:r>
        <w:r>
          <w:rPr>
            <w:noProof/>
            <w:webHidden/>
          </w:rPr>
          <w:t>107</w:t>
        </w:r>
        <w:r>
          <w:rPr>
            <w:noProof/>
            <w:webHidden/>
          </w:rPr>
          <w:fldChar w:fldCharType="end"/>
        </w:r>
      </w:hyperlink>
    </w:p>
    <w:p w14:paraId="1DBDBCF5" w14:textId="4CBD62A8"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08" w:history="1">
        <w:r w:rsidRPr="0042404D">
          <w:rPr>
            <w:rStyle w:val="Hyperlnk"/>
            <w:noProof/>
          </w:rPr>
          <w:t>2.2.11 Comparative assessment</w:t>
        </w:r>
        <w:r>
          <w:rPr>
            <w:noProof/>
            <w:webHidden/>
          </w:rPr>
          <w:tab/>
        </w:r>
        <w:r>
          <w:rPr>
            <w:noProof/>
            <w:webHidden/>
          </w:rPr>
          <w:fldChar w:fldCharType="begin"/>
        </w:r>
        <w:r>
          <w:rPr>
            <w:noProof/>
            <w:webHidden/>
          </w:rPr>
          <w:instrText xml:space="preserve"> PAGEREF _Toc129689608 \h </w:instrText>
        </w:r>
        <w:r>
          <w:rPr>
            <w:noProof/>
            <w:webHidden/>
          </w:rPr>
        </w:r>
        <w:r>
          <w:rPr>
            <w:noProof/>
            <w:webHidden/>
          </w:rPr>
          <w:fldChar w:fldCharType="separate"/>
        </w:r>
        <w:r>
          <w:rPr>
            <w:noProof/>
            <w:webHidden/>
          </w:rPr>
          <w:t>108</w:t>
        </w:r>
        <w:r>
          <w:rPr>
            <w:noProof/>
            <w:webHidden/>
          </w:rPr>
          <w:fldChar w:fldCharType="end"/>
        </w:r>
      </w:hyperlink>
    </w:p>
    <w:p w14:paraId="1306CA1D" w14:textId="53CD1D37"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09" w:history="1">
        <w:r w:rsidRPr="0042404D">
          <w:rPr>
            <w:rStyle w:val="Hyperlnk"/>
            <w:noProof/>
          </w:rPr>
          <w:t>No comparative assessment has been made as it has not yet been assessed for whether the active substance meets the criteria for exception under Article 5(2) and is a candidate for substitution in accordance with Article 10 of BPR.</w:t>
        </w:r>
        <w:r>
          <w:rPr>
            <w:noProof/>
            <w:webHidden/>
          </w:rPr>
          <w:tab/>
        </w:r>
        <w:r>
          <w:rPr>
            <w:noProof/>
            <w:webHidden/>
          </w:rPr>
          <w:fldChar w:fldCharType="begin"/>
        </w:r>
        <w:r>
          <w:rPr>
            <w:noProof/>
            <w:webHidden/>
          </w:rPr>
          <w:instrText xml:space="preserve"> PAGEREF _Toc129689609 \h </w:instrText>
        </w:r>
        <w:r>
          <w:rPr>
            <w:noProof/>
            <w:webHidden/>
          </w:rPr>
        </w:r>
        <w:r>
          <w:rPr>
            <w:noProof/>
            <w:webHidden/>
          </w:rPr>
          <w:fldChar w:fldCharType="separate"/>
        </w:r>
        <w:r>
          <w:rPr>
            <w:noProof/>
            <w:webHidden/>
          </w:rPr>
          <w:t>108</w:t>
        </w:r>
        <w:r>
          <w:rPr>
            <w:noProof/>
            <w:webHidden/>
          </w:rPr>
          <w:fldChar w:fldCharType="end"/>
        </w:r>
      </w:hyperlink>
    </w:p>
    <w:p w14:paraId="06847C7A" w14:textId="05B0D609" w:rsidR="004E139D" w:rsidRDefault="004E139D">
      <w:pPr>
        <w:pStyle w:val="Innehll1"/>
        <w:tabs>
          <w:tab w:val="left" w:pos="400"/>
          <w:tab w:val="right" w:leader="dot" w:pos="9204"/>
        </w:tabs>
        <w:rPr>
          <w:rFonts w:asciiTheme="minorHAnsi" w:eastAsiaTheme="minorEastAsia" w:hAnsiTheme="minorHAnsi" w:cstheme="minorBidi"/>
          <w:b w:val="0"/>
          <w:bCs w:val="0"/>
          <w:caps w:val="0"/>
          <w:noProof/>
          <w:sz w:val="22"/>
          <w:szCs w:val="22"/>
          <w:lang w:val="sv-SE" w:eastAsia="sv-SE"/>
        </w:rPr>
      </w:pPr>
      <w:hyperlink w:anchor="_Toc129689610" w:history="1">
        <w:r w:rsidRPr="0042404D">
          <w:rPr>
            <w:rStyle w:val="Hyperlnk"/>
            <w:rFonts w:eastAsia="Calibri"/>
            <w:noProof/>
          </w:rPr>
          <w:t>3.</w:t>
        </w:r>
        <w:r>
          <w:rPr>
            <w:rFonts w:asciiTheme="minorHAnsi" w:eastAsiaTheme="minorEastAsia" w:hAnsiTheme="minorHAnsi" w:cstheme="minorBidi"/>
            <w:b w:val="0"/>
            <w:bCs w:val="0"/>
            <w:caps w:val="0"/>
            <w:noProof/>
            <w:sz w:val="22"/>
            <w:szCs w:val="22"/>
            <w:lang w:val="sv-SE" w:eastAsia="sv-SE"/>
          </w:rPr>
          <w:tab/>
        </w:r>
        <w:r w:rsidRPr="0042404D">
          <w:rPr>
            <w:rStyle w:val="Hyperlnk"/>
            <w:rFonts w:eastAsia="Calibri"/>
            <w:noProof/>
          </w:rPr>
          <w:t>AnnexeS</w:t>
        </w:r>
        <w:r>
          <w:rPr>
            <w:noProof/>
            <w:webHidden/>
          </w:rPr>
          <w:tab/>
        </w:r>
        <w:r>
          <w:rPr>
            <w:noProof/>
            <w:webHidden/>
          </w:rPr>
          <w:fldChar w:fldCharType="begin"/>
        </w:r>
        <w:r>
          <w:rPr>
            <w:noProof/>
            <w:webHidden/>
          </w:rPr>
          <w:instrText xml:space="preserve"> PAGEREF _Toc129689610 \h </w:instrText>
        </w:r>
        <w:r>
          <w:rPr>
            <w:noProof/>
            <w:webHidden/>
          </w:rPr>
        </w:r>
        <w:r>
          <w:rPr>
            <w:noProof/>
            <w:webHidden/>
          </w:rPr>
          <w:fldChar w:fldCharType="separate"/>
        </w:r>
        <w:r>
          <w:rPr>
            <w:noProof/>
            <w:webHidden/>
          </w:rPr>
          <w:t>109</w:t>
        </w:r>
        <w:r>
          <w:rPr>
            <w:noProof/>
            <w:webHidden/>
          </w:rPr>
          <w:fldChar w:fldCharType="end"/>
        </w:r>
      </w:hyperlink>
    </w:p>
    <w:p w14:paraId="23A801CE" w14:textId="13522FAF" w:rsidR="004E139D" w:rsidRDefault="004E139D">
      <w:pPr>
        <w:pStyle w:val="Innehll2"/>
        <w:tabs>
          <w:tab w:val="right" w:leader="dot" w:pos="9204"/>
        </w:tabs>
        <w:rPr>
          <w:rFonts w:asciiTheme="minorHAnsi" w:eastAsiaTheme="minorEastAsia" w:hAnsiTheme="minorHAnsi" w:cstheme="minorBidi"/>
          <w:smallCaps w:val="0"/>
          <w:noProof/>
          <w:sz w:val="22"/>
          <w:szCs w:val="22"/>
          <w:lang w:val="sv-SE" w:eastAsia="sv-SE"/>
        </w:rPr>
      </w:pPr>
      <w:hyperlink w:anchor="_Toc129689611" w:history="1">
        <w:r w:rsidRPr="0042404D">
          <w:rPr>
            <w:rStyle w:val="Hyperlnk"/>
            <w:noProof/>
          </w:rPr>
          <w:t>3.1 List of studies for the biocidal product</w:t>
        </w:r>
        <w:r>
          <w:rPr>
            <w:noProof/>
            <w:webHidden/>
          </w:rPr>
          <w:tab/>
        </w:r>
        <w:r>
          <w:rPr>
            <w:noProof/>
            <w:webHidden/>
          </w:rPr>
          <w:fldChar w:fldCharType="begin"/>
        </w:r>
        <w:r>
          <w:rPr>
            <w:noProof/>
            <w:webHidden/>
          </w:rPr>
          <w:instrText xml:space="preserve"> PAGEREF _Toc129689611 \h </w:instrText>
        </w:r>
        <w:r>
          <w:rPr>
            <w:noProof/>
            <w:webHidden/>
          </w:rPr>
        </w:r>
        <w:r>
          <w:rPr>
            <w:noProof/>
            <w:webHidden/>
          </w:rPr>
          <w:fldChar w:fldCharType="separate"/>
        </w:r>
        <w:r>
          <w:rPr>
            <w:noProof/>
            <w:webHidden/>
          </w:rPr>
          <w:t>109</w:t>
        </w:r>
        <w:r>
          <w:rPr>
            <w:noProof/>
            <w:webHidden/>
          </w:rPr>
          <w:fldChar w:fldCharType="end"/>
        </w:r>
      </w:hyperlink>
    </w:p>
    <w:p w14:paraId="7F59F920" w14:textId="52A56920" w:rsidR="004E139D" w:rsidRDefault="004E139D">
      <w:pPr>
        <w:pStyle w:val="Innehll2"/>
        <w:tabs>
          <w:tab w:val="right" w:leader="dot" w:pos="9204"/>
        </w:tabs>
        <w:rPr>
          <w:rFonts w:asciiTheme="minorHAnsi" w:eastAsiaTheme="minorEastAsia" w:hAnsiTheme="minorHAnsi" w:cstheme="minorBidi"/>
          <w:smallCaps w:val="0"/>
          <w:noProof/>
          <w:sz w:val="22"/>
          <w:szCs w:val="22"/>
          <w:lang w:val="sv-SE" w:eastAsia="sv-SE"/>
        </w:rPr>
      </w:pPr>
      <w:hyperlink w:anchor="_Toc129689612" w:history="1">
        <w:r w:rsidRPr="0042404D">
          <w:rPr>
            <w:rStyle w:val="Hyperlnk"/>
            <w:noProof/>
          </w:rPr>
          <w:t>3.2  Output tables from exposure assessment tools</w:t>
        </w:r>
        <w:r>
          <w:rPr>
            <w:noProof/>
            <w:webHidden/>
          </w:rPr>
          <w:tab/>
        </w:r>
        <w:r>
          <w:rPr>
            <w:noProof/>
            <w:webHidden/>
          </w:rPr>
          <w:fldChar w:fldCharType="begin"/>
        </w:r>
        <w:r>
          <w:rPr>
            <w:noProof/>
            <w:webHidden/>
          </w:rPr>
          <w:instrText xml:space="preserve"> PAGEREF _Toc129689612 \h </w:instrText>
        </w:r>
        <w:r>
          <w:rPr>
            <w:noProof/>
            <w:webHidden/>
          </w:rPr>
        </w:r>
        <w:r>
          <w:rPr>
            <w:noProof/>
            <w:webHidden/>
          </w:rPr>
          <w:fldChar w:fldCharType="separate"/>
        </w:r>
        <w:r>
          <w:rPr>
            <w:noProof/>
            <w:webHidden/>
          </w:rPr>
          <w:t>114</w:t>
        </w:r>
        <w:r>
          <w:rPr>
            <w:noProof/>
            <w:webHidden/>
          </w:rPr>
          <w:fldChar w:fldCharType="end"/>
        </w:r>
      </w:hyperlink>
    </w:p>
    <w:p w14:paraId="39B730CB" w14:textId="062F277E"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13" w:history="1">
        <w:r w:rsidRPr="0042404D">
          <w:rPr>
            <w:rStyle w:val="Hyperlnk"/>
            <w:noProof/>
          </w:rPr>
          <w:t>3.2.1 Input files for the human health risk assessment</w:t>
        </w:r>
        <w:r>
          <w:rPr>
            <w:noProof/>
            <w:webHidden/>
          </w:rPr>
          <w:tab/>
        </w:r>
        <w:r>
          <w:rPr>
            <w:noProof/>
            <w:webHidden/>
          </w:rPr>
          <w:fldChar w:fldCharType="begin"/>
        </w:r>
        <w:r>
          <w:rPr>
            <w:noProof/>
            <w:webHidden/>
          </w:rPr>
          <w:instrText xml:space="preserve"> PAGEREF _Toc129689613 \h </w:instrText>
        </w:r>
        <w:r>
          <w:rPr>
            <w:noProof/>
            <w:webHidden/>
          </w:rPr>
        </w:r>
        <w:r>
          <w:rPr>
            <w:noProof/>
            <w:webHidden/>
          </w:rPr>
          <w:fldChar w:fldCharType="separate"/>
        </w:r>
        <w:r>
          <w:rPr>
            <w:noProof/>
            <w:webHidden/>
          </w:rPr>
          <w:t>114</w:t>
        </w:r>
        <w:r>
          <w:rPr>
            <w:noProof/>
            <w:webHidden/>
          </w:rPr>
          <w:fldChar w:fldCharType="end"/>
        </w:r>
      </w:hyperlink>
    </w:p>
    <w:p w14:paraId="43D7B270" w14:textId="39701B05"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14" w:history="1">
        <w:r w:rsidRPr="0042404D">
          <w:rPr>
            <w:rStyle w:val="Hyperlnk"/>
            <w:noProof/>
          </w:rPr>
          <w:t>3.2.2 Input data for environmental risk assessment model scenario 2B</w:t>
        </w:r>
        <w:r>
          <w:rPr>
            <w:noProof/>
            <w:webHidden/>
          </w:rPr>
          <w:tab/>
        </w:r>
        <w:r>
          <w:rPr>
            <w:noProof/>
            <w:webHidden/>
          </w:rPr>
          <w:fldChar w:fldCharType="begin"/>
        </w:r>
        <w:r>
          <w:rPr>
            <w:noProof/>
            <w:webHidden/>
          </w:rPr>
          <w:instrText xml:space="preserve"> PAGEREF _Toc129689614 \h </w:instrText>
        </w:r>
        <w:r>
          <w:rPr>
            <w:noProof/>
            <w:webHidden/>
          </w:rPr>
        </w:r>
        <w:r>
          <w:rPr>
            <w:noProof/>
            <w:webHidden/>
          </w:rPr>
          <w:fldChar w:fldCharType="separate"/>
        </w:r>
        <w:r>
          <w:rPr>
            <w:noProof/>
            <w:webHidden/>
          </w:rPr>
          <w:t>115</w:t>
        </w:r>
        <w:r>
          <w:rPr>
            <w:noProof/>
            <w:webHidden/>
          </w:rPr>
          <w:fldChar w:fldCharType="end"/>
        </w:r>
      </w:hyperlink>
    </w:p>
    <w:p w14:paraId="44E55299" w14:textId="62137AF7" w:rsidR="004E139D" w:rsidRDefault="004E139D">
      <w:pPr>
        <w:pStyle w:val="Innehll3"/>
        <w:tabs>
          <w:tab w:val="right" w:leader="dot" w:pos="9204"/>
        </w:tabs>
        <w:rPr>
          <w:rFonts w:asciiTheme="minorHAnsi" w:eastAsiaTheme="minorEastAsia" w:hAnsiTheme="minorHAnsi" w:cstheme="minorBidi"/>
          <w:i w:val="0"/>
          <w:iCs w:val="0"/>
          <w:noProof/>
          <w:sz w:val="22"/>
          <w:szCs w:val="22"/>
          <w:lang w:val="sv-SE" w:eastAsia="sv-SE"/>
        </w:rPr>
      </w:pPr>
      <w:hyperlink w:anchor="_Toc129689615" w:history="1">
        <w:r w:rsidRPr="0042404D">
          <w:rPr>
            <w:rStyle w:val="Hyperlnk"/>
            <w:noProof/>
          </w:rPr>
          <w:t>3.2.3 Output of model scenario 2B</w:t>
        </w:r>
        <w:r>
          <w:rPr>
            <w:noProof/>
            <w:webHidden/>
          </w:rPr>
          <w:tab/>
        </w:r>
        <w:r>
          <w:rPr>
            <w:noProof/>
            <w:webHidden/>
          </w:rPr>
          <w:fldChar w:fldCharType="begin"/>
        </w:r>
        <w:r>
          <w:rPr>
            <w:noProof/>
            <w:webHidden/>
          </w:rPr>
          <w:instrText xml:space="preserve"> PAGEREF _Toc129689615 \h </w:instrText>
        </w:r>
        <w:r>
          <w:rPr>
            <w:noProof/>
            <w:webHidden/>
          </w:rPr>
        </w:r>
        <w:r>
          <w:rPr>
            <w:noProof/>
            <w:webHidden/>
          </w:rPr>
          <w:fldChar w:fldCharType="separate"/>
        </w:r>
        <w:r>
          <w:rPr>
            <w:noProof/>
            <w:webHidden/>
          </w:rPr>
          <w:t>117</w:t>
        </w:r>
        <w:r>
          <w:rPr>
            <w:noProof/>
            <w:webHidden/>
          </w:rPr>
          <w:fldChar w:fldCharType="end"/>
        </w:r>
      </w:hyperlink>
    </w:p>
    <w:p w14:paraId="2C9E7E3E" w14:textId="7D26684B" w:rsidR="004E139D" w:rsidRDefault="004E139D">
      <w:pPr>
        <w:pStyle w:val="Innehll2"/>
        <w:tabs>
          <w:tab w:val="left" w:pos="800"/>
          <w:tab w:val="right" w:leader="dot" w:pos="9204"/>
        </w:tabs>
        <w:rPr>
          <w:rFonts w:asciiTheme="minorHAnsi" w:eastAsiaTheme="minorEastAsia" w:hAnsiTheme="minorHAnsi" w:cstheme="minorBidi"/>
          <w:smallCaps w:val="0"/>
          <w:noProof/>
          <w:sz w:val="22"/>
          <w:szCs w:val="22"/>
          <w:lang w:val="sv-SE" w:eastAsia="sv-SE"/>
        </w:rPr>
      </w:pPr>
      <w:hyperlink w:anchor="_Toc129689616" w:history="1">
        <w:r w:rsidRPr="0042404D">
          <w:rPr>
            <w:rStyle w:val="Hyperlnk"/>
            <w:noProof/>
          </w:rPr>
          <w:t>3.3</w:t>
        </w:r>
        <w:r>
          <w:rPr>
            <w:rFonts w:asciiTheme="minorHAnsi" w:eastAsiaTheme="minorEastAsia" w:hAnsiTheme="minorHAnsi" w:cstheme="minorBidi"/>
            <w:smallCaps w:val="0"/>
            <w:noProof/>
            <w:sz w:val="22"/>
            <w:szCs w:val="22"/>
            <w:lang w:val="sv-SE" w:eastAsia="sv-SE"/>
          </w:rPr>
          <w:tab/>
        </w:r>
        <w:r w:rsidRPr="0042404D">
          <w:rPr>
            <w:rStyle w:val="Hyperlnk"/>
            <w:noProof/>
          </w:rPr>
          <w:t>Confidential annex</w:t>
        </w:r>
        <w:r>
          <w:rPr>
            <w:noProof/>
            <w:webHidden/>
          </w:rPr>
          <w:tab/>
        </w:r>
        <w:r>
          <w:rPr>
            <w:noProof/>
            <w:webHidden/>
          </w:rPr>
          <w:fldChar w:fldCharType="begin"/>
        </w:r>
        <w:r>
          <w:rPr>
            <w:noProof/>
            <w:webHidden/>
          </w:rPr>
          <w:instrText xml:space="preserve"> PAGEREF _Toc129689616 \h </w:instrText>
        </w:r>
        <w:r>
          <w:rPr>
            <w:noProof/>
            <w:webHidden/>
          </w:rPr>
        </w:r>
        <w:r>
          <w:rPr>
            <w:noProof/>
            <w:webHidden/>
          </w:rPr>
          <w:fldChar w:fldCharType="separate"/>
        </w:r>
        <w:r>
          <w:rPr>
            <w:noProof/>
            <w:webHidden/>
          </w:rPr>
          <w:t>118</w:t>
        </w:r>
        <w:r>
          <w:rPr>
            <w:noProof/>
            <w:webHidden/>
          </w:rPr>
          <w:fldChar w:fldCharType="end"/>
        </w:r>
      </w:hyperlink>
    </w:p>
    <w:p w14:paraId="575DCF03" w14:textId="149564C6" w:rsidR="004E139D" w:rsidRDefault="004E139D">
      <w:pPr>
        <w:pStyle w:val="Innehll2"/>
        <w:tabs>
          <w:tab w:val="right" w:leader="dot" w:pos="9204"/>
        </w:tabs>
        <w:rPr>
          <w:rFonts w:asciiTheme="minorHAnsi" w:eastAsiaTheme="minorEastAsia" w:hAnsiTheme="minorHAnsi" w:cstheme="minorBidi"/>
          <w:smallCaps w:val="0"/>
          <w:noProof/>
          <w:sz w:val="22"/>
          <w:szCs w:val="22"/>
          <w:lang w:val="sv-SE" w:eastAsia="sv-SE"/>
        </w:rPr>
      </w:pPr>
      <w:hyperlink w:anchor="_Toc129689617" w:history="1">
        <w:r w:rsidRPr="0042404D">
          <w:rPr>
            <w:rStyle w:val="Hyperlnk"/>
            <w:noProof/>
          </w:rPr>
          <w:t>3.4 Other</w:t>
        </w:r>
        <w:r>
          <w:rPr>
            <w:noProof/>
            <w:webHidden/>
          </w:rPr>
          <w:tab/>
        </w:r>
        <w:r>
          <w:rPr>
            <w:noProof/>
            <w:webHidden/>
          </w:rPr>
          <w:fldChar w:fldCharType="begin"/>
        </w:r>
        <w:r>
          <w:rPr>
            <w:noProof/>
            <w:webHidden/>
          </w:rPr>
          <w:instrText xml:space="preserve"> PAGEREF _Toc129689617 \h </w:instrText>
        </w:r>
        <w:r>
          <w:rPr>
            <w:noProof/>
            <w:webHidden/>
          </w:rPr>
        </w:r>
        <w:r>
          <w:rPr>
            <w:noProof/>
            <w:webHidden/>
          </w:rPr>
          <w:fldChar w:fldCharType="separate"/>
        </w:r>
        <w:r>
          <w:rPr>
            <w:noProof/>
            <w:webHidden/>
          </w:rPr>
          <w:t>119</w:t>
        </w:r>
        <w:r>
          <w:rPr>
            <w:noProof/>
            <w:webHidden/>
          </w:rPr>
          <w:fldChar w:fldCharType="end"/>
        </w:r>
      </w:hyperlink>
    </w:p>
    <w:p w14:paraId="44DB92A9" w14:textId="1DF025D3"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18" w:history="1">
        <w:r w:rsidRPr="0042404D">
          <w:rPr>
            <w:rStyle w:val="Hyperlnk"/>
            <w:noProof/>
          </w:rPr>
          <w:t>3.4.1.1 Overall use pattern</w:t>
        </w:r>
        <w:r>
          <w:rPr>
            <w:noProof/>
            <w:webHidden/>
          </w:rPr>
          <w:tab/>
        </w:r>
        <w:r>
          <w:rPr>
            <w:noProof/>
            <w:webHidden/>
          </w:rPr>
          <w:fldChar w:fldCharType="begin"/>
        </w:r>
        <w:r>
          <w:rPr>
            <w:noProof/>
            <w:webHidden/>
          </w:rPr>
          <w:instrText xml:space="preserve"> PAGEREF _Toc129689618 \h </w:instrText>
        </w:r>
        <w:r>
          <w:rPr>
            <w:noProof/>
            <w:webHidden/>
          </w:rPr>
        </w:r>
        <w:r>
          <w:rPr>
            <w:noProof/>
            <w:webHidden/>
          </w:rPr>
          <w:fldChar w:fldCharType="separate"/>
        </w:r>
        <w:r>
          <w:rPr>
            <w:noProof/>
            <w:webHidden/>
          </w:rPr>
          <w:t>120</w:t>
        </w:r>
        <w:r>
          <w:rPr>
            <w:noProof/>
            <w:webHidden/>
          </w:rPr>
          <w:fldChar w:fldCharType="end"/>
        </w:r>
      </w:hyperlink>
    </w:p>
    <w:p w14:paraId="36963ECD" w14:textId="3E053727"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19" w:history="1">
        <w:r w:rsidRPr="0042404D">
          <w:rPr>
            <w:rStyle w:val="Hyperlnk"/>
            <w:noProof/>
          </w:rPr>
          <w:t>3.4.1.2 Method of application including description of system used</w:t>
        </w:r>
        <w:r>
          <w:rPr>
            <w:noProof/>
            <w:webHidden/>
          </w:rPr>
          <w:tab/>
        </w:r>
        <w:r>
          <w:rPr>
            <w:noProof/>
            <w:webHidden/>
          </w:rPr>
          <w:fldChar w:fldCharType="begin"/>
        </w:r>
        <w:r>
          <w:rPr>
            <w:noProof/>
            <w:webHidden/>
          </w:rPr>
          <w:instrText xml:space="preserve"> PAGEREF _Toc129689619 \h </w:instrText>
        </w:r>
        <w:r>
          <w:rPr>
            <w:noProof/>
            <w:webHidden/>
          </w:rPr>
        </w:r>
        <w:r>
          <w:rPr>
            <w:noProof/>
            <w:webHidden/>
          </w:rPr>
          <w:fldChar w:fldCharType="separate"/>
        </w:r>
        <w:r>
          <w:rPr>
            <w:noProof/>
            <w:webHidden/>
          </w:rPr>
          <w:t>121</w:t>
        </w:r>
        <w:r>
          <w:rPr>
            <w:noProof/>
            <w:webHidden/>
          </w:rPr>
          <w:fldChar w:fldCharType="end"/>
        </w:r>
      </w:hyperlink>
    </w:p>
    <w:p w14:paraId="3CF41D68" w14:textId="2CE6AA34"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20" w:history="1">
        <w:r w:rsidRPr="0042404D">
          <w:rPr>
            <w:rStyle w:val="Hyperlnk"/>
            <w:noProof/>
          </w:rPr>
          <w:t>3.4.1.3 Application rate and the final concentration of the biocidal product and active substance in the system in which the preparation is to be used</w:t>
        </w:r>
        <w:r>
          <w:rPr>
            <w:noProof/>
            <w:webHidden/>
          </w:rPr>
          <w:tab/>
        </w:r>
        <w:r>
          <w:rPr>
            <w:noProof/>
            <w:webHidden/>
          </w:rPr>
          <w:fldChar w:fldCharType="begin"/>
        </w:r>
        <w:r>
          <w:rPr>
            <w:noProof/>
            <w:webHidden/>
          </w:rPr>
          <w:instrText xml:space="preserve"> PAGEREF _Toc129689620 \h </w:instrText>
        </w:r>
        <w:r>
          <w:rPr>
            <w:noProof/>
            <w:webHidden/>
          </w:rPr>
        </w:r>
        <w:r>
          <w:rPr>
            <w:noProof/>
            <w:webHidden/>
          </w:rPr>
          <w:fldChar w:fldCharType="separate"/>
        </w:r>
        <w:r>
          <w:rPr>
            <w:noProof/>
            <w:webHidden/>
          </w:rPr>
          <w:t>125</w:t>
        </w:r>
        <w:r>
          <w:rPr>
            <w:noProof/>
            <w:webHidden/>
          </w:rPr>
          <w:fldChar w:fldCharType="end"/>
        </w:r>
      </w:hyperlink>
    </w:p>
    <w:p w14:paraId="7C18FDF0" w14:textId="4C409764"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21" w:history="1">
        <w:r w:rsidRPr="0042404D">
          <w:rPr>
            <w:rStyle w:val="Hyperlnk"/>
            <w:noProof/>
          </w:rPr>
          <w:t>3.4.1.4 Number and timing of applications, and information relating to geographical variations</w:t>
        </w:r>
        <w:r>
          <w:rPr>
            <w:noProof/>
            <w:webHidden/>
          </w:rPr>
          <w:tab/>
        </w:r>
        <w:r>
          <w:rPr>
            <w:noProof/>
            <w:webHidden/>
          </w:rPr>
          <w:fldChar w:fldCharType="begin"/>
        </w:r>
        <w:r>
          <w:rPr>
            <w:noProof/>
            <w:webHidden/>
          </w:rPr>
          <w:instrText xml:space="preserve"> PAGEREF _Toc129689621 \h </w:instrText>
        </w:r>
        <w:r>
          <w:rPr>
            <w:noProof/>
            <w:webHidden/>
          </w:rPr>
        </w:r>
        <w:r>
          <w:rPr>
            <w:noProof/>
            <w:webHidden/>
          </w:rPr>
          <w:fldChar w:fldCharType="separate"/>
        </w:r>
        <w:r>
          <w:rPr>
            <w:noProof/>
            <w:webHidden/>
          </w:rPr>
          <w:t>127</w:t>
        </w:r>
        <w:r>
          <w:rPr>
            <w:noProof/>
            <w:webHidden/>
          </w:rPr>
          <w:fldChar w:fldCharType="end"/>
        </w:r>
      </w:hyperlink>
    </w:p>
    <w:p w14:paraId="65D2D440" w14:textId="19C23F1A" w:rsidR="004E139D" w:rsidRDefault="004E139D">
      <w:pPr>
        <w:pStyle w:val="Innehll4"/>
        <w:tabs>
          <w:tab w:val="right" w:leader="dot" w:pos="9204"/>
        </w:tabs>
        <w:rPr>
          <w:rFonts w:asciiTheme="minorHAnsi" w:eastAsiaTheme="minorEastAsia" w:hAnsiTheme="minorHAnsi" w:cstheme="minorBidi"/>
          <w:noProof/>
          <w:sz w:val="22"/>
          <w:szCs w:val="22"/>
          <w:lang w:val="sv-SE" w:eastAsia="sv-SE"/>
        </w:rPr>
      </w:pPr>
      <w:hyperlink w:anchor="_Toc129689622" w:history="1">
        <w:r w:rsidRPr="0042404D">
          <w:rPr>
            <w:rStyle w:val="Hyperlnk"/>
            <w:noProof/>
          </w:rPr>
          <w:t>3.4.1.5 Analytical methods for monitoring</w:t>
        </w:r>
        <w:r>
          <w:rPr>
            <w:noProof/>
            <w:webHidden/>
          </w:rPr>
          <w:tab/>
        </w:r>
        <w:r>
          <w:rPr>
            <w:noProof/>
            <w:webHidden/>
          </w:rPr>
          <w:fldChar w:fldCharType="begin"/>
        </w:r>
        <w:r>
          <w:rPr>
            <w:noProof/>
            <w:webHidden/>
          </w:rPr>
          <w:instrText xml:space="preserve"> PAGEREF _Toc129689622 \h </w:instrText>
        </w:r>
        <w:r>
          <w:rPr>
            <w:noProof/>
            <w:webHidden/>
          </w:rPr>
        </w:r>
        <w:r>
          <w:rPr>
            <w:noProof/>
            <w:webHidden/>
          </w:rPr>
          <w:fldChar w:fldCharType="separate"/>
        </w:r>
        <w:r>
          <w:rPr>
            <w:noProof/>
            <w:webHidden/>
          </w:rPr>
          <w:t>128</w:t>
        </w:r>
        <w:r>
          <w:rPr>
            <w:noProof/>
            <w:webHidden/>
          </w:rPr>
          <w:fldChar w:fldCharType="end"/>
        </w:r>
      </w:hyperlink>
    </w:p>
    <w:p w14:paraId="07EF1E3B" w14:textId="64258306" w:rsidR="00A53EE0" w:rsidRPr="00B65D57" w:rsidRDefault="00C94D3C" w:rsidP="002B172D">
      <w:pPr>
        <w:spacing w:line="276" w:lineRule="auto"/>
        <w:rPr>
          <w:rFonts w:eastAsia="Calibri"/>
          <w:lang w:eastAsia="en-US"/>
        </w:rPr>
      </w:pPr>
      <w:r w:rsidRPr="00B65D57">
        <w:rPr>
          <w:rFonts w:eastAsia="Calibri"/>
          <w:b/>
          <w:bCs/>
          <w:caps/>
          <w:lang w:eastAsia="en-US"/>
        </w:rPr>
        <w:fldChar w:fldCharType="end"/>
      </w:r>
    </w:p>
    <w:p w14:paraId="7B6768D0" w14:textId="5851D5C6" w:rsidR="00A53EE0" w:rsidRPr="00B65D57" w:rsidRDefault="00A53EE0" w:rsidP="001F5CF2">
      <w:pPr>
        <w:pStyle w:val="Rubrik1"/>
        <w:numPr>
          <w:ilvl w:val="0"/>
          <w:numId w:val="20"/>
        </w:numPr>
        <w:rPr>
          <w:rFonts w:eastAsia="Calibri"/>
          <w:lang w:val="en-GB"/>
        </w:rPr>
      </w:pPr>
      <w:r w:rsidRPr="00B65D57">
        <w:rPr>
          <w:rFonts w:eastAsia="Calibri"/>
          <w:lang w:val="en-GB" w:eastAsia="en-US"/>
        </w:rPr>
        <w:br w:type="page"/>
      </w:r>
      <w:bookmarkStart w:id="0" w:name="_Toc389728849"/>
      <w:bookmarkStart w:id="1" w:name="_Toc129689548"/>
      <w:r w:rsidRPr="00B65D57">
        <w:rPr>
          <w:rFonts w:eastAsia="Calibri"/>
          <w:lang w:val="en-GB"/>
        </w:rPr>
        <w:lastRenderedPageBreak/>
        <w:t>CONCLUSION</w:t>
      </w:r>
      <w:bookmarkEnd w:id="0"/>
      <w:bookmarkEnd w:id="1"/>
    </w:p>
    <w:p w14:paraId="5D8A8CC6" w14:textId="4024F4CA" w:rsidR="00A53EE0" w:rsidRPr="00B65D57" w:rsidRDefault="00CF3591" w:rsidP="00BF730A">
      <w:pPr>
        <w:spacing w:line="276" w:lineRule="auto"/>
        <w:rPr>
          <w:rFonts w:eastAsia="Calibri"/>
          <w:iCs/>
          <w:lang w:eastAsia="en-US"/>
        </w:rPr>
      </w:pPr>
      <w:r w:rsidRPr="00B65D57">
        <w:rPr>
          <w:rFonts w:eastAsia="Calibri"/>
          <w:iCs/>
          <w:lang w:eastAsia="en-US"/>
        </w:rPr>
        <w:t xml:space="preserve">Jerbor is a biocidal product that contains the active substances </w:t>
      </w:r>
      <w:r w:rsidRPr="00B65D57">
        <w:rPr>
          <w:rFonts w:eastAsia="Calibri"/>
          <w:lang w:eastAsia="en-US"/>
        </w:rPr>
        <w:t xml:space="preserve">boric acid (53.7%) and disodium tetraborate pentahydrate (46.3%). The intended use of the product is </w:t>
      </w:r>
      <w:r w:rsidRPr="00B65D57">
        <w:t>in-situ treatment of foundation wood against decay by wood rooting fungi (PT8).</w:t>
      </w:r>
      <w:r w:rsidRPr="00B65D57">
        <w:rPr>
          <w:rFonts w:eastAsia="Calibri"/>
          <w:iCs/>
          <w:lang w:eastAsia="en-US"/>
        </w:rPr>
        <w:t xml:space="preserve"> </w:t>
      </w:r>
    </w:p>
    <w:p w14:paraId="1C92C806" w14:textId="5E3629A1" w:rsidR="00CF3591" w:rsidRPr="00B65D57" w:rsidRDefault="00E03ABA" w:rsidP="00BF730A">
      <w:pPr>
        <w:spacing w:line="276" w:lineRule="auto"/>
        <w:rPr>
          <w:rFonts w:eastAsia="Calibri"/>
          <w:iCs/>
          <w:lang w:eastAsia="en-US"/>
        </w:rPr>
      </w:pPr>
      <w:r w:rsidRPr="00B65D57">
        <w:rPr>
          <w:rFonts w:eastAsia="Calibri"/>
          <w:iCs/>
          <w:lang w:eastAsia="en-US"/>
        </w:rPr>
        <w:t xml:space="preserve">The </w:t>
      </w:r>
      <w:r w:rsidR="008942A9" w:rsidRPr="00B65D57">
        <w:rPr>
          <w:rFonts w:eastAsia="Calibri"/>
          <w:iCs/>
          <w:lang w:eastAsia="en-US"/>
        </w:rPr>
        <w:t xml:space="preserve">application </w:t>
      </w:r>
      <w:r w:rsidRPr="00B65D57">
        <w:rPr>
          <w:rFonts w:eastAsia="Calibri"/>
          <w:iCs/>
          <w:lang w:eastAsia="en-US"/>
        </w:rPr>
        <w:t xml:space="preserve">slurry (Eurobor) is prepared from </w:t>
      </w:r>
      <w:r w:rsidR="008942A9" w:rsidRPr="00B65D57">
        <w:t>Jerbor (9</w:t>
      </w:r>
      <w:r w:rsidR="00A116BB" w:rsidRPr="00B65D57">
        <w:t>.</w:t>
      </w:r>
      <w:r w:rsidR="008942A9" w:rsidRPr="00B65D57">
        <w:t xml:space="preserve">6% w/w) </w:t>
      </w:r>
      <w:r w:rsidRPr="00B65D57">
        <w:t>dissolved</w:t>
      </w:r>
      <w:r w:rsidR="008942A9" w:rsidRPr="00B65D57">
        <w:t xml:space="preserve"> in hot water (70</w:t>
      </w:r>
      <w:r w:rsidR="00A116BB" w:rsidRPr="00B65D57">
        <w:t>.</w:t>
      </w:r>
      <w:r w:rsidR="008942A9" w:rsidRPr="00B65D57">
        <w:t xml:space="preserve">4% w/w) and sodium bentonite (20% w/w). </w:t>
      </w:r>
      <w:r w:rsidR="00874F0C" w:rsidRPr="00B65D57">
        <w:t>Use is restricted to professionals</w:t>
      </w:r>
      <w:bookmarkStart w:id="2" w:name="_Hlk107564089"/>
      <w:r w:rsidR="00857D20" w:rsidRPr="00B65D57">
        <w:t xml:space="preserve">, </w:t>
      </w:r>
      <w:r w:rsidR="00F1108E" w:rsidRPr="00B65D57">
        <w:t xml:space="preserve">trained according to </w:t>
      </w:r>
      <w:r w:rsidR="00295968" w:rsidRPr="00B65D57">
        <w:t>Manual Euroborbehandling (</w:t>
      </w:r>
      <w:r w:rsidR="00F1108E" w:rsidRPr="00B65D57">
        <w:t>manual of Eurobor t</w:t>
      </w:r>
      <w:r w:rsidR="00295968" w:rsidRPr="00B65D57">
        <w:t>echnique)</w:t>
      </w:r>
      <w:r w:rsidR="00F1108E" w:rsidRPr="00B65D57">
        <w:t xml:space="preserve"> (Bandh, 2022).</w:t>
      </w:r>
      <w:bookmarkEnd w:id="2"/>
    </w:p>
    <w:p w14:paraId="7FE85BB2" w14:textId="77C47630" w:rsidR="00BB19AB" w:rsidRPr="00B65D57" w:rsidRDefault="00BB19AB" w:rsidP="00BF730A">
      <w:pPr>
        <w:spacing w:line="276" w:lineRule="auto"/>
        <w:rPr>
          <w:rFonts w:eastAsia="Calibri"/>
          <w:iCs/>
          <w:lang w:eastAsia="en-US"/>
        </w:rPr>
      </w:pPr>
    </w:p>
    <w:p w14:paraId="46F6FE55" w14:textId="4ED115B7" w:rsidR="00BB19AB" w:rsidRPr="00B65D57" w:rsidRDefault="00803C66" w:rsidP="00BF730A">
      <w:pPr>
        <w:spacing w:line="276" w:lineRule="auto"/>
        <w:rPr>
          <w:rFonts w:eastAsia="Calibri"/>
          <w:b/>
          <w:bCs/>
          <w:iCs/>
          <w:lang w:eastAsia="en-US"/>
        </w:rPr>
      </w:pPr>
      <w:r w:rsidRPr="00B65D57">
        <w:rPr>
          <w:rFonts w:eastAsia="Calibri"/>
          <w:b/>
          <w:bCs/>
          <w:iCs/>
          <w:lang w:eastAsia="en-US"/>
        </w:rPr>
        <w:t>APCP</w:t>
      </w:r>
    </w:p>
    <w:p w14:paraId="503490A6" w14:textId="53C6497F" w:rsidR="00803C66" w:rsidRPr="00B65D57" w:rsidRDefault="00803C66" w:rsidP="00BF730A">
      <w:pPr>
        <w:widowControl w:val="0"/>
        <w:spacing w:before="120" w:after="120" w:line="276" w:lineRule="auto"/>
        <w:jc w:val="both"/>
        <w:rPr>
          <w:rFonts w:eastAsia="Calibri" w:cs="Arial"/>
          <w:snapToGrid w:val="0"/>
          <w:szCs w:val="18"/>
          <w:lang w:eastAsia="en-US"/>
        </w:rPr>
      </w:pPr>
      <w:r w:rsidRPr="00B65D57">
        <w:rPr>
          <w:rFonts w:eastAsia="Calibri" w:cs="Arial"/>
          <w:snapToGrid w:val="0"/>
          <w:szCs w:val="18"/>
          <w:lang w:eastAsia="en-US"/>
        </w:rPr>
        <w:t xml:space="preserve">The shelf life for Jerbor is 10 weeks (production only on demand). No significant changes in </w:t>
      </w:r>
      <w:r w:rsidR="00C660C7" w:rsidRPr="00B65D57">
        <w:rPr>
          <w:rFonts w:eastAsia="Calibri" w:cs="Arial"/>
          <w:snapToGrid w:val="0"/>
          <w:szCs w:val="18"/>
          <w:lang w:eastAsia="en-US"/>
        </w:rPr>
        <w:t xml:space="preserve">physico-chemical and technical properties </w:t>
      </w:r>
      <w:r w:rsidRPr="00B65D57">
        <w:rPr>
          <w:rFonts w:eastAsia="Calibri" w:cs="Arial"/>
          <w:snapToGrid w:val="0"/>
          <w:szCs w:val="18"/>
          <w:lang w:eastAsia="en-US"/>
        </w:rPr>
        <w:t xml:space="preserve">were observed after storage at ambient temperature for 10 weeks. HDPE-packaging compatibility has been demonstrated in the stability study. Longer ambient temperature storage stability tests (2 years) </w:t>
      </w:r>
      <w:r w:rsidR="003D35D1" w:rsidRPr="00B65D57">
        <w:rPr>
          <w:rFonts w:eastAsia="Calibri" w:cs="Arial"/>
          <w:snapToGrid w:val="0"/>
          <w:szCs w:val="18"/>
          <w:lang w:eastAsia="en-US"/>
        </w:rPr>
        <w:t>are</w:t>
      </w:r>
      <w:r w:rsidRPr="00B65D57">
        <w:rPr>
          <w:rFonts w:eastAsia="Calibri" w:cs="Arial"/>
          <w:snapToGrid w:val="0"/>
          <w:szCs w:val="18"/>
          <w:lang w:eastAsia="en-US"/>
        </w:rPr>
        <w:t xml:space="preserve"> ongoing and will be completed in January 2024.</w:t>
      </w:r>
    </w:p>
    <w:p w14:paraId="463AE7D8" w14:textId="6314651D" w:rsidR="00803C66" w:rsidRPr="00B65D57" w:rsidRDefault="00333B33" w:rsidP="00333B33">
      <w:pPr>
        <w:widowControl w:val="0"/>
        <w:autoSpaceDE w:val="0"/>
        <w:autoSpaceDN w:val="0"/>
        <w:adjustRightInd w:val="0"/>
        <w:spacing w:before="80"/>
        <w:rPr>
          <w:rFonts w:eastAsia="Calibri" w:cs="Arial"/>
          <w:snapToGrid w:val="0"/>
          <w:szCs w:val="18"/>
          <w:lang w:eastAsia="en-US"/>
        </w:rPr>
      </w:pPr>
      <w:r>
        <w:rPr>
          <w:rFonts w:cs="Times"/>
          <w:bCs/>
          <w:szCs w:val="29"/>
        </w:rPr>
        <w:t>‘</w:t>
      </w:r>
      <w:r w:rsidRPr="00B65D57">
        <w:rPr>
          <w:rFonts w:cs="Times"/>
          <w:bCs/>
          <w:szCs w:val="29"/>
        </w:rPr>
        <w:t xml:space="preserve">Do not store </w:t>
      </w:r>
      <w:r>
        <w:rPr>
          <w:rFonts w:cs="Times"/>
          <w:bCs/>
          <w:szCs w:val="29"/>
        </w:rPr>
        <w:t>above 25 °C</w:t>
      </w:r>
      <w:r w:rsidRPr="00B65D57">
        <w:rPr>
          <w:rFonts w:cs="Times"/>
          <w:bCs/>
          <w:szCs w:val="29"/>
        </w:rPr>
        <w:t>.</w:t>
      </w:r>
      <w:r>
        <w:rPr>
          <w:rFonts w:cs="Times"/>
          <w:bCs/>
          <w:szCs w:val="29"/>
        </w:rPr>
        <w:t>’ and ‘</w:t>
      </w:r>
      <w:r w:rsidRPr="00B65D57">
        <w:rPr>
          <w:rFonts w:cs="Times"/>
          <w:bCs/>
          <w:szCs w:val="29"/>
        </w:rPr>
        <w:t>Store in original container in a dry, cool, and well-ventilated place.</w:t>
      </w:r>
      <w:r>
        <w:rPr>
          <w:rFonts w:cs="Times"/>
          <w:bCs/>
          <w:szCs w:val="29"/>
        </w:rPr>
        <w:t xml:space="preserve">’ </w:t>
      </w:r>
      <w:r w:rsidR="00803C66" w:rsidRPr="00B65D57">
        <w:rPr>
          <w:rFonts w:eastAsia="Calibri" w:cs="Arial"/>
          <w:snapToGrid w:val="0"/>
          <w:szCs w:val="18"/>
          <w:lang w:eastAsia="en-US"/>
        </w:rPr>
        <w:t xml:space="preserve">should be included on the label since </w:t>
      </w:r>
      <w:r>
        <w:rPr>
          <w:rFonts w:eastAsia="Calibri" w:cs="Arial"/>
          <w:snapToGrid w:val="0"/>
          <w:szCs w:val="18"/>
          <w:lang w:eastAsia="en-US"/>
        </w:rPr>
        <w:t xml:space="preserve">acceptable accelerated storage stability study </w:t>
      </w:r>
      <w:r w:rsidR="006612EA">
        <w:rPr>
          <w:rFonts w:eastAsia="Calibri" w:cs="Arial"/>
          <w:snapToGrid w:val="0"/>
          <w:szCs w:val="18"/>
          <w:lang w:eastAsia="en-US"/>
        </w:rPr>
        <w:t>is missing</w:t>
      </w:r>
      <w:r>
        <w:rPr>
          <w:rFonts w:eastAsia="Calibri" w:cs="Arial"/>
          <w:snapToGrid w:val="0"/>
          <w:szCs w:val="18"/>
          <w:lang w:eastAsia="en-US"/>
        </w:rPr>
        <w:t xml:space="preserve"> and </w:t>
      </w:r>
      <w:r w:rsidR="006612EA">
        <w:rPr>
          <w:rFonts w:eastAsia="Calibri" w:cs="Arial"/>
          <w:snapToGrid w:val="0"/>
          <w:szCs w:val="18"/>
          <w:lang w:eastAsia="en-US"/>
        </w:rPr>
        <w:t xml:space="preserve">because </w:t>
      </w:r>
      <w:r>
        <w:rPr>
          <w:rFonts w:eastAsia="Calibri" w:cs="Arial"/>
          <w:snapToGrid w:val="0"/>
          <w:szCs w:val="18"/>
          <w:lang w:eastAsia="en-US"/>
        </w:rPr>
        <w:t xml:space="preserve">it is known that </w:t>
      </w:r>
      <w:r w:rsidR="00803C66" w:rsidRPr="00B65D57">
        <w:rPr>
          <w:rFonts w:eastAsia="Calibri" w:cs="Arial"/>
          <w:snapToGrid w:val="0"/>
          <w:szCs w:val="18"/>
          <w:lang w:eastAsia="en-US"/>
        </w:rPr>
        <w:t xml:space="preserve">storage at </w:t>
      </w:r>
      <w:r>
        <w:rPr>
          <w:rFonts w:eastAsia="Calibri" w:cs="Arial"/>
          <w:snapToGrid w:val="0"/>
          <w:szCs w:val="18"/>
          <w:lang w:eastAsia="en-US"/>
        </w:rPr>
        <w:t>elevated temperatures and under humid condition</w:t>
      </w:r>
      <w:r w:rsidR="00803C66" w:rsidRPr="00B65D57">
        <w:rPr>
          <w:rFonts w:eastAsia="Calibri" w:cs="Arial"/>
          <w:snapToGrid w:val="0"/>
          <w:szCs w:val="18"/>
          <w:lang w:eastAsia="en-US"/>
        </w:rPr>
        <w:t xml:space="preserve"> </w:t>
      </w:r>
      <w:r>
        <w:rPr>
          <w:rFonts w:eastAsia="Calibri" w:cs="Arial"/>
          <w:snapToGrid w:val="0"/>
          <w:szCs w:val="18"/>
          <w:lang w:eastAsia="en-US"/>
        </w:rPr>
        <w:t xml:space="preserve">may </w:t>
      </w:r>
      <w:r w:rsidR="003D35D1" w:rsidRPr="00B65D57">
        <w:rPr>
          <w:rFonts w:eastAsia="Calibri" w:cs="Arial"/>
          <w:snapToGrid w:val="0"/>
          <w:szCs w:val="18"/>
          <w:lang w:eastAsia="en-US"/>
        </w:rPr>
        <w:t>result</w:t>
      </w:r>
      <w:r w:rsidR="00803C66" w:rsidRPr="00B65D57">
        <w:rPr>
          <w:rFonts w:eastAsia="Calibri" w:cs="Arial"/>
          <w:snapToGrid w:val="0"/>
          <w:szCs w:val="18"/>
          <w:lang w:eastAsia="en-US"/>
        </w:rPr>
        <w:t xml:space="preserve"> in caking and formation of lumps.</w:t>
      </w:r>
    </w:p>
    <w:p w14:paraId="697B747B" w14:textId="77777777" w:rsidR="00333B33" w:rsidRDefault="00333B33" w:rsidP="00BF730A">
      <w:pPr>
        <w:spacing w:line="276" w:lineRule="auto"/>
        <w:rPr>
          <w:rFonts w:eastAsia="Calibri"/>
          <w:iCs/>
          <w:lang w:eastAsia="en-US"/>
        </w:rPr>
      </w:pPr>
    </w:p>
    <w:p w14:paraId="6D01362A" w14:textId="1334BE76" w:rsidR="004F3CE7" w:rsidRPr="00B65D57" w:rsidRDefault="004F3CE7" w:rsidP="00BF730A">
      <w:pPr>
        <w:spacing w:line="276" w:lineRule="auto"/>
        <w:rPr>
          <w:rFonts w:eastAsia="Calibri"/>
          <w:iCs/>
          <w:lang w:eastAsia="en-US"/>
        </w:rPr>
      </w:pPr>
      <w:r w:rsidRPr="00B65D57">
        <w:rPr>
          <w:rFonts w:eastAsia="Calibri"/>
          <w:iCs/>
          <w:lang w:eastAsia="en-US"/>
        </w:rPr>
        <w:t>Jerbor is not classified for any physical hazard</w:t>
      </w:r>
      <w:r w:rsidR="00C550F9" w:rsidRPr="00B65D57">
        <w:rPr>
          <w:rFonts w:eastAsia="Calibri"/>
          <w:iCs/>
          <w:lang w:eastAsia="en-US"/>
        </w:rPr>
        <w:t>s</w:t>
      </w:r>
      <w:r w:rsidRPr="00B65D57">
        <w:rPr>
          <w:rFonts w:eastAsia="Calibri"/>
          <w:iCs/>
          <w:lang w:eastAsia="en-US"/>
        </w:rPr>
        <w:t>.</w:t>
      </w:r>
    </w:p>
    <w:p w14:paraId="30910C27" w14:textId="77777777" w:rsidR="00BB19AB" w:rsidRPr="00B65D57" w:rsidRDefault="00BB19AB" w:rsidP="00BF730A">
      <w:pPr>
        <w:spacing w:line="276" w:lineRule="auto"/>
        <w:rPr>
          <w:rFonts w:eastAsia="Calibri"/>
          <w:iCs/>
          <w:lang w:eastAsia="en-US"/>
        </w:rPr>
      </w:pPr>
    </w:p>
    <w:p w14:paraId="04528AAA" w14:textId="293AE03E" w:rsidR="00C660C7" w:rsidRPr="00B65D57" w:rsidRDefault="00C660C7" w:rsidP="00BF730A">
      <w:pPr>
        <w:spacing w:after="240" w:line="276" w:lineRule="auto"/>
        <w:rPr>
          <w:rFonts w:eastAsia="Calibri"/>
          <w:b/>
          <w:bCs/>
          <w:iCs/>
          <w:lang w:eastAsia="en-US"/>
        </w:rPr>
      </w:pPr>
      <w:r w:rsidRPr="00B65D57">
        <w:rPr>
          <w:rFonts w:eastAsia="Calibri"/>
          <w:b/>
          <w:bCs/>
          <w:iCs/>
          <w:lang w:eastAsia="en-US"/>
        </w:rPr>
        <w:t>Human health</w:t>
      </w:r>
    </w:p>
    <w:p w14:paraId="6DD4B8EF" w14:textId="7A5AB159" w:rsidR="00BB19AB" w:rsidRPr="00B65D57" w:rsidRDefault="00B0196F" w:rsidP="00BF730A">
      <w:pPr>
        <w:spacing w:line="276" w:lineRule="auto"/>
        <w:rPr>
          <w:rFonts w:cs="Garamond"/>
          <w:color w:val="000000" w:themeColor="text1"/>
          <w:lang w:eastAsia="sv-SE"/>
        </w:rPr>
      </w:pPr>
      <w:r w:rsidRPr="00B65D57">
        <w:rPr>
          <w:rFonts w:eastAsia="Calibri"/>
          <w:iCs/>
          <w:lang w:eastAsia="en-US"/>
        </w:rPr>
        <w:t xml:space="preserve">Jerbor is classified Eye </w:t>
      </w:r>
      <w:r w:rsidR="008942A9" w:rsidRPr="00B65D57">
        <w:rPr>
          <w:rFonts w:eastAsia="Calibri"/>
          <w:iCs/>
          <w:lang w:eastAsia="en-US"/>
        </w:rPr>
        <w:t>I</w:t>
      </w:r>
      <w:r w:rsidRPr="00B65D57">
        <w:rPr>
          <w:rFonts w:eastAsia="Calibri"/>
          <w:iCs/>
          <w:lang w:eastAsia="en-US"/>
        </w:rPr>
        <w:t>rrit</w:t>
      </w:r>
      <w:r w:rsidR="008942A9" w:rsidRPr="00B65D57">
        <w:rPr>
          <w:rFonts w:eastAsia="Calibri"/>
          <w:iCs/>
          <w:lang w:eastAsia="en-US"/>
        </w:rPr>
        <w:t>.</w:t>
      </w:r>
      <w:r w:rsidRPr="00B65D57">
        <w:rPr>
          <w:rFonts w:eastAsia="Calibri"/>
          <w:iCs/>
          <w:lang w:eastAsia="en-US"/>
        </w:rPr>
        <w:t xml:space="preserve"> 2, H319 and Repr</w:t>
      </w:r>
      <w:r w:rsidR="008942A9" w:rsidRPr="00B65D57">
        <w:rPr>
          <w:rFonts w:eastAsia="Calibri"/>
          <w:iCs/>
          <w:lang w:eastAsia="en-US"/>
        </w:rPr>
        <w:t>.</w:t>
      </w:r>
      <w:r w:rsidRPr="00B65D57">
        <w:rPr>
          <w:rFonts w:eastAsia="Calibri"/>
          <w:iCs/>
          <w:lang w:eastAsia="en-US"/>
        </w:rPr>
        <w:t xml:space="preserve"> 1B</w:t>
      </w:r>
      <w:r w:rsidR="00E72A5A" w:rsidRPr="00B65D57">
        <w:rPr>
          <w:rFonts w:eastAsia="Calibri"/>
          <w:iCs/>
          <w:lang w:eastAsia="en-US"/>
        </w:rPr>
        <w:t>,</w:t>
      </w:r>
      <w:r w:rsidRPr="00B65D57">
        <w:rPr>
          <w:rFonts w:eastAsia="Calibri"/>
          <w:iCs/>
          <w:lang w:eastAsia="en-US"/>
        </w:rPr>
        <w:t xml:space="preserve"> H360fd. </w:t>
      </w:r>
      <w:r w:rsidR="00BB19AB" w:rsidRPr="00B65D57">
        <w:rPr>
          <w:rFonts w:cs="Garamond"/>
          <w:color w:val="000000" w:themeColor="text1"/>
          <w:lang w:eastAsia="sv-SE"/>
        </w:rPr>
        <w:t xml:space="preserve">Risk assessment has been performed for the different steps (production, mixing, transfer, application, cleaning and maintenance/repair) involved in the Jerbor treatment. The tool ECETOC TRA has been used for the exposure calculations and risk assessment. </w:t>
      </w:r>
    </w:p>
    <w:p w14:paraId="76AD2569" w14:textId="0B644BD0" w:rsidR="00BB19AB" w:rsidRPr="00B65D57" w:rsidRDefault="00BB19AB" w:rsidP="00BF730A">
      <w:pPr>
        <w:autoSpaceDE w:val="0"/>
        <w:autoSpaceDN w:val="0"/>
        <w:adjustRightInd w:val="0"/>
        <w:spacing w:line="276" w:lineRule="auto"/>
        <w:rPr>
          <w:rFonts w:cs="Garamond"/>
          <w:color w:val="000000" w:themeColor="text1"/>
          <w:lang w:eastAsia="sv-SE"/>
        </w:rPr>
      </w:pPr>
      <w:r w:rsidRPr="00B65D57">
        <w:rPr>
          <w:rFonts w:cs="Garamond"/>
          <w:color w:val="000000" w:themeColor="text1"/>
          <w:lang w:eastAsia="sv-SE"/>
        </w:rPr>
        <w:t xml:space="preserve">A qualitative local risk assessment has also been performed due to the eye irritating properties of </w:t>
      </w:r>
      <w:r w:rsidR="00874F0C" w:rsidRPr="00B65D57">
        <w:rPr>
          <w:rFonts w:cs="Garamond"/>
          <w:color w:val="000000" w:themeColor="text1"/>
          <w:lang w:eastAsia="sv-SE"/>
        </w:rPr>
        <w:t>Jerbor</w:t>
      </w:r>
      <w:r w:rsidR="00B0196F" w:rsidRPr="00B65D57">
        <w:rPr>
          <w:rFonts w:cs="Garamond"/>
          <w:color w:val="000000" w:themeColor="text1"/>
          <w:lang w:eastAsia="sv-SE"/>
        </w:rPr>
        <w:t xml:space="preserve"> and the sodium bentonite</w:t>
      </w:r>
      <w:r w:rsidR="00BE7A83" w:rsidRPr="00B65D57">
        <w:rPr>
          <w:rFonts w:cs="Garamond"/>
          <w:color w:val="000000" w:themeColor="text1"/>
          <w:lang w:eastAsia="sv-SE"/>
        </w:rPr>
        <w:t xml:space="preserve"> added to the slurry</w:t>
      </w:r>
      <w:r w:rsidR="00B0196F" w:rsidRPr="00B65D57">
        <w:rPr>
          <w:rFonts w:cs="Garamond"/>
          <w:color w:val="000000" w:themeColor="text1"/>
          <w:lang w:eastAsia="sv-SE"/>
        </w:rPr>
        <w:t xml:space="preserve"> that </w:t>
      </w:r>
      <w:r w:rsidR="00295968" w:rsidRPr="00B65D57">
        <w:rPr>
          <w:rFonts w:cs="Garamond"/>
          <w:color w:val="000000" w:themeColor="text1"/>
          <w:lang w:eastAsia="sv-SE"/>
        </w:rPr>
        <w:t>could be</w:t>
      </w:r>
      <w:r w:rsidR="00B0196F" w:rsidRPr="00B65D57">
        <w:rPr>
          <w:rFonts w:cs="Garamond"/>
          <w:color w:val="000000" w:themeColor="text1"/>
          <w:lang w:eastAsia="sv-SE"/>
        </w:rPr>
        <w:t xml:space="preserve"> irritating to eyes, skin and the respiratory tract.</w:t>
      </w:r>
    </w:p>
    <w:p w14:paraId="7C729C95" w14:textId="3AAEFDF0" w:rsidR="00BB19AB" w:rsidRPr="00B65D57" w:rsidRDefault="00BB19AB" w:rsidP="00BF730A">
      <w:pPr>
        <w:spacing w:line="276" w:lineRule="auto"/>
        <w:rPr>
          <w:rFonts w:cs="Garamond"/>
          <w:color w:val="000000" w:themeColor="text1"/>
          <w:lang w:eastAsia="sv-SE"/>
        </w:rPr>
      </w:pPr>
      <w:r w:rsidRPr="00B65D57">
        <w:rPr>
          <w:rFonts w:cs="Garamond"/>
          <w:color w:val="000000" w:themeColor="text1"/>
          <w:lang w:eastAsia="sv-SE"/>
        </w:rPr>
        <w:t>It can be concluded that Jerbor can be used in the different scenarios without any</w:t>
      </w:r>
      <w:r w:rsidR="008942A9" w:rsidRPr="00B65D57">
        <w:rPr>
          <w:rFonts w:cs="Garamond"/>
          <w:color w:val="000000" w:themeColor="text1"/>
          <w:lang w:eastAsia="sv-SE"/>
        </w:rPr>
        <w:t xml:space="preserve"> unacceptable</w:t>
      </w:r>
      <w:r w:rsidRPr="00B65D57">
        <w:rPr>
          <w:rFonts w:cs="Garamond"/>
          <w:color w:val="000000" w:themeColor="text1"/>
          <w:lang w:eastAsia="sv-SE"/>
        </w:rPr>
        <w:t xml:space="preserve"> local or systemic risk</w:t>
      </w:r>
      <w:r w:rsidR="00874F0C" w:rsidRPr="00B65D57">
        <w:rPr>
          <w:rFonts w:cs="Garamond"/>
          <w:color w:val="000000" w:themeColor="text1"/>
          <w:lang w:eastAsia="sv-SE"/>
        </w:rPr>
        <w:t>s</w:t>
      </w:r>
      <w:r w:rsidRPr="00B65D57">
        <w:rPr>
          <w:rFonts w:cs="Garamond"/>
          <w:color w:val="000000" w:themeColor="text1"/>
          <w:lang w:eastAsia="sv-SE"/>
        </w:rPr>
        <w:t xml:space="preserve"> for the professionals, provided that the prescribed PPE is worn and that the work is performed in accordance with the </w:t>
      </w:r>
      <w:r w:rsidR="00295968" w:rsidRPr="00B65D57">
        <w:rPr>
          <w:rFonts w:cs="Garamond"/>
          <w:color w:val="000000" w:themeColor="text1"/>
          <w:lang w:eastAsia="sv-SE"/>
        </w:rPr>
        <w:t>Manual Euroborbehandling (manual of Eurobor technique)</w:t>
      </w:r>
      <w:r w:rsidRPr="00B65D57">
        <w:rPr>
          <w:rFonts w:cs="Garamond"/>
          <w:color w:val="000000" w:themeColor="text1"/>
          <w:lang w:eastAsia="sv-SE"/>
        </w:rPr>
        <w:t xml:space="preserve"> (Bandh, 2022).</w:t>
      </w:r>
    </w:p>
    <w:p w14:paraId="251CA18D" w14:textId="77777777" w:rsidR="00BB19AB" w:rsidRPr="00B65D57" w:rsidRDefault="00BB19AB" w:rsidP="00BF730A">
      <w:pPr>
        <w:autoSpaceDE w:val="0"/>
        <w:autoSpaceDN w:val="0"/>
        <w:adjustRightInd w:val="0"/>
        <w:spacing w:line="276" w:lineRule="auto"/>
        <w:rPr>
          <w:rFonts w:cs="Garamond"/>
          <w:color w:val="000000"/>
          <w:lang w:eastAsia="sv-SE"/>
        </w:rPr>
      </w:pPr>
    </w:p>
    <w:p w14:paraId="586B5ABE" w14:textId="4BB142C2" w:rsidR="00C55E1E" w:rsidRPr="00B65D57" w:rsidRDefault="00C55E1E" w:rsidP="00BF730A">
      <w:pPr>
        <w:spacing w:line="276" w:lineRule="auto"/>
        <w:rPr>
          <w:rFonts w:eastAsia="Calibri"/>
          <w:b/>
          <w:bCs/>
          <w:iCs/>
          <w:lang w:eastAsia="en-US"/>
        </w:rPr>
      </w:pPr>
      <w:r w:rsidRPr="00B65D57">
        <w:rPr>
          <w:rFonts w:eastAsia="Calibri"/>
          <w:b/>
          <w:bCs/>
          <w:iCs/>
          <w:lang w:eastAsia="en-US"/>
        </w:rPr>
        <w:t>Efficacy</w:t>
      </w:r>
    </w:p>
    <w:p w14:paraId="20D88250" w14:textId="77777777" w:rsidR="005051BB" w:rsidRPr="00B65D57" w:rsidRDefault="005051BB" w:rsidP="005051BB">
      <w:pPr>
        <w:spacing w:line="260" w:lineRule="atLeast"/>
      </w:pPr>
      <w:r w:rsidRPr="00B65D57">
        <w:rPr>
          <w:rFonts w:eastAsia="Calibri"/>
          <w:lang w:eastAsia="en-US"/>
        </w:rPr>
        <w:t xml:space="preserve">The laboratory efficacy studies for curative treatment against fungal degradation of Scots pine wood miniblock according to a modified EN 113 test showed that brown and white rot fungal decay stopped at a retention of 0.7 </w:t>
      </w:r>
      <w:r w:rsidRPr="00B65D57">
        <w:rPr>
          <w:color w:val="000000"/>
        </w:rPr>
        <w:t>kg BAE/m</w:t>
      </w:r>
      <w:r w:rsidRPr="00B65D57">
        <w:rPr>
          <w:color w:val="000000"/>
          <w:vertAlign w:val="superscript"/>
        </w:rPr>
        <w:t>3</w:t>
      </w:r>
      <w:r w:rsidRPr="00B65D57">
        <w:rPr>
          <w:color w:val="000000"/>
        </w:rPr>
        <w:t xml:space="preserve"> </w:t>
      </w:r>
      <w:r w:rsidRPr="00B65D57">
        <w:t>wood. Data on boric acid show</w:t>
      </w:r>
      <w:r w:rsidRPr="00B65D57">
        <w:rPr>
          <w:color w:val="000000"/>
        </w:rPr>
        <w:t xml:space="preserve"> that the toxic threshold limit in non-termite areas can be set to 1 kg BAE/m</w:t>
      </w:r>
      <w:r w:rsidRPr="00B65D57">
        <w:rPr>
          <w:color w:val="000000"/>
          <w:vertAlign w:val="superscript"/>
        </w:rPr>
        <w:t>3</w:t>
      </w:r>
      <w:r w:rsidRPr="00B65D57">
        <w:rPr>
          <w:color w:val="000000"/>
        </w:rPr>
        <w:t xml:space="preserve"> </w:t>
      </w:r>
      <w:r w:rsidRPr="00B65D57">
        <w:t xml:space="preserve">wood. Wood and sampling in the follow-up controls verify that targeted retention levels are achieved after five years. </w:t>
      </w:r>
    </w:p>
    <w:p w14:paraId="6A5AFB71" w14:textId="42338820" w:rsidR="00F1169E" w:rsidRPr="00B65D57" w:rsidRDefault="00F1169E" w:rsidP="00BF730A">
      <w:pPr>
        <w:spacing w:line="276" w:lineRule="auto"/>
        <w:rPr>
          <w:rFonts w:eastAsia="Calibri"/>
          <w:iCs/>
          <w:lang w:eastAsia="en-US"/>
        </w:rPr>
      </w:pPr>
    </w:p>
    <w:p w14:paraId="4DFA1076" w14:textId="6795FF08" w:rsidR="005051BB" w:rsidRPr="00B65D57" w:rsidRDefault="005051BB" w:rsidP="00BF730A">
      <w:pPr>
        <w:spacing w:line="276" w:lineRule="auto"/>
        <w:rPr>
          <w:rFonts w:eastAsia="Calibri"/>
          <w:iCs/>
          <w:lang w:eastAsia="en-US"/>
        </w:rPr>
      </w:pPr>
      <w:r w:rsidRPr="00B65D57">
        <w:rPr>
          <w:rFonts w:eastAsia="Calibri"/>
          <w:lang w:eastAsia="en-US"/>
        </w:rPr>
        <w:t xml:space="preserve">Available scientifical peer-reviewed data on the efficacy of the two active substances in Jerbor against the target organisms show that they are efficacious against brown and </w:t>
      </w:r>
      <w:r w:rsidRPr="00B65D57">
        <w:rPr>
          <w:rFonts w:eastAsia="Calibri"/>
          <w:lang w:eastAsia="en-US"/>
        </w:rPr>
        <w:lastRenderedPageBreak/>
        <w:t>white rotting fungi and that the toxic threshold for the most tolerant fungus was 2.2 kg BAE/m³. Less data is available on the efficacy of boron species against soft rot and non-toxic threshold was shown for this type of organisms, although field data on retention levels of BAE and microscopic inspections years after the treatment indicate that the active substances in Jerbor can be expected to be efficacious also against soft rot. Field data on retention levels of boron found in timber foundation piles 5-18 years after the remedial treatments as well as the results on diffusion of boron into an infected 100-year-old pile strongly indicate that the active substances in Jerbor actually reach the site of decay and at high enough concentrations. In summary, according to the data submitted it can be expected that Jerbor will be efficacious against the selected target organisms.</w:t>
      </w:r>
    </w:p>
    <w:p w14:paraId="12121695" w14:textId="77777777" w:rsidR="00C55E1E" w:rsidRPr="00B65D57" w:rsidRDefault="00C55E1E" w:rsidP="00BF730A">
      <w:pPr>
        <w:spacing w:line="276" w:lineRule="auto"/>
        <w:rPr>
          <w:rFonts w:eastAsia="Calibri"/>
          <w:iCs/>
          <w:lang w:eastAsia="en-US"/>
        </w:rPr>
      </w:pPr>
    </w:p>
    <w:p w14:paraId="212B191F" w14:textId="39F35B52" w:rsidR="00CF2384" w:rsidRPr="00B65D57" w:rsidRDefault="00C55E1E" w:rsidP="00BF730A">
      <w:pPr>
        <w:spacing w:line="276" w:lineRule="auto"/>
        <w:rPr>
          <w:rFonts w:eastAsia="Calibri"/>
          <w:b/>
          <w:bCs/>
          <w:iCs/>
          <w:lang w:eastAsia="en-US"/>
        </w:rPr>
      </w:pPr>
      <w:r w:rsidRPr="00B65D57">
        <w:rPr>
          <w:rFonts w:eastAsia="Calibri"/>
          <w:b/>
          <w:bCs/>
          <w:iCs/>
          <w:lang w:eastAsia="en-US"/>
        </w:rPr>
        <w:t>Environment</w:t>
      </w:r>
    </w:p>
    <w:p w14:paraId="46B333A6" w14:textId="2984B772" w:rsidR="00B3028A" w:rsidRPr="00B65D57" w:rsidRDefault="00B3028A" w:rsidP="00BF730A">
      <w:pPr>
        <w:spacing w:line="276" w:lineRule="auto"/>
        <w:rPr>
          <w:rFonts w:eastAsia="Calibri"/>
          <w:iCs/>
          <w:lang w:eastAsia="en-US"/>
        </w:rPr>
      </w:pPr>
      <w:r w:rsidRPr="00B65D57">
        <w:rPr>
          <w:rFonts w:eastAsia="Calibri"/>
          <w:iCs/>
          <w:lang w:eastAsia="en-US"/>
        </w:rPr>
        <w:t xml:space="preserve">The risk assessment for the active substances has been performed using modelling techniques for two foundation types – foundation wall of concrete and foundation of stone. </w:t>
      </w:r>
      <w:r w:rsidR="003246C7" w:rsidRPr="00B65D57">
        <w:rPr>
          <w:rFonts w:eastAsia="Calibri"/>
          <w:iCs/>
          <w:lang w:eastAsia="en-US"/>
        </w:rPr>
        <w:t xml:space="preserve">The modelling results were </w:t>
      </w:r>
      <w:r w:rsidRPr="00B65D57">
        <w:rPr>
          <w:rFonts w:eastAsia="Calibri"/>
          <w:iCs/>
          <w:lang w:eastAsia="en-US"/>
        </w:rPr>
        <w:t>confirmed by environmental sampling/monitoring studies</w:t>
      </w:r>
      <w:r w:rsidR="003246C7" w:rsidRPr="00B65D57">
        <w:rPr>
          <w:rFonts w:eastAsia="Calibri"/>
          <w:iCs/>
          <w:lang w:eastAsia="en-US"/>
        </w:rPr>
        <w:t xml:space="preserve"> with</w:t>
      </w:r>
      <w:r w:rsidRPr="00B65D57">
        <w:rPr>
          <w:rFonts w:eastAsia="Calibri"/>
          <w:iCs/>
          <w:lang w:eastAsia="en-US"/>
        </w:rPr>
        <w:t xml:space="preserve"> </w:t>
      </w:r>
      <w:r w:rsidR="003246C7" w:rsidRPr="00B65D57">
        <w:rPr>
          <w:rFonts w:eastAsia="Calibri"/>
          <w:iCs/>
          <w:lang w:eastAsia="en-US"/>
        </w:rPr>
        <w:t>t</w:t>
      </w:r>
      <w:r w:rsidRPr="00B65D57">
        <w:rPr>
          <w:rFonts w:eastAsia="Calibri"/>
          <w:iCs/>
          <w:lang w:eastAsia="en-US"/>
        </w:rPr>
        <w:t>he conclusion</w:t>
      </w:r>
      <w:r w:rsidR="003246C7" w:rsidRPr="00B65D57">
        <w:rPr>
          <w:rFonts w:eastAsia="Calibri"/>
          <w:iCs/>
          <w:lang w:eastAsia="en-US"/>
        </w:rPr>
        <w:t xml:space="preserve"> that the </w:t>
      </w:r>
      <w:r w:rsidRPr="00B65D57">
        <w:rPr>
          <w:rFonts w:eastAsia="Calibri"/>
          <w:iCs/>
          <w:lang w:eastAsia="en-US"/>
        </w:rPr>
        <w:t>risks are acceptable for all the environmental compartments</w:t>
      </w:r>
      <w:r w:rsidR="003246C7" w:rsidRPr="00B65D57">
        <w:rPr>
          <w:rFonts w:eastAsia="Calibri"/>
          <w:iCs/>
          <w:lang w:eastAsia="en-US"/>
        </w:rPr>
        <w:t xml:space="preserve"> </w:t>
      </w:r>
      <w:r w:rsidR="00EA109B" w:rsidRPr="00B65D57">
        <w:rPr>
          <w:rFonts w:eastAsia="Calibri"/>
          <w:iCs/>
          <w:lang w:eastAsia="en-US"/>
        </w:rPr>
        <w:t xml:space="preserve">if the directions for use according to chapter 2.1.5 are followed and </w:t>
      </w:r>
      <w:r w:rsidR="003246C7" w:rsidRPr="00B65D57">
        <w:t>the following risk mitigation measures</w:t>
      </w:r>
      <w:r w:rsidR="00EA109B" w:rsidRPr="00B65D57">
        <w:t xml:space="preserve"> are considered</w:t>
      </w:r>
      <w:r w:rsidR="003246C7" w:rsidRPr="00B65D57">
        <w:t>:</w:t>
      </w:r>
    </w:p>
    <w:p w14:paraId="6D5C3873" w14:textId="057C22F5" w:rsidR="00B3028A" w:rsidRPr="00B65D57" w:rsidRDefault="00B3028A" w:rsidP="001F5CF2">
      <w:pPr>
        <w:pStyle w:val="Liststycke"/>
        <w:numPr>
          <w:ilvl w:val="0"/>
          <w:numId w:val="19"/>
        </w:numPr>
        <w:spacing w:line="276" w:lineRule="auto"/>
        <w:rPr>
          <w:rFonts w:eastAsia="Calibri"/>
          <w:i/>
          <w:lang w:eastAsia="en-US"/>
        </w:rPr>
      </w:pPr>
      <w:r w:rsidRPr="00B65D57">
        <w:rPr>
          <w:rFonts w:eastAsia="Calibri"/>
          <w:i/>
          <w:lang w:eastAsia="en-US"/>
        </w:rPr>
        <w:t>Treatment zone must be surrounded by dense clay of marine origin with low water turnover of at least 2 m deep</w:t>
      </w:r>
    </w:p>
    <w:p w14:paraId="2D620DEA" w14:textId="5B68F362" w:rsidR="00B3028A" w:rsidRPr="00B65D57" w:rsidRDefault="00B3028A" w:rsidP="001F5CF2">
      <w:pPr>
        <w:pStyle w:val="Liststycke"/>
        <w:numPr>
          <w:ilvl w:val="0"/>
          <w:numId w:val="19"/>
        </w:numPr>
        <w:spacing w:line="276" w:lineRule="auto"/>
        <w:rPr>
          <w:rFonts w:eastAsia="Calibri"/>
          <w:i/>
          <w:lang w:eastAsia="en-US"/>
        </w:rPr>
      </w:pPr>
      <w:r w:rsidRPr="00B65D57">
        <w:rPr>
          <w:rFonts w:eastAsia="Calibri"/>
          <w:i/>
          <w:lang w:eastAsia="en-US"/>
        </w:rPr>
        <w:t>Installation of groundwater tubes for environmental control must always be done before the treatment.</w:t>
      </w:r>
    </w:p>
    <w:p w14:paraId="4FC52CC7" w14:textId="66F378AE" w:rsidR="00C55E1E" w:rsidRPr="00B65D57" w:rsidRDefault="00B3028A" w:rsidP="001F5CF2">
      <w:pPr>
        <w:pStyle w:val="Liststycke"/>
        <w:numPr>
          <w:ilvl w:val="0"/>
          <w:numId w:val="19"/>
        </w:numPr>
        <w:spacing w:line="276" w:lineRule="auto"/>
        <w:rPr>
          <w:rFonts w:eastAsia="Calibri"/>
          <w:i/>
          <w:lang w:eastAsia="en-US"/>
        </w:rPr>
      </w:pPr>
      <w:r w:rsidRPr="00B65D57">
        <w:rPr>
          <w:rFonts w:eastAsia="Calibri"/>
          <w:i/>
          <w:lang w:eastAsia="en-US"/>
        </w:rPr>
        <w:t>All low-lying openings of drain shafts must be sealed before the treatment</w:t>
      </w:r>
    </w:p>
    <w:p w14:paraId="4C239236" w14:textId="77777777" w:rsidR="003246C7" w:rsidRPr="00B65D57" w:rsidRDefault="003246C7" w:rsidP="00BF730A">
      <w:pPr>
        <w:spacing w:line="276" w:lineRule="auto"/>
        <w:rPr>
          <w:rFonts w:eastAsia="Calibri"/>
          <w:iCs/>
          <w:lang w:eastAsia="en-US"/>
        </w:rPr>
      </w:pPr>
    </w:p>
    <w:p w14:paraId="55DD759C" w14:textId="6565D335" w:rsidR="00C66AB4" w:rsidRPr="00B65D57" w:rsidRDefault="00C66AB4" w:rsidP="00BF730A">
      <w:pPr>
        <w:spacing w:line="276" w:lineRule="auto"/>
        <w:rPr>
          <w:rFonts w:eastAsia="Calibri"/>
          <w:bCs/>
          <w:lang w:eastAsia="en-US"/>
        </w:rPr>
      </w:pPr>
      <w:r w:rsidRPr="00B65D57">
        <w:rPr>
          <w:rFonts w:eastAsia="Calibri"/>
          <w:lang w:eastAsia="en-US"/>
        </w:rPr>
        <w:t xml:space="preserve">Based on the above it was therefore concluded that </w:t>
      </w:r>
      <w:r w:rsidRPr="00B65D57">
        <w:rPr>
          <w:rFonts w:eastAsia="Calibri"/>
          <w:bCs/>
          <w:lang w:eastAsia="en-US"/>
        </w:rPr>
        <w:t>the use of Jerbor for in-situ treatment of foundation wood for use by professionals within PT8 is considered to be efficacious and safe with regards to human and animal health and the environment.</w:t>
      </w:r>
    </w:p>
    <w:p w14:paraId="02D8180A" w14:textId="77777777" w:rsidR="00C66AB4" w:rsidRPr="00B65D57" w:rsidRDefault="00C66AB4" w:rsidP="00A53EE0">
      <w:pPr>
        <w:spacing w:line="260" w:lineRule="atLeast"/>
        <w:rPr>
          <w:rFonts w:eastAsia="Calibri"/>
          <w:iCs/>
          <w:lang w:eastAsia="en-US"/>
        </w:rPr>
      </w:pPr>
    </w:p>
    <w:p w14:paraId="274761FF" w14:textId="5FCE8F4F" w:rsidR="00A53EE0" w:rsidRPr="00B65D57" w:rsidRDefault="00A53EE0" w:rsidP="001F5CF2">
      <w:pPr>
        <w:pStyle w:val="Rubrik1"/>
        <w:numPr>
          <w:ilvl w:val="0"/>
          <w:numId w:val="20"/>
        </w:numPr>
        <w:rPr>
          <w:rFonts w:eastAsia="Calibri"/>
          <w:lang w:val="en-GB"/>
        </w:rPr>
      </w:pPr>
      <w:r w:rsidRPr="00B65D57">
        <w:rPr>
          <w:rFonts w:eastAsia="Calibri"/>
          <w:lang w:val="en-GB" w:eastAsia="en-US"/>
        </w:rPr>
        <w:br w:type="page"/>
      </w:r>
      <w:bookmarkStart w:id="3" w:name="_Toc389728850"/>
      <w:bookmarkStart w:id="4" w:name="_Toc129689549"/>
      <w:r w:rsidRPr="00B65D57">
        <w:rPr>
          <w:rFonts w:eastAsia="Calibri"/>
          <w:lang w:val="en-GB"/>
        </w:rPr>
        <w:lastRenderedPageBreak/>
        <w:t>ASSESSMENT REPORT</w:t>
      </w:r>
      <w:bookmarkEnd w:id="3"/>
      <w:bookmarkEnd w:id="4"/>
    </w:p>
    <w:p w14:paraId="788733D9" w14:textId="59DFEDA2" w:rsidR="00234C10" w:rsidRPr="00B65D57" w:rsidRDefault="00151FA4" w:rsidP="00223981">
      <w:pPr>
        <w:pStyle w:val="Rubrik2"/>
        <w:rPr>
          <w:snapToGrid w:val="0"/>
          <w:lang w:val="en-GB"/>
        </w:rPr>
      </w:pPr>
      <w:bookmarkStart w:id="5" w:name="_Toc387244910"/>
      <w:bookmarkStart w:id="6" w:name="_Toc387250732"/>
      <w:bookmarkStart w:id="7" w:name="_Toc388281221"/>
      <w:bookmarkStart w:id="8" w:name="_Toc388281677"/>
      <w:bookmarkStart w:id="9" w:name="_Toc387244911"/>
      <w:bookmarkStart w:id="10" w:name="_Toc387250733"/>
      <w:bookmarkStart w:id="11" w:name="_Toc388281222"/>
      <w:bookmarkStart w:id="12" w:name="_Toc388281678"/>
      <w:bookmarkStart w:id="13" w:name="_Toc418784128"/>
      <w:bookmarkStart w:id="14" w:name="_Toc418784129"/>
      <w:bookmarkStart w:id="15" w:name="_Toc366658839"/>
      <w:bookmarkStart w:id="16" w:name="d0e7"/>
      <w:bookmarkStart w:id="17" w:name="d0e6"/>
      <w:bookmarkStart w:id="18" w:name="_Toc129689550"/>
      <w:bookmarkEnd w:id="5"/>
      <w:bookmarkEnd w:id="6"/>
      <w:bookmarkEnd w:id="7"/>
      <w:bookmarkEnd w:id="8"/>
      <w:bookmarkEnd w:id="9"/>
      <w:bookmarkEnd w:id="10"/>
      <w:bookmarkEnd w:id="11"/>
      <w:bookmarkEnd w:id="12"/>
      <w:bookmarkEnd w:id="13"/>
      <w:bookmarkEnd w:id="14"/>
      <w:r w:rsidRPr="00B65D57">
        <w:rPr>
          <w:snapToGrid w:val="0"/>
          <w:lang w:val="en-GB"/>
        </w:rPr>
        <w:t>S</w:t>
      </w:r>
      <w:r w:rsidR="00234C10" w:rsidRPr="00B65D57">
        <w:rPr>
          <w:snapToGrid w:val="0"/>
          <w:lang w:val="en-GB"/>
        </w:rPr>
        <w:t xml:space="preserve">ummary of the </w:t>
      </w:r>
      <w:r w:rsidR="00A84A7C" w:rsidRPr="00B65D57">
        <w:rPr>
          <w:snapToGrid w:val="0"/>
          <w:lang w:val="en-GB"/>
        </w:rPr>
        <w:t xml:space="preserve">product </w:t>
      </w:r>
      <w:r w:rsidR="00234C10" w:rsidRPr="00B65D57">
        <w:rPr>
          <w:snapToGrid w:val="0"/>
          <w:lang w:val="en-GB"/>
        </w:rPr>
        <w:t>assessment</w:t>
      </w:r>
      <w:bookmarkEnd w:id="18"/>
      <w:r w:rsidR="00234C10" w:rsidRPr="00B65D57">
        <w:rPr>
          <w:snapToGrid w:val="0"/>
          <w:lang w:val="en-GB"/>
        </w:rPr>
        <w:t xml:space="preserve"> </w:t>
      </w:r>
    </w:p>
    <w:p w14:paraId="75DCFF38" w14:textId="21D9BAE9" w:rsidR="00234C10" w:rsidRPr="00B65D57" w:rsidRDefault="00234C10" w:rsidP="001F5CF2">
      <w:pPr>
        <w:pStyle w:val="Rubrik3"/>
        <w:numPr>
          <w:ilvl w:val="2"/>
          <w:numId w:val="20"/>
        </w:numPr>
        <w:rPr>
          <w:lang w:val="en-GB"/>
        </w:rPr>
      </w:pPr>
      <w:bookmarkStart w:id="19" w:name="_Toc129689551"/>
      <w:r w:rsidRPr="00B65D57">
        <w:rPr>
          <w:lang w:val="en-GB"/>
        </w:rPr>
        <w:t>Administrative information</w:t>
      </w:r>
      <w:bookmarkEnd w:id="15"/>
      <w:bookmarkEnd w:id="19"/>
    </w:p>
    <w:p w14:paraId="3A37FD0F" w14:textId="02D28572" w:rsidR="00234C10" w:rsidRPr="00B65D57" w:rsidRDefault="009A5C9B" w:rsidP="00065CC0">
      <w:pPr>
        <w:pStyle w:val="Rubrik4"/>
      </w:pPr>
      <w:bookmarkStart w:id="20" w:name="_Toc366658840"/>
      <w:bookmarkStart w:id="21" w:name="d0e10"/>
      <w:bookmarkStart w:id="22" w:name="_Toc129689552"/>
      <w:bookmarkEnd w:id="16"/>
      <w:bookmarkEnd w:id="17"/>
      <w:r w:rsidRPr="00B65D57">
        <w:t xml:space="preserve">2.1.1.1 </w:t>
      </w:r>
      <w:r w:rsidR="00477122" w:rsidRPr="00B65D57">
        <w:t>I</w:t>
      </w:r>
      <w:r w:rsidR="007C38CE" w:rsidRPr="00B65D57">
        <w:t xml:space="preserve">dentifier </w:t>
      </w:r>
      <w:r w:rsidR="00F27BF0" w:rsidRPr="00B65D57">
        <w:t>of the product</w:t>
      </w:r>
      <w:bookmarkEnd w:id="20"/>
      <w:bookmarkEnd w:id="21"/>
      <w:bookmarkEnd w:id="22"/>
    </w:p>
    <w:tbl>
      <w:tblPr>
        <w:tblW w:w="0" w:type="auto"/>
        <w:tblInd w:w="45" w:type="dxa"/>
        <w:tblLayout w:type="fixed"/>
        <w:tblCellMar>
          <w:left w:w="0" w:type="dxa"/>
          <w:right w:w="0" w:type="dxa"/>
        </w:tblCellMar>
        <w:tblLook w:val="0000" w:firstRow="0" w:lastRow="0" w:firstColumn="0" w:lastColumn="0" w:noHBand="0" w:noVBand="0"/>
      </w:tblPr>
      <w:tblGrid>
        <w:gridCol w:w="3397"/>
        <w:gridCol w:w="5670"/>
      </w:tblGrid>
      <w:tr w:rsidR="00881601" w:rsidRPr="00B65D57" w14:paraId="04A4E1F5" w14:textId="77777777"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F3E9B7" w14:textId="269DCF1A" w:rsidR="00234C10" w:rsidRPr="00B65D57" w:rsidRDefault="005C04B1" w:rsidP="008F4848">
            <w:r w:rsidRPr="00B65D57">
              <w:rPr>
                <w:b/>
                <w:bCs/>
                <w:szCs w:val="24"/>
                <w:lang w:eastAsia="en-GB"/>
              </w:rPr>
              <w:t xml:space="preserve">Identifier </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DF2549C" w14:textId="77777777" w:rsidR="00234C10" w:rsidRPr="00B65D57" w:rsidRDefault="00234C10" w:rsidP="008F4848">
            <w:r w:rsidRPr="00B65D57">
              <w:rPr>
                <w:b/>
                <w:bCs/>
                <w:szCs w:val="24"/>
                <w:lang w:eastAsia="en-GB"/>
              </w:rPr>
              <w:t>Country (if relevant)</w:t>
            </w:r>
          </w:p>
        </w:tc>
      </w:tr>
      <w:tr w:rsidR="00881601" w:rsidRPr="00B65D57" w14:paraId="64347C11" w14:textId="77777777"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7D1C17" w14:textId="0E356410" w:rsidR="00234C10" w:rsidRPr="00B65D57" w:rsidRDefault="006A543D" w:rsidP="008F4848">
            <w:r w:rsidRPr="00B65D57">
              <w:t>Jerbor</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0EAB7F04" w14:textId="77777777" w:rsidR="00234C10" w:rsidRPr="00B65D57" w:rsidRDefault="006A543D" w:rsidP="008F4848">
            <w:r w:rsidRPr="00B65D57">
              <w:t>Sweden</w:t>
            </w:r>
          </w:p>
        </w:tc>
      </w:tr>
    </w:tbl>
    <w:p w14:paraId="4C887A2E" w14:textId="4D7C6E83" w:rsidR="00B73849" w:rsidRPr="00B65D57" w:rsidRDefault="009A5C9B" w:rsidP="00065CC0">
      <w:pPr>
        <w:pStyle w:val="Rubrik4"/>
      </w:pPr>
      <w:bookmarkStart w:id="23" w:name="_Toc366658844"/>
      <w:bookmarkStart w:id="24" w:name="d0e350"/>
      <w:bookmarkStart w:id="25" w:name="_Toc129689553"/>
      <w:r w:rsidRPr="00B65D57">
        <w:t xml:space="preserve">2.1.1.2 </w:t>
      </w:r>
      <w:r w:rsidR="00B73849" w:rsidRPr="00B65D57">
        <w:t>Authorisation holder</w:t>
      </w:r>
      <w:bookmarkEnd w:id="25"/>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B73849" w:rsidRPr="00B65D57" w14:paraId="7694B32E"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2AC42708" w14:textId="77777777" w:rsidR="00B73849" w:rsidRPr="00B65D57" w:rsidRDefault="00B73849" w:rsidP="008F4848">
            <w:pPr>
              <w:rPr>
                <w:b/>
              </w:rPr>
            </w:pPr>
            <w:bookmarkStart w:id="26" w:name="d0e66"/>
            <w:r w:rsidRPr="00B65D57">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21A1C19" w14:textId="77777777" w:rsidR="00B73849" w:rsidRPr="00B65D57" w:rsidRDefault="00B73849" w:rsidP="008F4848">
            <w:pPr>
              <w:rPr>
                <w:b/>
              </w:rPr>
            </w:pPr>
            <w:r w:rsidRPr="00B65D57">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EB4BBC7" w14:textId="77777777" w:rsidR="00B73849" w:rsidRPr="00B65D57" w:rsidRDefault="00855A1B" w:rsidP="008F4848">
            <w:r w:rsidRPr="00B65D57">
              <w:t>Jerbol System AB</w:t>
            </w:r>
          </w:p>
        </w:tc>
      </w:tr>
      <w:bookmarkEnd w:id="26"/>
      <w:tr w:rsidR="00B73849" w:rsidRPr="004E139D" w14:paraId="0AB19785"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41AAEF83" w14:textId="77777777" w:rsidR="00B73849" w:rsidRPr="00B65D57" w:rsidRDefault="00B73849" w:rsidP="008F4848">
            <w:pPr>
              <w:pStyle w:val="Special"/>
              <w:rPr>
                <w:b/>
                <w:lang w:val="en-G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55B33B8C" w14:textId="77777777" w:rsidR="00B73849" w:rsidRPr="00B65D57" w:rsidRDefault="00B73849" w:rsidP="008F4848">
            <w:pPr>
              <w:rPr>
                <w:b/>
              </w:rPr>
            </w:pPr>
            <w:r w:rsidRPr="00B65D57">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58004439" w14:textId="77777777" w:rsidR="00B73849" w:rsidRPr="00B65D57" w:rsidRDefault="00855A1B" w:rsidP="008F4848">
            <w:pPr>
              <w:rPr>
                <w:lang w:val="sv-SE"/>
              </w:rPr>
            </w:pPr>
            <w:r w:rsidRPr="00B65D57">
              <w:rPr>
                <w:lang w:val="sv-SE"/>
              </w:rPr>
              <w:t>c/o WSP Sverige AB</w:t>
            </w:r>
          </w:p>
          <w:p w14:paraId="257EC0A7" w14:textId="5A0C0DE7" w:rsidR="00023C5C" w:rsidRPr="00B65D57" w:rsidRDefault="00855A1B" w:rsidP="008F4848">
            <w:pPr>
              <w:rPr>
                <w:lang w:val="sv-SE"/>
              </w:rPr>
            </w:pPr>
            <w:r w:rsidRPr="00B65D57">
              <w:rPr>
                <w:lang w:val="sv-SE"/>
              </w:rPr>
              <w:t>121 88 Stockholm-Globen</w:t>
            </w:r>
            <w:r w:rsidR="00AB2FE5" w:rsidRPr="00B65D57">
              <w:rPr>
                <w:lang w:val="sv-SE"/>
              </w:rPr>
              <w:t xml:space="preserve">, </w:t>
            </w:r>
            <w:r w:rsidR="00023C5C" w:rsidRPr="00B65D57">
              <w:rPr>
                <w:lang w:val="sv-SE"/>
              </w:rPr>
              <w:t>Sweden</w:t>
            </w:r>
          </w:p>
        </w:tc>
      </w:tr>
      <w:tr w:rsidR="00B73849" w:rsidRPr="00B65D57" w14:paraId="286B55CF"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0E7C6B" w14:textId="77777777" w:rsidR="00B73849" w:rsidRPr="00B65D57" w:rsidRDefault="00B73849" w:rsidP="008F4848">
            <w:pPr>
              <w:rPr>
                <w:b/>
              </w:rPr>
            </w:pPr>
            <w:r w:rsidRPr="00B65D57">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8C7EA10" w14:textId="5141E1EA" w:rsidR="00B73849" w:rsidRPr="00B65D57" w:rsidRDefault="002C46E6" w:rsidP="008F4848">
            <w:r w:rsidRPr="00B65D57">
              <w:t>5689</w:t>
            </w:r>
          </w:p>
        </w:tc>
      </w:tr>
      <w:tr w:rsidR="00B73849" w:rsidRPr="00B65D57" w14:paraId="53654268"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C7B28D" w14:textId="77777777" w:rsidR="00B73849" w:rsidRPr="00B65D57" w:rsidRDefault="00B73849" w:rsidP="008F4848">
            <w:pPr>
              <w:rPr>
                <w:b/>
              </w:rPr>
            </w:pPr>
            <w:r w:rsidRPr="00B65D57">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019A895" w14:textId="0B9E8E16" w:rsidR="00B73849" w:rsidRPr="006630EB" w:rsidRDefault="006630EB" w:rsidP="008F4848">
            <w:r w:rsidRPr="006630EB">
              <w:t>2023-03-07</w:t>
            </w:r>
          </w:p>
        </w:tc>
      </w:tr>
      <w:tr w:rsidR="00B73849" w:rsidRPr="00B65D57" w14:paraId="48350B2E" w14:textId="77777777" w:rsidTr="00A70A5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B1674C" w14:textId="77777777" w:rsidR="00B73849" w:rsidRPr="00B65D57" w:rsidRDefault="00B73849" w:rsidP="008F4848">
            <w:pPr>
              <w:rPr>
                <w:b/>
              </w:rPr>
            </w:pPr>
            <w:r w:rsidRPr="00B65D57">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6D4AE72" w14:textId="3E8BAC45" w:rsidR="00B73849" w:rsidRPr="006630EB" w:rsidRDefault="006630EB" w:rsidP="008F4848">
            <w:r w:rsidRPr="006630EB">
              <w:t>2028-03-05</w:t>
            </w:r>
          </w:p>
        </w:tc>
      </w:tr>
    </w:tbl>
    <w:p w14:paraId="35FAAD4B" w14:textId="266E76A8" w:rsidR="00B73849" w:rsidRPr="00B65D57" w:rsidRDefault="009A5C9B" w:rsidP="00065CC0">
      <w:pPr>
        <w:pStyle w:val="Rubrik4"/>
      </w:pPr>
      <w:bookmarkStart w:id="27" w:name="_Toc366658842"/>
      <w:bookmarkStart w:id="28" w:name="d0e146"/>
      <w:bookmarkStart w:id="29" w:name="_Toc129689554"/>
      <w:r w:rsidRPr="00B65D57">
        <w:t xml:space="preserve">2.1.1.3 </w:t>
      </w:r>
      <w:r w:rsidR="00B953B3" w:rsidRPr="00B65D57">
        <w:t>Manufacturer</w:t>
      </w:r>
      <w:r w:rsidR="00B73849" w:rsidRPr="00B65D57">
        <w:t xml:space="preserve"> </w:t>
      </w:r>
      <w:r w:rsidR="00B953B3" w:rsidRPr="00B65D57">
        <w:t>of the product</w:t>
      </w:r>
      <w:bookmarkEnd w:id="27"/>
      <w:bookmarkEnd w:id="28"/>
      <w:bookmarkEnd w:id="29"/>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B65D57" w14:paraId="53B01B5A"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D6D7F5" w14:textId="77777777" w:rsidR="00B73849" w:rsidRPr="00B65D57" w:rsidRDefault="00B73849" w:rsidP="00195F45">
            <w:pPr>
              <w:rPr>
                <w:b/>
              </w:rPr>
            </w:pPr>
            <w:r w:rsidRPr="00B65D57">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927B750" w14:textId="77777777" w:rsidR="00B73849" w:rsidRPr="00B65D57" w:rsidRDefault="00855A1B" w:rsidP="00195F45">
            <w:r w:rsidRPr="00B65D57">
              <w:t>Jerbol System AB</w:t>
            </w:r>
          </w:p>
        </w:tc>
      </w:tr>
      <w:tr w:rsidR="00B73849" w:rsidRPr="00325E28" w14:paraId="3897475C"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163ABE" w14:textId="77777777" w:rsidR="00B73849" w:rsidRPr="00B65D57" w:rsidRDefault="00B73849" w:rsidP="00195F45">
            <w:pPr>
              <w:rPr>
                <w:b/>
              </w:rPr>
            </w:pPr>
            <w:r w:rsidRPr="00B65D57">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DD845D8" w14:textId="77777777" w:rsidR="00B73849" w:rsidRPr="00B65D57" w:rsidRDefault="007C7FA6" w:rsidP="00195F45">
            <w:pPr>
              <w:rPr>
                <w:lang w:val="sv-SE"/>
              </w:rPr>
            </w:pPr>
            <w:r w:rsidRPr="00B65D57">
              <w:rPr>
                <w:lang w:val="sv-SE"/>
              </w:rPr>
              <w:t>c/o WSP Sverige AB</w:t>
            </w:r>
          </w:p>
          <w:p w14:paraId="2CFC3980" w14:textId="77777777" w:rsidR="007C7FA6" w:rsidRPr="00B65D57" w:rsidRDefault="007C7FA6" w:rsidP="00195F45">
            <w:pPr>
              <w:rPr>
                <w:lang w:val="sv-SE"/>
              </w:rPr>
            </w:pPr>
            <w:r w:rsidRPr="00B65D57">
              <w:rPr>
                <w:lang w:val="sv-SE"/>
              </w:rPr>
              <w:t>Box 13033</w:t>
            </w:r>
          </w:p>
          <w:p w14:paraId="42F127F9" w14:textId="499B32F0" w:rsidR="00023C5C" w:rsidRPr="00325E28" w:rsidRDefault="007C7FA6" w:rsidP="00195F45">
            <w:pPr>
              <w:rPr>
                <w:lang w:val="sv-SE"/>
              </w:rPr>
            </w:pPr>
            <w:r w:rsidRPr="00325E28">
              <w:rPr>
                <w:lang w:val="sv-SE"/>
              </w:rPr>
              <w:t>402 51 Göteborg</w:t>
            </w:r>
            <w:r w:rsidR="00AB2FE5" w:rsidRPr="00325E28">
              <w:rPr>
                <w:lang w:val="sv-SE"/>
              </w:rPr>
              <w:t xml:space="preserve">, </w:t>
            </w:r>
            <w:r w:rsidR="00023C5C" w:rsidRPr="00325E28">
              <w:rPr>
                <w:lang w:val="sv-SE"/>
              </w:rPr>
              <w:t>Sweden</w:t>
            </w:r>
          </w:p>
        </w:tc>
      </w:tr>
      <w:tr w:rsidR="00B73849" w:rsidRPr="00B65D57" w14:paraId="0F7ADF83"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996E57" w14:textId="77777777" w:rsidR="00B73849" w:rsidRPr="00B65D57" w:rsidRDefault="00B73849" w:rsidP="00195F45">
            <w:pPr>
              <w:rPr>
                <w:b/>
              </w:rPr>
            </w:pPr>
            <w:r w:rsidRPr="00B65D57">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F2AB1E1" w14:textId="77777777" w:rsidR="00B73849" w:rsidRPr="00B65D57" w:rsidRDefault="00675BA6" w:rsidP="00195F45">
            <w:r w:rsidRPr="00B65D57">
              <w:t>Spadegatan 6</w:t>
            </w:r>
          </w:p>
          <w:p w14:paraId="55D60B43" w14:textId="74942BBC" w:rsidR="00023C5C" w:rsidRPr="00B65D57" w:rsidRDefault="00675BA6" w:rsidP="00195F45">
            <w:r w:rsidRPr="00B65D57">
              <w:t>424 65 Angered</w:t>
            </w:r>
            <w:r w:rsidR="00AB2FE5" w:rsidRPr="00B65D57">
              <w:t xml:space="preserve">, </w:t>
            </w:r>
            <w:r w:rsidR="00023C5C" w:rsidRPr="00B65D57">
              <w:t>Sweden</w:t>
            </w:r>
          </w:p>
        </w:tc>
      </w:tr>
    </w:tbl>
    <w:p w14:paraId="77DD53B7" w14:textId="203B15C2" w:rsidR="00B73849" w:rsidRPr="00B65D57" w:rsidRDefault="009A5C9B" w:rsidP="00065CC0">
      <w:pPr>
        <w:pStyle w:val="Rubrik4"/>
      </w:pPr>
      <w:bookmarkStart w:id="30" w:name="_Toc366658843"/>
      <w:bookmarkStart w:id="31" w:name="_Toc129689555"/>
      <w:r w:rsidRPr="00B65D57">
        <w:t xml:space="preserve">2.1.1.4 </w:t>
      </w:r>
      <w:r w:rsidR="00B73849" w:rsidRPr="00B65D57">
        <w:t>Manufacturer(s) of the active substance(s)</w:t>
      </w:r>
      <w:bookmarkEnd w:id="30"/>
      <w:bookmarkEnd w:id="31"/>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B65D57" w14:paraId="3D06102C"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E19D5A" w14:textId="77777777" w:rsidR="00B73849" w:rsidRPr="00B65D57" w:rsidRDefault="00B73849" w:rsidP="008F4848">
            <w:pPr>
              <w:rPr>
                <w:b/>
              </w:rPr>
            </w:pPr>
            <w:bookmarkStart w:id="32" w:name="d0e246"/>
            <w:r w:rsidRPr="00B65D57">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5E4190" w14:textId="5E314E1A" w:rsidR="00B73849" w:rsidRPr="00B65D57" w:rsidRDefault="00706DAC" w:rsidP="008F4848">
            <w:pPr>
              <w:rPr>
                <w:highlight w:val="yellow"/>
              </w:rPr>
            </w:pPr>
            <w:r w:rsidRPr="00B65D57">
              <w:t>Boric ac</w:t>
            </w:r>
            <w:r w:rsidR="00616E92" w:rsidRPr="00B65D57">
              <w:t>id and disodium tetraborate penta</w:t>
            </w:r>
            <w:r w:rsidRPr="00B65D57">
              <w:t>hydrate</w:t>
            </w:r>
          </w:p>
        </w:tc>
      </w:tr>
      <w:bookmarkEnd w:id="32"/>
      <w:tr w:rsidR="00B73849" w:rsidRPr="00325E28" w14:paraId="0A353239"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A74BA4" w14:textId="77777777" w:rsidR="00B73849" w:rsidRPr="00B65D57" w:rsidRDefault="00B73849" w:rsidP="008F4848">
            <w:pPr>
              <w:rPr>
                <w:b/>
              </w:rPr>
            </w:pPr>
            <w:r w:rsidRPr="00B65D57">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90D9C62" w14:textId="1DA8BEBC" w:rsidR="00980E71" w:rsidRPr="00325E28" w:rsidRDefault="00062E5D" w:rsidP="008F4848">
            <w:pPr>
              <w:rPr>
                <w:highlight w:val="yellow"/>
                <w:lang w:val="fi-FI"/>
              </w:rPr>
            </w:pPr>
            <w:r w:rsidRPr="00325E28">
              <w:rPr>
                <w:lang w:val="fi-FI"/>
              </w:rPr>
              <w:t>Rio Tinto Iron &amp; Titanium GmbH</w:t>
            </w:r>
          </w:p>
        </w:tc>
      </w:tr>
      <w:tr w:rsidR="00B73849" w:rsidRPr="00B65D57" w14:paraId="09A9C9A5"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D46749" w14:textId="77777777" w:rsidR="00B73849" w:rsidRPr="00B65D57" w:rsidRDefault="00B73849" w:rsidP="008F4848">
            <w:pPr>
              <w:rPr>
                <w:b/>
              </w:rPr>
            </w:pPr>
            <w:bookmarkStart w:id="33" w:name="d0e269"/>
            <w:r w:rsidRPr="00B65D57">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447778A" w14:textId="77777777" w:rsidR="00062E5D" w:rsidRPr="00B65D57" w:rsidRDefault="00062E5D" w:rsidP="008F4848">
            <w:r w:rsidRPr="00B65D57">
              <w:t>Mergenthalerallee 77</w:t>
            </w:r>
          </w:p>
          <w:p w14:paraId="3E7E2DA4" w14:textId="4EB2C8FC" w:rsidR="00706DAC" w:rsidRPr="00B65D57" w:rsidRDefault="00062E5D" w:rsidP="008F4848">
            <w:r w:rsidRPr="00B65D57">
              <w:t>65760 Eschborn</w:t>
            </w:r>
            <w:r w:rsidR="00AB2FE5" w:rsidRPr="00B65D57">
              <w:t xml:space="preserve">, </w:t>
            </w:r>
            <w:r w:rsidRPr="00B65D57">
              <w:t>Germany</w:t>
            </w:r>
          </w:p>
        </w:tc>
      </w:tr>
      <w:bookmarkEnd w:id="33"/>
      <w:tr w:rsidR="00B73849" w:rsidRPr="00B65D57" w14:paraId="7AA885EB"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1A962FB" w14:textId="77777777" w:rsidR="00B73849" w:rsidRPr="00B65D57" w:rsidRDefault="00B73849" w:rsidP="008F4848">
            <w:pPr>
              <w:rPr>
                <w:b/>
              </w:rPr>
            </w:pPr>
            <w:r w:rsidRPr="00B65D57">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A471F2F" w14:textId="77777777" w:rsidR="00B73849" w:rsidRPr="00B65D57" w:rsidRDefault="00BE4650" w:rsidP="008F4848">
            <w:r w:rsidRPr="00B65D57">
              <w:t>14486 Borax Road</w:t>
            </w:r>
          </w:p>
          <w:p w14:paraId="45842C69" w14:textId="77777777" w:rsidR="00BE4650" w:rsidRPr="00B65D57" w:rsidRDefault="001D3CF1" w:rsidP="008F4848">
            <w:r w:rsidRPr="00B65D57">
              <w:t>Boron, CA 93516 USA</w:t>
            </w:r>
          </w:p>
        </w:tc>
      </w:tr>
    </w:tbl>
    <w:p w14:paraId="05646D88" w14:textId="3D81F8D0" w:rsidR="00AB2FE5" w:rsidRPr="00B65D57" w:rsidRDefault="00AB2FE5" w:rsidP="008F4848">
      <w:pPr>
        <w:pStyle w:val="Absatz"/>
        <w:rPr>
          <w:sz w:val="12"/>
          <w:szCs w:val="12"/>
        </w:rPr>
      </w:pPr>
    </w:p>
    <w:p w14:paraId="3E331EE7" w14:textId="082B62F5" w:rsidR="007B69DE" w:rsidRPr="00B65D57" w:rsidRDefault="007B69DE" w:rsidP="008F4848">
      <w:pPr>
        <w:pStyle w:val="Absatz"/>
        <w:rPr>
          <w:sz w:val="12"/>
          <w:szCs w:val="12"/>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B2FE5" w:rsidRPr="00B65D57" w14:paraId="4C2FBF9F" w14:textId="77777777" w:rsidTr="0027189D">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C924CF" w14:textId="77777777" w:rsidR="00AB2FE5" w:rsidRPr="00B65D57" w:rsidRDefault="00AB2FE5" w:rsidP="008F4848">
            <w:pPr>
              <w:rPr>
                <w:b/>
              </w:rPr>
            </w:pPr>
            <w:r w:rsidRPr="00B65D57">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C95DC42" w14:textId="78108E55" w:rsidR="00AB2FE5" w:rsidRPr="00B65D57" w:rsidRDefault="00AB2FE5" w:rsidP="008F4848">
            <w:r w:rsidRPr="00B65D57">
              <w:t>Boric ac</w:t>
            </w:r>
            <w:r w:rsidR="007E1553" w:rsidRPr="00B65D57">
              <w:t>id and disodium tetraborate penta</w:t>
            </w:r>
            <w:r w:rsidRPr="00B65D57">
              <w:t>hydrate</w:t>
            </w:r>
          </w:p>
        </w:tc>
      </w:tr>
      <w:tr w:rsidR="00AB2FE5" w:rsidRPr="00B65D57" w14:paraId="6F55D377" w14:textId="77777777" w:rsidTr="0027189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D7031D" w14:textId="77777777" w:rsidR="00AB2FE5" w:rsidRPr="00B65D57" w:rsidRDefault="00AB2FE5" w:rsidP="008F4848">
            <w:pPr>
              <w:rPr>
                <w:b/>
              </w:rPr>
            </w:pPr>
            <w:r w:rsidRPr="00B65D57">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99F4CE5" w14:textId="1AC3C314" w:rsidR="00AB2FE5" w:rsidRPr="00B65D57" w:rsidRDefault="00AB2FE5" w:rsidP="008F4848">
            <w:r w:rsidRPr="00B65D57">
              <w:t>Etimine S.A.</w:t>
            </w:r>
          </w:p>
        </w:tc>
      </w:tr>
      <w:tr w:rsidR="00AB2FE5" w:rsidRPr="00B65D57" w14:paraId="399BA174" w14:textId="77777777" w:rsidTr="0027189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9E7A2F" w14:textId="77777777" w:rsidR="00AB2FE5" w:rsidRPr="00B65D57" w:rsidRDefault="00AB2FE5" w:rsidP="008F4848">
            <w:pPr>
              <w:rPr>
                <w:b/>
              </w:rPr>
            </w:pPr>
            <w:r w:rsidRPr="00B65D57">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FAF455F" w14:textId="77777777" w:rsidR="00AB2FE5" w:rsidRPr="00B65D57" w:rsidRDefault="00AB2FE5" w:rsidP="008F4848">
            <w:r w:rsidRPr="00B65D57">
              <w:t>Immeuble 67</w:t>
            </w:r>
          </w:p>
          <w:p w14:paraId="5D000707" w14:textId="77777777" w:rsidR="00AB2FE5" w:rsidRPr="00B65D57" w:rsidRDefault="00AB2FE5" w:rsidP="008F4848">
            <w:r w:rsidRPr="00B65D57">
              <w:t>204, Z.I. Scheleck 2</w:t>
            </w:r>
          </w:p>
          <w:p w14:paraId="6B4E6593" w14:textId="36C952CA" w:rsidR="00AB2FE5" w:rsidRPr="00B65D57" w:rsidRDefault="00AB2FE5" w:rsidP="008F4848">
            <w:r w:rsidRPr="00B65D57">
              <w:t>L-3225, Bettembourg, Luxembourg</w:t>
            </w:r>
          </w:p>
        </w:tc>
      </w:tr>
      <w:tr w:rsidR="00AB2FE5" w:rsidRPr="004E139D" w14:paraId="3F110DA1" w14:textId="77777777" w:rsidTr="0027189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8DAC18" w14:textId="77777777" w:rsidR="00AB2FE5" w:rsidRPr="00B65D57" w:rsidRDefault="00AB2FE5" w:rsidP="008F4848">
            <w:pPr>
              <w:rPr>
                <w:b/>
              </w:rPr>
            </w:pPr>
            <w:r w:rsidRPr="00B65D57">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9B30487" w14:textId="77777777" w:rsidR="00FB21C0" w:rsidRPr="00325E28" w:rsidRDefault="00FB21C0" w:rsidP="008F4848">
            <w:pPr>
              <w:rPr>
                <w:lang w:val="da-DK"/>
              </w:rPr>
            </w:pPr>
            <w:r w:rsidRPr="00325E28">
              <w:rPr>
                <w:lang w:val="da-DK"/>
              </w:rPr>
              <w:t>Eti maden isletmeleri g.m.</w:t>
            </w:r>
          </w:p>
          <w:p w14:paraId="73C18103" w14:textId="77777777" w:rsidR="00FB21C0" w:rsidRPr="00325E28" w:rsidRDefault="00FB21C0" w:rsidP="008F4848">
            <w:pPr>
              <w:rPr>
                <w:lang w:val="da-DK"/>
              </w:rPr>
            </w:pPr>
            <w:r w:rsidRPr="00325E28">
              <w:rPr>
                <w:lang w:val="da-DK"/>
              </w:rPr>
              <w:t>Emet kolemanit Islt. Müdürlügü</w:t>
            </w:r>
          </w:p>
          <w:p w14:paraId="6BA1F3C0" w14:textId="617F455A" w:rsidR="00AB2FE5" w:rsidRPr="00325E28" w:rsidRDefault="00FB21C0" w:rsidP="008F4848">
            <w:pPr>
              <w:rPr>
                <w:lang w:val="da-DK"/>
              </w:rPr>
            </w:pPr>
            <w:r w:rsidRPr="00325E28">
              <w:rPr>
                <w:lang w:val="da-DK"/>
              </w:rPr>
              <w:lastRenderedPageBreak/>
              <w:t>43700 Emet/Kütahya Turkey</w:t>
            </w:r>
          </w:p>
        </w:tc>
      </w:tr>
    </w:tbl>
    <w:p w14:paraId="787C8355" w14:textId="1C760134" w:rsidR="00234C10" w:rsidRPr="00B65D57" w:rsidRDefault="009A5C9B" w:rsidP="00223981">
      <w:pPr>
        <w:pStyle w:val="Rubrik3"/>
        <w:rPr>
          <w:lang w:val="en-GB"/>
        </w:rPr>
      </w:pPr>
      <w:bookmarkStart w:id="34" w:name="_Toc129689556"/>
      <w:r w:rsidRPr="00B65D57">
        <w:rPr>
          <w:lang w:val="en-GB"/>
        </w:rPr>
        <w:lastRenderedPageBreak/>
        <w:t xml:space="preserve">2.1.2 </w:t>
      </w:r>
      <w:r w:rsidR="0040021F" w:rsidRPr="00B65D57">
        <w:rPr>
          <w:lang w:val="en-GB"/>
        </w:rPr>
        <w:t>Product</w:t>
      </w:r>
      <w:r w:rsidR="00234C10" w:rsidRPr="00B65D57">
        <w:rPr>
          <w:lang w:val="en-GB"/>
        </w:rPr>
        <w:t xml:space="preserve"> composition and formulation</w:t>
      </w:r>
      <w:bookmarkEnd w:id="23"/>
      <w:bookmarkEnd w:id="34"/>
    </w:p>
    <w:p w14:paraId="4AA451A4" w14:textId="77777777" w:rsidR="00B224B7" w:rsidRPr="00B65D57" w:rsidRDefault="00B224B7" w:rsidP="008F4848">
      <w:pPr>
        <w:spacing w:line="260" w:lineRule="atLeast"/>
        <w:jc w:val="both"/>
        <w:rPr>
          <w:rFonts w:eastAsia="Calibri"/>
          <w:lang w:eastAsia="en-US"/>
        </w:rPr>
      </w:pPr>
      <w:bookmarkStart w:id="35" w:name="_Toc366658845"/>
      <w:bookmarkEnd w:id="24"/>
      <w:r w:rsidRPr="00B65D57">
        <w:rPr>
          <w:rFonts w:eastAsia="Calibri"/>
          <w:lang w:eastAsia="en-US"/>
        </w:rPr>
        <w:t xml:space="preserve">Does the </w:t>
      </w:r>
      <w:bookmarkStart w:id="36" w:name="_Hlk30947001"/>
      <w:r w:rsidRPr="00B65D57">
        <w:rPr>
          <w:rFonts w:eastAsia="Calibri"/>
          <w:lang w:eastAsia="en-US"/>
        </w:rPr>
        <w:t>product have the same identity and composition as the product evaluated in connection with the approval for listing of the active substance(s)</w:t>
      </w:r>
      <w:bookmarkEnd w:id="36"/>
      <w:r w:rsidRPr="00B65D57">
        <w:rPr>
          <w:rFonts w:eastAsia="Calibri"/>
          <w:lang w:eastAsia="en-US"/>
        </w:rPr>
        <w:t xml:space="preserve"> on the Union list of approved active substances under Regulation No. 528/2012?</w:t>
      </w:r>
    </w:p>
    <w:p w14:paraId="1CDCDA6B" w14:textId="77777777" w:rsidR="00B224B7" w:rsidRPr="00B65D57" w:rsidRDefault="00B224B7" w:rsidP="008F4848">
      <w:pPr>
        <w:spacing w:line="260" w:lineRule="atLeast"/>
        <w:ind w:left="720"/>
        <w:jc w:val="both"/>
        <w:rPr>
          <w:rFonts w:eastAsia="Calibri"/>
          <w:lang w:eastAsia="fr-FR"/>
        </w:rPr>
      </w:pPr>
      <w:r w:rsidRPr="00B65D57">
        <w:rPr>
          <w:rFonts w:eastAsia="Calibri"/>
          <w:lang w:eastAsia="en-US"/>
        </w:rPr>
        <w:t xml:space="preserve">Yes </w:t>
      </w:r>
      <w:r w:rsidRPr="00B65D57">
        <w:rPr>
          <w:rFonts w:eastAsia="Calibri"/>
          <w:lang w:eastAsia="en-US"/>
        </w:rPr>
        <w:tab/>
      </w:r>
      <w:r w:rsidR="002C40E6" w:rsidRPr="00B65D57">
        <w:rPr>
          <w:rFonts w:eastAsia="Calibri"/>
          <w:lang w:eastAsia="fr-FR"/>
        </w:rPr>
        <w:fldChar w:fldCharType="begin">
          <w:ffData>
            <w:name w:val="Check1"/>
            <w:enabled/>
            <w:calcOnExit w:val="0"/>
            <w:checkBox>
              <w:sizeAuto/>
              <w:default w:val="0"/>
            </w:checkBox>
          </w:ffData>
        </w:fldChar>
      </w:r>
      <w:bookmarkStart w:id="37" w:name="Check1"/>
      <w:r w:rsidR="002C40E6" w:rsidRPr="00B65D57">
        <w:rPr>
          <w:rFonts w:eastAsia="Calibri"/>
          <w:lang w:eastAsia="fr-FR"/>
        </w:rPr>
        <w:instrText xml:space="preserve"> FORMCHECKBOX </w:instrText>
      </w:r>
      <w:r w:rsidR="004E139D">
        <w:rPr>
          <w:rFonts w:eastAsia="Calibri"/>
          <w:lang w:eastAsia="fr-FR"/>
        </w:rPr>
      </w:r>
      <w:r w:rsidR="004E139D">
        <w:rPr>
          <w:rFonts w:eastAsia="Calibri"/>
          <w:lang w:eastAsia="fr-FR"/>
        </w:rPr>
        <w:fldChar w:fldCharType="separate"/>
      </w:r>
      <w:r w:rsidR="002C40E6" w:rsidRPr="00B65D57">
        <w:rPr>
          <w:rFonts w:eastAsia="Calibri"/>
          <w:lang w:eastAsia="fr-FR"/>
        </w:rPr>
        <w:fldChar w:fldCharType="end"/>
      </w:r>
      <w:bookmarkEnd w:id="37"/>
    </w:p>
    <w:p w14:paraId="5FB40C8B" w14:textId="77777777" w:rsidR="00B224B7" w:rsidRPr="00B65D57" w:rsidRDefault="00B224B7" w:rsidP="008F4848">
      <w:pPr>
        <w:spacing w:line="260" w:lineRule="atLeast"/>
        <w:ind w:left="720"/>
        <w:jc w:val="both"/>
        <w:rPr>
          <w:rFonts w:eastAsia="Calibri"/>
          <w:lang w:eastAsia="fr-FR"/>
        </w:rPr>
      </w:pPr>
      <w:r w:rsidRPr="00B65D57">
        <w:rPr>
          <w:rFonts w:eastAsia="Calibri"/>
          <w:lang w:eastAsia="en-US"/>
        </w:rPr>
        <w:t xml:space="preserve">No </w:t>
      </w:r>
      <w:r w:rsidRPr="00B65D57">
        <w:rPr>
          <w:rFonts w:eastAsia="Calibri"/>
          <w:lang w:eastAsia="en-US"/>
        </w:rPr>
        <w:tab/>
      </w:r>
      <w:r w:rsidR="002C40E6" w:rsidRPr="00B65D57">
        <w:rPr>
          <w:rFonts w:eastAsia="Calibri"/>
          <w:lang w:eastAsia="fr-FR"/>
        </w:rPr>
        <w:fldChar w:fldCharType="begin">
          <w:ffData>
            <w:name w:val=""/>
            <w:enabled/>
            <w:calcOnExit w:val="0"/>
            <w:checkBox>
              <w:sizeAuto/>
              <w:default w:val="1"/>
            </w:checkBox>
          </w:ffData>
        </w:fldChar>
      </w:r>
      <w:r w:rsidR="002C40E6" w:rsidRPr="00B65D57">
        <w:rPr>
          <w:rFonts w:eastAsia="Calibri"/>
          <w:lang w:eastAsia="fr-FR"/>
        </w:rPr>
        <w:instrText xml:space="preserve"> FORMCHECKBOX </w:instrText>
      </w:r>
      <w:r w:rsidR="004E139D">
        <w:rPr>
          <w:rFonts w:eastAsia="Calibri"/>
          <w:lang w:eastAsia="fr-FR"/>
        </w:rPr>
      </w:r>
      <w:r w:rsidR="004E139D">
        <w:rPr>
          <w:rFonts w:eastAsia="Calibri"/>
          <w:lang w:eastAsia="fr-FR"/>
        </w:rPr>
        <w:fldChar w:fldCharType="separate"/>
      </w:r>
      <w:r w:rsidR="002C40E6" w:rsidRPr="00B65D57">
        <w:rPr>
          <w:rFonts w:eastAsia="Calibri"/>
          <w:lang w:eastAsia="fr-FR"/>
        </w:rPr>
        <w:fldChar w:fldCharType="end"/>
      </w:r>
      <w:r w:rsidR="002C40E6" w:rsidRPr="00B65D57">
        <w:rPr>
          <w:rFonts w:eastAsia="Calibri"/>
          <w:lang w:eastAsia="fr-FR"/>
        </w:rPr>
        <w:t xml:space="preserve"> The active substances are evaluated under </w:t>
      </w:r>
      <w:r w:rsidR="00C22AC2" w:rsidRPr="00B65D57">
        <w:rPr>
          <w:rFonts w:eastAsia="Calibri"/>
          <w:lang w:eastAsia="fr-FR"/>
        </w:rPr>
        <w:t xml:space="preserve">Directive </w:t>
      </w:r>
      <w:r w:rsidR="002C40E6" w:rsidRPr="00B65D57">
        <w:rPr>
          <w:rFonts w:eastAsia="Calibri"/>
          <w:lang w:eastAsia="fr-FR"/>
        </w:rPr>
        <w:t>98/8/EC</w:t>
      </w:r>
      <w:r w:rsidR="00E0085F" w:rsidRPr="00B65D57">
        <w:rPr>
          <w:rFonts w:eastAsia="Calibri"/>
          <w:lang w:eastAsia="fr-FR"/>
        </w:rPr>
        <w:t xml:space="preserve"> and the product have the same identity and composition as the product evaluated in connection with the approval for listing of the active substances</w:t>
      </w:r>
    </w:p>
    <w:p w14:paraId="195209E3" w14:textId="0D1ACDE4" w:rsidR="00881601" w:rsidRPr="00B65D57" w:rsidRDefault="009A5C9B" w:rsidP="00065CC0">
      <w:pPr>
        <w:pStyle w:val="Rubrik4"/>
      </w:pPr>
      <w:bookmarkStart w:id="38" w:name="_Toc129689557"/>
      <w:r w:rsidRPr="00B65D57">
        <w:t xml:space="preserve">2.1.2.1 </w:t>
      </w:r>
      <w:r w:rsidR="00881601" w:rsidRPr="00B65D57">
        <w:t>Identity of the active substance</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5217"/>
      </w:tblGrid>
      <w:tr w:rsidR="00881601" w:rsidRPr="00B65D57" w14:paraId="1763AD0E" w14:textId="77777777" w:rsidTr="00017CF8">
        <w:tc>
          <w:tcPr>
            <w:tcW w:w="9430" w:type="dxa"/>
            <w:gridSpan w:val="2"/>
            <w:shd w:val="clear" w:color="auto" w:fill="FFFFCC"/>
          </w:tcPr>
          <w:p w14:paraId="7B5217B0" w14:textId="77777777" w:rsidR="00881601" w:rsidRPr="00B65D57" w:rsidRDefault="00881601" w:rsidP="008F4848">
            <w:pPr>
              <w:spacing w:line="260" w:lineRule="atLeast"/>
              <w:jc w:val="center"/>
              <w:rPr>
                <w:rFonts w:eastAsia="Calibri"/>
                <w:b/>
                <w:lang w:eastAsia="en-US"/>
              </w:rPr>
            </w:pPr>
            <w:r w:rsidRPr="00B65D57">
              <w:rPr>
                <w:rFonts w:eastAsia="Calibri"/>
                <w:b/>
                <w:lang w:eastAsia="en-US"/>
              </w:rPr>
              <w:t>Main constituent(s)</w:t>
            </w:r>
          </w:p>
        </w:tc>
      </w:tr>
      <w:tr w:rsidR="00881601" w:rsidRPr="00B65D57" w14:paraId="263B8713" w14:textId="77777777" w:rsidTr="00017CF8">
        <w:tc>
          <w:tcPr>
            <w:tcW w:w="4077" w:type="dxa"/>
            <w:shd w:val="clear" w:color="auto" w:fill="auto"/>
          </w:tcPr>
          <w:p w14:paraId="65F2BE23" w14:textId="77777777" w:rsidR="00881601" w:rsidRPr="00B65D57" w:rsidRDefault="00881601" w:rsidP="008F4848">
            <w:pPr>
              <w:spacing w:line="260" w:lineRule="atLeast"/>
              <w:rPr>
                <w:rFonts w:eastAsia="Calibri"/>
                <w:b/>
                <w:lang w:eastAsia="en-US"/>
              </w:rPr>
            </w:pPr>
            <w:r w:rsidRPr="00B65D57">
              <w:rPr>
                <w:rFonts w:eastAsia="Calibri"/>
                <w:b/>
                <w:lang w:eastAsia="en-US"/>
              </w:rPr>
              <w:t>ISO name</w:t>
            </w:r>
          </w:p>
        </w:tc>
        <w:tc>
          <w:tcPr>
            <w:tcW w:w="5353" w:type="dxa"/>
            <w:shd w:val="clear" w:color="auto" w:fill="auto"/>
          </w:tcPr>
          <w:p w14:paraId="2C752C91" w14:textId="77777777" w:rsidR="00881601" w:rsidRPr="00B65D57" w:rsidRDefault="00D67407" w:rsidP="008F4848">
            <w:pPr>
              <w:spacing w:line="260" w:lineRule="atLeast"/>
              <w:rPr>
                <w:rFonts w:eastAsia="Calibri"/>
                <w:lang w:eastAsia="en-US"/>
              </w:rPr>
            </w:pPr>
            <w:r w:rsidRPr="00B65D57">
              <w:rPr>
                <w:rFonts w:eastAsia="Calibri"/>
                <w:lang w:eastAsia="en-US"/>
              </w:rPr>
              <w:t>Boric acid</w:t>
            </w:r>
          </w:p>
        </w:tc>
      </w:tr>
      <w:tr w:rsidR="00881601" w:rsidRPr="00B65D57" w14:paraId="4B7AB4A1" w14:textId="77777777" w:rsidTr="00017CF8">
        <w:tc>
          <w:tcPr>
            <w:tcW w:w="4077" w:type="dxa"/>
            <w:shd w:val="clear" w:color="auto" w:fill="auto"/>
          </w:tcPr>
          <w:p w14:paraId="54B9B9EB" w14:textId="77777777" w:rsidR="00881601" w:rsidRPr="00B65D57" w:rsidRDefault="00881601" w:rsidP="008F4848">
            <w:pPr>
              <w:spacing w:line="260" w:lineRule="atLeast"/>
              <w:rPr>
                <w:rFonts w:eastAsia="Calibri"/>
                <w:b/>
                <w:lang w:eastAsia="en-US"/>
              </w:rPr>
            </w:pPr>
            <w:r w:rsidRPr="00B65D57">
              <w:rPr>
                <w:rFonts w:eastAsia="Calibri"/>
                <w:b/>
                <w:lang w:eastAsia="en-US"/>
              </w:rPr>
              <w:t>IUPAC or EC name</w:t>
            </w:r>
          </w:p>
        </w:tc>
        <w:tc>
          <w:tcPr>
            <w:tcW w:w="5353" w:type="dxa"/>
            <w:shd w:val="clear" w:color="auto" w:fill="auto"/>
          </w:tcPr>
          <w:p w14:paraId="741E5A4A" w14:textId="77777777" w:rsidR="00881601" w:rsidRPr="00B65D57" w:rsidRDefault="005D451A" w:rsidP="008F4848">
            <w:pPr>
              <w:spacing w:line="260" w:lineRule="atLeast"/>
              <w:rPr>
                <w:rFonts w:eastAsia="Calibri"/>
                <w:lang w:eastAsia="en-US"/>
              </w:rPr>
            </w:pPr>
            <w:r w:rsidRPr="00B65D57">
              <w:rPr>
                <w:rFonts w:eastAsia="Calibri"/>
                <w:lang w:eastAsia="en-US"/>
              </w:rPr>
              <w:t>Boric acid</w:t>
            </w:r>
          </w:p>
        </w:tc>
      </w:tr>
      <w:tr w:rsidR="00881601" w:rsidRPr="00B65D57" w14:paraId="59F9A574" w14:textId="77777777" w:rsidTr="00017CF8">
        <w:tc>
          <w:tcPr>
            <w:tcW w:w="4077" w:type="dxa"/>
            <w:shd w:val="clear" w:color="auto" w:fill="auto"/>
          </w:tcPr>
          <w:p w14:paraId="3D70661F" w14:textId="77777777" w:rsidR="00881601" w:rsidRPr="00B65D57" w:rsidRDefault="00881601" w:rsidP="008F4848">
            <w:pPr>
              <w:spacing w:line="260" w:lineRule="atLeast"/>
              <w:rPr>
                <w:rFonts w:eastAsia="Calibri"/>
                <w:b/>
                <w:lang w:eastAsia="en-US"/>
              </w:rPr>
            </w:pPr>
            <w:r w:rsidRPr="00B65D57">
              <w:rPr>
                <w:rFonts w:eastAsia="Calibri"/>
                <w:b/>
                <w:lang w:eastAsia="en-US"/>
              </w:rPr>
              <w:t>EC number</w:t>
            </w:r>
          </w:p>
        </w:tc>
        <w:tc>
          <w:tcPr>
            <w:tcW w:w="5353" w:type="dxa"/>
            <w:shd w:val="clear" w:color="auto" w:fill="auto"/>
          </w:tcPr>
          <w:p w14:paraId="1C0A80BD" w14:textId="77777777" w:rsidR="00881601" w:rsidRPr="00B65D57" w:rsidRDefault="005D451A" w:rsidP="008F4848">
            <w:pPr>
              <w:spacing w:line="260" w:lineRule="atLeast"/>
              <w:rPr>
                <w:rFonts w:eastAsia="Calibri"/>
                <w:lang w:eastAsia="en-US"/>
              </w:rPr>
            </w:pPr>
            <w:r w:rsidRPr="00B65D57">
              <w:rPr>
                <w:rFonts w:eastAsia="Calibri"/>
                <w:lang w:eastAsia="en-US"/>
              </w:rPr>
              <w:t>233-139-2</w:t>
            </w:r>
          </w:p>
        </w:tc>
      </w:tr>
      <w:tr w:rsidR="00881601" w:rsidRPr="00B65D57" w14:paraId="1E4C270B" w14:textId="77777777" w:rsidTr="00017CF8">
        <w:tc>
          <w:tcPr>
            <w:tcW w:w="4077" w:type="dxa"/>
            <w:shd w:val="clear" w:color="auto" w:fill="auto"/>
          </w:tcPr>
          <w:p w14:paraId="594D4854" w14:textId="77777777" w:rsidR="00881601" w:rsidRPr="00B65D57" w:rsidRDefault="00881601" w:rsidP="008F4848">
            <w:pPr>
              <w:spacing w:line="260" w:lineRule="atLeast"/>
              <w:rPr>
                <w:rFonts w:eastAsia="Calibri"/>
                <w:b/>
                <w:lang w:eastAsia="en-US"/>
              </w:rPr>
            </w:pPr>
            <w:r w:rsidRPr="00B65D57">
              <w:rPr>
                <w:rFonts w:eastAsia="Calibri"/>
                <w:b/>
                <w:lang w:eastAsia="en-US"/>
              </w:rPr>
              <w:t>CAS number</w:t>
            </w:r>
          </w:p>
        </w:tc>
        <w:tc>
          <w:tcPr>
            <w:tcW w:w="5353" w:type="dxa"/>
            <w:shd w:val="clear" w:color="auto" w:fill="auto"/>
          </w:tcPr>
          <w:p w14:paraId="04DC9BA8" w14:textId="77777777" w:rsidR="00881601" w:rsidRPr="00B65D57" w:rsidRDefault="00A44166" w:rsidP="008F4848">
            <w:pPr>
              <w:spacing w:line="260" w:lineRule="atLeast"/>
              <w:rPr>
                <w:rFonts w:eastAsia="Calibri"/>
                <w:lang w:eastAsia="en-US"/>
              </w:rPr>
            </w:pPr>
            <w:r w:rsidRPr="00B65D57">
              <w:rPr>
                <w:rFonts w:eastAsia="Calibri"/>
                <w:lang w:eastAsia="en-US"/>
              </w:rPr>
              <w:t>10043-35-3</w:t>
            </w:r>
          </w:p>
        </w:tc>
      </w:tr>
      <w:tr w:rsidR="00881601" w:rsidRPr="00B65D57" w14:paraId="3E3E523A" w14:textId="77777777" w:rsidTr="00017CF8">
        <w:tc>
          <w:tcPr>
            <w:tcW w:w="4077" w:type="dxa"/>
            <w:shd w:val="clear" w:color="auto" w:fill="auto"/>
          </w:tcPr>
          <w:p w14:paraId="6A828E83" w14:textId="77777777" w:rsidR="00881601" w:rsidRPr="00B65D57" w:rsidRDefault="00881601" w:rsidP="008F4848">
            <w:pPr>
              <w:spacing w:line="260" w:lineRule="atLeast"/>
              <w:rPr>
                <w:rFonts w:eastAsia="Calibri"/>
                <w:b/>
                <w:lang w:eastAsia="en-US"/>
              </w:rPr>
            </w:pPr>
            <w:r w:rsidRPr="00B65D57">
              <w:rPr>
                <w:rFonts w:eastAsia="Calibri"/>
                <w:b/>
                <w:lang w:eastAsia="en-US"/>
              </w:rPr>
              <w:t>Index number in Annex VI of CLP</w:t>
            </w:r>
          </w:p>
        </w:tc>
        <w:tc>
          <w:tcPr>
            <w:tcW w:w="5353" w:type="dxa"/>
            <w:shd w:val="clear" w:color="auto" w:fill="auto"/>
          </w:tcPr>
          <w:p w14:paraId="2DA2164D" w14:textId="77777777" w:rsidR="00881601" w:rsidRPr="00B65D57" w:rsidRDefault="0039691C" w:rsidP="008F4848">
            <w:pPr>
              <w:spacing w:line="260" w:lineRule="atLeast"/>
              <w:rPr>
                <w:rFonts w:eastAsia="Calibri"/>
                <w:lang w:eastAsia="en-US"/>
              </w:rPr>
            </w:pPr>
            <w:r w:rsidRPr="00B65D57">
              <w:rPr>
                <w:rFonts w:eastAsia="Calibri"/>
                <w:lang w:eastAsia="en-US"/>
              </w:rPr>
              <w:t>005-007-00-2</w:t>
            </w:r>
          </w:p>
        </w:tc>
      </w:tr>
      <w:tr w:rsidR="00881601" w:rsidRPr="00B65D57" w14:paraId="7A3E7A8F" w14:textId="77777777" w:rsidTr="00017CF8">
        <w:tc>
          <w:tcPr>
            <w:tcW w:w="4077" w:type="dxa"/>
            <w:shd w:val="clear" w:color="auto" w:fill="auto"/>
          </w:tcPr>
          <w:p w14:paraId="77E55522" w14:textId="77777777" w:rsidR="00881601" w:rsidRPr="00B65D57" w:rsidRDefault="00881601" w:rsidP="008F4848">
            <w:pPr>
              <w:spacing w:line="260" w:lineRule="atLeast"/>
              <w:rPr>
                <w:rFonts w:eastAsia="Calibri"/>
                <w:b/>
                <w:lang w:eastAsia="en-US"/>
              </w:rPr>
            </w:pPr>
            <w:r w:rsidRPr="00B65D57">
              <w:rPr>
                <w:rFonts w:eastAsia="Calibri"/>
                <w:b/>
                <w:lang w:eastAsia="en-US"/>
              </w:rPr>
              <w:t>Minimum purity / content</w:t>
            </w:r>
          </w:p>
        </w:tc>
        <w:tc>
          <w:tcPr>
            <w:tcW w:w="5353" w:type="dxa"/>
            <w:shd w:val="clear" w:color="auto" w:fill="auto"/>
          </w:tcPr>
          <w:p w14:paraId="33FFDFEE" w14:textId="3D8E4090" w:rsidR="00881601" w:rsidRPr="00B65D57" w:rsidRDefault="00DF72D7" w:rsidP="008F4848">
            <w:pPr>
              <w:spacing w:line="260" w:lineRule="atLeast"/>
              <w:rPr>
                <w:rFonts w:eastAsia="Calibri"/>
                <w:lang w:eastAsia="en-US"/>
              </w:rPr>
            </w:pPr>
            <w:r w:rsidRPr="00B65D57">
              <w:rPr>
                <w:rFonts w:eastAsia="Calibri"/>
                <w:lang w:eastAsia="en-US"/>
              </w:rPr>
              <w:t>99.</w:t>
            </w:r>
            <w:r w:rsidR="004770F6" w:rsidRPr="00B65D57">
              <w:rPr>
                <w:rFonts w:eastAsia="Calibri"/>
                <w:lang w:eastAsia="en-US"/>
              </w:rPr>
              <w:t>0</w:t>
            </w:r>
            <w:r w:rsidR="00A44166" w:rsidRPr="00B65D57">
              <w:rPr>
                <w:rFonts w:eastAsia="Calibri"/>
                <w:lang w:eastAsia="en-US"/>
              </w:rPr>
              <w:t>%</w:t>
            </w:r>
            <w:r w:rsidR="00334DAC" w:rsidRPr="00B65D57">
              <w:rPr>
                <w:rFonts w:eastAsia="Calibri"/>
                <w:lang w:eastAsia="en-US"/>
              </w:rPr>
              <w:t xml:space="preserve"> </w:t>
            </w:r>
            <w:r w:rsidR="008C2A60" w:rsidRPr="00B65D57">
              <w:rPr>
                <w:rFonts w:eastAsia="Calibri"/>
                <w:lang w:eastAsia="en-US"/>
              </w:rPr>
              <w:t xml:space="preserve">w/w </w:t>
            </w:r>
            <w:r w:rsidR="00334DAC" w:rsidRPr="00B65D57">
              <w:rPr>
                <w:rFonts w:eastAsia="Calibri"/>
                <w:lang w:eastAsia="en-US"/>
              </w:rPr>
              <w:t>(99</w:t>
            </w:r>
            <w:r w:rsidR="004770F6" w:rsidRPr="00B65D57">
              <w:rPr>
                <w:rFonts w:eastAsia="Calibri"/>
                <w:lang w:eastAsia="en-US"/>
              </w:rPr>
              <w:t>0</w:t>
            </w:r>
            <w:r w:rsidR="00334DAC" w:rsidRPr="00B65D57">
              <w:rPr>
                <w:rFonts w:eastAsia="Calibri"/>
                <w:lang w:eastAsia="en-US"/>
              </w:rPr>
              <w:t xml:space="preserve"> g/kg)</w:t>
            </w:r>
          </w:p>
        </w:tc>
      </w:tr>
      <w:tr w:rsidR="00881601" w:rsidRPr="00B65D57" w14:paraId="7721BAD4" w14:textId="77777777" w:rsidTr="00873AF4">
        <w:trPr>
          <w:trHeight w:val="1359"/>
        </w:trPr>
        <w:tc>
          <w:tcPr>
            <w:tcW w:w="4077" w:type="dxa"/>
            <w:shd w:val="clear" w:color="auto" w:fill="auto"/>
          </w:tcPr>
          <w:p w14:paraId="49F0BCA1" w14:textId="77777777" w:rsidR="00881601" w:rsidRPr="00B65D57" w:rsidRDefault="00881601" w:rsidP="008F4848">
            <w:pPr>
              <w:spacing w:line="260" w:lineRule="atLeast"/>
              <w:rPr>
                <w:rFonts w:eastAsia="Calibri"/>
                <w:b/>
                <w:lang w:eastAsia="en-US"/>
              </w:rPr>
            </w:pPr>
            <w:r w:rsidRPr="00B65D57">
              <w:rPr>
                <w:rFonts w:eastAsia="Calibri"/>
                <w:b/>
                <w:lang w:eastAsia="en-US"/>
              </w:rPr>
              <w:t>Structural formula</w:t>
            </w:r>
          </w:p>
        </w:tc>
        <w:tc>
          <w:tcPr>
            <w:tcW w:w="5353" w:type="dxa"/>
            <w:shd w:val="clear" w:color="auto" w:fill="auto"/>
          </w:tcPr>
          <w:p w14:paraId="33814FEB" w14:textId="49FA380E" w:rsidR="00A44166" w:rsidRPr="00B65D57" w:rsidRDefault="00A44166" w:rsidP="008F4848">
            <w:pPr>
              <w:spacing w:line="260" w:lineRule="atLeast"/>
              <w:rPr>
                <w:noProof/>
              </w:rPr>
            </w:pPr>
          </w:p>
          <w:p w14:paraId="02E3C5A3" w14:textId="6DDD0492" w:rsidR="00881601" w:rsidRPr="00B65D57" w:rsidRDefault="00C53541" w:rsidP="008F4848">
            <w:pPr>
              <w:spacing w:line="260" w:lineRule="atLeast"/>
              <w:rPr>
                <w:noProof/>
              </w:rPr>
            </w:pPr>
            <w:r w:rsidRPr="00B65D57">
              <w:rPr>
                <w:noProof/>
              </w:rPr>
              <w:drawing>
                <wp:inline distT="0" distB="0" distL="0" distR="0" wp14:anchorId="3E3A9E9F" wp14:editId="69E41BB1">
                  <wp:extent cx="657860" cy="559305"/>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10"/>
                          <a:stretch>
                            <a:fillRect/>
                          </a:stretch>
                        </pic:blipFill>
                        <pic:spPr>
                          <a:xfrm>
                            <a:off x="0" y="0"/>
                            <a:ext cx="657860" cy="558800"/>
                          </a:xfrm>
                          <a:prstGeom prst="rect">
                            <a:avLst/>
                          </a:prstGeom>
                        </pic:spPr>
                      </pic:pic>
                    </a:graphicData>
                  </a:graphic>
                </wp:inline>
              </w:drawing>
            </w:r>
          </w:p>
        </w:tc>
      </w:tr>
    </w:tbl>
    <w:p w14:paraId="64095532" w14:textId="77777777" w:rsidR="00881601" w:rsidRPr="00B65D57" w:rsidRDefault="00881601" w:rsidP="008F4848">
      <w:pPr>
        <w:spacing w:line="260" w:lineRule="atLeast"/>
        <w:jc w:val="both"/>
        <w:rPr>
          <w:rFonts w:eastAsia="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246"/>
      </w:tblGrid>
      <w:tr w:rsidR="005606C3" w:rsidRPr="00B65D57" w14:paraId="535E8CF6" w14:textId="77777777" w:rsidTr="006159F9">
        <w:tc>
          <w:tcPr>
            <w:tcW w:w="9430" w:type="dxa"/>
            <w:gridSpan w:val="2"/>
            <w:shd w:val="clear" w:color="auto" w:fill="FFFFCC"/>
          </w:tcPr>
          <w:p w14:paraId="55164B96" w14:textId="77777777" w:rsidR="005606C3" w:rsidRPr="00B65D57" w:rsidRDefault="005606C3" w:rsidP="008F4848">
            <w:pPr>
              <w:spacing w:line="260" w:lineRule="atLeast"/>
              <w:jc w:val="center"/>
              <w:rPr>
                <w:rFonts w:eastAsia="Calibri"/>
                <w:b/>
                <w:lang w:eastAsia="en-US"/>
              </w:rPr>
            </w:pPr>
            <w:r w:rsidRPr="00B65D57">
              <w:rPr>
                <w:rFonts w:eastAsia="Calibri"/>
                <w:b/>
                <w:lang w:eastAsia="en-US"/>
              </w:rPr>
              <w:t>Main constituent(s)</w:t>
            </w:r>
          </w:p>
        </w:tc>
      </w:tr>
      <w:tr w:rsidR="005606C3" w:rsidRPr="00B65D57" w14:paraId="2CD8E307" w14:textId="77777777" w:rsidTr="006159F9">
        <w:tc>
          <w:tcPr>
            <w:tcW w:w="4077" w:type="dxa"/>
            <w:shd w:val="clear" w:color="auto" w:fill="auto"/>
          </w:tcPr>
          <w:p w14:paraId="6D52A08A" w14:textId="77777777" w:rsidR="005606C3" w:rsidRPr="00B65D57" w:rsidRDefault="005606C3" w:rsidP="008F4848">
            <w:pPr>
              <w:spacing w:line="260" w:lineRule="atLeast"/>
              <w:rPr>
                <w:rFonts w:eastAsia="Calibri"/>
                <w:b/>
                <w:lang w:eastAsia="en-US"/>
              </w:rPr>
            </w:pPr>
            <w:r w:rsidRPr="00B65D57">
              <w:rPr>
                <w:rFonts w:eastAsia="Calibri"/>
                <w:b/>
                <w:lang w:eastAsia="en-US"/>
              </w:rPr>
              <w:t>ISO name</w:t>
            </w:r>
          </w:p>
        </w:tc>
        <w:tc>
          <w:tcPr>
            <w:tcW w:w="5353" w:type="dxa"/>
            <w:shd w:val="clear" w:color="auto" w:fill="auto"/>
          </w:tcPr>
          <w:p w14:paraId="15E5D2E9" w14:textId="4FC9A7FC" w:rsidR="005606C3" w:rsidRPr="00B65D57" w:rsidRDefault="00334DAC" w:rsidP="008F4848">
            <w:pPr>
              <w:spacing w:line="260" w:lineRule="atLeast"/>
              <w:rPr>
                <w:rFonts w:eastAsia="Calibri"/>
                <w:lang w:eastAsia="en-US"/>
              </w:rPr>
            </w:pPr>
            <w:r w:rsidRPr="00B65D57">
              <w:rPr>
                <w:rFonts w:eastAsia="Calibri"/>
                <w:lang w:eastAsia="en-US"/>
              </w:rPr>
              <w:t xml:space="preserve">Disodium tetraborate </w:t>
            </w:r>
            <w:r w:rsidR="00616E92" w:rsidRPr="00B65D57">
              <w:rPr>
                <w:rFonts w:eastAsia="Calibri"/>
                <w:lang w:eastAsia="en-US"/>
              </w:rPr>
              <w:t>penta</w:t>
            </w:r>
            <w:r w:rsidRPr="00B65D57">
              <w:rPr>
                <w:rFonts w:eastAsia="Calibri"/>
                <w:lang w:eastAsia="en-US"/>
              </w:rPr>
              <w:t>hydrate</w:t>
            </w:r>
          </w:p>
        </w:tc>
      </w:tr>
      <w:tr w:rsidR="005606C3" w:rsidRPr="00B65D57" w14:paraId="1109AE6C" w14:textId="77777777" w:rsidTr="006159F9">
        <w:tc>
          <w:tcPr>
            <w:tcW w:w="4077" w:type="dxa"/>
            <w:shd w:val="clear" w:color="auto" w:fill="auto"/>
          </w:tcPr>
          <w:p w14:paraId="178A47BB" w14:textId="77777777" w:rsidR="005606C3" w:rsidRPr="00B65D57" w:rsidRDefault="005606C3" w:rsidP="008F4848">
            <w:pPr>
              <w:spacing w:line="260" w:lineRule="atLeast"/>
              <w:rPr>
                <w:rFonts w:eastAsia="Calibri"/>
                <w:b/>
                <w:lang w:eastAsia="en-US"/>
              </w:rPr>
            </w:pPr>
            <w:r w:rsidRPr="00B65D57">
              <w:rPr>
                <w:rFonts w:eastAsia="Calibri"/>
                <w:b/>
                <w:lang w:eastAsia="en-US"/>
              </w:rPr>
              <w:t>IUPAC or EC name</w:t>
            </w:r>
          </w:p>
        </w:tc>
        <w:tc>
          <w:tcPr>
            <w:tcW w:w="5353" w:type="dxa"/>
            <w:shd w:val="clear" w:color="auto" w:fill="auto"/>
          </w:tcPr>
          <w:p w14:paraId="2EEE8FA6" w14:textId="212EEE8E" w:rsidR="005606C3" w:rsidRPr="00B65D57" w:rsidRDefault="005D451A" w:rsidP="008F4848">
            <w:pPr>
              <w:spacing w:line="260" w:lineRule="atLeast"/>
              <w:rPr>
                <w:rFonts w:eastAsia="Calibri"/>
                <w:lang w:eastAsia="en-US"/>
              </w:rPr>
            </w:pPr>
            <w:r w:rsidRPr="00B65D57">
              <w:rPr>
                <w:rFonts w:eastAsia="Calibri"/>
                <w:lang w:eastAsia="en-US"/>
              </w:rPr>
              <w:t xml:space="preserve">Disodium tetraborate </w:t>
            </w:r>
            <w:r w:rsidR="00616E92" w:rsidRPr="00B65D57">
              <w:rPr>
                <w:rFonts w:eastAsia="Calibri"/>
                <w:lang w:eastAsia="en-US"/>
              </w:rPr>
              <w:t>penta</w:t>
            </w:r>
            <w:r w:rsidRPr="00B65D57">
              <w:rPr>
                <w:rFonts w:eastAsia="Calibri"/>
                <w:lang w:eastAsia="en-US"/>
              </w:rPr>
              <w:t>hydrate</w:t>
            </w:r>
          </w:p>
        </w:tc>
      </w:tr>
      <w:tr w:rsidR="005606C3" w:rsidRPr="00B65D57" w14:paraId="6432D8C5" w14:textId="77777777" w:rsidTr="006159F9">
        <w:tc>
          <w:tcPr>
            <w:tcW w:w="4077" w:type="dxa"/>
            <w:shd w:val="clear" w:color="auto" w:fill="auto"/>
          </w:tcPr>
          <w:p w14:paraId="3B7513EA" w14:textId="77777777" w:rsidR="005606C3" w:rsidRPr="00B65D57" w:rsidRDefault="005606C3" w:rsidP="008F4848">
            <w:pPr>
              <w:spacing w:line="260" w:lineRule="atLeast"/>
              <w:rPr>
                <w:rFonts w:eastAsia="Calibri"/>
                <w:b/>
                <w:lang w:eastAsia="en-US"/>
              </w:rPr>
            </w:pPr>
            <w:r w:rsidRPr="00B65D57">
              <w:rPr>
                <w:rFonts w:eastAsia="Calibri"/>
                <w:b/>
                <w:lang w:eastAsia="en-US"/>
              </w:rPr>
              <w:t>EC number</w:t>
            </w:r>
          </w:p>
        </w:tc>
        <w:tc>
          <w:tcPr>
            <w:tcW w:w="5353" w:type="dxa"/>
            <w:shd w:val="clear" w:color="auto" w:fill="auto"/>
          </w:tcPr>
          <w:p w14:paraId="1589D812" w14:textId="77777777" w:rsidR="005606C3" w:rsidRPr="00B65D57" w:rsidRDefault="00A44166" w:rsidP="008F4848">
            <w:pPr>
              <w:spacing w:line="260" w:lineRule="atLeast"/>
              <w:rPr>
                <w:rFonts w:eastAsia="Calibri"/>
                <w:lang w:eastAsia="en-US"/>
              </w:rPr>
            </w:pPr>
            <w:r w:rsidRPr="00B65D57">
              <w:rPr>
                <w:rFonts w:eastAsia="Calibri"/>
                <w:lang w:eastAsia="en-US"/>
              </w:rPr>
              <w:t>215-540-4</w:t>
            </w:r>
          </w:p>
        </w:tc>
      </w:tr>
      <w:tr w:rsidR="005606C3" w:rsidRPr="00B65D57" w14:paraId="4F0CC37C" w14:textId="77777777" w:rsidTr="006159F9">
        <w:tc>
          <w:tcPr>
            <w:tcW w:w="4077" w:type="dxa"/>
            <w:shd w:val="clear" w:color="auto" w:fill="auto"/>
          </w:tcPr>
          <w:p w14:paraId="0DB2DA2E" w14:textId="77777777" w:rsidR="005606C3" w:rsidRPr="00B65D57" w:rsidRDefault="005606C3" w:rsidP="008F4848">
            <w:pPr>
              <w:spacing w:line="260" w:lineRule="atLeast"/>
              <w:rPr>
                <w:rFonts w:eastAsia="Calibri"/>
                <w:b/>
                <w:lang w:eastAsia="en-US"/>
              </w:rPr>
            </w:pPr>
            <w:r w:rsidRPr="00B65D57">
              <w:rPr>
                <w:rFonts w:eastAsia="Calibri"/>
                <w:b/>
                <w:lang w:eastAsia="en-US"/>
              </w:rPr>
              <w:t>CAS number</w:t>
            </w:r>
          </w:p>
        </w:tc>
        <w:tc>
          <w:tcPr>
            <w:tcW w:w="5353" w:type="dxa"/>
            <w:shd w:val="clear" w:color="auto" w:fill="auto"/>
          </w:tcPr>
          <w:p w14:paraId="2168DDAC" w14:textId="53E068D6" w:rsidR="005606C3" w:rsidRPr="00B65D57" w:rsidRDefault="001F317E" w:rsidP="008F4848">
            <w:pPr>
              <w:spacing w:line="260" w:lineRule="atLeast"/>
              <w:rPr>
                <w:rFonts w:eastAsia="Calibri"/>
                <w:lang w:eastAsia="en-US"/>
              </w:rPr>
            </w:pPr>
            <w:r w:rsidRPr="00B65D57">
              <w:rPr>
                <w:rFonts w:eastAsia="Calibri"/>
                <w:lang w:eastAsia="en-US"/>
              </w:rPr>
              <w:t>12179-04-3</w:t>
            </w:r>
          </w:p>
        </w:tc>
      </w:tr>
      <w:tr w:rsidR="005606C3" w:rsidRPr="00B65D57" w14:paraId="29956BD3" w14:textId="77777777" w:rsidTr="006159F9">
        <w:tc>
          <w:tcPr>
            <w:tcW w:w="4077" w:type="dxa"/>
            <w:shd w:val="clear" w:color="auto" w:fill="auto"/>
          </w:tcPr>
          <w:p w14:paraId="37B44822" w14:textId="77777777" w:rsidR="005606C3" w:rsidRPr="00B65D57" w:rsidRDefault="005606C3" w:rsidP="008F4848">
            <w:pPr>
              <w:spacing w:line="260" w:lineRule="atLeast"/>
              <w:rPr>
                <w:rFonts w:eastAsia="Calibri"/>
                <w:b/>
                <w:lang w:eastAsia="en-US"/>
              </w:rPr>
            </w:pPr>
            <w:r w:rsidRPr="00B65D57">
              <w:rPr>
                <w:rFonts w:eastAsia="Calibri"/>
                <w:b/>
                <w:lang w:eastAsia="en-US"/>
              </w:rPr>
              <w:t>Index number in Annex VI of CLP</w:t>
            </w:r>
          </w:p>
        </w:tc>
        <w:tc>
          <w:tcPr>
            <w:tcW w:w="5353" w:type="dxa"/>
            <w:shd w:val="clear" w:color="auto" w:fill="auto"/>
          </w:tcPr>
          <w:p w14:paraId="1A402342" w14:textId="09DA32FD" w:rsidR="005606C3" w:rsidRPr="00B65D57" w:rsidRDefault="00861C1C" w:rsidP="008F4848">
            <w:pPr>
              <w:spacing w:line="260" w:lineRule="atLeast"/>
              <w:rPr>
                <w:rFonts w:eastAsia="Calibri"/>
                <w:lang w:eastAsia="en-US"/>
              </w:rPr>
            </w:pPr>
            <w:r w:rsidRPr="00B65D57">
              <w:rPr>
                <w:rFonts w:eastAsia="Calibri"/>
                <w:lang w:eastAsia="en-US"/>
              </w:rPr>
              <w:t>005-011-02-9</w:t>
            </w:r>
          </w:p>
        </w:tc>
      </w:tr>
      <w:tr w:rsidR="005606C3" w:rsidRPr="00B65D57" w14:paraId="71D93359" w14:textId="77777777" w:rsidTr="006159F9">
        <w:tc>
          <w:tcPr>
            <w:tcW w:w="4077" w:type="dxa"/>
            <w:shd w:val="clear" w:color="auto" w:fill="auto"/>
          </w:tcPr>
          <w:p w14:paraId="6456571D" w14:textId="77777777" w:rsidR="005606C3" w:rsidRPr="00B65D57" w:rsidRDefault="005606C3" w:rsidP="008F4848">
            <w:pPr>
              <w:spacing w:line="260" w:lineRule="atLeast"/>
              <w:rPr>
                <w:rFonts w:eastAsia="Calibri"/>
                <w:b/>
                <w:lang w:eastAsia="en-US"/>
              </w:rPr>
            </w:pPr>
            <w:r w:rsidRPr="00B65D57">
              <w:rPr>
                <w:rFonts w:eastAsia="Calibri"/>
                <w:b/>
                <w:lang w:eastAsia="en-US"/>
              </w:rPr>
              <w:t>Minimum purity / content</w:t>
            </w:r>
          </w:p>
        </w:tc>
        <w:tc>
          <w:tcPr>
            <w:tcW w:w="5353" w:type="dxa"/>
            <w:shd w:val="clear" w:color="auto" w:fill="auto"/>
          </w:tcPr>
          <w:p w14:paraId="5F58EF17" w14:textId="10695376" w:rsidR="005606C3" w:rsidRPr="00B65D57" w:rsidRDefault="00EC4155" w:rsidP="008F4848">
            <w:pPr>
              <w:spacing w:line="260" w:lineRule="atLeast"/>
              <w:rPr>
                <w:rFonts w:eastAsia="Calibri"/>
                <w:lang w:eastAsia="en-US"/>
              </w:rPr>
            </w:pPr>
            <w:r w:rsidRPr="00B65D57">
              <w:rPr>
                <w:rFonts w:eastAsia="Calibri"/>
                <w:lang w:eastAsia="en-US"/>
              </w:rPr>
              <w:t>99.0</w:t>
            </w:r>
            <w:r w:rsidR="00334DAC" w:rsidRPr="00B65D57">
              <w:rPr>
                <w:rFonts w:eastAsia="Calibri"/>
                <w:lang w:eastAsia="en-US"/>
              </w:rPr>
              <w:t>%</w:t>
            </w:r>
            <w:r w:rsidR="00DB0820" w:rsidRPr="00B65D57">
              <w:rPr>
                <w:rFonts w:eastAsia="Calibri"/>
                <w:lang w:eastAsia="en-US"/>
              </w:rPr>
              <w:t xml:space="preserve"> </w:t>
            </w:r>
            <w:r w:rsidR="00A44166" w:rsidRPr="00B65D57">
              <w:rPr>
                <w:rFonts w:eastAsia="Calibri"/>
                <w:lang w:eastAsia="en-US"/>
              </w:rPr>
              <w:t>w/w</w:t>
            </w:r>
            <w:r w:rsidR="00DE0193" w:rsidRPr="00B65D57">
              <w:rPr>
                <w:rFonts w:eastAsia="Calibri"/>
                <w:lang w:eastAsia="en-US"/>
              </w:rPr>
              <w:t xml:space="preserve"> (99</w:t>
            </w:r>
            <w:r w:rsidRPr="00B65D57">
              <w:rPr>
                <w:rFonts w:eastAsia="Calibri"/>
                <w:lang w:eastAsia="en-US"/>
              </w:rPr>
              <w:t>0</w:t>
            </w:r>
            <w:r w:rsidR="00DE0193" w:rsidRPr="00B65D57">
              <w:rPr>
                <w:rFonts w:eastAsia="Calibri"/>
                <w:lang w:eastAsia="en-US"/>
              </w:rPr>
              <w:t xml:space="preserve"> g/kg) </w:t>
            </w:r>
          </w:p>
        </w:tc>
      </w:tr>
      <w:tr w:rsidR="005606C3" w:rsidRPr="00B65D57" w14:paraId="33032C55" w14:textId="77777777" w:rsidTr="006159F9">
        <w:trPr>
          <w:trHeight w:val="1359"/>
        </w:trPr>
        <w:tc>
          <w:tcPr>
            <w:tcW w:w="4077" w:type="dxa"/>
            <w:shd w:val="clear" w:color="auto" w:fill="auto"/>
          </w:tcPr>
          <w:p w14:paraId="3493D00C" w14:textId="77777777" w:rsidR="005606C3" w:rsidRPr="00B65D57" w:rsidRDefault="005606C3" w:rsidP="008F4848">
            <w:pPr>
              <w:spacing w:line="260" w:lineRule="atLeast"/>
              <w:rPr>
                <w:rFonts w:eastAsia="Calibri"/>
                <w:b/>
                <w:lang w:eastAsia="en-US"/>
              </w:rPr>
            </w:pPr>
            <w:r w:rsidRPr="00B65D57">
              <w:rPr>
                <w:rFonts w:eastAsia="Calibri"/>
                <w:b/>
                <w:lang w:eastAsia="en-US"/>
              </w:rPr>
              <w:t>Structural formula</w:t>
            </w:r>
          </w:p>
        </w:tc>
        <w:tc>
          <w:tcPr>
            <w:tcW w:w="5353" w:type="dxa"/>
            <w:shd w:val="clear" w:color="auto" w:fill="auto"/>
          </w:tcPr>
          <w:p w14:paraId="34DA3D19" w14:textId="77777777" w:rsidR="00544A33" w:rsidRPr="00B65D57" w:rsidRDefault="00544A33" w:rsidP="008F4848">
            <w:pPr>
              <w:spacing w:line="260" w:lineRule="atLeast"/>
              <w:rPr>
                <w:noProof/>
              </w:rPr>
            </w:pPr>
          </w:p>
          <w:p w14:paraId="35330DFE" w14:textId="5469C102" w:rsidR="005606C3" w:rsidRPr="00B65D57" w:rsidRDefault="00A5658C" w:rsidP="008F4848">
            <w:pPr>
              <w:spacing w:line="260" w:lineRule="atLeast"/>
              <w:rPr>
                <w:noProof/>
              </w:rPr>
            </w:pPr>
            <w:r w:rsidRPr="00B65D57">
              <w:rPr>
                <w:noProof/>
              </w:rPr>
              <w:t xml:space="preserve"> </w:t>
            </w:r>
            <w:r w:rsidR="00C53541" w:rsidRPr="00B65D57">
              <w:rPr>
                <w:noProof/>
              </w:rPr>
              <w:drawing>
                <wp:inline distT="0" distB="0" distL="0" distR="0" wp14:anchorId="6F073EA6" wp14:editId="1BD98312">
                  <wp:extent cx="1711325" cy="1009934"/>
                  <wp:effectExtent l="0" t="0" r="3175" b="0"/>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711325" cy="1009934"/>
                          </a:xfrm>
                          <a:prstGeom prst="rect">
                            <a:avLst/>
                          </a:prstGeom>
                          <a:noFill/>
                          <a:ln>
                            <a:noFill/>
                          </a:ln>
                          <a:extLst>
                            <a:ext uri="{53640926-AAD7-44D8-BBD7-CCE9431645EC}">
                              <a14:shadowObscured xmlns:a14="http://schemas.microsoft.com/office/drawing/2010/main"/>
                            </a:ext>
                          </a:extLst>
                        </pic:spPr>
                      </pic:pic>
                    </a:graphicData>
                  </a:graphic>
                </wp:inline>
              </w:drawing>
            </w:r>
            <w:r w:rsidR="00A44166" w:rsidRPr="00B65D57">
              <w:rPr>
                <w:noProof/>
              </w:rPr>
              <w:t xml:space="preserve"> </w:t>
            </w:r>
          </w:p>
          <w:p w14:paraId="02AC9CAC" w14:textId="77777777" w:rsidR="000E5E0F" w:rsidRPr="00B65D57" w:rsidRDefault="000E5E0F" w:rsidP="008F4848">
            <w:pPr>
              <w:spacing w:line="260" w:lineRule="atLeast"/>
              <w:rPr>
                <w:rFonts w:eastAsia="Calibri"/>
                <w:lang w:eastAsia="en-US"/>
              </w:rPr>
            </w:pPr>
          </w:p>
        </w:tc>
      </w:tr>
    </w:tbl>
    <w:p w14:paraId="1BC8750D" w14:textId="3ED166F9" w:rsidR="00DF6CFE" w:rsidRPr="00B65D57" w:rsidRDefault="009A5C9B" w:rsidP="00065CC0">
      <w:pPr>
        <w:pStyle w:val="Rubrik4"/>
      </w:pPr>
      <w:bookmarkStart w:id="39" w:name="_Toc129689558"/>
      <w:r w:rsidRPr="00B65D57">
        <w:t xml:space="preserve">2.1.2.2. </w:t>
      </w:r>
      <w:r w:rsidR="00AE0AC7" w:rsidRPr="00B65D57">
        <w:t>Candidate(s) for substitution</w:t>
      </w:r>
      <w:bookmarkEnd w:id="39"/>
    </w:p>
    <w:p w14:paraId="387042F0" w14:textId="327E831B" w:rsidR="006B06D4" w:rsidRPr="00B65D57" w:rsidRDefault="00BA2019" w:rsidP="008F4848">
      <w:pPr>
        <w:spacing w:line="260" w:lineRule="atLeast"/>
        <w:jc w:val="both"/>
        <w:rPr>
          <w:rFonts w:eastAsia="Calibri"/>
          <w:lang w:eastAsia="fr-FR"/>
        </w:rPr>
      </w:pPr>
      <w:r w:rsidRPr="00B65D57">
        <w:rPr>
          <w:rFonts w:eastAsia="Calibri"/>
          <w:lang w:eastAsia="fr-FR"/>
        </w:rPr>
        <w:t>The act</w:t>
      </w:r>
      <w:r w:rsidR="002F6A90" w:rsidRPr="00B65D57">
        <w:rPr>
          <w:rFonts w:eastAsia="Calibri"/>
          <w:lang w:eastAsia="fr-FR"/>
        </w:rPr>
        <w:t xml:space="preserve">ive </w:t>
      </w:r>
      <w:r w:rsidR="18C8CFB2" w:rsidRPr="00B65D57">
        <w:rPr>
          <w:rFonts w:eastAsia="Calibri"/>
          <w:lang w:eastAsia="fr-FR"/>
        </w:rPr>
        <w:t>substances</w:t>
      </w:r>
      <w:r w:rsidR="002F6A90" w:rsidRPr="00B65D57">
        <w:rPr>
          <w:rFonts w:eastAsia="Calibri"/>
          <w:lang w:eastAsia="fr-FR"/>
        </w:rPr>
        <w:t xml:space="preserve"> are classified </w:t>
      </w:r>
      <w:r w:rsidR="00004B4D" w:rsidRPr="00B65D57">
        <w:rPr>
          <w:rFonts w:eastAsia="Calibri"/>
          <w:lang w:eastAsia="fr-FR"/>
        </w:rPr>
        <w:t>in accordance with Regulation (EC) No</w:t>
      </w:r>
      <w:r w:rsidR="002F6A90" w:rsidRPr="00B65D57">
        <w:rPr>
          <w:rFonts w:eastAsia="Calibri"/>
          <w:lang w:eastAsia="fr-FR"/>
        </w:rPr>
        <w:t xml:space="preserve"> 1272/2008 as toxic for repr</w:t>
      </w:r>
      <w:r w:rsidR="00FA7758" w:rsidRPr="00B65D57">
        <w:rPr>
          <w:rFonts w:eastAsia="Calibri"/>
          <w:lang w:eastAsia="fr-FR"/>
        </w:rPr>
        <w:t>oduction category</w:t>
      </w:r>
      <w:r w:rsidR="00254132" w:rsidRPr="00B65D57">
        <w:rPr>
          <w:rFonts w:eastAsia="Calibri"/>
          <w:lang w:eastAsia="fr-FR"/>
        </w:rPr>
        <w:t xml:space="preserve"> 1B (H360FD)</w:t>
      </w:r>
      <w:r w:rsidR="006B06D4" w:rsidRPr="00B65D57">
        <w:t xml:space="preserve"> </w:t>
      </w:r>
      <w:r w:rsidR="006B06D4" w:rsidRPr="00B65D57">
        <w:rPr>
          <w:rFonts w:eastAsia="Calibri"/>
          <w:lang w:eastAsia="fr-FR"/>
        </w:rPr>
        <w:t xml:space="preserve">and therefore meets the exclusion criteria listed in Article 5(1) of Regulation 528/2012. As the draft CAR was submitted prior to September </w:t>
      </w:r>
      <w:r w:rsidR="006B06D4" w:rsidRPr="00B65D57">
        <w:rPr>
          <w:rFonts w:eastAsia="Calibri"/>
          <w:lang w:eastAsia="fr-FR"/>
        </w:rPr>
        <w:lastRenderedPageBreak/>
        <w:t xml:space="preserve">2013 it has not yet been assessed for whether it meets the </w:t>
      </w:r>
      <w:r w:rsidR="00182863" w:rsidRPr="00B65D57">
        <w:rPr>
          <w:rFonts w:eastAsia="Calibri"/>
          <w:lang w:eastAsia="fr-FR"/>
        </w:rPr>
        <w:t>criteria for exception</w:t>
      </w:r>
      <w:r w:rsidR="006B06D4" w:rsidRPr="00B65D57">
        <w:rPr>
          <w:rFonts w:eastAsia="Calibri"/>
          <w:lang w:eastAsia="fr-FR"/>
        </w:rPr>
        <w:t xml:space="preserve"> under Article </w:t>
      </w:r>
      <w:r w:rsidR="00EB1266" w:rsidRPr="00B65D57">
        <w:rPr>
          <w:rFonts w:eastAsia="Calibri"/>
          <w:lang w:eastAsia="fr-FR"/>
        </w:rPr>
        <w:t xml:space="preserve">5(2) </w:t>
      </w:r>
      <w:r w:rsidR="00251079">
        <w:rPr>
          <w:rFonts w:eastAsia="Calibri"/>
          <w:lang w:eastAsia="fr-FR"/>
        </w:rPr>
        <w:t>and</w:t>
      </w:r>
      <w:r w:rsidR="006B06D4" w:rsidRPr="00B65D57">
        <w:rPr>
          <w:rFonts w:eastAsia="Calibri"/>
          <w:lang w:eastAsia="fr-FR"/>
        </w:rPr>
        <w:t xml:space="preserve"> is a candidate for substitution in accordance with Article 10 of BPR.</w:t>
      </w:r>
    </w:p>
    <w:p w14:paraId="478DB0AE" w14:textId="5E0674A4" w:rsidR="00234C10" w:rsidRPr="00B65D57" w:rsidRDefault="009A5C9B" w:rsidP="00065CC0">
      <w:pPr>
        <w:pStyle w:val="Rubrik4"/>
      </w:pPr>
      <w:bookmarkStart w:id="40" w:name="_Toc129689559"/>
      <w:r w:rsidRPr="00B65D57">
        <w:t xml:space="preserve">2.1.2.3 </w:t>
      </w:r>
      <w:r w:rsidR="00234C10" w:rsidRPr="00B65D57">
        <w:t xml:space="preserve">Qualitative and quantitative information on the composition of the </w:t>
      </w:r>
      <w:r w:rsidR="00B224B7" w:rsidRPr="00B65D57">
        <w:t>biocidal product</w:t>
      </w:r>
      <w:bookmarkEnd w:id="40"/>
      <w:r w:rsidR="00B224B7" w:rsidRPr="00B65D57">
        <w:rPr>
          <w:vertAlign w:val="superscript"/>
        </w:rPr>
        <w:t xml:space="preserve"> </w:t>
      </w:r>
      <w:bookmarkEnd w:id="35"/>
    </w:p>
    <w:tbl>
      <w:tblPr>
        <w:tblW w:w="9201" w:type="dxa"/>
        <w:tblInd w:w="45" w:type="dxa"/>
        <w:tblLayout w:type="fixed"/>
        <w:tblCellMar>
          <w:left w:w="0" w:type="dxa"/>
          <w:right w:w="0" w:type="dxa"/>
        </w:tblCellMar>
        <w:tblLook w:val="0000" w:firstRow="0" w:lastRow="0" w:firstColumn="0" w:lastColumn="0" w:noHBand="0" w:noVBand="0"/>
      </w:tblPr>
      <w:tblGrid>
        <w:gridCol w:w="2256"/>
        <w:gridCol w:w="1522"/>
        <w:gridCol w:w="1353"/>
        <w:gridCol w:w="1353"/>
        <w:gridCol w:w="1353"/>
        <w:gridCol w:w="1353"/>
        <w:gridCol w:w="11"/>
      </w:tblGrid>
      <w:tr w:rsidR="00B224B7" w:rsidRPr="00B65D57" w14:paraId="30FBC93E" w14:textId="77777777" w:rsidTr="00EB1266">
        <w:trPr>
          <w:gridAfter w:val="1"/>
          <w:wAfter w:w="11" w:type="dxa"/>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4DF05E" w14:textId="77777777" w:rsidR="00B224B7" w:rsidRPr="00B65D57" w:rsidRDefault="00B224B7" w:rsidP="00EB1266">
            <w:pPr>
              <w:jc w:val="center"/>
            </w:pPr>
            <w:bookmarkStart w:id="41" w:name="_Hlk98750580"/>
            <w:r w:rsidRPr="00B65D57">
              <w:rPr>
                <w:b/>
                <w:bCs/>
                <w:color w:val="000000"/>
                <w:szCs w:val="24"/>
                <w:lang w:eastAsia="en-GB"/>
              </w:rPr>
              <w:t>Common name</w:t>
            </w:r>
          </w:p>
        </w:tc>
        <w:tc>
          <w:tcPr>
            <w:tcW w:w="1522"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10B3199" w14:textId="77777777" w:rsidR="00B224B7" w:rsidRPr="00B65D57" w:rsidRDefault="00B224B7" w:rsidP="00EB1266">
            <w:pPr>
              <w:jc w:val="center"/>
            </w:pPr>
            <w:r w:rsidRPr="00B65D57">
              <w:rPr>
                <w:b/>
                <w:bCs/>
                <w:color w:val="000000"/>
                <w:szCs w:val="24"/>
                <w:lang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57A8030" w14:textId="77777777" w:rsidR="00B224B7" w:rsidRPr="00B65D57" w:rsidRDefault="00B224B7" w:rsidP="00EB1266">
            <w:pPr>
              <w:jc w:val="center"/>
            </w:pPr>
            <w:r w:rsidRPr="00B65D57">
              <w:rPr>
                <w:b/>
                <w:bCs/>
                <w:color w:val="000000"/>
                <w:szCs w:val="24"/>
                <w:lang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794A7D3" w14:textId="77777777" w:rsidR="00B224B7" w:rsidRPr="00B65D57" w:rsidRDefault="00B224B7" w:rsidP="00EB1266">
            <w:pPr>
              <w:jc w:val="center"/>
            </w:pPr>
            <w:r w:rsidRPr="00B65D57">
              <w:rPr>
                <w:b/>
                <w:bCs/>
                <w:color w:val="000000"/>
                <w:szCs w:val="24"/>
                <w:lang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CF72332" w14:textId="77777777" w:rsidR="00B224B7" w:rsidRPr="00B65D57" w:rsidRDefault="00B224B7" w:rsidP="00EB1266">
            <w:pPr>
              <w:jc w:val="center"/>
            </w:pPr>
            <w:r w:rsidRPr="00B65D57">
              <w:rPr>
                <w:b/>
                <w:bCs/>
                <w:color w:val="000000"/>
                <w:szCs w:val="24"/>
                <w:lang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00DEAF8" w14:textId="59776DFD" w:rsidR="00B224B7" w:rsidRPr="00B65D57" w:rsidRDefault="00B224B7" w:rsidP="00EB1266">
            <w:pPr>
              <w:jc w:val="center"/>
            </w:pPr>
            <w:r w:rsidRPr="00B65D57">
              <w:rPr>
                <w:b/>
                <w:bCs/>
                <w:color w:val="000000"/>
                <w:szCs w:val="24"/>
                <w:lang w:eastAsia="en-GB"/>
              </w:rPr>
              <w:t>Content (%</w:t>
            </w:r>
            <w:r w:rsidR="00DB5394" w:rsidRPr="00B65D57">
              <w:rPr>
                <w:b/>
                <w:bCs/>
                <w:color w:val="000000"/>
                <w:szCs w:val="24"/>
                <w:lang w:eastAsia="en-GB"/>
              </w:rPr>
              <w:t xml:space="preserve"> w/w</w:t>
            </w:r>
            <w:r w:rsidRPr="00B65D57">
              <w:rPr>
                <w:b/>
                <w:bCs/>
                <w:color w:val="000000"/>
                <w:szCs w:val="24"/>
                <w:lang w:eastAsia="en-GB"/>
              </w:rPr>
              <w:t>)</w:t>
            </w:r>
          </w:p>
        </w:tc>
      </w:tr>
      <w:tr w:rsidR="002C64CE" w:rsidRPr="00B65D57" w14:paraId="099CAABB" w14:textId="77777777" w:rsidTr="00EB1266">
        <w:trPr>
          <w:tblHeader/>
        </w:trPr>
        <w:tc>
          <w:tcPr>
            <w:tcW w:w="9201" w:type="dxa"/>
            <w:gridSpan w:val="7"/>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6641C40" w14:textId="28AD1723" w:rsidR="002C64CE" w:rsidRPr="00B65D57" w:rsidRDefault="002C64CE" w:rsidP="00EB1266">
            <w:pPr>
              <w:jc w:val="center"/>
              <w:rPr>
                <w:b/>
                <w:bCs/>
                <w:color w:val="000000"/>
                <w:szCs w:val="24"/>
                <w:lang w:eastAsia="en-GB"/>
              </w:rPr>
            </w:pPr>
            <w:r w:rsidRPr="00B65D57">
              <w:rPr>
                <w:b/>
                <w:bCs/>
                <w:color w:val="000000"/>
                <w:szCs w:val="24"/>
                <w:lang w:eastAsia="en-GB"/>
              </w:rPr>
              <w:t>Product</w:t>
            </w:r>
            <w:r w:rsidR="007C4D28" w:rsidRPr="00B65D57">
              <w:rPr>
                <w:b/>
                <w:bCs/>
                <w:color w:val="000000"/>
                <w:szCs w:val="24"/>
                <w:lang w:eastAsia="en-GB"/>
              </w:rPr>
              <w:t>, Jerbor</w:t>
            </w:r>
            <w:r w:rsidR="00A119BF" w:rsidRPr="00B65D57">
              <w:rPr>
                <w:b/>
                <w:bCs/>
                <w:color w:val="000000"/>
                <w:szCs w:val="24"/>
                <w:lang w:eastAsia="en-GB"/>
              </w:rPr>
              <w:t xml:space="preserve"> </w:t>
            </w:r>
            <w:r w:rsidRPr="00B65D57">
              <w:rPr>
                <w:b/>
                <w:bCs/>
                <w:color w:val="000000"/>
                <w:szCs w:val="24"/>
                <w:lang w:eastAsia="en-GB"/>
              </w:rPr>
              <w:t>composition</w:t>
            </w:r>
          </w:p>
        </w:tc>
      </w:tr>
      <w:tr w:rsidR="00B224B7" w:rsidRPr="00B65D57" w14:paraId="0FE8194D" w14:textId="77777777" w:rsidTr="00EB1266">
        <w:trPr>
          <w:gridAfter w:val="1"/>
          <w:wAfter w:w="11" w:type="dxa"/>
        </w:trPr>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A4E757D" w14:textId="77777777" w:rsidR="00B224B7" w:rsidRPr="00B65D57" w:rsidRDefault="00467783" w:rsidP="00EB1266">
            <w:r w:rsidRPr="00B65D57">
              <w:t>Boric acid</w:t>
            </w:r>
          </w:p>
        </w:tc>
        <w:tc>
          <w:tcPr>
            <w:tcW w:w="1522"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EFE2709" w14:textId="77777777" w:rsidR="00B224B7" w:rsidRPr="00B65D57" w:rsidRDefault="00467783" w:rsidP="00EB1266">
            <w:r w:rsidRPr="00B65D57">
              <w:t>Boric acid</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72C49F4" w14:textId="77777777" w:rsidR="00B224B7" w:rsidRPr="00B65D57" w:rsidRDefault="00B224B7" w:rsidP="00EB1266">
            <w:pPr>
              <w:jc w:val="center"/>
            </w:pPr>
            <w:r w:rsidRPr="00B65D57">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91DECA3" w14:textId="77777777" w:rsidR="00B224B7" w:rsidRPr="00B65D57" w:rsidRDefault="00467783" w:rsidP="00EB1266">
            <w:pPr>
              <w:jc w:val="center"/>
            </w:pPr>
            <w:r w:rsidRPr="00B65D57">
              <w:t>10043-35-3</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C0BD845" w14:textId="77777777" w:rsidR="00B224B7" w:rsidRPr="00B65D57" w:rsidRDefault="00467783" w:rsidP="00EB1266">
            <w:pPr>
              <w:jc w:val="center"/>
            </w:pPr>
            <w:r w:rsidRPr="00B65D57">
              <w:t>233-139-2</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D74AB9A" w14:textId="0DE3F7AB" w:rsidR="00B224B7" w:rsidRPr="00B65D57" w:rsidRDefault="00DB7AFE" w:rsidP="00EB1266">
            <w:pPr>
              <w:jc w:val="center"/>
            </w:pPr>
            <w:r w:rsidRPr="00B65D57">
              <w:t>53</w:t>
            </w:r>
            <w:r w:rsidR="00C55540" w:rsidRPr="00B65D57">
              <w:t>.</w:t>
            </w:r>
            <w:r w:rsidRPr="00B65D57">
              <w:t>7</w:t>
            </w:r>
          </w:p>
        </w:tc>
      </w:tr>
      <w:tr w:rsidR="00467783" w:rsidRPr="00B65D57" w14:paraId="50A50F0D" w14:textId="77777777" w:rsidTr="00EB1266">
        <w:trPr>
          <w:gridAfter w:val="1"/>
          <w:wAfter w:w="11" w:type="dxa"/>
        </w:trPr>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61F5718" w14:textId="48DF95BF" w:rsidR="00467783" w:rsidRPr="00B65D57" w:rsidRDefault="00C55540" w:rsidP="00EB1266">
            <w:r w:rsidRPr="00B65D57">
              <w:t>Disodium tetraborate pentahydrate</w:t>
            </w:r>
          </w:p>
        </w:tc>
        <w:tc>
          <w:tcPr>
            <w:tcW w:w="1522"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B5D0F6F" w14:textId="4FAAA2B0" w:rsidR="00467783" w:rsidRPr="00B65D57" w:rsidRDefault="00A119BF" w:rsidP="00EB1266">
            <w:r w:rsidRPr="00B65D57">
              <w:t>Disodium tetraborate penta</w:t>
            </w:r>
            <w:r w:rsidR="00467783" w:rsidRPr="00B65D57">
              <w:t>hydrate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C25D564" w14:textId="4F6C7D6F" w:rsidR="00467783" w:rsidRPr="00B65D57" w:rsidRDefault="00467783" w:rsidP="00EB1266">
            <w:pPr>
              <w:jc w:val="center"/>
            </w:pPr>
            <w:r w:rsidRPr="00B65D57">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2781C6B" w14:textId="584F6B58" w:rsidR="00467783" w:rsidRPr="00B65D57" w:rsidRDefault="00A119BF" w:rsidP="00EB1266">
            <w:pPr>
              <w:jc w:val="center"/>
            </w:pPr>
            <w:r w:rsidRPr="00B65D57">
              <w:rPr>
                <w:rFonts w:eastAsia="Calibri"/>
                <w:lang w:eastAsia="en-US"/>
              </w:rPr>
              <w:t>12179-04-3</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4E70C76" w14:textId="77777777" w:rsidR="00467783" w:rsidRPr="00B65D57" w:rsidRDefault="00FE3B0B" w:rsidP="00EB1266">
            <w:pPr>
              <w:jc w:val="center"/>
            </w:pPr>
            <w:r w:rsidRPr="00B65D57">
              <w:t>215-540-4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ED5F1AB" w14:textId="7745CE3B" w:rsidR="00467783" w:rsidRPr="00B65D57" w:rsidRDefault="00461D31" w:rsidP="00EB1266">
            <w:pPr>
              <w:jc w:val="center"/>
            </w:pPr>
            <w:r w:rsidRPr="00B65D57">
              <w:t>46</w:t>
            </w:r>
            <w:r w:rsidR="00C55540" w:rsidRPr="00B65D57">
              <w:t>.</w:t>
            </w:r>
            <w:r w:rsidRPr="00B65D57">
              <w:t>3</w:t>
            </w:r>
          </w:p>
        </w:tc>
      </w:tr>
    </w:tbl>
    <w:p w14:paraId="3E28FD04" w14:textId="35A870CE" w:rsidR="00DF6CFE" w:rsidRPr="00B65D57" w:rsidRDefault="009A5C9B" w:rsidP="00065CC0">
      <w:pPr>
        <w:pStyle w:val="Rubrik4"/>
      </w:pPr>
      <w:bookmarkStart w:id="42" w:name="_Toc403566543"/>
      <w:bookmarkStart w:id="43" w:name="_Toc366658846"/>
      <w:bookmarkStart w:id="44" w:name="d0e437"/>
      <w:bookmarkStart w:id="45" w:name="_Toc129689560"/>
      <w:bookmarkEnd w:id="41"/>
      <w:r w:rsidRPr="00B65D57">
        <w:t xml:space="preserve">2.1.2.4 </w:t>
      </w:r>
      <w:r w:rsidR="00DF6CFE" w:rsidRPr="00B65D57">
        <w:t>Information on technical equivalence</w:t>
      </w:r>
      <w:bookmarkEnd w:id="42"/>
      <w:bookmarkEnd w:id="45"/>
    </w:p>
    <w:p w14:paraId="11F0C10E" w14:textId="44D01C52" w:rsidR="007D4127" w:rsidRPr="00B65D57" w:rsidRDefault="007D4127" w:rsidP="008F4848">
      <w:pPr>
        <w:spacing w:line="260" w:lineRule="atLeast"/>
        <w:rPr>
          <w:rFonts w:eastAsia="Calibri"/>
          <w:lang w:eastAsia="en-US"/>
        </w:rPr>
      </w:pPr>
      <w:r w:rsidRPr="00B65D57">
        <w:rPr>
          <w:rFonts w:eastAsia="Calibri"/>
          <w:lang w:eastAsia="en-US"/>
        </w:rPr>
        <w:t xml:space="preserve">The manufacturing sources for the active substances boric acid and disodium tetraborate </w:t>
      </w:r>
      <w:r w:rsidR="00D94C1D" w:rsidRPr="00B65D57">
        <w:rPr>
          <w:rFonts w:eastAsia="Calibri"/>
          <w:lang w:eastAsia="en-US"/>
        </w:rPr>
        <w:t>penta</w:t>
      </w:r>
      <w:r w:rsidRPr="00B65D57">
        <w:rPr>
          <w:rFonts w:eastAsia="Calibri"/>
          <w:lang w:eastAsia="en-US"/>
        </w:rPr>
        <w:t xml:space="preserve">hydrate were assessed </w:t>
      </w:r>
      <w:r w:rsidR="00390A53" w:rsidRPr="00B65D57">
        <w:rPr>
          <w:rFonts w:eastAsia="Calibri"/>
          <w:lang w:eastAsia="en-US"/>
        </w:rPr>
        <w:t xml:space="preserve">at active substance approval and are listed in the </w:t>
      </w:r>
      <w:r w:rsidR="00390A53" w:rsidRPr="00B65D57">
        <w:rPr>
          <w:rFonts w:eastAsia="Calibri"/>
          <w:i/>
          <w:lang w:eastAsia="en-US"/>
        </w:rPr>
        <w:t>Union list of approved substances</w:t>
      </w:r>
      <w:r w:rsidR="00390A53" w:rsidRPr="00B65D57">
        <w:rPr>
          <w:rFonts w:eastAsia="Calibri"/>
          <w:lang w:eastAsia="en-US"/>
        </w:rPr>
        <w:t xml:space="preserve"> under Regulation (EU) No. 528/2012.</w:t>
      </w:r>
    </w:p>
    <w:p w14:paraId="5C2AF2DA" w14:textId="2683957D" w:rsidR="00DF6CFE" w:rsidRPr="00B65D57" w:rsidRDefault="009A5C9B" w:rsidP="00065CC0">
      <w:pPr>
        <w:pStyle w:val="Rubrik4"/>
      </w:pPr>
      <w:bookmarkStart w:id="46" w:name="_Toc403566544"/>
      <w:bookmarkStart w:id="47" w:name="_Toc129689561"/>
      <w:r w:rsidRPr="00B65D57">
        <w:t xml:space="preserve">2.1.2.5 </w:t>
      </w:r>
      <w:r w:rsidR="00DF6CFE" w:rsidRPr="00B65D57">
        <w:t>Information on the substance(s) of concern</w:t>
      </w:r>
      <w:bookmarkEnd w:id="46"/>
      <w:bookmarkEnd w:id="47"/>
    </w:p>
    <w:p w14:paraId="042324A2" w14:textId="1766D32C" w:rsidR="006D752D" w:rsidRPr="00B65D57" w:rsidRDefault="00C37AEB" w:rsidP="008F4848">
      <w:pPr>
        <w:spacing w:line="260" w:lineRule="atLeast"/>
        <w:jc w:val="both"/>
        <w:rPr>
          <w:rFonts w:eastAsia="Calibri" w:cs="Times"/>
          <w:bCs/>
          <w:szCs w:val="29"/>
        </w:rPr>
      </w:pPr>
      <w:r w:rsidRPr="00B65D57">
        <w:rPr>
          <w:rFonts w:eastAsia="Calibri" w:cs="Times"/>
        </w:rPr>
        <w:t>No substances of concern have been identified for Jerbor.</w:t>
      </w:r>
    </w:p>
    <w:p w14:paraId="53411EE3" w14:textId="55FC091B" w:rsidR="00234C10" w:rsidRPr="00B65D57" w:rsidRDefault="009A5C9B" w:rsidP="00065CC0">
      <w:pPr>
        <w:pStyle w:val="Rubrik4"/>
      </w:pPr>
      <w:bookmarkStart w:id="48" w:name="_Toc129689562"/>
      <w:r w:rsidRPr="00B65D57">
        <w:t xml:space="preserve">2.1.2.6 </w:t>
      </w:r>
      <w:r w:rsidR="00234C10" w:rsidRPr="00B65D57">
        <w:t>Type of formulation</w:t>
      </w:r>
      <w:bookmarkEnd w:id="43"/>
      <w:bookmarkEnd w:id="48"/>
    </w:p>
    <w:p w14:paraId="044AC19C" w14:textId="2AE77041" w:rsidR="008F4AE1" w:rsidRPr="00B65D57" w:rsidRDefault="003E0776" w:rsidP="008F4848">
      <w:bookmarkStart w:id="49" w:name="_Toc366658847"/>
      <w:bookmarkStart w:id="50" w:name="d0e452"/>
      <w:bookmarkEnd w:id="44"/>
      <w:r w:rsidRPr="00B65D57">
        <w:t xml:space="preserve">Water </w:t>
      </w:r>
      <w:r w:rsidR="00D42838" w:rsidRPr="00B65D57">
        <w:t>soluble</w:t>
      </w:r>
      <w:r w:rsidRPr="00B65D57">
        <w:t xml:space="preserve"> granules (</w:t>
      </w:r>
      <w:r w:rsidR="00D42838" w:rsidRPr="00B65D57">
        <w:t>S</w:t>
      </w:r>
      <w:r w:rsidRPr="00B65D57">
        <w:t>G)</w:t>
      </w:r>
    </w:p>
    <w:p w14:paraId="0BCA3553" w14:textId="4F6B6FCC" w:rsidR="00BB0422" w:rsidRPr="00B65D57" w:rsidRDefault="00BB0422" w:rsidP="008F4848">
      <w:r w:rsidRPr="00B65D57">
        <w:br w:type="page"/>
      </w:r>
    </w:p>
    <w:p w14:paraId="61C1600D" w14:textId="168EACDA" w:rsidR="005D2E15" w:rsidRPr="00B65D57" w:rsidRDefault="009A5C9B" w:rsidP="00223981">
      <w:pPr>
        <w:pStyle w:val="Rubrik3"/>
        <w:rPr>
          <w:lang w:val="en-GB"/>
        </w:rPr>
      </w:pPr>
      <w:bookmarkStart w:id="51" w:name="_Toc129689563"/>
      <w:r w:rsidRPr="00B65D57">
        <w:rPr>
          <w:lang w:val="en-GB"/>
        </w:rPr>
        <w:lastRenderedPageBreak/>
        <w:t xml:space="preserve">2.1.3 </w:t>
      </w:r>
      <w:r w:rsidR="005D2E15" w:rsidRPr="00B65D57">
        <w:rPr>
          <w:lang w:val="en-GB"/>
        </w:rPr>
        <w:t>Hazard and precautionary statements</w:t>
      </w:r>
      <w:bookmarkEnd w:id="51"/>
    </w:p>
    <w:p w14:paraId="487BAB18" w14:textId="225875B6" w:rsidR="005D2E15" w:rsidRPr="00B65D57" w:rsidRDefault="005D2E15" w:rsidP="008F4848">
      <w:pPr>
        <w:rPr>
          <w:b/>
        </w:rPr>
      </w:pPr>
      <w:r w:rsidRPr="00B65D57">
        <w:rPr>
          <w:b/>
        </w:rPr>
        <w:t>Classificati</w:t>
      </w:r>
      <w:r w:rsidR="00FA5910" w:rsidRPr="00B65D57">
        <w:rPr>
          <w:b/>
        </w:rPr>
        <w:t xml:space="preserve">on and labelling of the product of the </w:t>
      </w:r>
      <w:r w:rsidRPr="00B65D57">
        <w:rPr>
          <w:b/>
        </w:rPr>
        <w:t>according to the Regulation (EC) 1272/2008</w:t>
      </w:r>
    </w:p>
    <w:p w14:paraId="36A89E42" w14:textId="14BC1AD1" w:rsidR="00253791" w:rsidRPr="00B65D57" w:rsidRDefault="00253791" w:rsidP="008F4848">
      <w:pPr>
        <w:rPr>
          <w:b/>
        </w:rPr>
      </w:pPr>
    </w:p>
    <w:tbl>
      <w:tblPr>
        <w:tblW w:w="9015" w:type="dxa"/>
        <w:jc w:val="center"/>
        <w:tblLayout w:type="fixed"/>
        <w:tblLook w:val="04A0" w:firstRow="1" w:lastRow="0" w:firstColumn="1" w:lastColumn="0" w:noHBand="0" w:noVBand="1"/>
      </w:tblPr>
      <w:tblGrid>
        <w:gridCol w:w="2606"/>
        <w:gridCol w:w="6409"/>
      </w:tblGrid>
      <w:tr w:rsidR="00253791" w:rsidRPr="00B65D57" w14:paraId="5C14AB4E" w14:textId="77777777" w:rsidTr="002236D1">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8A27950" w14:textId="77777777" w:rsidR="00253791" w:rsidRPr="00B65D57" w:rsidRDefault="00253791" w:rsidP="008F4848">
            <w:pPr>
              <w:spacing w:line="276" w:lineRule="auto"/>
              <w:rPr>
                <w:b/>
                <w:lang w:eastAsia="fi-FI"/>
              </w:rPr>
            </w:pPr>
            <w:r w:rsidRPr="00B65D57">
              <w:rPr>
                <w:b/>
                <w:lang w:eastAsia="en-US"/>
              </w:rPr>
              <w:t>Classification</w:t>
            </w:r>
          </w:p>
        </w:tc>
      </w:tr>
      <w:tr w:rsidR="00253791" w:rsidRPr="00B65D57" w14:paraId="006AC1C7" w14:textId="77777777" w:rsidTr="002236D1">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FFCC6D9" w14:textId="77777777" w:rsidR="00253791" w:rsidRPr="00B65D57" w:rsidRDefault="00253791" w:rsidP="008F4848">
            <w:pPr>
              <w:spacing w:line="276" w:lineRule="auto"/>
              <w:rPr>
                <w:lang w:eastAsia="fi-FI"/>
              </w:rPr>
            </w:pPr>
            <w:r w:rsidRPr="00B65D5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3F6541CF" w14:textId="77777777" w:rsidR="00253791" w:rsidRPr="00B65D57" w:rsidRDefault="00253791" w:rsidP="008F4848">
            <w:pPr>
              <w:spacing w:line="276" w:lineRule="auto"/>
              <w:rPr>
                <w:lang w:eastAsia="fi-FI"/>
              </w:rPr>
            </w:pPr>
            <w:r w:rsidRPr="00B65D57">
              <w:rPr>
                <w:lang w:eastAsia="fi-FI"/>
              </w:rPr>
              <w:t xml:space="preserve">Eye Irrit.2 </w:t>
            </w:r>
          </w:p>
          <w:p w14:paraId="2A9A66E9" w14:textId="77777777" w:rsidR="00253791" w:rsidRPr="00B65D57" w:rsidRDefault="00253791" w:rsidP="008F4848">
            <w:pPr>
              <w:spacing w:line="276" w:lineRule="auto"/>
              <w:rPr>
                <w:lang w:eastAsia="fi-FI"/>
              </w:rPr>
            </w:pPr>
            <w:r w:rsidRPr="00B65D57">
              <w:rPr>
                <w:lang w:eastAsia="fi-FI"/>
              </w:rPr>
              <w:t>Repr.1B</w:t>
            </w:r>
          </w:p>
        </w:tc>
      </w:tr>
      <w:tr w:rsidR="00253791" w:rsidRPr="00B65D57" w14:paraId="5B57AAE8" w14:textId="77777777" w:rsidTr="002236D1">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A98AD90" w14:textId="77777777" w:rsidR="00253791" w:rsidRPr="00B65D57" w:rsidRDefault="00253791" w:rsidP="008F4848">
            <w:pPr>
              <w:spacing w:line="276" w:lineRule="auto"/>
              <w:rPr>
                <w:lang w:eastAsia="fi-FI"/>
              </w:rPr>
            </w:pPr>
            <w:r w:rsidRPr="00B65D5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6E471E9D" w14:textId="77777777" w:rsidR="00253791" w:rsidRPr="00B65D57" w:rsidRDefault="00253791" w:rsidP="008F4848">
            <w:pPr>
              <w:spacing w:line="276" w:lineRule="auto"/>
              <w:rPr>
                <w:lang w:eastAsia="fi-FI"/>
              </w:rPr>
            </w:pPr>
            <w:r w:rsidRPr="00B65D57">
              <w:rPr>
                <w:lang w:eastAsia="fi-FI"/>
              </w:rPr>
              <w:t>H319 Causes serious eye irritation.</w:t>
            </w:r>
          </w:p>
          <w:p w14:paraId="396E664F" w14:textId="77777777" w:rsidR="00253791" w:rsidRPr="00B65D57" w:rsidRDefault="00253791" w:rsidP="008F4848">
            <w:pPr>
              <w:spacing w:line="276" w:lineRule="auto"/>
              <w:rPr>
                <w:lang w:eastAsia="fi-FI"/>
              </w:rPr>
            </w:pPr>
            <w:r w:rsidRPr="00B65D57">
              <w:rPr>
                <w:lang w:eastAsia="fi-FI"/>
              </w:rPr>
              <w:t>H360FD May damage fertility. May damage the unborn child.</w:t>
            </w:r>
          </w:p>
        </w:tc>
      </w:tr>
      <w:tr w:rsidR="00253791" w:rsidRPr="00B65D57" w14:paraId="544AA9DF" w14:textId="77777777" w:rsidTr="002236D1">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D4467B0" w14:textId="77777777" w:rsidR="00253791" w:rsidRPr="00B65D57" w:rsidRDefault="00253791" w:rsidP="008F4848">
            <w:pPr>
              <w:spacing w:line="276" w:lineRule="auto"/>
              <w:rPr>
                <w:lang w:eastAsia="fi-FI"/>
              </w:rPr>
            </w:pPr>
          </w:p>
        </w:tc>
      </w:tr>
      <w:tr w:rsidR="00253791" w:rsidRPr="00B65D57" w14:paraId="3E43F8AF" w14:textId="77777777" w:rsidTr="002236D1">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4F63AF2C" w14:textId="77777777" w:rsidR="00253791" w:rsidRPr="00B65D57" w:rsidRDefault="00253791" w:rsidP="008F4848">
            <w:pPr>
              <w:spacing w:line="276" w:lineRule="auto"/>
              <w:rPr>
                <w:b/>
                <w:lang w:eastAsia="fi-FI"/>
              </w:rPr>
            </w:pPr>
            <w:r w:rsidRPr="00B65D57">
              <w:rPr>
                <w:b/>
                <w:lang w:eastAsia="en-US"/>
              </w:rPr>
              <w:t>Labelling</w:t>
            </w:r>
          </w:p>
        </w:tc>
      </w:tr>
      <w:tr w:rsidR="00253791" w:rsidRPr="00B65D57" w14:paraId="78E46ADF" w14:textId="77777777" w:rsidTr="002236D1">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0A83946" w14:textId="77777777" w:rsidR="00253791" w:rsidRPr="00B65D57" w:rsidRDefault="00253791" w:rsidP="008F4848">
            <w:pPr>
              <w:spacing w:line="276" w:lineRule="auto"/>
              <w:rPr>
                <w:lang w:eastAsia="en-US"/>
              </w:rPr>
            </w:pPr>
            <w:r w:rsidRPr="00B65D5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60AA1B41" w14:textId="77777777" w:rsidR="00253791" w:rsidRPr="00B65D57" w:rsidRDefault="00253791" w:rsidP="008F4848">
            <w:pPr>
              <w:spacing w:line="276" w:lineRule="auto"/>
              <w:rPr>
                <w:lang w:eastAsia="fi-FI"/>
              </w:rPr>
            </w:pPr>
            <w:r w:rsidRPr="00B65D57">
              <w:rPr>
                <w:lang w:eastAsia="fi-FI"/>
              </w:rPr>
              <w:t>Danger</w:t>
            </w:r>
          </w:p>
        </w:tc>
      </w:tr>
      <w:tr w:rsidR="00253791" w:rsidRPr="00B65D57" w14:paraId="15DF8C03" w14:textId="77777777" w:rsidTr="002236D1">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DE4DA2E" w14:textId="77777777" w:rsidR="00253791" w:rsidRPr="00B65D57" w:rsidRDefault="00253791" w:rsidP="008F4848">
            <w:pPr>
              <w:spacing w:line="276" w:lineRule="auto"/>
              <w:rPr>
                <w:lang w:eastAsia="en-US"/>
              </w:rPr>
            </w:pPr>
            <w:r w:rsidRPr="00B65D5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7F930993" w14:textId="77777777" w:rsidR="00253791" w:rsidRPr="00B65D57" w:rsidRDefault="00253791" w:rsidP="008F4848">
            <w:pPr>
              <w:spacing w:line="276" w:lineRule="auto"/>
              <w:rPr>
                <w:lang w:eastAsia="fi-FI"/>
              </w:rPr>
            </w:pPr>
            <w:r w:rsidRPr="00B65D57">
              <w:rPr>
                <w:lang w:eastAsia="fi-FI"/>
              </w:rPr>
              <w:t>H319 Causes serious eye irritation.</w:t>
            </w:r>
          </w:p>
          <w:p w14:paraId="46E337C6" w14:textId="77777777" w:rsidR="00253791" w:rsidRPr="00B65D57" w:rsidRDefault="00253791" w:rsidP="008F4848">
            <w:pPr>
              <w:spacing w:line="276" w:lineRule="auto"/>
              <w:rPr>
                <w:lang w:eastAsia="fi-FI"/>
              </w:rPr>
            </w:pPr>
            <w:r w:rsidRPr="00B65D57">
              <w:rPr>
                <w:lang w:eastAsia="fi-FI"/>
              </w:rPr>
              <w:t>H360FD May damage fertility. May damage the unborn child.</w:t>
            </w:r>
          </w:p>
        </w:tc>
      </w:tr>
      <w:tr w:rsidR="00253791" w:rsidRPr="00B65D57" w14:paraId="07A28BB4" w14:textId="77777777" w:rsidTr="002236D1">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C0B03D7" w14:textId="77777777" w:rsidR="00253791" w:rsidRPr="00B65D57" w:rsidRDefault="00253791" w:rsidP="008F4848">
            <w:pPr>
              <w:spacing w:line="276" w:lineRule="auto"/>
              <w:rPr>
                <w:lang w:eastAsia="en-US"/>
              </w:rPr>
            </w:pPr>
            <w:r w:rsidRPr="00B65D5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D9F2427" w14:textId="77777777" w:rsidR="00253791" w:rsidRPr="00B65D57" w:rsidRDefault="00253791" w:rsidP="008F4848">
            <w:pPr>
              <w:spacing w:line="276" w:lineRule="auto"/>
              <w:rPr>
                <w:lang w:eastAsia="fi-FI"/>
              </w:rPr>
            </w:pPr>
            <w:r w:rsidRPr="00B65D57">
              <w:rPr>
                <w:lang w:eastAsia="fi-FI"/>
              </w:rPr>
              <w:t>P201 Obtain special instructions before use.</w:t>
            </w:r>
          </w:p>
          <w:p w14:paraId="2D3AA5DD" w14:textId="77777777" w:rsidR="00253791" w:rsidRPr="00B65D57" w:rsidRDefault="00253791" w:rsidP="008F4848">
            <w:pPr>
              <w:spacing w:line="276" w:lineRule="auto"/>
              <w:rPr>
                <w:lang w:eastAsia="fi-FI"/>
              </w:rPr>
            </w:pPr>
            <w:r w:rsidRPr="00B65D57">
              <w:rPr>
                <w:lang w:eastAsia="fi-FI"/>
              </w:rPr>
              <w:t>P202 Do not handle until all safety precautions have been read and understood.</w:t>
            </w:r>
          </w:p>
          <w:p w14:paraId="3DF9E3E1" w14:textId="77777777" w:rsidR="00253791" w:rsidRPr="00B65D57" w:rsidRDefault="00253791" w:rsidP="008F4848">
            <w:pPr>
              <w:spacing w:line="276" w:lineRule="auto"/>
              <w:rPr>
                <w:lang w:eastAsia="fi-FI"/>
              </w:rPr>
            </w:pPr>
            <w:r w:rsidRPr="00B65D57">
              <w:rPr>
                <w:lang w:eastAsia="fi-FI"/>
              </w:rPr>
              <w:t>P280 Wear protective gloves/protective clothing</w:t>
            </w:r>
            <w:r w:rsidRPr="00B65D57" w:rsidDel="00A73977">
              <w:rPr>
                <w:lang w:eastAsia="fi-FI"/>
              </w:rPr>
              <w:t xml:space="preserve"> </w:t>
            </w:r>
            <w:r w:rsidRPr="00B65D57">
              <w:rPr>
                <w:lang w:eastAsia="fi-FI"/>
              </w:rPr>
              <w:t>/eye protection/face protection*.</w:t>
            </w:r>
          </w:p>
          <w:p w14:paraId="36A80B5A" w14:textId="77777777" w:rsidR="00253791" w:rsidRPr="00B65D57" w:rsidRDefault="00253791" w:rsidP="008F4848">
            <w:pPr>
              <w:spacing w:line="276" w:lineRule="auto"/>
              <w:rPr>
                <w:lang w:eastAsia="fi-FI"/>
              </w:rPr>
            </w:pPr>
            <w:r w:rsidRPr="00B65D57">
              <w:rPr>
                <w:lang w:eastAsia="fi-FI"/>
              </w:rPr>
              <w:t>P264 Wash hands or other body parts that have come into contact with the product thoroughly after handling.</w:t>
            </w:r>
          </w:p>
          <w:p w14:paraId="67C842A6" w14:textId="77777777" w:rsidR="00253791" w:rsidRPr="00B65D57" w:rsidRDefault="00253791" w:rsidP="008F4848">
            <w:pPr>
              <w:spacing w:line="276" w:lineRule="auto"/>
              <w:rPr>
                <w:lang w:eastAsia="fi-FI"/>
              </w:rPr>
            </w:pPr>
            <w:r w:rsidRPr="00B65D57">
              <w:rPr>
                <w:lang w:eastAsia="fi-FI"/>
              </w:rPr>
              <w:t>P305+P351+P338 IF IN EYES: Rinse cautiously with water for several minutes. Remove contact lenses, if present and easy to do so. Continue rinsing.</w:t>
            </w:r>
          </w:p>
          <w:p w14:paraId="08B1DB09" w14:textId="77777777" w:rsidR="00253791" w:rsidRPr="00B65D57" w:rsidRDefault="00253791" w:rsidP="008F4848">
            <w:pPr>
              <w:spacing w:line="276" w:lineRule="auto"/>
              <w:rPr>
                <w:lang w:eastAsia="fi-FI"/>
              </w:rPr>
            </w:pPr>
            <w:r w:rsidRPr="00B65D57">
              <w:rPr>
                <w:lang w:eastAsia="fi-FI"/>
              </w:rPr>
              <w:t>P337+P313 If eye irritation persists: Get medical advice/attention.</w:t>
            </w:r>
          </w:p>
          <w:p w14:paraId="2A2C9DFF" w14:textId="77777777" w:rsidR="00253791" w:rsidRPr="00B65D57" w:rsidRDefault="00253791" w:rsidP="008F4848">
            <w:pPr>
              <w:spacing w:line="276" w:lineRule="auto"/>
              <w:rPr>
                <w:lang w:eastAsia="fi-FI"/>
              </w:rPr>
            </w:pPr>
            <w:r w:rsidRPr="00B65D57">
              <w:rPr>
                <w:lang w:eastAsia="fi-FI"/>
              </w:rPr>
              <w:t>P308+P313 IF exposed or concerned: Get medical advice/attention.</w:t>
            </w:r>
          </w:p>
          <w:p w14:paraId="0CB5FC2F" w14:textId="77777777" w:rsidR="00253791" w:rsidRPr="00B65D57" w:rsidRDefault="00253791" w:rsidP="008F4848">
            <w:pPr>
              <w:spacing w:line="276" w:lineRule="auto"/>
              <w:rPr>
                <w:lang w:eastAsia="fi-FI"/>
              </w:rPr>
            </w:pPr>
          </w:p>
          <w:p w14:paraId="3C98418F" w14:textId="349F3C5E" w:rsidR="00253791" w:rsidRPr="00B65D57" w:rsidRDefault="00253791" w:rsidP="008F4848">
            <w:pPr>
              <w:spacing w:line="276" w:lineRule="auto"/>
              <w:rPr>
                <w:lang w:eastAsia="fi-FI"/>
              </w:rPr>
            </w:pPr>
            <w:r w:rsidRPr="00B65D57">
              <w:rPr>
                <w:lang w:eastAsia="fi-FI"/>
              </w:rPr>
              <w:t>P405 Store locked up.</w:t>
            </w:r>
          </w:p>
          <w:p w14:paraId="41165601" w14:textId="793AD59D" w:rsidR="00A53A7A" w:rsidRPr="00B65D57" w:rsidRDefault="00A53A7A" w:rsidP="008F4848">
            <w:pPr>
              <w:spacing w:line="276" w:lineRule="auto"/>
              <w:rPr>
                <w:lang w:eastAsia="fi-FI"/>
              </w:rPr>
            </w:pPr>
            <w:r w:rsidRPr="00B65D57">
              <w:rPr>
                <w:lang w:eastAsia="fi-FI"/>
              </w:rPr>
              <w:t>P273 Avoid release to the environment.</w:t>
            </w:r>
          </w:p>
          <w:p w14:paraId="6121F0C7" w14:textId="37694B38" w:rsidR="00A53A7A" w:rsidRPr="00B65D57" w:rsidRDefault="00A53A7A" w:rsidP="008F4848">
            <w:pPr>
              <w:spacing w:line="276" w:lineRule="auto"/>
              <w:rPr>
                <w:lang w:eastAsia="fi-FI"/>
              </w:rPr>
            </w:pPr>
            <w:r w:rsidRPr="00B65D57">
              <w:rPr>
                <w:lang w:eastAsia="fi-FI"/>
              </w:rPr>
              <w:t>P391 Collect spillage.</w:t>
            </w:r>
          </w:p>
          <w:p w14:paraId="3817E46A" w14:textId="26838DA1" w:rsidR="00A53A7A" w:rsidRPr="00B65D57" w:rsidRDefault="00A53A7A" w:rsidP="008F4848">
            <w:pPr>
              <w:spacing w:line="276" w:lineRule="auto"/>
              <w:rPr>
                <w:lang w:eastAsia="fi-FI"/>
              </w:rPr>
            </w:pPr>
            <w:r w:rsidRPr="00B65D57">
              <w:rPr>
                <w:lang w:eastAsia="fi-FI"/>
              </w:rPr>
              <w:t xml:space="preserve">P501 </w:t>
            </w:r>
            <w:r w:rsidR="00C74AE1" w:rsidRPr="00B65D57">
              <w:rPr>
                <w:lang w:eastAsia="fi-FI"/>
              </w:rPr>
              <w:t>Dispose of container/contents in accordance with national legislation.</w:t>
            </w:r>
          </w:p>
        </w:tc>
      </w:tr>
      <w:tr w:rsidR="00253791" w:rsidRPr="00B65D57" w14:paraId="1362F289" w14:textId="77777777" w:rsidTr="002236D1">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01D64007" w14:textId="77777777" w:rsidR="00253791" w:rsidRPr="00B65D57" w:rsidRDefault="00253791" w:rsidP="008F4848">
            <w:pPr>
              <w:spacing w:line="276" w:lineRule="auto"/>
              <w:rPr>
                <w:lang w:eastAsia="fi-FI"/>
              </w:rPr>
            </w:pPr>
          </w:p>
        </w:tc>
      </w:tr>
      <w:tr w:rsidR="00253791" w:rsidRPr="00B65D57" w14:paraId="01093780" w14:textId="77777777" w:rsidTr="002236D1">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5FF28C5" w14:textId="77777777" w:rsidR="00253791" w:rsidRPr="00B65D57" w:rsidRDefault="00253791" w:rsidP="008F4848">
            <w:pPr>
              <w:spacing w:line="276" w:lineRule="auto"/>
              <w:rPr>
                <w:lang w:eastAsia="fi-FI"/>
              </w:rPr>
            </w:pPr>
            <w:r w:rsidRPr="00B65D57">
              <w:rPr>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38CBE47C" w14:textId="77777777" w:rsidR="00253791" w:rsidRPr="00B65D57" w:rsidRDefault="00253791" w:rsidP="008F4848">
            <w:pPr>
              <w:spacing w:line="276" w:lineRule="auto"/>
              <w:rPr>
                <w:bCs/>
                <w:lang w:eastAsia="fi-FI"/>
              </w:rPr>
            </w:pPr>
            <w:r w:rsidRPr="00B65D57">
              <w:rPr>
                <w:bCs/>
                <w:lang w:eastAsia="fi-FI"/>
              </w:rPr>
              <w:t>*Manufacturer/supplier to specify the appropriate type of equipment.</w:t>
            </w:r>
          </w:p>
        </w:tc>
      </w:tr>
    </w:tbl>
    <w:p w14:paraId="0F5D82A5" w14:textId="77777777" w:rsidR="00253791" w:rsidRPr="00B65D57" w:rsidRDefault="00253791" w:rsidP="008F4848">
      <w:pPr>
        <w:rPr>
          <w:b/>
        </w:rPr>
      </w:pPr>
    </w:p>
    <w:p w14:paraId="2C3A8E4E" w14:textId="77777777" w:rsidR="005D2E15" w:rsidRPr="00B65D57" w:rsidRDefault="005D2E15" w:rsidP="008F4848">
      <w:pPr>
        <w:tabs>
          <w:tab w:val="left" w:pos="500"/>
        </w:tabs>
        <w:rPr>
          <w:b/>
          <w:bCs/>
          <w:szCs w:val="24"/>
          <w:lang w:eastAsia="en-GB"/>
        </w:rPr>
      </w:pPr>
    </w:p>
    <w:p w14:paraId="17700E0C" w14:textId="77777777" w:rsidR="00756D17" w:rsidRPr="00B65D57" w:rsidRDefault="00756D17" w:rsidP="008F4848">
      <w:pPr>
        <w:rPr>
          <w:b/>
          <w:sz w:val="22"/>
        </w:rPr>
      </w:pPr>
      <w:r w:rsidRPr="00B65D57">
        <w:br w:type="page"/>
      </w:r>
    </w:p>
    <w:p w14:paraId="37CFC8C7" w14:textId="6ABE0139" w:rsidR="00234C10" w:rsidRPr="00B65D57" w:rsidRDefault="009A5C9B" w:rsidP="00223981">
      <w:pPr>
        <w:pStyle w:val="Rubrik3"/>
        <w:rPr>
          <w:lang w:val="en-GB"/>
        </w:rPr>
      </w:pPr>
      <w:bookmarkStart w:id="52" w:name="_Toc129689564"/>
      <w:r w:rsidRPr="00B65D57">
        <w:rPr>
          <w:lang w:val="en-GB"/>
        </w:rPr>
        <w:lastRenderedPageBreak/>
        <w:t xml:space="preserve">2.1.4 </w:t>
      </w:r>
      <w:r w:rsidR="00234C10" w:rsidRPr="00B65D57">
        <w:rPr>
          <w:lang w:val="en-GB"/>
        </w:rPr>
        <w:t>Authorised use</w:t>
      </w:r>
      <w:bookmarkEnd w:id="49"/>
      <w:r w:rsidR="00591472" w:rsidRPr="00B65D57">
        <w:rPr>
          <w:lang w:val="en-GB"/>
        </w:rPr>
        <w:t xml:space="preserve"> </w:t>
      </w:r>
      <w:r w:rsidR="00761301" w:rsidRPr="00B65D57">
        <w:rPr>
          <w:lang w:val="en-GB"/>
        </w:rPr>
        <w:t xml:space="preserve">and </w:t>
      </w:r>
      <w:r w:rsidR="00591472" w:rsidRPr="00B65D57">
        <w:rPr>
          <w:lang w:val="en-GB"/>
        </w:rPr>
        <w:t>directions for use</w:t>
      </w:r>
      <w:bookmarkEnd w:id="52"/>
    </w:p>
    <w:p w14:paraId="402776C1" w14:textId="7B7D55AF" w:rsidR="00F403F8" w:rsidRPr="00B65D57" w:rsidRDefault="00F403F8" w:rsidP="008F4848">
      <w:pPr>
        <w:pStyle w:val="Absatz"/>
        <w:spacing w:line="276" w:lineRule="auto"/>
        <w:ind w:left="0"/>
        <w:rPr>
          <w:rFonts w:ascii="Verdana" w:hAnsi="Verdana"/>
        </w:rPr>
      </w:pPr>
      <w:r w:rsidRPr="00B65D57">
        <w:rPr>
          <w:rFonts w:ascii="Verdana" w:hAnsi="Verdana"/>
        </w:rPr>
        <w:t xml:space="preserve">The use and application of Jerbor is strictly limited to </w:t>
      </w:r>
      <w:r w:rsidR="008632ED" w:rsidRPr="00B65D57">
        <w:rPr>
          <w:rFonts w:ascii="Verdana" w:hAnsi="Verdana"/>
        </w:rPr>
        <w:t xml:space="preserve">upper part of </w:t>
      </w:r>
      <w:r w:rsidRPr="00B65D57">
        <w:rPr>
          <w:rFonts w:ascii="Verdana" w:hAnsi="Verdana"/>
        </w:rPr>
        <w:t>wooden foundations, piles and gril</w:t>
      </w:r>
      <w:r w:rsidR="00F73D57" w:rsidRPr="00B65D57">
        <w:rPr>
          <w:rFonts w:ascii="Verdana" w:hAnsi="Verdana"/>
        </w:rPr>
        <w:t>lages, in ground with dens</w:t>
      </w:r>
      <w:r w:rsidR="009C39A7">
        <w:rPr>
          <w:rFonts w:ascii="Verdana" w:hAnsi="Verdana"/>
        </w:rPr>
        <w:t>e</w:t>
      </w:r>
      <w:r w:rsidR="00F73D57" w:rsidRPr="00B65D57">
        <w:rPr>
          <w:rFonts w:ascii="Verdana" w:hAnsi="Verdana"/>
        </w:rPr>
        <w:t xml:space="preserve"> clay </w:t>
      </w:r>
      <w:r w:rsidR="005269DA" w:rsidRPr="00B65D57">
        <w:rPr>
          <w:rFonts w:ascii="Verdana" w:hAnsi="Verdana"/>
        </w:rPr>
        <w:t>soils (of marine origin),</w:t>
      </w:r>
      <w:r w:rsidRPr="00B65D57">
        <w:rPr>
          <w:rFonts w:ascii="Verdana" w:hAnsi="Verdana"/>
        </w:rPr>
        <w:t xml:space="preserve"> </w:t>
      </w:r>
      <w:r w:rsidR="00F73D57" w:rsidRPr="00B65D57">
        <w:rPr>
          <w:rFonts w:ascii="Verdana" w:hAnsi="Verdana"/>
        </w:rPr>
        <w:t xml:space="preserve">with </w:t>
      </w:r>
      <w:r w:rsidRPr="00B65D57">
        <w:rPr>
          <w:rFonts w:ascii="Verdana" w:hAnsi="Verdana"/>
        </w:rPr>
        <w:t xml:space="preserve">low water turnover according to </w:t>
      </w:r>
      <w:r w:rsidR="00ED2E09" w:rsidRPr="00B65D57">
        <w:rPr>
          <w:rFonts w:ascii="Verdana" w:hAnsi="Verdana"/>
        </w:rPr>
        <w:t xml:space="preserve">Manual Euroborbehandling (manual of Eurobor technique) </w:t>
      </w:r>
      <w:r w:rsidRPr="00B65D57">
        <w:rPr>
          <w:rFonts w:ascii="Verdana" w:hAnsi="Verdana"/>
        </w:rPr>
        <w:t xml:space="preserve">(Bandh, </w:t>
      </w:r>
      <w:r w:rsidR="72FC6EE3" w:rsidRPr="00B65D57">
        <w:rPr>
          <w:rFonts w:ascii="Verdana" w:hAnsi="Verdana"/>
        </w:rPr>
        <w:t>2022</w:t>
      </w:r>
      <w:r w:rsidRPr="00B65D57">
        <w:rPr>
          <w:rFonts w:ascii="Verdana" w:hAnsi="Verdana"/>
        </w:rPr>
        <w:t>).</w:t>
      </w:r>
    </w:p>
    <w:p w14:paraId="35F52D7D" w14:textId="00B522D5" w:rsidR="00234C10" w:rsidRPr="00B65D57" w:rsidRDefault="009A5C9B" w:rsidP="00065CC0">
      <w:pPr>
        <w:pStyle w:val="Rubrik4"/>
      </w:pPr>
      <w:bookmarkStart w:id="53" w:name="_Toc129689565"/>
      <w:r w:rsidRPr="00B65D57">
        <w:t xml:space="preserve">2.1.4.1 </w:t>
      </w:r>
      <w:r w:rsidR="00C618A2" w:rsidRPr="00B65D57">
        <w:t>Use description</w:t>
      </w:r>
      <w:bookmarkEnd w:id="53"/>
    </w:p>
    <w:bookmarkEnd w:id="50"/>
    <w:p w14:paraId="16F12FBD" w14:textId="63202E79" w:rsidR="00234C10" w:rsidRPr="00B65D57" w:rsidRDefault="00234C10" w:rsidP="008F4848">
      <w:pPr>
        <w:pStyle w:val="Beskrivning"/>
        <w:spacing w:after="60"/>
        <w:ind w:left="0" w:firstLine="0"/>
        <w:rPr>
          <w:rFonts w:ascii="Verdana" w:hAnsi="Verdana"/>
        </w:rPr>
      </w:pPr>
      <w:r w:rsidRPr="00B65D57">
        <w:rPr>
          <w:rFonts w:ascii="Verdana" w:hAnsi="Verdana"/>
        </w:rPr>
        <w:t xml:space="preserve">Table </w:t>
      </w:r>
      <w:r w:rsidRPr="00B65D57">
        <w:rPr>
          <w:rFonts w:ascii="Verdana" w:hAnsi="Verdana"/>
        </w:rPr>
        <w:fldChar w:fldCharType="begin"/>
      </w:r>
      <w:r w:rsidRPr="00B65D57">
        <w:rPr>
          <w:rFonts w:ascii="Verdana" w:hAnsi="Verdana"/>
        </w:rPr>
        <w:instrText xml:space="preserve"> SEQ Table \* ARABIC </w:instrText>
      </w:r>
      <w:r w:rsidRPr="00B65D57">
        <w:rPr>
          <w:rFonts w:ascii="Verdana" w:hAnsi="Verdana"/>
        </w:rPr>
        <w:fldChar w:fldCharType="separate"/>
      </w:r>
      <w:r w:rsidR="00327AD9">
        <w:rPr>
          <w:rFonts w:ascii="Verdana" w:hAnsi="Verdana"/>
          <w:noProof/>
        </w:rPr>
        <w:t>1</w:t>
      </w:r>
      <w:r w:rsidRPr="00B65D57">
        <w:rPr>
          <w:rFonts w:ascii="Verdana" w:hAnsi="Verdana"/>
        </w:rPr>
        <w:fldChar w:fldCharType="end"/>
      </w:r>
      <w:r w:rsidR="00B56C7E" w:rsidRPr="00B65D57">
        <w:rPr>
          <w:rFonts w:ascii="Verdana" w:hAnsi="Verdana"/>
        </w:rPr>
        <w:t xml:space="preserve">. Use # 1 – Preservation </w:t>
      </w:r>
      <w:r w:rsidR="004C756B" w:rsidRPr="00B65D57">
        <w:rPr>
          <w:rFonts w:ascii="Verdana" w:hAnsi="Verdana"/>
        </w:rPr>
        <w:t>of wooden foundation</w:t>
      </w:r>
      <w:r w:rsidR="007514B1" w:rsidRPr="00B65D57">
        <w:rPr>
          <w:rFonts w:ascii="Verdana" w:hAnsi="Verdana"/>
        </w:rPr>
        <w:t>s</w:t>
      </w:r>
      <w:r w:rsidR="004C756B" w:rsidRPr="00B65D57">
        <w:rPr>
          <w:rFonts w:ascii="Verdana" w:hAnsi="Verdana"/>
        </w:rPr>
        <w:t xml:space="preserve"> </w:t>
      </w:r>
      <w:r w:rsidR="00D30CE1" w:rsidRPr="00B65D57">
        <w:rPr>
          <w:rFonts w:ascii="Verdana" w:hAnsi="Verdana"/>
        </w:rPr>
        <w:t>(curative treatment)</w:t>
      </w:r>
    </w:p>
    <w:tbl>
      <w:tblPr>
        <w:tblW w:w="0" w:type="auto"/>
        <w:tblInd w:w="45" w:type="dxa"/>
        <w:tblLayout w:type="fixed"/>
        <w:tblCellMar>
          <w:left w:w="0" w:type="dxa"/>
          <w:right w:w="0" w:type="dxa"/>
        </w:tblCellMar>
        <w:tblLook w:val="0000" w:firstRow="0" w:lastRow="0" w:firstColumn="0" w:lastColumn="0" w:noHBand="0" w:noVBand="0"/>
      </w:tblPr>
      <w:tblGrid>
        <w:gridCol w:w="2360"/>
        <w:gridCol w:w="6665"/>
      </w:tblGrid>
      <w:tr w:rsidR="00234C10" w:rsidRPr="00B65D57" w14:paraId="7B8332FA" w14:textId="77777777" w:rsidTr="00EB1266">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3DC11757" w14:textId="77777777" w:rsidR="00234C10" w:rsidRPr="00B65D57" w:rsidRDefault="00234C10" w:rsidP="008F4848">
            <w:pPr>
              <w:rPr>
                <w:b/>
              </w:rPr>
            </w:pPr>
            <w:r w:rsidRPr="00B65D57">
              <w:rPr>
                <w:b/>
                <w:bCs/>
                <w:szCs w:val="24"/>
                <w:lang w:eastAsia="en-GB"/>
              </w:rPr>
              <w:t>Product Type</w:t>
            </w:r>
          </w:p>
        </w:tc>
        <w:tc>
          <w:tcPr>
            <w:tcW w:w="6665" w:type="dxa"/>
            <w:tcBorders>
              <w:top w:val="single" w:sz="4" w:space="0" w:color="000000" w:themeColor="text1"/>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33A9287E" w14:textId="37375641" w:rsidR="00234C10" w:rsidRPr="00B65D57" w:rsidRDefault="004822E7" w:rsidP="008F4848">
            <w:r w:rsidRPr="00B65D57">
              <w:t>PT 8</w:t>
            </w:r>
            <w:r w:rsidR="00520F8F" w:rsidRPr="00B65D57">
              <w:t xml:space="preserve"> </w:t>
            </w:r>
            <w:r w:rsidR="00FE2AC7" w:rsidRPr="00B65D57">
              <w:t>(</w:t>
            </w:r>
            <w:r w:rsidR="00520F8F" w:rsidRPr="00B65D57">
              <w:t>wood preservative</w:t>
            </w:r>
            <w:r w:rsidR="004D6653" w:rsidRPr="00B65D57">
              <w:t>s</w:t>
            </w:r>
            <w:r w:rsidR="00FE2AC7" w:rsidRPr="00B65D57">
              <w:t>)</w:t>
            </w:r>
          </w:p>
        </w:tc>
      </w:tr>
      <w:tr w:rsidR="00234C10" w:rsidRPr="00B65D57" w14:paraId="015AC8D5" w14:textId="77777777" w:rsidTr="00EB1266">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73478C6A" w14:textId="77777777" w:rsidR="00234C10" w:rsidRPr="00B65D57" w:rsidRDefault="00234C10" w:rsidP="008F4848">
            <w:pPr>
              <w:rPr>
                <w:b/>
              </w:rPr>
            </w:pPr>
            <w:bookmarkStart w:id="54" w:name="_Hlk118294819"/>
            <w:r w:rsidRPr="00B65D57">
              <w:rPr>
                <w:b/>
                <w:bCs/>
                <w:szCs w:val="24"/>
                <w:lang w:eastAsia="en-GB"/>
              </w:rPr>
              <w:t>Where relevant, an exact description of the authorised use</w:t>
            </w:r>
            <w:bookmarkEnd w:id="54"/>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06C9A8BB" w14:textId="05FA165C" w:rsidR="008F0777" w:rsidRPr="00B65D57" w:rsidRDefault="008F0777" w:rsidP="008F4848"/>
        </w:tc>
      </w:tr>
      <w:tr w:rsidR="00234C10" w:rsidRPr="00B65D57" w14:paraId="3CCDD6DC" w14:textId="77777777" w:rsidTr="00EB1266">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12D73E04" w14:textId="77777777" w:rsidR="00234C10" w:rsidRPr="00B65D57" w:rsidRDefault="00234C10" w:rsidP="008F4848">
            <w:pPr>
              <w:rPr>
                <w:b/>
              </w:rPr>
            </w:pPr>
            <w:r w:rsidRPr="00B65D57">
              <w:rPr>
                <w:b/>
                <w:bCs/>
                <w:szCs w:val="24"/>
                <w:lang w:eastAsia="en-GB"/>
              </w:rPr>
              <w:t>Target organism (including development stage)</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6672E07D" w14:textId="1CE6AF44" w:rsidR="00234C10" w:rsidRPr="00B65D57" w:rsidRDefault="003F1E1F" w:rsidP="008F4848">
            <w:pPr>
              <w:spacing w:before="60"/>
            </w:pPr>
            <w:r w:rsidRPr="00B65D57">
              <w:t>Wood</w:t>
            </w:r>
            <w:r w:rsidR="00262777" w:rsidRPr="00B65D57">
              <w:t>-</w:t>
            </w:r>
            <w:r w:rsidRPr="00B65D57">
              <w:t xml:space="preserve">rotting fungi </w:t>
            </w:r>
            <w:r w:rsidR="006030ED" w:rsidRPr="00B65D57">
              <w:t xml:space="preserve">in solid softwood (C.10, B10) </w:t>
            </w:r>
            <w:r w:rsidRPr="00B65D57">
              <w:t>including</w:t>
            </w:r>
            <w:r w:rsidR="00A53A7A" w:rsidRPr="00B65D57">
              <w:t>:</w:t>
            </w:r>
          </w:p>
          <w:p w14:paraId="601B1A3A" w14:textId="77777777" w:rsidR="003F1E1F" w:rsidRPr="00B65D57" w:rsidRDefault="00D721FE" w:rsidP="008F4848">
            <w:pPr>
              <w:spacing w:before="60"/>
              <w:ind w:left="357"/>
            </w:pPr>
            <w:r w:rsidRPr="00B65D57">
              <w:t xml:space="preserve">G.10, </w:t>
            </w:r>
            <w:r w:rsidR="003F1E1F" w:rsidRPr="00B65D57">
              <w:t>B</w:t>
            </w:r>
            <w:r w:rsidRPr="00B65D57">
              <w:t xml:space="preserve">asidiomycetes, brown rot fungi </w:t>
            </w:r>
          </w:p>
          <w:p w14:paraId="0AC9FA24" w14:textId="77777777" w:rsidR="003F1E1F" w:rsidRPr="00B65D57" w:rsidRDefault="00D721FE" w:rsidP="008F4848">
            <w:pPr>
              <w:spacing w:before="40"/>
              <w:ind w:left="357"/>
            </w:pPr>
            <w:r w:rsidRPr="00B65D57">
              <w:t xml:space="preserve">G.11, </w:t>
            </w:r>
            <w:r w:rsidR="003F1E1F" w:rsidRPr="00B65D57">
              <w:t>B</w:t>
            </w:r>
            <w:r w:rsidRPr="00B65D57">
              <w:t>asidiomycetes, white rot fungi</w:t>
            </w:r>
          </w:p>
          <w:p w14:paraId="018DED1B" w14:textId="77777777" w:rsidR="003F1E1F" w:rsidRPr="00B65D57" w:rsidRDefault="00D721FE" w:rsidP="008F4848">
            <w:pPr>
              <w:spacing w:before="40" w:after="20"/>
              <w:ind w:left="357"/>
            </w:pPr>
            <w:r w:rsidRPr="00B65D57">
              <w:t>G.12, Soft rot fungi</w:t>
            </w:r>
          </w:p>
        </w:tc>
      </w:tr>
      <w:tr w:rsidR="00234C10" w:rsidRPr="00B65D57" w14:paraId="4A645563" w14:textId="77777777" w:rsidTr="00EB1266">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3FB89CA6" w14:textId="77777777" w:rsidR="00234C10" w:rsidRPr="00B65D57" w:rsidRDefault="00234C10" w:rsidP="008F4848">
            <w:pPr>
              <w:rPr>
                <w:b/>
              </w:rPr>
            </w:pPr>
            <w:r w:rsidRPr="00B65D57">
              <w:rPr>
                <w:b/>
                <w:bCs/>
                <w:szCs w:val="24"/>
                <w:lang w:eastAsia="en-GB"/>
              </w:rPr>
              <w:t>Field of use</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285E72BC" w14:textId="7A1F7ED4" w:rsidR="005F60C3" w:rsidRPr="00B65D57" w:rsidRDefault="00401EA4" w:rsidP="008F4848">
            <w:r w:rsidRPr="00B65D57">
              <w:t>E.40 Wood preservative, use class 4a</w:t>
            </w:r>
            <w:r w:rsidR="00784FB7" w:rsidRPr="00B65D57">
              <w:t>, remedial application of</w:t>
            </w:r>
            <w:r w:rsidRPr="00B65D57">
              <w:t xml:space="preserve"> timbers in service in ground contact (curative).</w:t>
            </w:r>
          </w:p>
        </w:tc>
      </w:tr>
      <w:tr w:rsidR="00234C10" w:rsidRPr="00B65D57" w14:paraId="22E30BAE" w14:textId="77777777" w:rsidTr="00EB1266">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062C8E8F" w14:textId="77777777" w:rsidR="00234C10" w:rsidRPr="00B65D57" w:rsidRDefault="00CA443C" w:rsidP="008F4848">
            <w:pPr>
              <w:rPr>
                <w:b/>
                <w:bCs/>
                <w:szCs w:val="24"/>
                <w:lang w:eastAsia="en-GB"/>
              </w:rPr>
            </w:pPr>
            <w:r w:rsidRPr="00B65D57">
              <w:rPr>
                <w:b/>
                <w:bCs/>
                <w:szCs w:val="24"/>
                <w:lang w:eastAsia="en-GB"/>
              </w:rPr>
              <w:t>Application method</w:t>
            </w:r>
          </w:p>
          <w:p w14:paraId="7665C462" w14:textId="77777777" w:rsidR="000D121E" w:rsidRPr="00B65D57" w:rsidRDefault="000D121E" w:rsidP="008F4848">
            <w:pPr>
              <w:rPr>
                <w:b/>
              </w:rPr>
            </w:pP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392BEBE6" w14:textId="04337699" w:rsidR="00765065" w:rsidRPr="00B65D57" w:rsidRDefault="00D23404" w:rsidP="008F4848">
            <w:pPr>
              <w:spacing w:after="20"/>
              <w:ind w:left="360"/>
            </w:pPr>
            <w:r w:rsidRPr="00B65D57">
              <w:t xml:space="preserve">F.20, </w:t>
            </w:r>
            <w:r w:rsidR="1C0C4B0C" w:rsidRPr="00B65D57">
              <w:t>Injection</w:t>
            </w:r>
            <w:r w:rsidRPr="00B65D57">
              <w:t xml:space="preserve"> (Eurobor slurry is injected to a depot outside the wood).</w:t>
            </w:r>
            <w:r w:rsidR="003A7941" w:rsidRPr="00B65D57">
              <w:br/>
            </w:r>
          </w:p>
          <w:p w14:paraId="6505999D" w14:textId="31386A72" w:rsidR="00485D37" w:rsidRPr="00B65D57" w:rsidRDefault="00807F4F" w:rsidP="008F4848">
            <w:pPr>
              <w:spacing w:after="20"/>
              <w:ind w:left="360"/>
            </w:pPr>
            <w:r w:rsidRPr="00B65D57">
              <w:t>F</w:t>
            </w:r>
            <w:r w:rsidR="00806EC4" w:rsidRPr="00B65D57">
              <w:t xml:space="preserve">.60, </w:t>
            </w:r>
            <w:bookmarkStart w:id="55" w:name="_Hlk118295460"/>
            <w:r w:rsidR="00806EC4" w:rsidRPr="00B65D57">
              <w:t>Diffusion</w:t>
            </w:r>
            <w:bookmarkEnd w:id="55"/>
            <w:r w:rsidR="001F39F5" w:rsidRPr="00B65D57">
              <w:t xml:space="preserve"> (diffusion </w:t>
            </w:r>
            <w:r w:rsidR="008D2DFA" w:rsidRPr="00B65D57">
              <w:t xml:space="preserve">of </w:t>
            </w:r>
            <w:r w:rsidR="004D6903" w:rsidRPr="00B65D57">
              <w:t xml:space="preserve">active </w:t>
            </w:r>
            <w:r w:rsidR="04CEFCB8" w:rsidRPr="00B65D57">
              <w:t>substances</w:t>
            </w:r>
            <w:r w:rsidR="008D2DFA" w:rsidRPr="00B65D57">
              <w:t xml:space="preserve"> from </w:t>
            </w:r>
            <w:r w:rsidR="002512CC" w:rsidRPr="00B65D57">
              <w:t xml:space="preserve">injected </w:t>
            </w:r>
            <w:r w:rsidR="008D2DFA" w:rsidRPr="00B65D57">
              <w:t>depot into the wet wood)</w:t>
            </w:r>
            <w:r w:rsidR="00D9175C" w:rsidRPr="00B65D57">
              <w:t xml:space="preserve"> </w:t>
            </w:r>
          </w:p>
        </w:tc>
      </w:tr>
      <w:tr w:rsidR="00234C10" w:rsidRPr="00B65D57" w14:paraId="668C599B" w14:textId="77777777" w:rsidTr="00EB1266">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7B43DE69" w14:textId="77777777" w:rsidR="00234C10" w:rsidRPr="00B65D57" w:rsidRDefault="00234C10" w:rsidP="008F4848">
            <w:pPr>
              <w:rPr>
                <w:b/>
              </w:rPr>
            </w:pPr>
            <w:r w:rsidRPr="00B65D57">
              <w:rPr>
                <w:b/>
                <w:bCs/>
                <w:szCs w:val="24"/>
                <w:lang w:eastAsia="en-GB"/>
              </w:rPr>
              <w:t>A</w:t>
            </w:r>
            <w:r w:rsidR="009746E4" w:rsidRPr="00B65D57">
              <w:rPr>
                <w:b/>
                <w:bCs/>
                <w:szCs w:val="24"/>
                <w:lang w:eastAsia="en-GB"/>
              </w:rPr>
              <w:t>pplication rate(s) and frequency</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75B857EE" w14:textId="0E5335FA" w:rsidR="007F6386" w:rsidRPr="00B65D57" w:rsidRDefault="007F6386" w:rsidP="008F4848">
            <w:pPr>
              <w:spacing w:after="60"/>
            </w:pPr>
            <w:r w:rsidRPr="00B65D57">
              <w:t>Concentration of AS in solution/</w:t>
            </w:r>
            <w:r w:rsidR="00451255" w:rsidRPr="00B65D57">
              <w:t>slurry before application is 9</w:t>
            </w:r>
            <w:r w:rsidR="001D144D" w:rsidRPr="00B65D57">
              <w:t>.</w:t>
            </w:r>
            <w:r w:rsidR="00451255" w:rsidRPr="00B65D57">
              <w:t>0</w:t>
            </w:r>
            <w:r w:rsidRPr="00B65D57">
              <w:t>% BAE w/w</w:t>
            </w:r>
            <w:r w:rsidR="00CD0C11" w:rsidRPr="00B65D57">
              <w:t xml:space="preserve"> (</w:t>
            </w:r>
            <w:r w:rsidR="00FE06AB" w:rsidRPr="00B65D57">
              <w:t>about 10</w:t>
            </w:r>
            <w:r w:rsidR="001D144D" w:rsidRPr="00B65D57">
              <w:t>.</w:t>
            </w:r>
            <w:r w:rsidR="00FE06AB" w:rsidRPr="00B65D57">
              <w:t>6</w:t>
            </w:r>
            <w:r w:rsidRPr="00B65D57">
              <w:t>% BAE w/v).</w:t>
            </w:r>
          </w:p>
          <w:p w14:paraId="3C1233FB" w14:textId="4CECC78A" w:rsidR="00AB56C1" w:rsidRPr="00B65D57" w:rsidRDefault="00AB56C1" w:rsidP="008F4848">
            <w:pPr>
              <w:ind w:left="360"/>
            </w:pPr>
            <w:r w:rsidRPr="00B65D57">
              <w:t>Estimated</w:t>
            </w:r>
            <w:r w:rsidR="003A0EA4" w:rsidRPr="00B65D57">
              <w:t>/applied dose of Jerbor</w:t>
            </w:r>
            <w:r w:rsidR="004F2744" w:rsidRPr="00B65D57">
              <w:t xml:space="preserve"> </w:t>
            </w:r>
            <w:r w:rsidR="003A0EA4" w:rsidRPr="00B65D57">
              <w:t>equal to</w:t>
            </w:r>
            <w:r w:rsidR="006F497E" w:rsidRPr="00B65D57">
              <w:rPr>
                <w:sz w:val="16"/>
                <w:szCs w:val="16"/>
              </w:rPr>
              <w:t xml:space="preserve"> </w:t>
            </w:r>
            <w:r w:rsidR="007F6386" w:rsidRPr="00B65D57">
              <w:t>5-</w:t>
            </w:r>
            <w:r w:rsidR="006F497E" w:rsidRPr="00B65D57">
              <w:t>12</w:t>
            </w:r>
            <w:r w:rsidR="006F497E" w:rsidRPr="00B65D57">
              <w:rPr>
                <w:sz w:val="16"/>
                <w:szCs w:val="16"/>
              </w:rPr>
              <w:t xml:space="preserve"> </w:t>
            </w:r>
            <w:r w:rsidR="006F497E" w:rsidRPr="00B65D57">
              <w:t>kg</w:t>
            </w:r>
            <w:r w:rsidR="006F497E" w:rsidRPr="00B65D57">
              <w:rPr>
                <w:sz w:val="16"/>
                <w:szCs w:val="16"/>
              </w:rPr>
              <w:t xml:space="preserve"> </w:t>
            </w:r>
            <w:r w:rsidRPr="00B65D57">
              <w:t>BAE/m</w:t>
            </w:r>
            <w:r w:rsidRPr="00B65D57">
              <w:rPr>
                <w:vertAlign w:val="superscript"/>
              </w:rPr>
              <w:t>3</w:t>
            </w:r>
          </w:p>
          <w:p w14:paraId="2160FB07" w14:textId="2A8CC4A3" w:rsidR="00AB56C1" w:rsidRPr="00B65D57" w:rsidRDefault="009746E4" w:rsidP="008F4848">
            <w:pPr>
              <w:ind w:left="360"/>
            </w:pPr>
            <w:r w:rsidRPr="00B65D57">
              <w:t>Target dose of Jerbor</w:t>
            </w:r>
            <w:r w:rsidR="004F2744" w:rsidRPr="00B65D57">
              <w:t xml:space="preserve"> </w:t>
            </w:r>
            <w:r w:rsidRPr="00B65D57">
              <w:t>equal to</w:t>
            </w:r>
            <w:r w:rsidR="00AB56C1" w:rsidRPr="00B65D57">
              <w:t xml:space="preserve"> 2 kg BAE/m</w:t>
            </w:r>
            <w:r w:rsidR="00AB56C1" w:rsidRPr="00B65D57">
              <w:rPr>
                <w:vertAlign w:val="superscript"/>
              </w:rPr>
              <w:t>3</w:t>
            </w:r>
          </w:p>
          <w:p w14:paraId="208B0307" w14:textId="4E90FC1F" w:rsidR="00D439DF" w:rsidRPr="00B65D57" w:rsidRDefault="00AB56C1" w:rsidP="008F4848">
            <w:pPr>
              <w:ind w:left="360"/>
            </w:pPr>
            <w:r w:rsidRPr="00B65D57">
              <w:t xml:space="preserve">Target </w:t>
            </w:r>
            <w:r w:rsidR="009746E4" w:rsidRPr="00B65D57">
              <w:t xml:space="preserve">retention of active </w:t>
            </w:r>
            <w:r w:rsidR="551B54D6" w:rsidRPr="00B65D57">
              <w:t>substances</w:t>
            </w:r>
            <w:r w:rsidR="009746E4" w:rsidRPr="00B65D57">
              <w:t xml:space="preserve"> </w:t>
            </w:r>
            <w:r w:rsidR="007E3CB6" w:rsidRPr="00B65D57">
              <w:t xml:space="preserve">in wood </w:t>
            </w:r>
            <w:r w:rsidR="007F6386" w:rsidRPr="00B65D57">
              <w:t>after</w:t>
            </w:r>
            <w:r w:rsidRPr="00B65D57">
              <w:t xml:space="preserve"> 5 years, above 1 kg BAE/m</w:t>
            </w:r>
            <w:r w:rsidRPr="00B65D57">
              <w:rPr>
                <w:vertAlign w:val="superscript"/>
              </w:rPr>
              <w:t>3</w:t>
            </w:r>
          </w:p>
          <w:p w14:paraId="0FFFE1F6" w14:textId="57512988" w:rsidR="00D439DF" w:rsidRPr="00B65D57" w:rsidRDefault="002E173A" w:rsidP="008F4848">
            <w:pPr>
              <w:ind w:left="360"/>
            </w:pPr>
            <w:r w:rsidRPr="00B65D57">
              <w:t>One a</w:t>
            </w:r>
            <w:r w:rsidR="00D439DF" w:rsidRPr="00B65D57">
              <w:t xml:space="preserve">pplication for </w:t>
            </w:r>
            <w:r w:rsidRPr="00B65D57">
              <w:t>each</w:t>
            </w:r>
            <w:r w:rsidR="00D439DF" w:rsidRPr="00B65D57">
              <w:t xml:space="preserve"> foundation</w:t>
            </w:r>
          </w:p>
        </w:tc>
      </w:tr>
      <w:tr w:rsidR="00234C10" w:rsidRPr="00B65D57" w14:paraId="43D5D8F9" w14:textId="77777777" w:rsidTr="00EB1266">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315674D6" w14:textId="4E52C7C7" w:rsidR="00234C10" w:rsidRPr="00B65D57" w:rsidRDefault="00234C10" w:rsidP="008F4848">
            <w:pPr>
              <w:rPr>
                <w:b/>
              </w:rPr>
            </w:pPr>
            <w:r w:rsidRPr="00B65D57">
              <w:rPr>
                <w:b/>
                <w:bCs/>
                <w:szCs w:val="24"/>
                <w:lang w:eastAsia="en-GB"/>
              </w:rPr>
              <w:t>Category(ies) of users</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4290B0A7" w14:textId="1AB7A070" w:rsidR="00F51ACF" w:rsidRPr="00B65D57" w:rsidRDefault="00415DED" w:rsidP="008F4848">
            <w:r w:rsidRPr="00B65D57">
              <w:t xml:space="preserve">A.30 </w:t>
            </w:r>
            <w:r w:rsidR="00401EA4" w:rsidRPr="00B65D57">
              <w:t>Professional</w:t>
            </w:r>
            <w:r w:rsidR="00013935" w:rsidRPr="00B65D57">
              <w:t xml:space="preserve">, </w:t>
            </w:r>
            <w:r w:rsidR="00F51ACF" w:rsidRPr="00B65D57">
              <w:t>Use is restricted to profess</w:t>
            </w:r>
            <w:r w:rsidR="00022A48" w:rsidRPr="00B65D57">
              <w:t xml:space="preserve">ional users, approved by Jerbol </w:t>
            </w:r>
            <w:r w:rsidR="00F51ACF" w:rsidRPr="00B65D57">
              <w:t>Systems AB</w:t>
            </w:r>
            <w:r w:rsidR="00022A48" w:rsidRPr="00B65D57">
              <w:t>,</w:t>
            </w:r>
            <w:r w:rsidR="00F51ACF" w:rsidRPr="00B65D57">
              <w:t xml:space="preserve"> according to </w:t>
            </w:r>
            <w:r w:rsidR="00ED2E09" w:rsidRPr="00B65D57">
              <w:t>Manual Euroborbehandling (manual of Eurobor technique)</w:t>
            </w:r>
            <w:r w:rsidR="00022A48" w:rsidRPr="00B65D57">
              <w:t>.</w:t>
            </w:r>
          </w:p>
        </w:tc>
      </w:tr>
      <w:tr w:rsidR="00881601" w:rsidRPr="00B65D57" w14:paraId="770CA744" w14:textId="77777777" w:rsidTr="00EB1266">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7DF1AE48" w14:textId="77777777" w:rsidR="00234C10" w:rsidRPr="00B65D57" w:rsidRDefault="00234C10" w:rsidP="008F4848">
            <w:pPr>
              <w:rPr>
                <w:b/>
              </w:rPr>
            </w:pPr>
            <w:r w:rsidRPr="00B65D57">
              <w:rPr>
                <w:b/>
                <w:bCs/>
                <w:szCs w:val="24"/>
                <w:lang w:eastAsia="en-GB"/>
              </w:rPr>
              <w:t>Pack sizes and packaging material</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vAlign w:val="center"/>
          </w:tcPr>
          <w:p w14:paraId="1C154534" w14:textId="39F27BEB" w:rsidR="00234C10" w:rsidRPr="00B65D57" w:rsidRDefault="00696981" w:rsidP="008F4848">
            <w:r w:rsidRPr="00B65D57">
              <w:t>HDP</w:t>
            </w:r>
            <w:r w:rsidR="00AF0341" w:rsidRPr="00B65D57">
              <w:t>E</w:t>
            </w:r>
            <w:r w:rsidR="008A36A3" w:rsidRPr="00B65D57">
              <w:t xml:space="preserve"> barrel</w:t>
            </w:r>
            <w:r w:rsidRPr="00B65D57">
              <w:t xml:space="preserve">: </w:t>
            </w:r>
            <w:r w:rsidR="00AF0341" w:rsidRPr="00B65D57">
              <w:t>30</w:t>
            </w:r>
            <w:r w:rsidRPr="00B65D57">
              <w:t xml:space="preserve"> L</w:t>
            </w:r>
            <w:r w:rsidR="00AF0341" w:rsidRPr="00B65D57">
              <w:t xml:space="preserve"> </w:t>
            </w:r>
          </w:p>
        </w:tc>
      </w:tr>
    </w:tbl>
    <w:p w14:paraId="1294ABE6" w14:textId="77777777" w:rsidR="007F7288" w:rsidRPr="00B65D57" w:rsidRDefault="007F7288" w:rsidP="008F4848">
      <w:pPr>
        <w:rPr>
          <w:rFonts w:eastAsia="Calibri"/>
          <w:sz w:val="22"/>
          <w:szCs w:val="24"/>
          <w:lang w:eastAsia="en-US"/>
        </w:rPr>
      </w:pPr>
      <w:bookmarkStart w:id="56" w:name="_Toc416859529"/>
      <w:bookmarkStart w:id="57" w:name="_Toc366658848"/>
      <w:bookmarkStart w:id="58" w:name="d0e1044"/>
      <w:r w:rsidRPr="00B65D57">
        <w:br w:type="page"/>
      </w:r>
    </w:p>
    <w:p w14:paraId="4B6976E0" w14:textId="1C208AE8" w:rsidR="00C618A2" w:rsidRPr="00B65D57" w:rsidRDefault="009A5C9B" w:rsidP="00065CC0">
      <w:pPr>
        <w:pStyle w:val="Rubrik4"/>
      </w:pPr>
      <w:bookmarkStart w:id="59" w:name="_Toc129689566"/>
      <w:r w:rsidRPr="00B65D57">
        <w:lastRenderedPageBreak/>
        <w:t xml:space="preserve">2.1.4.2 </w:t>
      </w:r>
      <w:r w:rsidR="00C618A2" w:rsidRPr="00B65D57">
        <w:t>Use-specific instructions for use</w:t>
      </w:r>
      <w:bookmarkEnd w:id="56"/>
      <w:bookmarkEnd w:id="5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B65D57" w14:paraId="615AC7D1" w14:textId="77777777" w:rsidTr="00EB126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5D6828B" w14:textId="4ABA77BA" w:rsidR="006947D4" w:rsidRPr="00B65D57" w:rsidRDefault="00477603" w:rsidP="008F4848">
            <w:pPr>
              <w:widowControl w:val="0"/>
              <w:autoSpaceDE w:val="0"/>
              <w:autoSpaceDN w:val="0"/>
              <w:adjustRightInd w:val="0"/>
              <w:spacing w:before="80"/>
              <w:rPr>
                <w:rFonts w:cs="Times"/>
                <w:bCs/>
                <w:szCs w:val="29"/>
              </w:rPr>
            </w:pPr>
            <w:r w:rsidRPr="00B65D57">
              <w:rPr>
                <w:rFonts w:cs="Times"/>
                <w:bCs/>
                <w:szCs w:val="29"/>
              </w:rPr>
              <w:t>See General directions for use.</w:t>
            </w:r>
          </w:p>
        </w:tc>
      </w:tr>
    </w:tbl>
    <w:p w14:paraId="72B0750A" w14:textId="77777777" w:rsidR="00C618A2" w:rsidRPr="00B65D57" w:rsidRDefault="00C618A2" w:rsidP="008F4848">
      <w:pPr>
        <w:rPr>
          <w:rFonts w:eastAsia="Calibri"/>
        </w:rPr>
      </w:pPr>
      <w:bookmarkStart w:id="60" w:name="_Toc416859530"/>
    </w:p>
    <w:p w14:paraId="7686F1D9" w14:textId="152ED990" w:rsidR="00C618A2" w:rsidRPr="00B65D57" w:rsidRDefault="009A5C9B" w:rsidP="00065CC0">
      <w:pPr>
        <w:pStyle w:val="Rubrik4"/>
      </w:pPr>
      <w:bookmarkStart w:id="61" w:name="_Toc129689567"/>
      <w:r w:rsidRPr="00B65D57">
        <w:t xml:space="preserve">2.1.4.3 </w:t>
      </w:r>
      <w:r w:rsidR="00C618A2" w:rsidRPr="00B65D57">
        <w:t>Use-specific risk mitigation measures</w:t>
      </w:r>
      <w:bookmarkEnd w:id="60"/>
      <w:bookmarkEnd w:id="61"/>
      <w:r w:rsidR="00C618A2" w:rsidRPr="00B65D57">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B65D57" w14:paraId="381C58B6" w14:textId="77777777" w:rsidTr="438EA607">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31F8FD5B" w14:textId="776F1FF5" w:rsidR="00E705F9" w:rsidRPr="00B65D57" w:rsidRDefault="00477603" w:rsidP="008F4848">
            <w:pPr>
              <w:widowControl w:val="0"/>
              <w:autoSpaceDE w:val="0"/>
              <w:autoSpaceDN w:val="0"/>
              <w:adjustRightInd w:val="0"/>
              <w:spacing w:before="80"/>
              <w:rPr>
                <w:rFonts w:cs="Times"/>
                <w:bCs/>
                <w:szCs w:val="29"/>
              </w:rPr>
            </w:pPr>
            <w:r w:rsidRPr="00B65D57">
              <w:rPr>
                <w:rFonts w:cs="Times"/>
                <w:bCs/>
                <w:szCs w:val="29"/>
              </w:rPr>
              <w:t>See General directions for use.</w:t>
            </w:r>
          </w:p>
        </w:tc>
      </w:tr>
    </w:tbl>
    <w:p w14:paraId="328410FD" w14:textId="77777777" w:rsidR="00C618A2" w:rsidRPr="00B65D57" w:rsidRDefault="00C618A2" w:rsidP="008F4848">
      <w:pPr>
        <w:rPr>
          <w:rFonts w:eastAsia="Calibri"/>
        </w:rPr>
      </w:pPr>
      <w:bookmarkStart w:id="62" w:name="_Toc416859531"/>
    </w:p>
    <w:p w14:paraId="0F8C8FB5" w14:textId="53285A93" w:rsidR="00C618A2" w:rsidRPr="00B65D57" w:rsidRDefault="009A5C9B" w:rsidP="00065CC0">
      <w:pPr>
        <w:pStyle w:val="Rubrik4"/>
      </w:pPr>
      <w:bookmarkStart w:id="63" w:name="_Toc129689568"/>
      <w:r w:rsidRPr="00B65D57">
        <w:t xml:space="preserve">2.1.4.4 </w:t>
      </w:r>
      <w:r w:rsidR="00C618A2" w:rsidRPr="00B65D57">
        <w:t>Where specific to the use, the particulars of likely direct or indirect effects, first aid instructions and emergency measures to protect the environment</w:t>
      </w:r>
      <w:bookmarkEnd w:id="62"/>
      <w:bookmarkEnd w:id="6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B65D57" w14:paraId="0DAEF888" w14:textId="77777777" w:rsidTr="0A06C7C3">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1E71C568" w14:textId="7919839D" w:rsidR="002A7506" w:rsidRPr="00B65D57" w:rsidRDefault="00477603" w:rsidP="008F4848">
            <w:pPr>
              <w:widowControl w:val="0"/>
              <w:autoSpaceDE w:val="0"/>
              <w:autoSpaceDN w:val="0"/>
              <w:adjustRightInd w:val="0"/>
              <w:spacing w:before="80"/>
              <w:rPr>
                <w:rFonts w:cs="Times"/>
              </w:rPr>
            </w:pPr>
            <w:r w:rsidRPr="00B65D57">
              <w:rPr>
                <w:rFonts w:cs="Times"/>
                <w:bCs/>
                <w:szCs w:val="29"/>
              </w:rPr>
              <w:t>See General directions for use.</w:t>
            </w:r>
          </w:p>
        </w:tc>
      </w:tr>
    </w:tbl>
    <w:p w14:paraId="0C813367" w14:textId="3950AA32" w:rsidR="00C618A2" w:rsidRPr="00B65D57" w:rsidRDefault="009A5C9B" w:rsidP="00065CC0">
      <w:pPr>
        <w:pStyle w:val="Rubrik4"/>
      </w:pPr>
      <w:bookmarkStart w:id="64" w:name="_Toc416859532"/>
      <w:bookmarkStart w:id="65" w:name="_Toc129689569"/>
      <w:r w:rsidRPr="00B65D57">
        <w:t xml:space="preserve">2.1.4.5 </w:t>
      </w:r>
      <w:r w:rsidR="00C618A2" w:rsidRPr="00B65D57">
        <w:t>Where specific to the use, the instructions for safe disposal of the product and its packaging</w:t>
      </w:r>
      <w:bookmarkEnd w:id="64"/>
      <w:bookmarkEnd w:id="65"/>
      <w:r w:rsidR="00C618A2" w:rsidRPr="00B65D57">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B65D57" w14:paraId="65EFA0CE"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9DC085" w14:textId="6C62511B" w:rsidR="005535D2" w:rsidRPr="00B65D57" w:rsidRDefault="00DC49B3" w:rsidP="008F4848">
            <w:pPr>
              <w:widowControl w:val="0"/>
              <w:autoSpaceDE w:val="0"/>
              <w:autoSpaceDN w:val="0"/>
              <w:adjustRightInd w:val="0"/>
              <w:spacing w:before="80"/>
              <w:rPr>
                <w:rFonts w:cs="Times"/>
                <w:bCs/>
                <w:szCs w:val="29"/>
              </w:rPr>
            </w:pPr>
            <w:r w:rsidRPr="00B65D57">
              <w:rPr>
                <w:rFonts w:cs="Times"/>
                <w:bCs/>
                <w:szCs w:val="29"/>
              </w:rPr>
              <w:t>See General directions for use.</w:t>
            </w:r>
          </w:p>
        </w:tc>
      </w:tr>
    </w:tbl>
    <w:p w14:paraId="34F8EDA8" w14:textId="77777777" w:rsidR="00C618A2" w:rsidRPr="00B65D57" w:rsidRDefault="00C618A2" w:rsidP="008F4848">
      <w:pPr>
        <w:widowControl w:val="0"/>
        <w:autoSpaceDE w:val="0"/>
        <w:autoSpaceDN w:val="0"/>
        <w:adjustRightInd w:val="0"/>
        <w:rPr>
          <w:rFonts w:cs="Times"/>
          <w:bCs/>
          <w:szCs w:val="29"/>
        </w:rPr>
      </w:pPr>
    </w:p>
    <w:p w14:paraId="4CC2124F" w14:textId="06CA9B9E" w:rsidR="00C618A2" w:rsidRPr="00B65D57" w:rsidRDefault="009A5C9B" w:rsidP="00065CC0">
      <w:pPr>
        <w:pStyle w:val="Rubrik4"/>
      </w:pPr>
      <w:bookmarkStart w:id="66" w:name="_Toc416859533"/>
      <w:bookmarkStart w:id="67" w:name="_Toc129689570"/>
      <w:r w:rsidRPr="00B65D57">
        <w:t xml:space="preserve">2.1.4.6 </w:t>
      </w:r>
      <w:r w:rsidR="00C618A2" w:rsidRPr="00B65D57">
        <w:t>Where specific to the use, the conditions of storage and shelf-life of the product under normal conditions of storage</w:t>
      </w:r>
      <w:bookmarkEnd w:id="66"/>
      <w:bookmarkEnd w:id="6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B65D57" w14:paraId="165F57C2"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453717" w14:textId="05A2FC48" w:rsidR="00C618A2" w:rsidRPr="00B65D57" w:rsidRDefault="0005073A" w:rsidP="007F3AA8">
            <w:pPr>
              <w:widowControl w:val="0"/>
              <w:autoSpaceDE w:val="0"/>
              <w:autoSpaceDN w:val="0"/>
              <w:adjustRightInd w:val="0"/>
              <w:spacing w:before="80"/>
              <w:rPr>
                <w:rFonts w:cs="Times"/>
                <w:bCs/>
                <w:szCs w:val="29"/>
              </w:rPr>
            </w:pPr>
            <w:r w:rsidRPr="00B65D57">
              <w:rPr>
                <w:rFonts w:cs="Times"/>
                <w:bCs/>
                <w:szCs w:val="29"/>
              </w:rPr>
              <w:t>See General directions for use.</w:t>
            </w:r>
          </w:p>
        </w:tc>
      </w:tr>
    </w:tbl>
    <w:p w14:paraId="62B65E41" w14:textId="77777777" w:rsidR="00C83F66" w:rsidRPr="00B65D57" w:rsidRDefault="00C83F66" w:rsidP="00C618A2">
      <w:pPr>
        <w:widowControl w:val="0"/>
        <w:autoSpaceDE w:val="0"/>
        <w:autoSpaceDN w:val="0"/>
        <w:adjustRightInd w:val="0"/>
        <w:rPr>
          <w:rFonts w:cs="Times"/>
          <w:bCs/>
          <w:szCs w:val="29"/>
        </w:rPr>
      </w:pPr>
    </w:p>
    <w:p w14:paraId="14BFEC64" w14:textId="1198D9D9" w:rsidR="00E7271C" w:rsidRPr="00B65D57" w:rsidRDefault="009A5C9B" w:rsidP="00223981">
      <w:pPr>
        <w:pStyle w:val="Rubrik3"/>
        <w:rPr>
          <w:lang w:val="en-GB" w:eastAsia="en-US"/>
        </w:rPr>
      </w:pPr>
      <w:bookmarkStart w:id="68" w:name="_Toc129689571"/>
      <w:r w:rsidRPr="00B65D57">
        <w:rPr>
          <w:lang w:val="en-GB"/>
        </w:rPr>
        <w:t xml:space="preserve">2.1.5 </w:t>
      </w:r>
      <w:r w:rsidR="00E7271C" w:rsidRPr="00B65D57">
        <w:rPr>
          <w:lang w:val="en-GB"/>
        </w:rPr>
        <w:t xml:space="preserve">General </w:t>
      </w:r>
      <w:bookmarkStart w:id="69" w:name="_Hlk22909295"/>
      <w:r w:rsidR="00E7271C" w:rsidRPr="00B65D57">
        <w:rPr>
          <w:lang w:val="en-GB"/>
        </w:rPr>
        <w:t>directions for use</w:t>
      </w:r>
      <w:bookmarkEnd w:id="69"/>
      <w:bookmarkEnd w:id="68"/>
    </w:p>
    <w:p w14:paraId="21DC7911" w14:textId="208D4DC2" w:rsidR="00E7271C" w:rsidRPr="00B65D57" w:rsidRDefault="009A5C9B" w:rsidP="00065CC0">
      <w:pPr>
        <w:pStyle w:val="Rubrik4"/>
      </w:pPr>
      <w:bookmarkStart w:id="70" w:name="_Toc423017240"/>
      <w:bookmarkStart w:id="71" w:name="_Toc129689572"/>
      <w:r w:rsidRPr="00B65D57">
        <w:t xml:space="preserve">2.1.5.1 </w:t>
      </w:r>
      <w:r w:rsidR="00E7271C" w:rsidRPr="00B65D57">
        <w:t>Instructions for use</w:t>
      </w:r>
      <w:bookmarkEnd w:id="70"/>
      <w:bookmarkEnd w:id="7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B65D57" w14:paraId="7E41BA82" w14:textId="77777777" w:rsidTr="246707F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00E9495C" w14:textId="1192B8A4" w:rsidR="00477603" w:rsidRPr="00B65D57" w:rsidRDefault="00477603" w:rsidP="008F4848">
            <w:pPr>
              <w:widowControl w:val="0"/>
              <w:autoSpaceDE w:val="0"/>
              <w:autoSpaceDN w:val="0"/>
              <w:adjustRightInd w:val="0"/>
              <w:spacing w:before="80"/>
              <w:rPr>
                <w:rFonts w:cs="Times"/>
              </w:rPr>
            </w:pPr>
            <w:r w:rsidRPr="00B65D57">
              <w:rPr>
                <w:rFonts w:cs="Times"/>
              </w:rPr>
              <w:t xml:space="preserve">The </w:t>
            </w:r>
            <w:r w:rsidRPr="00B65D57">
              <w:t>instructions for use</w:t>
            </w:r>
            <w:r w:rsidRPr="00B65D57">
              <w:rPr>
                <w:rFonts w:cs="Times"/>
              </w:rPr>
              <w:t xml:space="preserve"> of Je</w:t>
            </w:r>
            <w:r w:rsidR="00ED2E09" w:rsidRPr="00B65D57">
              <w:rPr>
                <w:rFonts w:cs="Times"/>
              </w:rPr>
              <w:t>r</w:t>
            </w:r>
            <w:r w:rsidRPr="00B65D57">
              <w:rPr>
                <w:rFonts w:cs="Times"/>
              </w:rPr>
              <w:t>bor</w:t>
            </w:r>
            <w:r w:rsidR="003B5C48" w:rsidRPr="00B65D57">
              <w:rPr>
                <w:rFonts w:cs="Times"/>
              </w:rPr>
              <w:t xml:space="preserve"> are available in</w:t>
            </w:r>
            <w:r w:rsidRPr="00B65D57">
              <w:rPr>
                <w:rFonts w:cs="Times"/>
              </w:rPr>
              <w:t xml:space="preserve"> </w:t>
            </w:r>
            <w:r w:rsidR="003B5C48" w:rsidRPr="00B65D57">
              <w:rPr>
                <w:rFonts w:cs="Times"/>
              </w:rPr>
              <w:t>M</w:t>
            </w:r>
            <w:r w:rsidRPr="00B65D57">
              <w:rPr>
                <w:rFonts w:cs="Times"/>
              </w:rPr>
              <w:t>anual Eurobo</w:t>
            </w:r>
            <w:r w:rsidR="003B5C48" w:rsidRPr="00B65D57">
              <w:rPr>
                <w:rFonts w:cs="Times"/>
              </w:rPr>
              <w:t>rbehandling (2022)</w:t>
            </w:r>
            <w:r w:rsidRPr="00B65D57">
              <w:rPr>
                <w:rFonts w:cs="Times"/>
              </w:rPr>
              <w:t xml:space="preserve">. </w:t>
            </w:r>
            <w:r w:rsidR="003B5C48" w:rsidRPr="00B65D57">
              <w:rPr>
                <w:rFonts w:cs="Times"/>
              </w:rPr>
              <w:t>The</w:t>
            </w:r>
            <w:r w:rsidRPr="00B65D57">
              <w:rPr>
                <w:rFonts w:cs="Times"/>
              </w:rPr>
              <w:t xml:space="preserve"> use is restricted only to professional staff </w:t>
            </w:r>
            <w:bookmarkStart w:id="72" w:name="_Hlk107563909"/>
            <w:r w:rsidRPr="00B65D57">
              <w:rPr>
                <w:rFonts w:cs="Times"/>
              </w:rPr>
              <w:t>trained according to the manual.</w:t>
            </w:r>
          </w:p>
          <w:bookmarkEnd w:id="72"/>
          <w:p w14:paraId="7E09EBE2" w14:textId="77777777" w:rsidR="00325149" w:rsidRPr="00B65D57" w:rsidRDefault="00325149" w:rsidP="008F4848">
            <w:pPr>
              <w:widowControl w:val="0"/>
              <w:autoSpaceDE w:val="0"/>
              <w:autoSpaceDN w:val="0"/>
              <w:adjustRightInd w:val="0"/>
              <w:spacing w:before="80"/>
              <w:rPr>
                <w:rFonts w:cs="Times"/>
                <w:bCs/>
                <w:szCs w:val="29"/>
                <w:u w:val="single"/>
              </w:rPr>
            </w:pPr>
          </w:p>
          <w:p w14:paraId="10AFFBAF" w14:textId="0E7372DB" w:rsidR="00477603" w:rsidRPr="00B65D57" w:rsidRDefault="00325149" w:rsidP="008F4848">
            <w:pPr>
              <w:widowControl w:val="0"/>
              <w:autoSpaceDE w:val="0"/>
              <w:autoSpaceDN w:val="0"/>
              <w:adjustRightInd w:val="0"/>
              <w:spacing w:before="80"/>
              <w:rPr>
                <w:rFonts w:cs="Times"/>
                <w:bCs/>
                <w:szCs w:val="29"/>
                <w:u w:val="single"/>
              </w:rPr>
            </w:pPr>
            <w:r w:rsidRPr="00B65D57">
              <w:rPr>
                <w:rFonts w:cs="Times"/>
                <w:bCs/>
                <w:szCs w:val="29"/>
                <w:u w:val="single"/>
              </w:rPr>
              <w:t>Overall use activities</w:t>
            </w:r>
          </w:p>
          <w:p w14:paraId="4A5710F6" w14:textId="4D7BED22" w:rsidR="00477603" w:rsidRPr="00B65D57" w:rsidRDefault="003B5C48" w:rsidP="008F4848">
            <w:pPr>
              <w:widowControl w:val="0"/>
              <w:autoSpaceDE w:val="0"/>
              <w:autoSpaceDN w:val="0"/>
              <w:adjustRightInd w:val="0"/>
              <w:spacing w:before="80"/>
              <w:rPr>
                <w:rFonts w:cs="Times"/>
                <w:bCs/>
                <w:szCs w:val="29"/>
              </w:rPr>
            </w:pPr>
            <w:r w:rsidRPr="00B65D57">
              <w:rPr>
                <w:rFonts w:cs="Times"/>
                <w:bCs/>
                <w:szCs w:val="29"/>
              </w:rPr>
              <w:t>The f</w:t>
            </w:r>
            <w:r w:rsidR="00477603" w:rsidRPr="00B65D57">
              <w:rPr>
                <w:rFonts w:cs="Times"/>
                <w:bCs/>
                <w:szCs w:val="29"/>
              </w:rPr>
              <w:t xml:space="preserve">ollowing activities </w:t>
            </w:r>
            <w:r w:rsidRPr="00B65D57">
              <w:rPr>
                <w:rFonts w:cs="Times"/>
                <w:bCs/>
                <w:szCs w:val="29"/>
              </w:rPr>
              <w:t>are</w:t>
            </w:r>
            <w:r w:rsidR="00477603" w:rsidRPr="00B65D57">
              <w:rPr>
                <w:rFonts w:cs="Times"/>
                <w:bCs/>
                <w:szCs w:val="29"/>
              </w:rPr>
              <w:t xml:space="preserve"> mandatory: </w:t>
            </w:r>
          </w:p>
          <w:p w14:paraId="09328F0A" w14:textId="54454220"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 xml:space="preserve">1. Foundation investigation </w:t>
            </w:r>
          </w:p>
          <w:p w14:paraId="73A6305F" w14:textId="136F806C" w:rsidR="00477603" w:rsidRPr="00B65D57" w:rsidRDefault="00477603" w:rsidP="008F4848">
            <w:pPr>
              <w:widowControl w:val="0"/>
              <w:autoSpaceDE w:val="0"/>
              <w:autoSpaceDN w:val="0"/>
              <w:adjustRightInd w:val="0"/>
              <w:spacing w:before="40"/>
              <w:rPr>
                <w:rFonts w:cs="Times"/>
                <w:bCs/>
                <w:szCs w:val="29"/>
              </w:rPr>
            </w:pPr>
            <w:r w:rsidRPr="00B65D57">
              <w:rPr>
                <w:rFonts w:cs="Times"/>
                <w:bCs/>
                <w:szCs w:val="29"/>
              </w:rPr>
              <w:t xml:space="preserve">2. Preparations before treatment </w:t>
            </w:r>
          </w:p>
          <w:p w14:paraId="499AA020" w14:textId="2F08A894" w:rsidR="00477603" w:rsidRPr="00B65D57" w:rsidRDefault="00477603" w:rsidP="008F4848">
            <w:pPr>
              <w:widowControl w:val="0"/>
              <w:autoSpaceDE w:val="0"/>
              <w:autoSpaceDN w:val="0"/>
              <w:adjustRightInd w:val="0"/>
              <w:spacing w:before="40"/>
              <w:rPr>
                <w:rFonts w:cs="Times"/>
                <w:bCs/>
                <w:szCs w:val="29"/>
              </w:rPr>
            </w:pPr>
            <w:r w:rsidRPr="00B65D57">
              <w:rPr>
                <w:rFonts w:cs="Times"/>
                <w:bCs/>
                <w:szCs w:val="29"/>
              </w:rPr>
              <w:t xml:space="preserve">3. Treatment with measurements </w:t>
            </w:r>
          </w:p>
          <w:p w14:paraId="4BFDCFF4" w14:textId="784DCF7F" w:rsidR="00477603" w:rsidRPr="00B65D57" w:rsidRDefault="00477603" w:rsidP="008F4848">
            <w:pPr>
              <w:widowControl w:val="0"/>
              <w:autoSpaceDE w:val="0"/>
              <w:autoSpaceDN w:val="0"/>
              <w:adjustRightInd w:val="0"/>
              <w:spacing w:before="40"/>
              <w:rPr>
                <w:rFonts w:cs="Times"/>
                <w:bCs/>
                <w:szCs w:val="29"/>
              </w:rPr>
            </w:pPr>
            <w:r w:rsidRPr="00B65D57">
              <w:rPr>
                <w:rFonts w:cs="Times"/>
                <w:bCs/>
                <w:szCs w:val="29"/>
              </w:rPr>
              <w:t xml:space="preserve">4. Follow-up of result </w:t>
            </w:r>
          </w:p>
          <w:p w14:paraId="3737EB50" w14:textId="77777777" w:rsidR="00477603" w:rsidRPr="00B65D57" w:rsidRDefault="00477603" w:rsidP="008F4848">
            <w:pPr>
              <w:widowControl w:val="0"/>
              <w:autoSpaceDE w:val="0"/>
              <w:autoSpaceDN w:val="0"/>
              <w:adjustRightInd w:val="0"/>
              <w:spacing w:before="80"/>
              <w:rPr>
                <w:rFonts w:cs="Times"/>
                <w:bCs/>
                <w:szCs w:val="29"/>
              </w:rPr>
            </w:pPr>
          </w:p>
          <w:p w14:paraId="774B2D82" w14:textId="77777777" w:rsidR="00477603" w:rsidRPr="00B65D57" w:rsidRDefault="00477603" w:rsidP="008F4848">
            <w:pPr>
              <w:widowControl w:val="0"/>
              <w:autoSpaceDE w:val="0"/>
              <w:autoSpaceDN w:val="0"/>
              <w:adjustRightInd w:val="0"/>
              <w:spacing w:before="80" w:after="160"/>
              <w:rPr>
                <w:rFonts w:cs="Times"/>
                <w:bCs/>
                <w:szCs w:val="29"/>
                <w:u w:val="single"/>
              </w:rPr>
            </w:pPr>
            <w:r w:rsidRPr="00B65D57">
              <w:rPr>
                <w:rFonts w:cs="Times"/>
                <w:bCs/>
                <w:szCs w:val="29"/>
                <w:u w:val="single"/>
              </w:rPr>
              <w:t>Required results from the overall use activities</w:t>
            </w:r>
          </w:p>
          <w:p w14:paraId="1A1DBF14" w14:textId="77777777" w:rsidR="00477603" w:rsidRPr="00B65D57" w:rsidRDefault="00477603" w:rsidP="008F4848">
            <w:pPr>
              <w:widowControl w:val="0"/>
              <w:autoSpaceDE w:val="0"/>
              <w:autoSpaceDN w:val="0"/>
              <w:adjustRightInd w:val="0"/>
              <w:spacing w:before="80"/>
              <w:rPr>
                <w:rFonts w:cs="Times"/>
              </w:rPr>
            </w:pPr>
            <w:r w:rsidRPr="00B65D57">
              <w:rPr>
                <w:rFonts w:cs="Times"/>
              </w:rPr>
              <w:t>1. Before a recommendation of a treatment with Jerbor, a foundation investigation have to result in following.</w:t>
            </w:r>
          </w:p>
          <w:p w14:paraId="023816A5" w14:textId="77777777" w:rsidR="00477603" w:rsidRPr="00B65D57" w:rsidRDefault="00477603" w:rsidP="008F4848">
            <w:pPr>
              <w:widowControl w:val="0"/>
              <w:autoSpaceDE w:val="0"/>
              <w:autoSpaceDN w:val="0"/>
              <w:adjustRightInd w:val="0"/>
              <w:spacing w:before="60"/>
              <w:ind w:left="357"/>
              <w:rPr>
                <w:rFonts w:cs="Times"/>
                <w:bCs/>
                <w:szCs w:val="29"/>
              </w:rPr>
            </w:pPr>
            <w:r w:rsidRPr="00B65D57">
              <w:rPr>
                <w:rFonts w:cs="Times"/>
                <w:bCs/>
                <w:szCs w:val="29"/>
              </w:rPr>
              <w:t>laboratory results, showing fungi degradation in grillage or piles and that wood is still worth preserving</w:t>
            </w:r>
          </w:p>
          <w:p w14:paraId="3CC96A25" w14:textId="3E2616AA" w:rsidR="00477603" w:rsidRPr="00B65D57" w:rsidRDefault="00477603" w:rsidP="008F4848">
            <w:pPr>
              <w:widowControl w:val="0"/>
              <w:autoSpaceDE w:val="0"/>
              <w:autoSpaceDN w:val="0"/>
              <w:adjustRightInd w:val="0"/>
              <w:spacing w:before="60"/>
              <w:ind w:left="357"/>
              <w:rPr>
                <w:rFonts w:cs="Times"/>
              </w:rPr>
            </w:pPr>
            <w:r w:rsidRPr="00B65D57">
              <w:rPr>
                <w:rFonts w:cs="Times"/>
              </w:rPr>
              <w:lastRenderedPageBreak/>
              <w:t xml:space="preserve">documented foundation design from inspection </w:t>
            </w:r>
            <w:r w:rsidR="00D0178F" w:rsidRPr="00B65D57">
              <w:rPr>
                <w:rFonts w:cs="Times"/>
              </w:rPr>
              <w:t xml:space="preserve">of </w:t>
            </w:r>
            <w:r w:rsidRPr="00B65D57">
              <w:rPr>
                <w:rFonts w:cs="Times"/>
              </w:rPr>
              <w:t>pits</w:t>
            </w:r>
          </w:p>
          <w:p w14:paraId="15F9DBBF" w14:textId="77777777" w:rsidR="00477603" w:rsidRPr="00B65D57" w:rsidRDefault="00477603" w:rsidP="008F4848">
            <w:pPr>
              <w:widowControl w:val="0"/>
              <w:autoSpaceDE w:val="0"/>
              <w:autoSpaceDN w:val="0"/>
              <w:adjustRightInd w:val="0"/>
              <w:spacing w:before="60"/>
              <w:ind w:left="357"/>
              <w:rPr>
                <w:rFonts w:cs="Times"/>
                <w:bCs/>
                <w:szCs w:val="29"/>
              </w:rPr>
            </w:pPr>
            <w:r w:rsidRPr="00B65D57">
              <w:rPr>
                <w:rFonts w:cs="Times"/>
                <w:bCs/>
                <w:szCs w:val="29"/>
              </w:rPr>
              <w:t>wood and groundwater levels</w:t>
            </w:r>
          </w:p>
          <w:p w14:paraId="2D6FF1C0" w14:textId="77777777" w:rsidR="00477603" w:rsidRPr="00B65D57" w:rsidRDefault="00477603" w:rsidP="008F4848">
            <w:pPr>
              <w:widowControl w:val="0"/>
              <w:autoSpaceDE w:val="0"/>
              <w:autoSpaceDN w:val="0"/>
              <w:adjustRightInd w:val="0"/>
              <w:spacing w:before="60"/>
              <w:ind w:left="357"/>
              <w:rPr>
                <w:rFonts w:cs="Times"/>
                <w:bCs/>
                <w:szCs w:val="29"/>
              </w:rPr>
            </w:pPr>
            <w:r w:rsidRPr="00B65D57">
              <w:rPr>
                <w:rFonts w:cs="Times"/>
                <w:bCs/>
                <w:szCs w:val="29"/>
              </w:rPr>
              <w:t xml:space="preserve">control of sewage pipes beneath the building </w:t>
            </w:r>
          </w:p>
          <w:p w14:paraId="3A9A118A" w14:textId="704AFEC6" w:rsidR="00477603" w:rsidRPr="00B65D57" w:rsidRDefault="00477603" w:rsidP="008F4848">
            <w:pPr>
              <w:widowControl w:val="0"/>
              <w:autoSpaceDE w:val="0"/>
              <w:autoSpaceDN w:val="0"/>
              <w:adjustRightInd w:val="0"/>
              <w:spacing w:before="60"/>
              <w:ind w:left="360"/>
              <w:rPr>
                <w:rFonts w:cs="Times"/>
                <w:bCs/>
                <w:szCs w:val="29"/>
              </w:rPr>
            </w:pPr>
            <w:r w:rsidRPr="00B65D57">
              <w:rPr>
                <w:rFonts w:cs="Times"/>
                <w:bCs/>
                <w:szCs w:val="29"/>
              </w:rPr>
              <w:t>documented ground conditions, showing that the foundation is surrounded by dens</w:t>
            </w:r>
            <w:r w:rsidR="00D0178F" w:rsidRPr="00B65D57">
              <w:rPr>
                <w:rFonts w:cs="Times"/>
                <w:bCs/>
                <w:szCs w:val="29"/>
              </w:rPr>
              <w:t>e</w:t>
            </w:r>
            <w:r w:rsidRPr="00B65D57">
              <w:rPr>
                <w:rFonts w:cs="Times"/>
                <w:bCs/>
                <w:szCs w:val="29"/>
              </w:rPr>
              <w:t xml:space="preserve"> clay with low water turnover in the decay/treatment zone</w:t>
            </w:r>
          </w:p>
          <w:p w14:paraId="439FBD37" w14:textId="77777777" w:rsidR="00477603" w:rsidRPr="00B65D57" w:rsidRDefault="00477603" w:rsidP="008F4848">
            <w:pPr>
              <w:widowControl w:val="0"/>
              <w:autoSpaceDE w:val="0"/>
              <w:autoSpaceDN w:val="0"/>
              <w:adjustRightInd w:val="0"/>
              <w:spacing w:before="60"/>
              <w:ind w:left="357"/>
              <w:rPr>
                <w:rFonts w:cs="Times"/>
                <w:bCs/>
                <w:szCs w:val="29"/>
              </w:rPr>
            </w:pPr>
            <w:r w:rsidRPr="00B65D57">
              <w:rPr>
                <w:rFonts w:cs="Times"/>
                <w:bCs/>
                <w:szCs w:val="29"/>
              </w:rPr>
              <w:t>measurements showing uniform settling pace within the building</w:t>
            </w:r>
          </w:p>
          <w:p w14:paraId="1BDDF95A" w14:textId="7DFDD2FA" w:rsidR="00477603" w:rsidRPr="00B65D57" w:rsidRDefault="00477603" w:rsidP="008F4848">
            <w:pPr>
              <w:widowControl w:val="0"/>
              <w:autoSpaceDE w:val="0"/>
              <w:autoSpaceDN w:val="0"/>
              <w:adjustRightInd w:val="0"/>
              <w:spacing w:before="60" w:after="120"/>
              <w:ind w:left="360"/>
              <w:rPr>
                <w:rFonts w:cs="Times"/>
                <w:bCs/>
                <w:szCs w:val="29"/>
              </w:rPr>
            </w:pPr>
            <w:r w:rsidRPr="00B65D57">
              <w:rPr>
                <w:rFonts w:cs="Times"/>
                <w:bCs/>
                <w:szCs w:val="29"/>
              </w:rPr>
              <w:t>knowledge of the hydrogeological conditions in the surroundings</w:t>
            </w:r>
            <w:r w:rsidRPr="00B65D57">
              <w:rPr>
                <w:rFonts w:cs="Times"/>
                <w:bCs/>
                <w:szCs w:val="29"/>
              </w:rPr>
              <w:br/>
            </w:r>
          </w:p>
          <w:p w14:paraId="2DB3C2C5" w14:textId="6E1FCA64" w:rsidR="00477603" w:rsidRPr="00B65D57" w:rsidRDefault="00477603" w:rsidP="008F4848">
            <w:pPr>
              <w:widowControl w:val="0"/>
              <w:autoSpaceDE w:val="0"/>
              <w:autoSpaceDN w:val="0"/>
              <w:adjustRightInd w:val="0"/>
              <w:spacing w:before="160"/>
              <w:rPr>
                <w:rFonts w:cs="Times"/>
                <w:bCs/>
                <w:szCs w:val="29"/>
              </w:rPr>
            </w:pPr>
            <w:r w:rsidRPr="00B65D57">
              <w:rPr>
                <w:rFonts w:cs="Times"/>
                <w:bCs/>
                <w:szCs w:val="29"/>
              </w:rPr>
              <w:t>2. Before a treatment with Jerbor, preparations have to result in following</w:t>
            </w:r>
            <w:r w:rsidR="00D0178F" w:rsidRPr="00B65D57">
              <w:rPr>
                <w:rFonts w:cs="Times"/>
                <w:bCs/>
                <w:szCs w:val="29"/>
              </w:rPr>
              <w:t>:</w:t>
            </w:r>
          </w:p>
          <w:p w14:paraId="6443C792"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necessary control documents to ensure,</w:t>
            </w:r>
          </w:p>
          <w:p w14:paraId="174C1B3C" w14:textId="77777777" w:rsidR="00477603" w:rsidRPr="00B65D57" w:rsidRDefault="00477603" w:rsidP="008F4848">
            <w:pPr>
              <w:widowControl w:val="0"/>
              <w:autoSpaceDE w:val="0"/>
              <w:autoSpaceDN w:val="0"/>
              <w:adjustRightInd w:val="0"/>
              <w:spacing w:before="80"/>
              <w:ind w:left="1080"/>
              <w:rPr>
                <w:rFonts w:cs="Times"/>
                <w:bCs/>
                <w:szCs w:val="29"/>
              </w:rPr>
            </w:pPr>
            <w:r w:rsidRPr="00B65D57">
              <w:rPr>
                <w:rFonts w:cs="Times"/>
                <w:bCs/>
                <w:szCs w:val="29"/>
              </w:rPr>
              <w:t>that intended effect of the treatment is achieved</w:t>
            </w:r>
          </w:p>
          <w:p w14:paraId="5DBD958D" w14:textId="77777777" w:rsidR="00477603" w:rsidRPr="00B65D57" w:rsidRDefault="00477603" w:rsidP="008F4848">
            <w:pPr>
              <w:widowControl w:val="0"/>
              <w:autoSpaceDE w:val="0"/>
              <w:autoSpaceDN w:val="0"/>
              <w:adjustRightInd w:val="0"/>
              <w:spacing w:before="80"/>
              <w:ind w:left="1080"/>
              <w:rPr>
                <w:rFonts w:cs="Times"/>
                <w:bCs/>
                <w:szCs w:val="29"/>
              </w:rPr>
            </w:pPr>
            <w:r w:rsidRPr="00B65D57">
              <w:rPr>
                <w:rFonts w:cs="Times"/>
                <w:bCs/>
                <w:szCs w:val="29"/>
              </w:rPr>
              <w:t>that the work can be performed safely, both for professionals and for third parties</w:t>
            </w:r>
          </w:p>
          <w:p w14:paraId="4D1F2A5F" w14:textId="77777777" w:rsidR="00477603" w:rsidRPr="00B65D57" w:rsidRDefault="00477603" w:rsidP="008F4848">
            <w:pPr>
              <w:widowControl w:val="0"/>
              <w:autoSpaceDE w:val="0"/>
              <w:autoSpaceDN w:val="0"/>
              <w:adjustRightInd w:val="0"/>
              <w:spacing w:before="80"/>
              <w:ind w:left="1080"/>
              <w:rPr>
                <w:rFonts w:cs="Times"/>
                <w:bCs/>
                <w:szCs w:val="29"/>
              </w:rPr>
            </w:pPr>
            <w:r w:rsidRPr="00B65D57">
              <w:rPr>
                <w:rFonts w:cs="Times"/>
                <w:bCs/>
                <w:szCs w:val="29"/>
              </w:rPr>
              <w:t xml:space="preserve">that work can be done without environmental impact </w:t>
            </w:r>
            <w:r w:rsidRPr="00B65D57">
              <w:rPr>
                <w:rFonts w:cs="Times"/>
              </w:rPr>
              <w:t>outside</w:t>
            </w:r>
            <w:r w:rsidRPr="00B65D57">
              <w:rPr>
                <w:rFonts w:cs="Times"/>
                <w:bCs/>
                <w:szCs w:val="29"/>
              </w:rPr>
              <w:t xml:space="preserve"> the treatment zone</w:t>
            </w:r>
          </w:p>
          <w:p w14:paraId="3FA96AC9"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 xml:space="preserve">all </w:t>
            </w:r>
            <w:r w:rsidRPr="00B65D57">
              <w:rPr>
                <w:rFonts w:cs="Times"/>
              </w:rPr>
              <w:t>professionals</w:t>
            </w:r>
            <w:r w:rsidRPr="00B65D57">
              <w:rPr>
                <w:rFonts w:cs="Times"/>
                <w:bCs/>
                <w:szCs w:val="29"/>
              </w:rPr>
              <w:t xml:space="preserve"> and third parties are properly informed</w:t>
            </w:r>
          </w:p>
          <w:p w14:paraId="6172668D" w14:textId="77777777" w:rsidR="00477603" w:rsidRPr="00B65D57" w:rsidRDefault="00477603" w:rsidP="008F4848">
            <w:pPr>
              <w:widowControl w:val="0"/>
              <w:autoSpaceDE w:val="0"/>
              <w:autoSpaceDN w:val="0"/>
              <w:adjustRightInd w:val="0"/>
              <w:spacing w:before="80"/>
              <w:ind w:left="357"/>
              <w:rPr>
                <w:rFonts w:cs="Times"/>
                <w:bCs/>
                <w:szCs w:val="29"/>
              </w:rPr>
            </w:pPr>
            <w:r w:rsidRPr="00B65D57">
              <w:rPr>
                <w:rFonts w:cs="Times"/>
                <w:bCs/>
                <w:szCs w:val="29"/>
              </w:rPr>
              <w:t>injection holes are marked out with each holes identity on site according to drilling drawing</w:t>
            </w:r>
          </w:p>
          <w:p w14:paraId="7CD51EA3"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any leaking sewage pipes beneath the building are repaired and any wastewater contaminated groundwater is pumped out</w:t>
            </w:r>
          </w:p>
          <w:p w14:paraId="1705573E" w14:textId="156BD30A"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installed ground water tubes outside the foundation for environmental control</w:t>
            </w:r>
          </w:p>
          <w:p w14:paraId="42F09B19" w14:textId="696AB2FB"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 xml:space="preserve">sampled and </w:t>
            </w:r>
            <w:r w:rsidRPr="00B65D57">
              <w:rPr>
                <w:rFonts w:cs="Times"/>
              </w:rPr>
              <w:t>analysed</w:t>
            </w:r>
            <w:r w:rsidRPr="00B65D57">
              <w:rPr>
                <w:rFonts w:cs="Times"/>
                <w:bCs/>
                <w:szCs w:val="29"/>
              </w:rPr>
              <w:t xml:space="preserve"> ground water, showing background levels of bor</w:t>
            </w:r>
            <w:r w:rsidR="00D0178F" w:rsidRPr="00B65D57">
              <w:rPr>
                <w:rFonts w:cs="Times"/>
                <w:bCs/>
                <w:szCs w:val="29"/>
              </w:rPr>
              <w:t>on substances</w:t>
            </w:r>
            <w:r w:rsidRPr="00B65D57">
              <w:rPr>
                <w:rFonts w:cs="Times"/>
                <w:bCs/>
                <w:szCs w:val="29"/>
              </w:rPr>
              <w:t xml:space="preserve"> before treatment</w:t>
            </w:r>
          </w:p>
          <w:p w14:paraId="237AE30E" w14:textId="4121CDA2"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if necessary, sealing measures are p</w:t>
            </w:r>
            <w:r w:rsidR="007D069F" w:rsidRPr="00B65D57">
              <w:rPr>
                <w:rFonts w:cs="Times"/>
                <w:bCs/>
                <w:szCs w:val="29"/>
              </w:rPr>
              <w:t>er</w:t>
            </w:r>
            <w:r w:rsidRPr="00B65D57">
              <w:rPr>
                <w:rFonts w:cs="Times"/>
                <w:bCs/>
                <w:szCs w:val="29"/>
              </w:rPr>
              <w:t>formed</w:t>
            </w:r>
          </w:p>
          <w:p w14:paraId="3C6542D0" w14:textId="3587927A" w:rsidR="00477603" w:rsidRPr="00B65D57" w:rsidRDefault="00477603" w:rsidP="008F4848">
            <w:pPr>
              <w:pStyle w:val="Liststycke"/>
              <w:widowControl w:val="0"/>
              <w:autoSpaceDE w:val="0"/>
              <w:autoSpaceDN w:val="0"/>
              <w:adjustRightInd w:val="0"/>
              <w:spacing w:before="80"/>
              <w:rPr>
                <w:rFonts w:cs="Times"/>
                <w:bCs/>
                <w:szCs w:val="29"/>
              </w:rPr>
            </w:pPr>
          </w:p>
          <w:p w14:paraId="6DE7C607" w14:textId="3B3709A8"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3. Treatment with measurements, have to result in following</w:t>
            </w:r>
            <w:r w:rsidR="00D0178F" w:rsidRPr="00B65D57">
              <w:rPr>
                <w:rFonts w:cs="Times"/>
                <w:bCs/>
                <w:szCs w:val="29"/>
              </w:rPr>
              <w:t>:</w:t>
            </w:r>
          </w:p>
          <w:p w14:paraId="6FA4EB62" w14:textId="4FC33DE5" w:rsidR="00477603" w:rsidRPr="00B65D57" w:rsidRDefault="00D0178F" w:rsidP="008F4848">
            <w:pPr>
              <w:widowControl w:val="0"/>
              <w:autoSpaceDE w:val="0"/>
              <w:autoSpaceDN w:val="0"/>
              <w:adjustRightInd w:val="0"/>
              <w:spacing w:before="80"/>
              <w:ind w:left="360"/>
              <w:rPr>
                <w:rFonts w:cs="Times"/>
                <w:bCs/>
                <w:szCs w:val="29"/>
              </w:rPr>
            </w:pPr>
            <w:r w:rsidRPr="00B65D57">
              <w:rPr>
                <w:rFonts w:cs="Times"/>
                <w:bCs/>
                <w:szCs w:val="29"/>
              </w:rPr>
              <w:t xml:space="preserve">appropriate </w:t>
            </w:r>
            <w:r w:rsidR="00477603" w:rsidRPr="00B65D57">
              <w:rPr>
                <w:rFonts w:cs="Times"/>
                <w:bCs/>
                <w:szCs w:val="29"/>
              </w:rPr>
              <w:t>health and safety on site</w:t>
            </w:r>
          </w:p>
          <w:p w14:paraId="24E6FDB9"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required work documents available on site</w:t>
            </w:r>
          </w:p>
          <w:p w14:paraId="4CA06412"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responsible management present at site</w:t>
            </w:r>
          </w:p>
          <w:p w14:paraId="402BD36A" w14:textId="77777777" w:rsidR="00477603" w:rsidRPr="00B65D57" w:rsidRDefault="00477603" w:rsidP="008F4848">
            <w:pPr>
              <w:spacing w:before="80"/>
              <w:ind w:left="357"/>
              <w:rPr>
                <w:rFonts w:cs="Times"/>
                <w:bCs/>
                <w:szCs w:val="29"/>
              </w:rPr>
            </w:pPr>
            <w:r w:rsidRPr="00B65D57">
              <w:rPr>
                <w:rFonts w:cs="Times"/>
                <w:bCs/>
                <w:szCs w:val="29"/>
              </w:rPr>
              <w:t>protocol of drilled injection holes</w:t>
            </w:r>
          </w:p>
          <w:p w14:paraId="6C5A7148"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indoor set up of mixing station with preparations to handle any spill</w:t>
            </w:r>
          </w:p>
          <w:p w14:paraId="64B8C6F3" w14:textId="043250F0"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 xml:space="preserve">protocol of injected amount Eurobor slurry with measurements of water level, electric conductivity and pH value before and during injection. The protocol </w:t>
            </w:r>
            <w:r w:rsidR="00D0178F" w:rsidRPr="00B65D57">
              <w:rPr>
                <w:rFonts w:cs="Times"/>
                <w:bCs/>
                <w:szCs w:val="29"/>
              </w:rPr>
              <w:t>should</w:t>
            </w:r>
            <w:r w:rsidRPr="00B65D57">
              <w:rPr>
                <w:rFonts w:cs="Times"/>
                <w:bCs/>
                <w:szCs w:val="29"/>
              </w:rPr>
              <w:t xml:space="preserve"> include injection scheme, noted spread and comments</w:t>
            </w:r>
            <w:r w:rsidR="00D0178F" w:rsidRPr="00B65D57">
              <w:rPr>
                <w:rFonts w:cs="Times"/>
                <w:bCs/>
                <w:szCs w:val="29"/>
              </w:rPr>
              <w:t>.</w:t>
            </w:r>
          </w:p>
          <w:p w14:paraId="1FB5326B"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protocol and lab results of environmental controls</w:t>
            </w:r>
          </w:p>
          <w:p w14:paraId="055BFA0F"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sealed and restored injection holes and cleaned premises</w:t>
            </w:r>
          </w:p>
          <w:p w14:paraId="47C9E6FF" w14:textId="2CEE0F85" w:rsidR="00477603" w:rsidRPr="00B65D57" w:rsidRDefault="00477603" w:rsidP="008F4848">
            <w:pPr>
              <w:widowControl w:val="0"/>
              <w:autoSpaceDE w:val="0"/>
              <w:autoSpaceDN w:val="0"/>
              <w:adjustRightInd w:val="0"/>
              <w:spacing w:before="80" w:after="120"/>
              <w:ind w:left="357"/>
              <w:rPr>
                <w:rFonts w:cs="Times"/>
                <w:bCs/>
                <w:szCs w:val="29"/>
              </w:rPr>
            </w:pPr>
            <w:r w:rsidRPr="00B65D57">
              <w:rPr>
                <w:rFonts w:cs="Times"/>
              </w:rPr>
              <w:t xml:space="preserve">final report of the work including protocols, lab results, updated drilling drawing and instructions to the client </w:t>
            </w:r>
          </w:p>
          <w:p w14:paraId="43D63A2E" w14:textId="77777777" w:rsidR="00DD09E4" w:rsidRPr="00B65D57" w:rsidRDefault="00DD09E4" w:rsidP="008F4848">
            <w:pPr>
              <w:widowControl w:val="0"/>
              <w:autoSpaceDE w:val="0"/>
              <w:autoSpaceDN w:val="0"/>
              <w:adjustRightInd w:val="0"/>
              <w:spacing w:before="80" w:after="120"/>
              <w:rPr>
                <w:rFonts w:cs="Times"/>
                <w:bCs/>
                <w:szCs w:val="29"/>
              </w:rPr>
            </w:pPr>
          </w:p>
          <w:p w14:paraId="27AFA8AB" w14:textId="3B2E49C0"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 xml:space="preserve">4. Follow-up of results </w:t>
            </w:r>
            <w:r w:rsidR="00D0178F" w:rsidRPr="00B65D57">
              <w:rPr>
                <w:rFonts w:cs="Times"/>
                <w:bCs/>
                <w:szCs w:val="29"/>
              </w:rPr>
              <w:t xml:space="preserve">must </w:t>
            </w:r>
            <w:r w:rsidRPr="00B65D57">
              <w:rPr>
                <w:rFonts w:cs="Times"/>
                <w:bCs/>
                <w:szCs w:val="29"/>
              </w:rPr>
              <w:t>generate</w:t>
            </w:r>
            <w:r w:rsidR="00D0178F" w:rsidRPr="00B65D57">
              <w:rPr>
                <w:rFonts w:cs="Times"/>
                <w:bCs/>
                <w:szCs w:val="29"/>
              </w:rPr>
              <w:t>:</w:t>
            </w:r>
          </w:p>
          <w:p w14:paraId="18E66E68" w14:textId="77777777"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settling pace within the building, monitored with subsidence levelling</w:t>
            </w:r>
          </w:p>
          <w:p w14:paraId="5B264DCB" w14:textId="36B2AF73" w:rsidR="00477603" w:rsidRPr="00B65D57" w:rsidRDefault="00477603" w:rsidP="008F4848">
            <w:pPr>
              <w:widowControl w:val="0"/>
              <w:autoSpaceDE w:val="0"/>
              <w:autoSpaceDN w:val="0"/>
              <w:adjustRightInd w:val="0"/>
              <w:spacing w:before="80"/>
              <w:ind w:left="360"/>
              <w:rPr>
                <w:rFonts w:cs="Times"/>
              </w:rPr>
            </w:pPr>
            <w:r w:rsidRPr="00B65D57">
              <w:rPr>
                <w:rFonts w:cs="Times"/>
              </w:rPr>
              <w:t xml:space="preserve">active substance in wood (after 5 years), a routine sampling of wood and analysing of </w:t>
            </w:r>
            <w:r w:rsidR="005D7886" w:rsidRPr="00B65D57">
              <w:rPr>
                <w:rFonts w:cs="Times"/>
              </w:rPr>
              <w:t>boric acid equivalent (BAE)</w:t>
            </w:r>
            <w:r w:rsidRPr="00B65D57">
              <w:rPr>
                <w:rFonts w:cs="Times"/>
              </w:rPr>
              <w:t xml:space="preserve"> is always made after five years before the commercial </w:t>
            </w:r>
            <w:r w:rsidRPr="00B65D57">
              <w:rPr>
                <w:rFonts w:cs="Times"/>
              </w:rPr>
              <w:lastRenderedPageBreak/>
              <w:t xml:space="preserve">warranty expires. In some </w:t>
            </w:r>
            <w:r w:rsidR="00EB1266" w:rsidRPr="00B65D57">
              <w:rPr>
                <w:rFonts w:cs="Times"/>
              </w:rPr>
              <w:t>cases,</w:t>
            </w:r>
            <w:r w:rsidRPr="00B65D57">
              <w:rPr>
                <w:rFonts w:cs="Times"/>
              </w:rPr>
              <w:t xml:space="preserve"> wood sampling is also done as a control in the beginning of </w:t>
            </w:r>
            <w:r w:rsidR="005D7886" w:rsidRPr="00B65D57">
              <w:rPr>
                <w:rFonts w:cs="Times"/>
              </w:rPr>
              <w:t xml:space="preserve">the </w:t>
            </w:r>
            <w:r w:rsidRPr="00B65D57">
              <w:rPr>
                <w:rFonts w:cs="Times"/>
              </w:rPr>
              <w:t>warranty time.</w:t>
            </w:r>
          </w:p>
          <w:p w14:paraId="67833F8F" w14:textId="17ED4FF0" w:rsidR="00477603" w:rsidRPr="00B65D57" w:rsidRDefault="00477603" w:rsidP="008F4848">
            <w:pPr>
              <w:widowControl w:val="0"/>
              <w:autoSpaceDE w:val="0"/>
              <w:autoSpaceDN w:val="0"/>
              <w:adjustRightInd w:val="0"/>
              <w:spacing w:before="80"/>
              <w:ind w:left="360"/>
              <w:rPr>
                <w:rFonts w:cs="Times"/>
                <w:bCs/>
                <w:szCs w:val="29"/>
              </w:rPr>
            </w:pPr>
            <w:r w:rsidRPr="00B65D57">
              <w:rPr>
                <w:rFonts w:cs="Times"/>
                <w:bCs/>
                <w:szCs w:val="29"/>
              </w:rPr>
              <w:t>In most cases the property owner/customer (on recommendation) wants continued monitoring of settling pace, groundwater levels and sampling etc. after end of warranty.</w:t>
            </w:r>
            <w:r w:rsidR="005D7886" w:rsidRPr="00B65D57">
              <w:rPr>
                <w:rFonts w:cs="Times"/>
                <w:bCs/>
                <w:szCs w:val="29"/>
              </w:rPr>
              <w:t xml:space="preserve"> It is often 7 to 10 years from a first foundation investigation of a building to the end of the warranty time.</w:t>
            </w:r>
          </w:p>
          <w:p w14:paraId="312A307C" w14:textId="21A25ECA" w:rsidR="00477603" w:rsidRPr="00B65D57" w:rsidRDefault="009C6F2B" w:rsidP="008F4848">
            <w:pPr>
              <w:widowControl w:val="0"/>
              <w:autoSpaceDE w:val="0"/>
              <w:autoSpaceDN w:val="0"/>
              <w:adjustRightInd w:val="0"/>
              <w:spacing w:before="80"/>
              <w:ind w:left="360"/>
              <w:rPr>
                <w:rFonts w:cs="Times"/>
              </w:rPr>
            </w:pPr>
            <w:r>
              <w:rPr>
                <w:rFonts w:cs="Times"/>
              </w:rPr>
              <w:t>U</w:t>
            </w:r>
            <w:r w:rsidRPr="00B65D57">
              <w:rPr>
                <w:rFonts w:cs="Times"/>
              </w:rPr>
              <w:t>sually,</w:t>
            </w:r>
            <w:r w:rsidR="00477603" w:rsidRPr="00B65D57">
              <w:rPr>
                <w:rFonts w:cs="Times"/>
              </w:rPr>
              <w:t xml:space="preserve"> a Eurobor treatment is made once</w:t>
            </w:r>
            <w:r w:rsidR="005D7886" w:rsidRPr="00B65D57">
              <w:rPr>
                <w:rFonts w:cs="Times"/>
              </w:rPr>
              <w:t>.</w:t>
            </w:r>
            <w:r w:rsidR="00477603" w:rsidRPr="00B65D57">
              <w:rPr>
                <w:rFonts w:cs="Times"/>
              </w:rPr>
              <w:t xml:space="preserve"> </w:t>
            </w:r>
            <w:r w:rsidR="005D7886" w:rsidRPr="00B65D57">
              <w:rPr>
                <w:rFonts w:cs="Times"/>
              </w:rPr>
              <w:t>I</w:t>
            </w:r>
            <w:r w:rsidR="00477603" w:rsidRPr="00B65D57">
              <w:rPr>
                <w:rFonts w:cs="Times"/>
              </w:rPr>
              <w:t xml:space="preserve">n </w:t>
            </w:r>
            <w:r w:rsidR="005D7886" w:rsidRPr="00B65D57">
              <w:rPr>
                <w:rFonts w:cs="Times"/>
              </w:rPr>
              <w:t>some</w:t>
            </w:r>
            <w:r w:rsidR="00477603" w:rsidRPr="00B65D57">
              <w:rPr>
                <w:rFonts w:cs="Times"/>
              </w:rPr>
              <w:t xml:space="preserve"> </w:t>
            </w:r>
            <w:r w:rsidR="00EB1266" w:rsidRPr="00B65D57">
              <w:rPr>
                <w:rFonts w:cs="Times"/>
              </w:rPr>
              <w:t>cases,</w:t>
            </w:r>
            <w:r w:rsidR="00477603" w:rsidRPr="00B65D57">
              <w:rPr>
                <w:rFonts w:cs="Times"/>
              </w:rPr>
              <w:t xml:space="preserve"> additional treatments </w:t>
            </w:r>
            <w:r w:rsidR="005D7886" w:rsidRPr="00B65D57">
              <w:rPr>
                <w:rFonts w:cs="Times"/>
              </w:rPr>
              <w:t xml:space="preserve">might </w:t>
            </w:r>
            <w:r w:rsidR="00477603" w:rsidRPr="00B65D57">
              <w:rPr>
                <w:rFonts w:cs="Times"/>
              </w:rPr>
              <w:t xml:space="preserve">be </w:t>
            </w:r>
            <w:r w:rsidR="005D7886" w:rsidRPr="00B65D57">
              <w:rPr>
                <w:rFonts w:cs="Times"/>
              </w:rPr>
              <w:t>needed</w:t>
            </w:r>
            <w:r w:rsidR="00477603" w:rsidRPr="00B65D57">
              <w:rPr>
                <w:rFonts w:cs="Times"/>
              </w:rPr>
              <w:t>. The protocol in these cases is, that extended wood sampling and analys</w:t>
            </w:r>
            <w:r w:rsidR="00BB3158" w:rsidRPr="00B65D57">
              <w:rPr>
                <w:rFonts w:cs="Times"/>
              </w:rPr>
              <w:t>es</w:t>
            </w:r>
            <w:r w:rsidR="00477603" w:rsidRPr="00B65D57">
              <w:rPr>
                <w:rFonts w:cs="Times"/>
              </w:rPr>
              <w:t xml:space="preserve"> of borates</w:t>
            </w:r>
            <w:r w:rsidR="00BB3158" w:rsidRPr="00B65D57">
              <w:rPr>
                <w:rFonts w:cs="Times"/>
              </w:rPr>
              <w:t xml:space="preserve"> are performed</w:t>
            </w:r>
            <w:r w:rsidR="00477603" w:rsidRPr="00B65D57">
              <w:rPr>
                <w:rFonts w:cs="Times"/>
              </w:rPr>
              <w:t xml:space="preserve">, </w:t>
            </w:r>
            <w:r w:rsidR="00BB3158" w:rsidRPr="00B65D57">
              <w:rPr>
                <w:rFonts w:cs="Times"/>
              </w:rPr>
              <w:t xml:space="preserve">and then </w:t>
            </w:r>
            <w:r w:rsidR="005D7886" w:rsidRPr="00B65D57">
              <w:rPr>
                <w:rFonts w:cs="Times"/>
              </w:rPr>
              <w:t xml:space="preserve">a </w:t>
            </w:r>
            <w:r w:rsidR="00477603" w:rsidRPr="00B65D57">
              <w:rPr>
                <w:rFonts w:cs="Times"/>
              </w:rPr>
              <w:t>limit</w:t>
            </w:r>
            <w:r w:rsidR="005D7886" w:rsidRPr="00B65D57">
              <w:rPr>
                <w:rFonts w:cs="Times"/>
              </w:rPr>
              <w:t>ed</w:t>
            </w:r>
            <w:r w:rsidR="00477603" w:rsidRPr="00B65D57">
              <w:rPr>
                <w:rFonts w:cs="Times"/>
              </w:rPr>
              <w:t xml:space="preserve"> area </w:t>
            </w:r>
            <w:r w:rsidR="005D7886" w:rsidRPr="00B65D57">
              <w:rPr>
                <w:rFonts w:cs="Times"/>
              </w:rPr>
              <w:t xml:space="preserve">is </w:t>
            </w:r>
            <w:r w:rsidR="00BB3158" w:rsidRPr="00B65D57">
              <w:rPr>
                <w:rFonts w:cs="Times"/>
              </w:rPr>
              <w:t>chosen</w:t>
            </w:r>
            <w:r w:rsidR="005D7886" w:rsidRPr="00B65D57">
              <w:rPr>
                <w:rFonts w:cs="Times"/>
              </w:rPr>
              <w:t xml:space="preserve"> </w:t>
            </w:r>
            <w:r w:rsidR="00477603" w:rsidRPr="00B65D57">
              <w:rPr>
                <w:rFonts w:cs="Times"/>
              </w:rPr>
              <w:t>for additional treatment.</w:t>
            </w:r>
          </w:p>
          <w:p w14:paraId="3A92CF3A" w14:textId="44CF320D" w:rsidR="00477603" w:rsidRPr="00B65D57" w:rsidRDefault="00477603" w:rsidP="008F4848">
            <w:pPr>
              <w:pStyle w:val="Liststycke"/>
              <w:widowControl w:val="0"/>
              <w:autoSpaceDE w:val="0"/>
              <w:autoSpaceDN w:val="0"/>
              <w:adjustRightInd w:val="0"/>
              <w:spacing w:before="80"/>
              <w:rPr>
                <w:rFonts w:cs="Times"/>
                <w:bCs/>
                <w:szCs w:val="29"/>
              </w:rPr>
            </w:pPr>
          </w:p>
          <w:p w14:paraId="03C28702" w14:textId="47F730AB" w:rsidR="005B7331" w:rsidRPr="00B65D57" w:rsidRDefault="005B7331" w:rsidP="008F4848">
            <w:pPr>
              <w:widowControl w:val="0"/>
              <w:autoSpaceDE w:val="0"/>
              <w:autoSpaceDN w:val="0"/>
              <w:adjustRightInd w:val="0"/>
              <w:spacing w:before="80"/>
              <w:rPr>
                <w:rFonts w:cs="Times"/>
                <w:bCs/>
                <w:szCs w:val="29"/>
                <w:u w:val="single"/>
              </w:rPr>
            </w:pPr>
            <w:r w:rsidRPr="00B65D57">
              <w:rPr>
                <w:rFonts w:cs="Times"/>
                <w:bCs/>
                <w:szCs w:val="29"/>
                <w:u w:val="single"/>
              </w:rPr>
              <w:t>Instructions to prepare Eurobor slurry</w:t>
            </w:r>
          </w:p>
          <w:p w14:paraId="1F001E49" w14:textId="6509286F" w:rsidR="00477603" w:rsidRPr="00B65D57" w:rsidRDefault="00944C71" w:rsidP="008F4848">
            <w:pPr>
              <w:widowControl w:val="0"/>
              <w:autoSpaceDE w:val="0"/>
              <w:autoSpaceDN w:val="0"/>
              <w:adjustRightInd w:val="0"/>
              <w:spacing w:before="80"/>
            </w:pPr>
            <w:r w:rsidRPr="00B65D57">
              <w:rPr>
                <w:rFonts w:cs="Times"/>
                <w:bCs/>
                <w:szCs w:val="29"/>
              </w:rPr>
              <w:t>The</w:t>
            </w:r>
            <w:r w:rsidRPr="00B65D57">
              <w:t xml:space="preserve"> Eurobor slurry is prepared from </w:t>
            </w:r>
            <w:r w:rsidR="00F56EFA" w:rsidRPr="00B65D57">
              <w:t>Jerbor (</w:t>
            </w:r>
            <w:r w:rsidRPr="00B65D57">
              <w:t>9.6 % w/w</w:t>
            </w:r>
            <w:r w:rsidR="00F56EFA" w:rsidRPr="00B65D57">
              <w:t>)</w:t>
            </w:r>
            <w:r w:rsidRPr="00B65D57">
              <w:t xml:space="preserve">, </w:t>
            </w:r>
            <w:r w:rsidR="00477603" w:rsidRPr="00B65D57">
              <w:t xml:space="preserve">hot water </w:t>
            </w:r>
            <w:r w:rsidRPr="00B65D57">
              <w:t>(</w:t>
            </w:r>
            <w:r w:rsidR="00EB1266" w:rsidRPr="00B65D57">
              <w:t xml:space="preserve">70.4 </w:t>
            </w:r>
            <w:r w:rsidR="00F56EFA" w:rsidRPr="00B65D57">
              <w:t>% w/w</w:t>
            </w:r>
            <w:r w:rsidRPr="00B65D57">
              <w:t xml:space="preserve">) </w:t>
            </w:r>
            <w:r w:rsidR="00477603" w:rsidRPr="00B65D57">
              <w:t>and sodium bentonite</w:t>
            </w:r>
            <w:r w:rsidRPr="00B65D57">
              <w:t xml:space="preserve"> (20 % w/w)</w:t>
            </w:r>
            <w:r w:rsidR="00477603" w:rsidRPr="00B65D57">
              <w:t xml:space="preserve">. </w:t>
            </w:r>
          </w:p>
          <w:p w14:paraId="5285BF56" w14:textId="38DECB79" w:rsidR="00F56EFA" w:rsidRPr="00B65D57" w:rsidRDefault="00F56EFA" w:rsidP="008F4848">
            <w:pPr>
              <w:widowControl w:val="0"/>
              <w:autoSpaceDE w:val="0"/>
              <w:autoSpaceDN w:val="0"/>
              <w:adjustRightInd w:val="0"/>
              <w:spacing w:before="80"/>
              <w:ind w:left="360"/>
              <w:rPr>
                <w:rFonts w:cs="Times"/>
                <w:bCs/>
                <w:szCs w:val="29"/>
              </w:rPr>
            </w:pPr>
            <w:r w:rsidRPr="00B65D57">
              <w:rPr>
                <w:rFonts w:cs="Times"/>
                <w:bCs/>
                <w:szCs w:val="29"/>
              </w:rPr>
              <w:t>151 L of hot water (50-70°C) is filled in mixing tank and circulation pump is started</w:t>
            </w:r>
            <w:r w:rsidR="005C7466" w:rsidRPr="00B65D57">
              <w:rPr>
                <w:rFonts w:cs="Times"/>
                <w:bCs/>
                <w:szCs w:val="29"/>
              </w:rPr>
              <w:t>.</w:t>
            </w:r>
            <w:r w:rsidRPr="00B65D57">
              <w:rPr>
                <w:rFonts w:cs="Times"/>
                <w:bCs/>
                <w:szCs w:val="29"/>
              </w:rPr>
              <w:t xml:space="preserve"> </w:t>
            </w:r>
          </w:p>
          <w:p w14:paraId="700A2882" w14:textId="4EBC0D4B" w:rsidR="00F56EFA" w:rsidRPr="00B65D57" w:rsidRDefault="00F56EFA" w:rsidP="008F4848">
            <w:pPr>
              <w:widowControl w:val="0"/>
              <w:autoSpaceDE w:val="0"/>
              <w:autoSpaceDN w:val="0"/>
              <w:adjustRightInd w:val="0"/>
              <w:spacing w:before="80"/>
              <w:ind w:left="360"/>
              <w:rPr>
                <w:rFonts w:cs="Times"/>
                <w:bCs/>
                <w:szCs w:val="29"/>
              </w:rPr>
            </w:pPr>
            <w:r w:rsidRPr="00B65D57">
              <w:rPr>
                <w:rFonts w:cs="Times"/>
                <w:bCs/>
                <w:szCs w:val="29"/>
              </w:rPr>
              <w:t>20.6 kg of Jerbor is portioned in mixing tank under carefully stirring</w:t>
            </w:r>
            <w:r w:rsidR="005C7466" w:rsidRPr="00B65D57">
              <w:rPr>
                <w:rFonts w:cs="Times"/>
                <w:bCs/>
                <w:szCs w:val="29"/>
              </w:rPr>
              <w:t>.</w:t>
            </w:r>
            <w:r w:rsidRPr="00B65D57">
              <w:rPr>
                <w:rFonts w:cs="Times"/>
                <w:bCs/>
                <w:szCs w:val="29"/>
              </w:rPr>
              <w:t xml:space="preserve"> </w:t>
            </w:r>
          </w:p>
          <w:p w14:paraId="50C0F8B7" w14:textId="70DC2954" w:rsidR="00F56EFA" w:rsidRPr="00B65D57" w:rsidRDefault="00F56EFA" w:rsidP="008F4848">
            <w:pPr>
              <w:widowControl w:val="0"/>
              <w:autoSpaceDE w:val="0"/>
              <w:autoSpaceDN w:val="0"/>
              <w:adjustRightInd w:val="0"/>
              <w:spacing w:before="80"/>
              <w:ind w:left="360"/>
              <w:rPr>
                <w:rFonts w:cs="Times"/>
                <w:bCs/>
                <w:szCs w:val="29"/>
              </w:rPr>
            </w:pPr>
            <w:r w:rsidRPr="00B65D57">
              <w:rPr>
                <w:rFonts w:cs="Times"/>
                <w:bCs/>
                <w:szCs w:val="29"/>
              </w:rPr>
              <w:t xml:space="preserve">18 L of the Jerbor water solution is filled (through a connected hose with a ball valve) in to the mixing vessel and 4.8 kg of sodium bentonite is portioned during mixing with the plaster and mortar mixer. </w:t>
            </w:r>
          </w:p>
          <w:p w14:paraId="16125721" w14:textId="77777777" w:rsidR="00F56EFA" w:rsidRPr="00B65D57" w:rsidRDefault="00F56EFA" w:rsidP="008F4848">
            <w:pPr>
              <w:widowControl w:val="0"/>
              <w:autoSpaceDE w:val="0"/>
              <w:autoSpaceDN w:val="0"/>
              <w:adjustRightInd w:val="0"/>
              <w:spacing w:before="80"/>
              <w:ind w:left="360"/>
              <w:rPr>
                <w:rFonts w:cs="Times"/>
                <w:bCs/>
                <w:szCs w:val="29"/>
              </w:rPr>
            </w:pPr>
            <w:r w:rsidRPr="00B65D57">
              <w:rPr>
                <w:rFonts w:cs="Times"/>
                <w:bCs/>
                <w:szCs w:val="29"/>
              </w:rPr>
              <w:t xml:space="preserve">Mixing is done until all bentonite is in the mixing vessel and then mixing will stop for a minute and the mixing starts again until the slurry is smooth and the viscosity is correct. </w:t>
            </w:r>
          </w:p>
          <w:p w14:paraId="58A54DE0" w14:textId="6E625EB5" w:rsidR="00F56EFA" w:rsidRPr="00B65D57" w:rsidRDefault="00F56EFA" w:rsidP="008F4848">
            <w:pPr>
              <w:widowControl w:val="0"/>
              <w:autoSpaceDE w:val="0"/>
              <w:autoSpaceDN w:val="0"/>
              <w:adjustRightInd w:val="0"/>
              <w:spacing w:before="80"/>
              <w:ind w:left="360"/>
              <w:rPr>
                <w:rFonts w:cs="Times"/>
                <w:bCs/>
                <w:szCs w:val="29"/>
              </w:rPr>
            </w:pPr>
            <w:r w:rsidRPr="00B65D57">
              <w:rPr>
                <w:rFonts w:cs="Times"/>
                <w:bCs/>
                <w:szCs w:val="29"/>
              </w:rPr>
              <w:t xml:space="preserve">The 20 L of slurry is poured by tilting the mixing vessel into the plaster and mortar pump and is ready for injection. </w:t>
            </w:r>
          </w:p>
          <w:p w14:paraId="1BDD72E0" w14:textId="77777777" w:rsidR="00E7271C" w:rsidRPr="00B65D57" w:rsidRDefault="00E7271C" w:rsidP="008F4848"/>
          <w:p w14:paraId="198CCCAD" w14:textId="77777777" w:rsidR="00DD09E4" w:rsidRPr="00B65D57" w:rsidRDefault="00DD09E4" w:rsidP="008F4848">
            <w:pPr>
              <w:widowControl w:val="0"/>
              <w:autoSpaceDE w:val="0"/>
              <w:autoSpaceDN w:val="0"/>
              <w:adjustRightInd w:val="0"/>
              <w:spacing w:before="80"/>
              <w:rPr>
                <w:rFonts w:cs="Times"/>
                <w:bCs/>
                <w:szCs w:val="29"/>
                <w:u w:val="single"/>
              </w:rPr>
            </w:pPr>
            <w:r w:rsidRPr="00B65D57">
              <w:rPr>
                <w:rFonts w:cs="Times"/>
                <w:bCs/>
                <w:szCs w:val="29"/>
                <w:u w:val="single"/>
              </w:rPr>
              <w:t>Instructions for safe handling</w:t>
            </w:r>
          </w:p>
          <w:p w14:paraId="4994BF65" w14:textId="77777777" w:rsidR="00DD09E4" w:rsidRPr="00B65D57" w:rsidRDefault="00DD09E4" w:rsidP="008F4848">
            <w:pPr>
              <w:widowControl w:val="0"/>
              <w:autoSpaceDE w:val="0"/>
              <w:autoSpaceDN w:val="0"/>
              <w:adjustRightInd w:val="0"/>
              <w:spacing w:before="80"/>
              <w:ind w:left="360"/>
              <w:rPr>
                <w:rFonts w:cs="Times"/>
              </w:rPr>
            </w:pPr>
            <w:r w:rsidRPr="00B65D57">
              <w:rPr>
                <w:rFonts w:cs="Times"/>
              </w:rPr>
              <w:t xml:space="preserve">Only professionals trained according to </w:t>
            </w:r>
            <w:r w:rsidRPr="00B65D57">
              <w:t xml:space="preserve">Manual Euroborbehandling (manual of Eurobor technique) </w:t>
            </w:r>
            <w:r w:rsidRPr="00B65D57">
              <w:rPr>
                <w:rFonts w:cs="Times"/>
              </w:rPr>
              <w:t>are allowed to handle the product.</w:t>
            </w:r>
          </w:p>
          <w:p w14:paraId="6A7F6885" w14:textId="77777777"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The product must be stored in a locked space at working site</w:t>
            </w:r>
          </w:p>
          <w:p w14:paraId="34D9A68F" w14:textId="77777777" w:rsidR="00DD09E4" w:rsidRPr="00B65D57" w:rsidRDefault="00DD09E4" w:rsidP="008F4848">
            <w:pPr>
              <w:widowControl w:val="0"/>
              <w:autoSpaceDE w:val="0"/>
              <w:autoSpaceDN w:val="0"/>
              <w:adjustRightInd w:val="0"/>
              <w:spacing w:before="80"/>
              <w:ind w:left="360"/>
              <w:rPr>
                <w:rFonts w:cs="Times"/>
              </w:rPr>
            </w:pPr>
            <w:r w:rsidRPr="00B65D57">
              <w:rPr>
                <w:rFonts w:cs="Times"/>
              </w:rPr>
              <w:t>Only personnel have access to the working site and the product</w:t>
            </w:r>
          </w:p>
          <w:p w14:paraId="1CD7998A" w14:textId="77777777"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Wear protective gloves/protective clothing/eye protection/face protection</w:t>
            </w:r>
            <w:r w:rsidR="00BF3534">
              <w:rPr>
                <w:rFonts w:cs="Times"/>
                <w:bCs/>
                <w:szCs w:val="29"/>
              </w:rPr>
              <w:t xml:space="preserve"> </w:t>
            </w:r>
          </w:p>
          <w:p w14:paraId="2784659E" w14:textId="7DF00638" w:rsidR="00BF3534" w:rsidRPr="00BF3534" w:rsidRDefault="00BF3534" w:rsidP="00BF3534">
            <w:pPr>
              <w:widowControl w:val="0"/>
              <w:autoSpaceDE w:val="0"/>
              <w:autoSpaceDN w:val="0"/>
              <w:adjustRightInd w:val="0"/>
              <w:spacing w:before="80"/>
              <w:ind w:left="360"/>
              <w:rPr>
                <w:rFonts w:cs="Times"/>
                <w:bCs/>
                <w:szCs w:val="29"/>
              </w:rPr>
            </w:pPr>
            <w:r>
              <w:rPr>
                <w:rFonts w:cs="Times"/>
                <w:bCs/>
                <w:szCs w:val="29"/>
              </w:rPr>
              <w:t>I</w:t>
            </w:r>
            <w:r w:rsidRPr="00BF3534">
              <w:rPr>
                <w:rFonts w:cs="Times"/>
                <w:bCs/>
                <w:szCs w:val="29"/>
              </w:rPr>
              <w:t xml:space="preserve">f </w:t>
            </w:r>
            <w:r>
              <w:rPr>
                <w:rFonts w:cs="Times"/>
                <w:bCs/>
                <w:szCs w:val="29"/>
              </w:rPr>
              <w:t xml:space="preserve">protective </w:t>
            </w:r>
            <w:r w:rsidRPr="00BF3534">
              <w:rPr>
                <w:rFonts w:cs="Times"/>
                <w:bCs/>
                <w:szCs w:val="29"/>
              </w:rPr>
              <w:t>clothing is contaminated, work must be stopped and a change to clean clothing must take place.</w:t>
            </w:r>
          </w:p>
          <w:p w14:paraId="1629F197" w14:textId="77777777"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Use respiratory protection when handling dry product</w:t>
            </w:r>
          </w:p>
          <w:p w14:paraId="6225F902" w14:textId="77777777" w:rsidR="00DD09E4" w:rsidRPr="00B65D57" w:rsidRDefault="00DD09E4" w:rsidP="008F4848">
            <w:pPr>
              <w:widowControl w:val="0"/>
              <w:autoSpaceDE w:val="0"/>
              <w:autoSpaceDN w:val="0"/>
              <w:adjustRightInd w:val="0"/>
              <w:spacing w:before="80"/>
              <w:ind w:left="360"/>
              <w:rPr>
                <w:rFonts w:cs="Times"/>
              </w:rPr>
            </w:pPr>
            <w:r w:rsidRPr="00B65D57">
              <w:rPr>
                <w:rFonts w:cs="Times"/>
              </w:rPr>
              <w:t>Keep away from food, drink, drinking water and animal feed</w:t>
            </w:r>
          </w:p>
          <w:p w14:paraId="65CEA2AF" w14:textId="1C8C09CE"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Limit handling that generates dust and provide for good ventilation</w:t>
            </w:r>
          </w:p>
          <w:p w14:paraId="4343EF10" w14:textId="77777777"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Pregnant or lactating women should not work with the product</w:t>
            </w:r>
          </w:p>
          <w:p w14:paraId="20370A56" w14:textId="77777777"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Running tap water should always be available at working site</w:t>
            </w:r>
          </w:p>
          <w:p w14:paraId="7A9450B1" w14:textId="77777777"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Eyewash should always be available at mixing place</w:t>
            </w:r>
          </w:p>
          <w:p w14:paraId="26E89322" w14:textId="77777777" w:rsidR="00DD09E4" w:rsidRPr="00B65D57" w:rsidRDefault="00DD09E4" w:rsidP="008F4848">
            <w:pPr>
              <w:widowControl w:val="0"/>
              <w:autoSpaceDE w:val="0"/>
              <w:autoSpaceDN w:val="0"/>
              <w:adjustRightInd w:val="0"/>
              <w:spacing w:before="80"/>
              <w:ind w:left="360"/>
              <w:rPr>
                <w:rFonts w:cs="Times"/>
              </w:rPr>
            </w:pPr>
            <w:r w:rsidRPr="00B65D57">
              <w:rPr>
                <w:rFonts w:cs="Times"/>
              </w:rPr>
              <w:t>Immediately remove spill of the product according to guidelines</w:t>
            </w:r>
          </w:p>
          <w:p w14:paraId="43614A81" w14:textId="77777777" w:rsidR="00DD09E4" w:rsidRPr="00B65D57" w:rsidRDefault="00DD09E4" w:rsidP="008F4848">
            <w:pPr>
              <w:widowControl w:val="0"/>
              <w:autoSpaceDE w:val="0"/>
              <w:autoSpaceDN w:val="0"/>
              <w:adjustRightInd w:val="0"/>
              <w:spacing w:before="80"/>
              <w:ind w:left="360"/>
              <w:rPr>
                <w:rFonts w:cs="Times"/>
              </w:rPr>
            </w:pPr>
            <w:r w:rsidRPr="00B65D57">
              <w:rPr>
                <w:rFonts w:cs="Times"/>
              </w:rPr>
              <w:t>Immediately remove bentonite spill from floor, slippery when wet</w:t>
            </w:r>
          </w:p>
          <w:p w14:paraId="067417D3" w14:textId="77777777"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Keep order and tidy in the workplace</w:t>
            </w:r>
          </w:p>
          <w:p w14:paraId="5ADD7E43" w14:textId="16D223AA" w:rsidR="00DD09E4" w:rsidRPr="00B65D57" w:rsidRDefault="00DD09E4" w:rsidP="008F4848">
            <w:pPr>
              <w:widowControl w:val="0"/>
              <w:autoSpaceDE w:val="0"/>
              <w:autoSpaceDN w:val="0"/>
              <w:adjustRightInd w:val="0"/>
              <w:spacing w:before="80"/>
              <w:ind w:left="360"/>
              <w:rPr>
                <w:rFonts w:cs="Times"/>
                <w:bCs/>
                <w:szCs w:val="29"/>
              </w:rPr>
            </w:pPr>
            <w:r w:rsidRPr="00B65D57">
              <w:rPr>
                <w:rFonts w:cs="Times"/>
                <w:bCs/>
                <w:szCs w:val="29"/>
              </w:rPr>
              <w:t>If there is a risk of spillage, floor wells should be covered and sewer pipes below the floor should be intact.</w:t>
            </w:r>
          </w:p>
        </w:tc>
      </w:tr>
    </w:tbl>
    <w:p w14:paraId="3A9D1C31" w14:textId="42986720" w:rsidR="00E7271C" w:rsidRPr="00B65D57" w:rsidRDefault="009A5C9B" w:rsidP="00065CC0">
      <w:pPr>
        <w:pStyle w:val="Rubrik4"/>
      </w:pPr>
      <w:bookmarkStart w:id="73" w:name="_Toc423017241"/>
      <w:bookmarkStart w:id="74" w:name="_Toc129689573"/>
      <w:r w:rsidRPr="00B65D57">
        <w:lastRenderedPageBreak/>
        <w:t xml:space="preserve">2.1.5.2 </w:t>
      </w:r>
      <w:r w:rsidR="00E7271C" w:rsidRPr="00B65D57">
        <w:t>Risk mitigation measures</w:t>
      </w:r>
      <w:bookmarkEnd w:id="73"/>
      <w:bookmarkEnd w:id="7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B65D57" w14:paraId="554FCAB3" w14:textId="77777777" w:rsidTr="246707F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4B920E4A" w14:textId="28402AB8" w:rsidR="00C176F7" w:rsidRPr="00B65D57" w:rsidRDefault="00C176F7" w:rsidP="008F4848">
            <w:pPr>
              <w:spacing w:line="260" w:lineRule="atLeast"/>
              <w:contextualSpacing/>
              <w:rPr>
                <w:rFonts w:eastAsia="Verdana" w:cs="Verdana"/>
              </w:rPr>
            </w:pPr>
            <w:r w:rsidRPr="00B65D57">
              <w:rPr>
                <w:rFonts w:eastAsia="Verdana" w:cs="Verdana"/>
              </w:rPr>
              <w:t>The following risk mitigating measures should be applied during the different steps when handling the product:</w:t>
            </w:r>
          </w:p>
          <w:p w14:paraId="3D3AFBDC" w14:textId="77777777" w:rsidR="00C176F7" w:rsidRPr="00B65D57" w:rsidRDefault="00C176F7" w:rsidP="008F4848">
            <w:pPr>
              <w:spacing w:line="260" w:lineRule="atLeast"/>
              <w:contextualSpacing/>
              <w:rPr>
                <w:rFonts w:eastAsia="Verdana" w:cs="Verdana"/>
              </w:rPr>
            </w:pPr>
          </w:p>
          <w:p w14:paraId="1ADCEBA2" w14:textId="5CC726A9" w:rsidR="00C176F7" w:rsidRPr="00B65D57" w:rsidRDefault="00C176F7" w:rsidP="008F4848">
            <w:pPr>
              <w:spacing w:line="260" w:lineRule="atLeast"/>
              <w:contextualSpacing/>
              <w:rPr>
                <w:rFonts w:eastAsia="Verdana" w:cs="Verdana"/>
                <w:u w:val="single"/>
              </w:rPr>
            </w:pPr>
            <w:r w:rsidRPr="00B65D57">
              <w:rPr>
                <w:rFonts w:eastAsia="Verdana" w:cs="Verdana"/>
                <w:u w:val="single"/>
              </w:rPr>
              <w:t>Production:</w:t>
            </w:r>
          </w:p>
          <w:p w14:paraId="28486EFC" w14:textId="77777777" w:rsidR="00C176F7" w:rsidRPr="00B65D57" w:rsidRDefault="00C176F7" w:rsidP="008F4848">
            <w:pPr>
              <w:spacing w:line="260" w:lineRule="atLeast"/>
              <w:contextualSpacing/>
              <w:rPr>
                <w:rFonts w:eastAsia="Verdana" w:cs="Verdana"/>
              </w:rPr>
            </w:pPr>
            <w:r w:rsidRPr="00B65D57">
              <w:rPr>
                <w:rFonts w:eastAsia="Verdana" w:cs="Verdana"/>
              </w:rPr>
              <w:t>The packages with the active substances should be opened under a ventilated hood (LEV).</w:t>
            </w:r>
          </w:p>
          <w:p w14:paraId="7DD677CF" w14:textId="77777777" w:rsidR="00C176F7" w:rsidRPr="00B65D57" w:rsidRDefault="00C176F7" w:rsidP="008F4848">
            <w:pPr>
              <w:pStyle w:val="pf0"/>
              <w:rPr>
                <w:rFonts w:ascii="Verdana" w:eastAsia="Verdana" w:hAnsi="Verdana" w:cs="Verdana"/>
                <w:sz w:val="20"/>
                <w:szCs w:val="20"/>
                <w:lang w:val="en-GB" w:eastAsia="de-DE"/>
              </w:rPr>
            </w:pPr>
            <w:r w:rsidRPr="00B65D57">
              <w:rPr>
                <w:rFonts w:ascii="Verdana" w:eastAsia="Verdana" w:hAnsi="Verdana" w:cs="Verdana"/>
                <w:sz w:val="20"/>
                <w:szCs w:val="20"/>
                <w:lang w:val="en-GB" w:eastAsia="de-DE"/>
              </w:rPr>
              <w:t>Use of respiratory protective equipment (RPE) with particle filter P3 is mandatory (filter type (code letter, colour) to be specified by the authorisation holder within the product information).</w:t>
            </w:r>
          </w:p>
          <w:p w14:paraId="27BF3E3B" w14:textId="56AE3A5D" w:rsidR="00C176F7" w:rsidRPr="00B65D57" w:rsidRDefault="00C176F7" w:rsidP="008F4848">
            <w:pPr>
              <w:spacing w:line="260" w:lineRule="atLeast"/>
              <w:contextualSpacing/>
              <w:rPr>
                <w:rFonts w:eastAsia="Verdana" w:cs="Verdana"/>
              </w:rPr>
            </w:pPr>
            <w:bookmarkStart w:id="75" w:name="_Hlk112340773"/>
            <w:r w:rsidRPr="00B65D57">
              <w:rPr>
                <w:rFonts w:eastAsia="Verdana" w:cs="Verdana"/>
              </w:rPr>
              <w:t>Wear a protective coverall [type 6, EN 13034</w:t>
            </w:r>
            <w:r w:rsidR="00BF3534">
              <w:rPr>
                <w:rFonts w:eastAsia="Verdana" w:cs="Verdana"/>
              </w:rPr>
              <w:t>]</w:t>
            </w:r>
            <w:r w:rsidRPr="00B65D57">
              <w:rPr>
                <w:rFonts w:eastAsia="Verdana" w:cs="Verdana"/>
              </w:rPr>
              <w:t>.</w:t>
            </w:r>
            <w:bookmarkEnd w:id="75"/>
          </w:p>
          <w:p w14:paraId="6EC324FD" w14:textId="77777777" w:rsidR="00C176F7" w:rsidRPr="00B65D57" w:rsidRDefault="00C176F7" w:rsidP="008F4848">
            <w:pPr>
              <w:spacing w:line="260" w:lineRule="atLeast"/>
              <w:contextualSpacing/>
              <w:rPr>
                <w:rFonts w:eastAsia="Verdana" w:cs="Verdana"/>
              </w:rPr>
            </w:pPr>
          </w:p>
          <w:p w14:paraId="4F6EE9A8" w14:textId="77777777" w:rsidR="00C176F7" w:rsidRPr="00B65D57" w:rsidRDefault="00C176F7" w:rsidP="008F4848">
            <w:pPr>
              <w:spacing w:line="260" w:lineRule="atLeast"/>
              <w:contextualSpacing/>
              <w:rPr>
                <w:rFonts w:eastAsia="Verdana" w:cs="Verdana"/>
              </w:rPr>
            </w:pPr>
            <w:r w:rsidRPr="00B65D57">
              <w:rPr>
                <w:rFonts w:eastAsia="Verdana" w:cs="Verdana"/>
              </w:rPr>
              <w:t>Wear protective chemical resistant gloves during production (glove material to be specified by the authorisation holder within the product information).</w:t>
            </w:r>
          </w:p>
          <w:p w14:paraId="6D06B3A9" w14:textId="77777777" w:rsidR="00C176F7" w:rsidRPr="00B65D57" w:rsidRDefault="00C176F7" w:rsidP="008F4848">
            <w:pPr>
              <w:spacing w:line="260" w:lineRule="atLeast"/>
              <w:contextualSpacing/>
              <w:rPr>
                <w:rFonts w:eastAsia="Verdana" w:cs="Verdana"/>
              </w:rPr>
            </w:pPr>
          </w:p>
          <w:p w14:paraId="35274E3C" w14:textId="77777777" w:rsidR="00C176F7" w:rsidRPr="00B65D57" w:rsidRDefault="00C176F7" w:rsidP="008F4848">
            <w:pPr>
              <w:spacing w:line="260" w:lineRule="atLeast"/>
              <w:contextualSpacing/>
              <w:rPr>
                <w:rFonts w:eastAsia="Verdana" w:cs="Verdana"/>
              </w:rPr>
            </w:pPr>
            <w:r w:rsidRPr="00B65D57">
              <w:rPr>
                <w:rFonts w:eastAsia="Verdana" w:cs="Verdana"/>
              </w:rPr>
              <w:t xml:space="preserve">The use of eye protection during production of Jerbor is mandatory.  </w:t>
            </w:r>
          </w:p>
          <w:p w14:paraId="3FF126BE" w14:textId="77777777" w:rsidR="00C176F7" w:rsidRPr="00B65D57" w:rsidRDefault="00C176F7" w:rsidP="008F4848">
            <w:pPr>
              <w:spacing w:line="260" w:lineRule="atLeast"/>
              <w:contextualSpacing/>
              <w:rPr>
                <w:rFonts w:eastAsia="Verdana" w:cs="Verdana"/>
              </w:rPr>
            </w:pPr>
          </w:p>
          <w:p w14:paraId="216823C9" w14:textId="40E2FDB0" w:rsidR="00C176F7" w:rsidRPr="00B65D57" w:rsidRDefault="00C176F7" w:rsidP="008F4848">
            <w:pPr>
              <w:spacing w:line="260" w:lineRule="atLeast"/>
              <w:contextualSpacing/>
              <w:rPr>
                <w:rFonts w:eastAsia="Verdana" w:cs="Verdana"/>
                <w:u w:val="single"/>
              </w:rPr>
            </w:pPr>
            <w:r w:rsidRPr="00B65D57">
              <w:rPr>
                <w:rFonts w:eastAsia="Verdana" w:cs="Verdana"/>
                <w:u w:val="single"/>
              </w:rPr>
              <w:t>Mixing/loading:</w:t>
            </w:r>
          </w:p>
          <w:p w14:paraId="3331AAEA" w14:textId="77777777" w:rsidR="00C176F7" w:rsidRPr="00B65D57" w:rsidRDefault="00C176F7" w:rsidP="008F4848">
            <w:pPr>
              <w:pStyle w:val="pf0"/>
              <w:rPr>
                <w:rFonts w:ascii="Verdana" w:eastAsia="Verdana" w:hAnsi="Verdana" w:cs="Verdana"/>
                <w:sz w:val="20"/>
                <w:szCs w:val="20"/>
                <w:lang w:val="en-GB" w:eastAsia="de-DE"/>
              </w:rPr>
            </w:pPr>
            <w:r w:rsidRPr="00B65D57">
              <w:rPr>
                <w:rFonts w:ascii="Verdana" w:eastAsia="Verdana" w:hAnsi="Verdana" w:cs="Verdana"/>
                <w:sz w:val="20"/>
                <w:szCs w:val="20"/>
                <w:lang w:val="en-GB" w:eastAsia="de-DE"/>
              </w:rPr>
              <w:t>Use of respiratory protective equipment (RPE) with particle filter P3 is mandatory (filter type (code letter, colour) to be specified by the authorisation holder within the product information).</w:t>
            </w:r>
          </w:p>
          <w:p w14:paraId="1376A522" w14:textId="1D7B956F" w:rsidR="00C176F7" w:rsidRPr="00B65D57" w:rsidRDefault="00C176F7" w:rsidP="008F4848">
            <w:pPr>
              <w:spacing w:line="260" w:lineRule="atLeast"/>
              <w:contextualSpacing/>
              <w:rPr>
                <w:rFonts w:eastAsia="Verdana" w:cs="Verdana"/>
              </w:rPr>
            </w:pPr>
            <w:r w:rsidRPr="00B65D57">
              <w:rPr>
                <w:rFonts w:eastAsia="Verdana" w:cs="Verdana"/>
              </w:rPr>
              <w:t xml:space="preserve">Wear a protective coverall [type 6, EN 13034]. </w:t>
            </w:r>
          </w:p>
          <w:p w14:paraId="49A9BFD3" w14:textId="77777777" w:rsidR="00C176F7" w:rsidRPr="00B65D57" w:rsidRDefault="00C176F7" w:rsidP="008F4848">
            <w:pPr>
              <w:spacing w:line="260" w:lineRule="atLeast"/>
              <w:contextualSpacing/>
              <w:rPr>
                <w:rFonts w:eastAsia="Verdana" w:cs="Verdana"/>
              </w:rPr>
            </w:pPr>
          </w:p>
          <w:p w14:paraId="1030DD85" w14:textId="77777777" w:rsidR="00C176F7" w:rsidRPr="00B65D57" w:rsidRDefault="00C176F7" w:rsidP="008F4848">
            <w:pPr>
              <w:spacing w:line="260" w:lineRule="atLeast"/>
              <w:contextualSpacing/>
              <w:rPr>
                <w:rFonts w:eastAsia="Verdana" w:cs="Verdana"/>
              </w:rPr>
            </w:pPr>
            <w:r w:rsidRPr="00B65D57">
              <w:rPr>
                <w:rFonts w:eastAsia="Verdana" w:cs="Verdana"/>
              </w:rPr>
              <w:t>Wear protective chemical resistant gloves during mixing/loading of the product (glove material to be specified by the authorisation holder within the product information).</w:t>
            </w:r>
          </w:p>
          <w:p w14:paraId="3DAEDEF4" w14:textId="77777777" w:rsidR="00C176F7" w:rsidRPr="00B65D57" w:rsidRDefault="00C176F7" w:rsidP="008F4848">
            <w:pPr>
              <w:spacing w:line="260" w:lineRule="atLeast"/>
              <w:contextualSpacing/>
              <w:rPr>
                <w:rFonts w:eastAsia="Verdana" w:cs="Verdana"/>
              </w:rPr>
            </w:pPr>
          </w:p>
          <w:p w14:paraId="78AC13D9" w14:textId="77777777" w:rsidR="00C176F7" w:rsidRPr="00B65D57" w:rsidRDefault="00C176F7" w:rsidP="008F4848">
            <w:pPr>
              <w:spacing w:line="260" w:lineRule="atLeast"/>
              <w:contextualSpacing/>
              <w:rPr>
                <w:rFonts w:eastAsia="Verdana" w:cs="Verdana"/>
              </w:rPr>
            </w:pPr>
            <w:r w:rsidRPr="00B65D57">
              <w:rPr>
                <w:rFonts w:eastAsia="Verdana" w:cs="Verdana"/>
              </w:rPr>
              <w:t xml:space="preserve">The use of eye protection during mixing/loading is mandatory.  </w:t>
            </w:r>
          </w:p>
          <w:p w14:paraId="7C826A88" w14:textId="77777777" w:rsidR="00C176F7" w:rsidRPr="00B65D57" w:rsidRDefault="00C176F7" w:rsidP="008F4848">
            <w:pPr>
              <w:spacing w:line="260" w:lineRule="atLeast"/>
              <w:contextualSpacing/>
              <w:rPr>
                <w:rFonts w:eastAsia="Verdana" w:cs="Verdana"/>
              </w:rPr>
            </w:pPr>
          </w:p>
          <w:p w14:paraId="323DE99B" w14:textId="04AFF88B" w:rsidR="00C176F7" w:rsidRPr="00B65D57" w:rsidRDefault="00C176F7" w:rsidP="008F4848">
            <w:pPr>
              <w:spacing w:line="260" w:lineRule="atLeast"/>
              <w:contextualSpacing/>
              <w:rPr>
                <w:rFonts w:eastAsia="Verdana" w:cs="Verdana"/>
                <w:u w:val="single"/>
              </w:rPr>
            </w:pPr>
            <w:r w:rsidRPr="00B65D57">
              <w:rPr>
                <w:rFonts w:eastAsia="Verdana" w:cs="Verdana"/>
                <w:u w:val="single"/>
              </w:rPr>
              <w:t>Application:</w:t>
            </w:r>
          </w:p>
          <w:p w14:paraId="0C379F13" w14:textId="77777777" w:rsidR="00C176F7" w:rsidRPr="00B65D57" w:rsidRDefault="00C176F7" w:rsidP="008F4848">
            <w:pPr>
              <w:spacing w:line="260" w:lineRule="atLeast"/>
              <w:contextualSpacing/>
              <w:rPr>
                <w:rFonts w:eastAsia="Verdana" w:cs="Verdana"/>
              </w:rPr>
            </w:pPr>
            <w:r w:rsidRPr="00B65D57">
              <w:rPr>
                <w:rFonts w:eastAsia="Verdana" w:cs="Verdana"/>
              </w:rPr>
              <w:t>Application must be done via a closed system.</w:t>
            </w:r>
          </w:p>
          <w:p w14:paraId="4CDE657B" w14:textId="77777777" w:rsidR="00C176F7" w:rsidRPr="00B65D57" w:rsidRDefault="00C176F7" w:rsidP="008F4848">
            <w:pPr>
              <w:spacing w:line="260" w:lineRule="atLeast"/>
              <w:contextualSpacing/>
              <w:rPr>
                <w:rFonts w:eastAsia="Verdana" w:cs="Verdana"/>
              </w:rPr>
            </w:pPr>
          </w:p>
          <w:p w14:paraId="0AE807C3" w14:textId="7B29A55C" w:rsidR="00C176F7" w:rsidRPr="00B65D57" w:rsidRDefault="00C176F7" w:rsidP="008F4848">
            <w:pPr>
              <w:spacing w:line="260" w:lineRule="atLeast"/>
              <w:contextualSpacing/>
              <w:rPr>
                <w:rFonts w:eastAsia="Verdana" w:cs="Verdana"/>
              </w:rPr>
            </w:pPr>
            <w:r w:rsidRPr="00B65D57">
              <w:rPr>
                <w:rFonts w:eastAsia="Verdana" w:cs="Verdana"/>
              </w:rPr>
              <w:t>Wear a protective coverall [type 6, EN 13034].</w:t>
            </w:r>
          </w:p>
          <w:p w14:paraId="027E82C9" w14:textId="77777777" w:rsidR="00C176F7" w:rsidRPr="00B65D57" w:rsidRDefault="00C176F7" w:rsidP="008F4848">
            <w:pPr>
              <w:spacing w:line="260" w:lineRule="atLeast"/>
              <w:contextualSpacing/>
              <w:rPr>
                <w:rFonts w:eastAsia="Verdana" w:cs="Verdana"/>
              </w:rPr>
            </w:pPr>
          </w:p>
          <w:p w14:paraId="4A6BFC4F" w14:textId="77777777" w:rsidR="00C176F7" w:rsidRPr="00B65D57" w:rsidRDefault="00C176F7" w:rsidP="008F4848">
            <w:pPr>
              <w:spacing w:line="260" w:lineRule="atLeast"/>
              <w:contextualSpacing/>
              <w:rPr>
                <w:rFonts w:eastAsia="Verdana" w:cs="Verdana"/>
              </w:rPr>
            </w:pPr>
            <w:r w:rsidRPr="00B65D57">
              <w:rPr>
                <w:rFonts w:eastAsia="Verdana" w:cs="Verdana"/>
              </w:rPr>
              <w:t>Wear protective chemical resistant gloves during application of the product (glove material to be specified by the authorisation holder within the product information).</w:t>
            </w:r>
          </w:p>
          <w:p w14:paraId="2BBB51BF" w14:textId="77777777" w:rsidR="00C176F7" w:rsidRPr="00B65D57" w:rsidRDefault="00C176F7" w:rsidP="008F4848">
            <w:pPr>
              <w:spacing w:line="260" w:lineRule="atLeast"/>
              <w:contextualSpacing/>
              <w:rPr>
                <w:rFonts w:eastAsia="Verdana" w:cs="Verdana"/>
              </w:rPr>
            </w:pPr>
          </w:p>
          <w:p w14:paraId="4C3BDE35" w14:textId="7537CB02" w:rsidR="00C176F7" w:rsidRPr="00B65D57" w:rsidRDefault="00C176F7" w:rsidP="008F4848">
            <w:pPr>
              <w:spacing w:line="260" w:lineRule="atLeast"/>
              <w:rPr>
                <w:rFonts w:eastAsia="Verdana" w:cs="Verdana"/>
                <w:u w:val="single"/>
              </w:rPr>
            </w:pPr>
            <w:r w:rsidRPr="00B65D57">
              <w:rPr>
                <w:rFonts w:eastAsia="Verdana" w:cs="Verdana"/>
                <w:u w:val="single"/>
              </w:rPr>
              <w:t>Cleaning:</w:t>
            </w:r>
          </w:p>
          <w:p w14:paraId="2FC87E95" w14:textId="7123CC63" w:rsidR="00C176F7" w:rsidRPr="00B65D57" w:rsidRDefault="00C176F7" w:rsidP="008F4848">
            <w:pPr>
              <w:spacing w:line="260" w:lineRule="atLeast"/>
              <w:contextualSpacing/>
              <w:rPr>
                <w:rFonts w:eastAsia="Verdana" w:cs="Verdana"/>
              </w:rPr>
            </w:pPr>
            <w:r w:rsidRPr="00B65D57">
              <w:rPr>
                <w:rFonts w:eastAsia="Verdana" w:cs="Verdana"/>
              </w:rPr>
              <w:t xml:space="preserve">Wear a protective coverall [type 6, EN 13034]. </w:t>
            </w:r>
          </w:p>
          <w:p w14:paraId="39ACE01D" w14:textId="77777777" w:rsidR="00C176F7" w:rsidRPr="00B65D57" w:rsidRDefault="00C176F7" w:rsidP="008F4848">
            <w:pPr>
              <w:spacing w:line="260" w:lineRule="atLeast"/>
              <w:contextualSpacing/>
              <w:rPr>
                <w:rFonts w:eastAsia="Verdana" w:cs="Verdana"/>
              </w:rPr>
            </w:pPr>
          </w:p>
          <w:p w14:paraId="381E850A" w14:textId="7DCD3C8B" w:rsidR="00C176F7" w:rsidRPr="00B65D57" w:rsidRDefault="00C176F7" w:rsidP="008F4848">
            <w:pPr>
              <w:spacing w:line="260" w:lineRule="atLeast"/>
              <w:contextualSpacing/>
              <w:rPr>
                <w:rFonts w:eastAsia="Verdana" w:cs="Verdana"/>
              </w:rPr>
            </w:pPr>
            <w:r w:rsidRPr="00B65D57">
              <w:rPr>
                <w:rFonts w:eastAsia="Verdana" w:cs="Verdana"/>
              </w:rPr>
              <w:t xml:space="preserve">Wear protective chemical resistant gloves during cleaning of the </w:t>
            </w:r>
            <w:r w:rsidR="00C74AE1" w:rsidRPr="00B65D57">
              <w:rPr>
                <w:rFonts w:eastAsia="Verdana" w:cs="Verdana"/>
              </w:rPr>
              <w:t>equipment</w:t>
            </w:r>
            <w:r w:rsidRPr="00B65D57">
              <w:rPr>
                <w:rFonts w:eastAsia="Verdana" w:cs="Verdana"/>
              </w:rPr>
              <w:t xml:space="preserve"> (glove material to be specified by the authorisation holder within the product information).</w:t>
            </w:r>
          </w:p>
          <w:p w14:paraId="05E29592" w14:textId="77777777" w:rsidR="00C176F7" w:rsidRPr="00B65D57" w:rsidRDefault="00C176F7" w:rsidP="008F4848">
            <w:pPr>
              <w:spacing w:line="260" w:lineRule="atLeast"/>
              <w:contextualSpacing/>
              <w:rPr>
                <w:rFonts w:eastAsia="Verdana" w:cs="Verdana"/>
              </w:rPr>
            </w:pPr>
          </w:p>
          <w:p w14:paraId="6090B9B6" w14:textId="77777777" w:rsidR="00C176F7" w:rsidRPr="00B65D57" w:rsidRDefault="00C176F7" w:rsidP="008F4848">
            <w:pPr>
              <w:spacing w:line="260" w:lineRule="atLeast"/>
              <w:contextualSpacing/>
              <w:rPr>
                <w:rFonts w:eastAsia="Verdana" w:cs="Verdana"/>
              </w:rPr>
            </w:pPr>
            <w:r w:rsidRPr="00B65D57">
              <w:rPr>
                <w:rFonts w:eastAsia="Verdana" w:cs="Verdana"/>
              </w:rPr>
              <w:t xml:space="preserve">The use of eye protection during cleaning of the equipment is mandatory.  </w:t>
            </w:r>
          </w:p>
          <w:p w14:paraId="2B315362" w14:textId="77777777" w:rsidR="00C176F7" w:rsidRPr="00B65D57" w:rsidRDefault="00C176F7" w:rsidP="008F4848">
            <w:pPr>
              <w:spacing w:line="260" w:lineRule="atLeast"/>
              <w:rPr>
                <w:rFonts w:eastAsia="Verdana" w:cs="Verdana"/>
              </w:rPr>
            </w:pPr>
          </w:p>
          <w:p w14:paraId="1E58AF65" w14:textId="0BE37963" w:rsidR="00C176F7" w:rsidRPr="00B65D57" w:rsidRDefault="00C176F7" w:rsidP="008F4848">
            <w:pPr>
              <w:spacing w:line="260" w:lineRule="atLeast"/>
              <w:rPr>
                <w:rFonts w:eastAsia="Verdana" w:cs="Verdana"/>
                <w:u w:val="single"/>
              </w:rPr>
            </w:pPr>
            <w:r w:rsidRPr="00B65D57">
              <w:rPr>
                <w:rFonts w:eastAsia="Verdana" w:cs="Verdana"/>
                <w:u w:val="single"/>
              </w:rPr>
              <w:t>Maintenance/repair:</w:t>
            </w:r>
          </w:p>
          <w:p w14:paraId="4B4D7288" w14:textId="7A248696" w:rsidR="00C176F7" w:rsidRPr="00B65D57" w:rsidRDefault="00C176F7" w:rsidP="008F4848">
            <w:pPr>
              <w:spacing w:line="260" w:lineRule="atLeast"/>
              <w:contextualSpacing/>
              <w:rPr>
                <w:rFonts w:eastAsia="Verdana" w:cs="Verdana"/>
              </w:rPr>
            </w:pPr>
            <w:r w:rsidRPr="00B65D57">
              <w:rPr>
                <w:rFonts w:eastAsia="Verdana" w:cs="Verdana"/>
              </w:rPr>
              <w:t xml:space="preserve">Wear a protective coverall [type 6, EN 13034]. </w:t>
            </w:r>
          </w:p>
          <w:p w14:paraId="752FB820" w14:textId="77777777" w:rsidR="00C176F7" w:rsidRPr="00B65D57" w:rsidRDefault="00C176F7" w:rsidP="008F4848">
            <w:pPr>
              <w:spacing w:line="260" w:lineRule="atLeast"/>
              <w:contextualSpacing/>
              <w:rPr>
                <w:rFonts w:eastAsia="Verdana" w:cs="Verdana"/>
              </w:rPr>
            </w:pPr>
          </w:p>
          <w:p w14:paraId="42B792F8" w14:textId="490148E4" w:rsidR="00C176F7" w:rsidRPr="00B65D57" w:rsidRDefault="00C176F7" w:rsidP="008F4848">
            <w:pPr>
              <w:spacing w:line="260" w:lineRule="atLeast"/>
              <w:contextualSpacing/>
              <w:rPr>
                <w:rFonts w:eastAsia="Verdana" w:cs="Verdana"/>
              </w:rPr>
            </w:pPr>
            <w:r w:rsidRPr="00B65D57">
              <w:rPr>
                <w:rFonts w:eastAsia="Verdana" w:cs="Verdana"/>
              </w:rPr>
              <w:t xml:space="preserve">Wear protective chemical resistant gloves during cleaning of the </w:t>
            </w:r>
            <w:r w:rsidR="00C74AE1" w:rsidRPr="00B65D57">
              <w:rPr>
                <w:rFonts w:eastAsia="Verdana" w:cs="Verdana"/>
              </w:rPr>
              <w:t>equipment</w:t>
            </w:r>
            <w:r w:rsidRPr="00B65D57">
              <w:rPr>
                <w:rFonts w:eastAsia="Verdana" w:cs="Verdana"/>
              </w:rPr>
              <w:t xml:space="preserve"> (glove material to be specified by the authorisation holder within the product information).</w:t>
            </w:r>
          </w:p>
          <w:p w14:paraId="178E0AF0" w14:textId="77777777" w:rsidR="00C176F7" w:rsidRPr="00B65D57" w:rsidRDefault="00C176F7" w:rsidP="008F4848">
            <w:pPr>
              <w:spacing w:line="260" w:lineRule="atLeast"/>
              <w:contextualSpacing/>
              <w:rPr>
                <w:rFonts w:eastAsia="Verdana" w:cs="Verdana"/>
              </w:rPr>
            </w:pPr>
          </w:p>
          <w:p w14:paraId="3F4660AB" w14:textId="5A25E318" w:rsidR="00C176F7" w:rsidRPr="00B65D57" w:rsidRDefault="00C176F7" w:rsidP="008F4848">
            <w:pPr>
              <w:spacing w:line="260" w:lineRule="atLeast"/>
              <w:contextualSpacing/>
              <w:rPr>
                <w:rFonts w:eastAsia="Verdana" w:cs="Verdana"/>
              </w:rPr>
            </w:pPr>
            <w:r w:rsidRPr="00B65D57">
              <w:rPr>
                <w:rFonts w:eastAsia="Verdana" w:cs="Verdana"/>
              </w:rPr>
              <w:t xml:space="preserve">The use of eye protection during cleaning of the equipment is mandatory.  </w:t>
            </w:r>
          </w:p>
          <w:p w14:paraId="7A85F77E" w14:textId="77777777" w:rsidR="00192BF0" w:rsidRPr="00B65D57" w:rsidRDefault="00192BF0" w:rsidP="008F4848">
            <w:pPr>
              <w:spacing w:line="260" w:lineRule="atLeast"/>
              <w:contextualSpacing/>
              <w:rPr>
                <w:rFonts w:eastAsia="Verdana" w:cs="Verdana"/>
              </w:rPr>
            </w:pPr>
          </w:p>
          <w:p w14:paraId="5F2A9DC9" w14:textId="00F40CCD" w:rsidR="004529BA" w:rsidRPr="00B65D57" w:rsidRDefault="004529BA" w:rsidP="008F4848">
            <w:r w:rsidRPr="00B65D57">
              <w:rPr>
                <w:u w:val="single"/>
              </w:rPr>
              <w:t>Environment</w:t>
            </w:r>
            <w:r w:rsidRPr="00B65D57">
              <w:t>:</w:t>
            </w:r>
          </w:p>
          <w:p w14:paraId="64771EE8" w14:textId="5DA472BA" w:rsidR="004529BA" w:rsidRPr="00B65D57" w:rsidRDefault="004529BA" w:rsidP="008F4848">
            <w:r w:rsidRPr="00B65D57">
              <w:t>Treatment zone must be surrounded by dense clay of marine origin with low water turnover of at least 2 m deep</w:t>
            </w:r>
          </w:p>
          <w:p w14:paraId="543BC9F1" w14:textId="77777777" w:rsidR="004529BA" w:rsidRPr="00B65D57" w:rsidRDefault="004529BA" w:rsidP="008F4848"/>
          <w:p w14:paraId="7813448E" w14:textId="73F37DB6" w:rsidR="00E7271C" w:rsidRPr="00B65D57" w:rsidRDefault="00192BF0" w:rsidP="008F4848">
            <w:r w:rsidRPr="00B65D57">
              <w:t>Installation of groundwater tubes for environmental control must always be done before</w:t>
            </w:r>
            <w:r w:rsidR="00CE18ED" w:rsidRPr="00B65D57">
              <w:t xml:space="preserve"> the</w:t>
            </w:r>
            <w:r w:rsidRPr="00B65D57">
              <w:t xml:space="preserve"> treatment.</w:t>
            </w:r>
          </w:p>
          <w:p w14:paraId="04E4FE77" w14:textId="77777777" w:rsidR="00CE18ED" w:rsidRPr="00B65D57" w:rsidRDefault="00CE18ED" w:rsidP="008F4848"/>
          <w:p w14:paraId="384F4D28" w14:textId="6C57DDAE" w:rsidR="00CE18ED" w:rsidRPr="00B65D57" w:rsidRDefault="000A3410" w:rsidP="008F4848">
            <w:r w:rsidRPr="00B65D57">
              <w:t>All l</w:t>
            </w:r>
            <w:r w:rsidR="00CE18ED" w:rsidRPr="00B65D57">
              <w:t>ow-lying openings of drain shafts must be sealed before the treatment</w:t>
            </w:r>
          </w:p>
        </w:tc>
      </w:tr>
    </w:tbl>
    <w:p w14:paraId="712026B1" w14:textId="1CFC88CA" w:rsidR="00E7271C" w:rsidRPr="00B65D57" w:rsidRDefault="009A5C9B" w:rsidP="00065CC0">
      <w:pPr>
        <w:pStyle w:val="Rubrik4"/>
      </w:pPr>
      <w:bookmarkStart w:id="76" w:name="_Toc423017242"/>
      <w:bookmarkStart w:id="77" w:name="_Toc129689574"/>
      <w:r w:rsidRPr="00B65D57">
        <w:lastRenderedPageBreak/>
        <w:t xml:space="preserve">2.1.5.3 </w:t>
      </w:r>
      <w:r w:rsidR="00E7271C" w:rsidRPr="00B65D57">
        <w:t>Particulars of likely direct or indirect effects, first aid instructions and emergency measures to protect the environment</w:t>
      </w:r>
      <w:bookmarkEnd w:id="76"/>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B65D57" w14:paraId="3C13A869" w14:textId="77777777" w:rsidTr="246707F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4BB03F50" w14:textId="77777777" w:rsidR="00477603" w:rsidRPr="00B65D57" w:rsidRDefault="00477603" w:rsidP="008F4848">
            <w:pPr>
              <w:widowControl w:val="0"/>
              <w:autoSpaceDE w:val="0"/>
              <w:autoSpaceDN w:val="0"/>
              <w:adjustRightInd w:val="0"/>
              <w:spacing w:before="80"/>
              <w:rPr>
                <w:rFonts w:cs="Times"/>
                <w:bCs/>
                <w:szCs w:val="29"/>
                <w:u w:val="single"/>
              </w:rPr>
            </w:pPr>
            <w:r w:rsidRPr="00B65D57">
              <w:rPr>
                <w:u w:val="single"/>
              </w:rPr>
              <w:t>Particulars of likely direct or indirect effects</w:t>
            </w:r>
          </w:p>
          <w:p w14:paraId="4379C943" w14:textId="77777777"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Inhalation; may cause respiratory irritation</w:t>
            </w:r>
          </w:p>
          <w:p w14:paraId="322AEA14" w14:textId="77777777"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Skin contact; may cause skin irritation</w:t>
            </w:r>
          </w:p>
          <w:p w14:paraId="3362D9D5" w14:textId="77777777"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Eye contact; irritating to eyes</w:t>
            </w:r>
          </w:p>
          <w:p w14:paraId="724B8EAD" w14:textId="099B54CD"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 xml:space="preserve">Ingestion; may cause nausea, vomiting, </w:t>
            </w:r>
            <w:r w:rsidR="00C74AE1" w:rsidRPr="00B65D57">
              <w:rPr>
                <w:rFonts w:cs="Times"/>
                <w:bCs/>
                <w:szCs w:val="29"/>
              </w:rPr>
              <w:t>diarrhoea</w:t>
            </w:r>
          </w:p>
          <w:p w14:paraId="57AD7BEE" w14:textId="77777777" w:rsidR="00477603" w:rsidRPr="00B65D57" w:rsidRDefault="00477603" w:rsidP="008F4848">
            <w:pPr>
              <w:widowControl w:val="0"/>
              <w:autoSpaceDE w:val="0"/>
              <w:autoSpaceDN w:val="0"/>
              <w:adjustRightInd w:val="0"/>
              <w:spacing w:before="80"/>
              <w:rPr>
                <w:rFonts w:cs="Times"/>
                <w:u w:val="single"/>
              </w:rPr>
            </w:pPr>
            <w:r w:rsidRPr="00B65D57">
              <w:rPr>
                <w:rFonts w:cs="Times"/>
                <w:u w:val="single"/>
              </w:rPr>
              <w:t>First aid instructions</w:t>
            </w:r>
          </w:p>
          <w:p w14:paraId="357847AE" w14:textId="77777777" w:rsidR="00477603" w:rsidRPr="00B65D57" w:rsidRDefault="00477603" w:rsidP="008F4848">
            <w:pPr>
              <w:widowControl w:val="0"/>
              <w:autoSpaceDE w:val="0"/>
              <w:autoSpaceDN w:val="0"/>
              <w:adjustRightInd w:val="0"/>
              <w:spacing w:before="80"/>
              <w:rPr>
                <w:rFonts w:cs="Times"/>
              </w:rPr>
            </w:pPr>
            <w:r w:rsidRPr="00B65D57">
              <w:rPr>
                <w:rFonts w:cs="Times"/>
              </w:rPr>
              <w:t>IF EXPOSED OR CONCERNED: Get medical advice/attention.</w:t>
            </w:r>
          </w:p>
          <w:p w14:paraId="6262BF77" w14:textId="77777777"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IF INHALED: If symptoms occur call a POISON CENTRE or a doctor.</w:t>
            </w:r>
          </w:p>
          <w:p w14:paraId="01582F98" w14:textId="77777777"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IF ON SKIN: Wash skin with water. If symptoms occur call a POISON CENTRE or a doctor.</w:t>
            </w:r>
          </w:p>
          <w:p w14:paraId="2F269B42" w14:textId="77777777" w:rsidR="00477603" w:rsidRPr="00B65D57" w:rsidRDefault="00477603" w:rsidP="008F4848">
            <w:pPr>
              <w:widowControl w:val="0"/>
              <w:autoSpaceDE w:val="0"/>
              <w:autoSpaceDN w:val="0"/>
              <w:adjustRightInd w:val="0"/>
              <w:spacing w:before="80"/>
              <w:rPr>
                <w:rFonts w:cs="Times"/>
                <w:bCs/>
                <w:szCs w:val="29"/>
              </w:rPr>
            </w:pPr>
            <w:r w:rsidRPr="00B65D57">
              <w:rPr>
                <w:rFonts w:cs="Times"/>
                <w:bCs/>
                <w:szCs w:val="29"/>
              </w:rPr>
              <w:t>IF IN EYES: Rinse with water. Remove contact lenses, if present and easy to do. Continue rinsing for 5 minutes. Call a POISON CENTRE or a doctor.</w:t>
            </w:r>
          </w:p>
          <w:p w14:paraId="771EFFED" w14:textId="77777777" w:rsidR="00477603" w:rsidRPr="00B65D57" w:rsidRDefault="00477603" w:rsidP="008F4848">
            <w:pPr>
              <w:widowControl w:val="0"/>
              <w:autoSpaceDE w:val="0"/>
              <w:autoSpaceDN w:val="0"/>
              <w:adjustRightInd w:val="0"/>
              <w:spacing w:before="80"/>
              <w:rPr>
                <w:rFonts w:cs="Times"/>
              </w:rPr>
            </w:pPr>
            <w:r w:rsidRPr="00B65D57">
              <w:rPr>
                <w:rFonts w:cs="Times"/>
              </w:rPr>
              <w:t>IF SWALLOWED: Rinse mouth. Give something to drink, if exposed person is able to swallow. Do NOT induce vomiting. Call a POISON CENTRE or a doctor.</w:t>
            </w:r>
          </w:p>
          <w:p w14:paraId="7B4D2157" w14:textId="77777777" w:rsidR="00477603" w:rsidRPr="00B65D57" w:rsidRDefault="00477603" w:rsidP="008F4848">
            <w:pPr>
              <w:widowControl w:val="0"/>
              <w:autoSpaceDE w:val="0"/>
              <w:autoSpaceDN w:val="0"/>
              <w:adjustRightInd w:val="0"/>
              <w:spacing w:before="80"/>
              <w:rPr>
                <w:rFonts w:cs="Times"/>
                <w:bCs/>
                <w:szCs w:val="29"/>
                <w:u w:val="single"/>
              </w:rPr>
            </w:pPr>
          </w:p>
          <w:p w14:paraId="590500F6" w14:textId="2D9F6628" w:rsidR="00477603" w:rsidRPr="00B65D57" w:rsidRDefault="00477603" w:rsidP="008F4848">
            <w:pPr>
              <w:widowControl w:val="0"/>
              <w:autoSpaceDE w:val="0"/>
              <w:autoSpaceDN w:val="0"/>
              <w:adjustRightInd w:val="0"/>
              <w:spacing w:before="80"/>
              <w:rPr>
                <w:rFonts w:cs="Times"/>
                <w:bCs/>
                <w:szCs w:val="29"/>
                <w:u w:val="single"/>
              </w:rPr>
            </w:pPr>
            <w:r w:rsidRPr="00B65D57">
              <w:rPr>
                <w:rFonts w:cs="Times"/>
                <w:bCs/>
                <w:szCs w:val="29"/>
                <w:u w:val="single"/>
              </w:rPr>
              <w:t>Emergency measures to protect the environment</w:t>
            </w:r>
          </w:p>
          <w:p w14:paraId="571ED942" w14:textId="48295D90" w:rsidR="00566CDF" w:rsidRPr="00B65D57" w:rsidRDefault="00566CDF" w:rsidP="008F4848">
            <w:pPr>
              <w:widowControl w:val="0"/>
              <w:autoSpaceDE w:val="0"/>
              <w:autoSpaceDN w:val="0"/>
              <w:adjustRightInd w:val="0"/>
              <w:spacing w:before="80"/>
              <w:rPr>
                <w:rFonts w:cs="Times"/>
                <w:bCs/>
                <w:szCs w:val="29"/>
              </w:rPr>
            </w:pPr>
            <w:r w:rsidRPr="00B65D57">
              <w:rPr>
                <w:rFonts w:cs="Times"/>
                <w:bCs/>
                <w:szCs w:val="29"/>
              </w:rPr>
              <w:t>In case of dry product spills, sweep/shovel up/clean with an industrial vacuum cleaner large spills and place in a labelled sealable container. Rinse area thoroughly with water.</w:t>
            </w:r>
          </w:p>
          <w:p w14:paraId="6A2F882E" w14:textId="77777777" w:rsidR="00705E28" w:rsidRPr="00B65D57" w:rsidRDefault="00566CDF" w:rsidP="008F4848">
            <w:pPr>
              <w:widowControl w:val="0"/>
              <w:autoSpaceDE w:val="0"/>
              <w:autoSpaceDN w:val="0"/>
              <w:adjustRightInd w:val="0"/>
              <w:spacing w:before="80"/>
              <w:rPr>
                <w:rFonts w:cs="Times"/>
                <w:bCs/>
                <w:szCs w:val="29"/>
              </w:rPr>
            </w:pPr>
            <w:r w:rsidRPr="00B65D57">
              <w:rPr>
                <w:rFonts w:cs="Times"/>
                <w:bCs/>
                <w:szCs w:val="29"/>
              </w:rPr>
              <w:t>In case of slurry spills, pick up with absorbent material (e.g. sand, diatomaceous earth or a proprietary absorbent material). Keep in suitable closed containers for disposal.</w:t>
            </w:r>
          </w:p>
          <w:p w14:paraId="75F73F77" w14:textId="2FA57FED" w:rsidR="00566CDF" w:rsidRPr="00B65D57" w:rsidRDefault="00566CDF" w:rsidP="008F4848">
            <w:pPr>
              <w:widowControl w:val="0"/>
              <w:autoSpaceDE w:val="0"/>
              <w:autoSpaceDN w:val="0"/>
              <w:adjustRightInd w:val="0"/>
              <w:spacing w:before="80"/>
              <w:rPr>
                <w:rFonts w:cs="Times"/>
                <w:bCs/>
                <w:szCs w:val="29"/>
              </w:rPr>
            </w:pPr>
            <w:r w:rsidRPr="00B65D57">
              <w:rPr>
                <w:rFonts w:cs="Times"/>
                <w:bCs/>
                <w:szCs w:val="29"/>
              </w:rPr>
              <w:t xml:space="preserve">Dispose of absorbed material and </w:t>
            </w:r>
            <w:r w:rsidR="00705E28" w:rsidRPr="00B65D57">
              <w:rPr>
                <w:rFonts w:cs="Times"/>
                <w:bCs/>
                <w:szCs w:val="29"/>
              </w:rPr>
              <w:t xml:space="preserve">the cleaning </w:t>
            </w:r>
            <w:r w:rsidRPr="00B65D57">
              <w:rPr>
                <w:rFonts w:cs="Times"/>
                <w:bCs/>
                <w:szCs w:val="29"/>
              </w:rPr>
              <w:t>water in accordance with regulations as hazardous waste.</w:t>
            </w:r>
          </w:p>
          <w:p w14:paraId="3002CF09" w14:textId="46A2864A" w:rsidR="00477603" w:rsidRPr="00B65D57" w:rsidRDefault="00566CDF" w:rsidP="008F4848">
            <w:pPr>
              <w:widowControl w:val="0"/>
              <w:autoSpaceDE w:val="0"/>
              <w:autoSpaceDN w:val="0"/>
              <w:adjustRightInd w:val="0"/>
              <w:spacing w:before="80"/>
              <w:rPr>
                <w:rFonts w:cs="Times"/>
                <w:bCs/>
                <w:szCs w:val="29"/>
              </w:rPr>
            </w:pPr>
            <w:r w:rsidRPr="00B65D57">
              <w:rPr>
                <w:rFonts w:cs="Times"/>
                <w:bCs/>
                <w:szCs w:val="29"/>
              </w:rPr>
              <w:t>In case of</w:t>
            </w:r>
            <w:r w:rsidR="00477603" w:rsidRPr="00B65D57">
              <w:rPr>
                <w:rFonts w:cs="Times"/>
                <w:bCs/>
                <w:szCs w:val="29"/>
              </w:rPr>
              <w:t xml:space="preserve"> major accidental emissions, </w:t>
            </w:r>
            <w:r w:rsidRPr="00B65D57">
              <w:rPr>
                <w:rFonts w:cs="Times"/>
                <w:bCs/>
                <w:szCs w:val="29"/>
              </w:rPr>
              <w:t xml:space="preserve">immediately inform the local authorities and </w:t>
            </w:r>
            <w:r w:rsidR="00477603" w:rsidRPr="00B65D57">
              <w:rPr>
                <w:rFonts w:cs="Times"/>
                <w:bCs/>
                <w:szCs w:val="29"/>
              </w:rPr>
              <w:t xml:space="preserve">limit the damage </w:t>
            </w:r>
            <w:r w:rsidRPr="00B65D57">
              <w:rPr>
                <w:rFonts w:cs="Times"/>
                <w:bCs/>
                <w:szCs w:val="29"/>
              </w:rPr>
              <w:t>as much as possible</w:t>
            </w:r>
            <w:r w:rsidR="00477603" w:rsidRPr="00B65D57">
              <w:rPr>
                <w:rFonts w:cs="Times"/>
                <w:bCs/>
                <w:szCs w:val="29"/>
              </w:rPr>
              <w:t>. Decontamination equipment</w:t>
            </w:r>
            <w:r w:rsidRPr="00B65D57">
              <w:rPr>
                <w:rFonts w:cs="Times"/>
                <w:bCs/>
                <w:szCs w:val="29"/>
              </w:rPr>
              <w:t xml:space="preserve"> and</w:t>
            </w:r>
            <w:r w:rsidR="00477603" w:rsidRPr="00B65D57">
              <w:rPr>
                <w:rFonts w:cs="Times"/>
                <w:bCs/>
                <w:szCs w:val="29"/>
              </w:rPr>
              <w:t xml:space="preserve"> activated carbon filter must </w:t>
            </w:r>
            <w:r w:rsidR="00CE18ED" w:rsidRPr="00B65D57">
              <w:rPr>
                <w:rFonts w:cs="Times"/>
                <w:bCs/>
                <w:szCs w:val="29"/>
              </w:rPr>
              <w:t xml:space="preserve">always </w:t>
            </w:r>
            <w:r w:rsidR="00477603" w:rsidRPr="00B65D57">
              <w:rPr>
                <w:rFonts w:cs="Times"/>
                <w:bCs/>
                <w:szCs w:val="29"/>
              </w:rPr>
              <w:t xml:space="preserve">be available </w:t>
            </w:r>
            <w:r w:rsidR="00CE18ED" w:rsidRPr="00B65D57">
              <w:rPr>
                <w:rFonts w:cs="Times"/>
                <w:bCs/>
                <w:szCs w:val="29"/>
              </w:rPr>
              <w:t>at site</w:t>
            </w:r>
            <w:r w:rsidR="00477603" w:rsidRPr="00B65D57">
              <w:rPr>
                <w:rFonts w:cs="Times"/>
                <w:bCs/>
                <w:szCs w:val="29"/>
              </w:rPr>
              <w:t xml:space="preserve">. </w:t>
            </w:r>
          </w:p>
          <w:p w14:paraId="79794331" w14:textId="01DCCD85" w:rsidR="00E7271C" w:rsidRPr="00B65D57" w:rsidRDefault="00477603" w:rsidP="008F4848">
            <w:pPr>
              <w:widowControl w:val="0"/>
              <w:autoSpaceDE w:val="0"/>
              <w:autoSpaceDN w:val="0"/>
              <w:adjustRightInd w:val="0"/>
              <w:spacing w:before="80"/>
            </w:pPr>
            <w:r w:rsidRPr="00B65D57">
              <w:rPr>
                <w:rFonts w:cs="Times"/>
                <w:bCs/>
                <w:szCs w:val="29"/>
              </w:rPr>
              <w:t>Recycle spilled chemicals if possible in the next batch. Otherwise, dispose of as hazardous waste.</w:t>
            </w:r>
          </w:p>
        </w:tc>
      </w:tr>
    </w:tbl>
    <w:p w14:paraId="5930967D" w14:textId="5C0AA730" w:rsidR="00E7271C" w:rsidRPr="00B65D57" w:rsidRDefault="009A5C9B" w:rsidP="00065CC0">
      <w:pPr>
        <w:pStyle w:val="Rubrik4"/>
      </w:pPr>
      <w:bookmarkStart w:id="78" w:name="_Toc423017243"/>
      <w:bookmarkStart w:id="79" w:name="_Toc129689575"/>
      <w:r w:rsidRPr="00B65D57">
        <w:lastRenderedPageBreak/>
        <w:t xml:space="preserve">2.1.5.4 </w:t>
      </w:r>
      <w:r w:rsidR="00E7271C" w:rsidRPr="00B65D57">
        <w:t>Instructions for safe disposal of the product and its packaging</w:t>
      </w:r>
      <w:bookmarkEnd w:id="78"/>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B65D57" w14:paraId="792646AA" w14:textId="77777777" w:rsidTr="246707F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7434C010" w14:textId="35EDDD4C" w:rsidR="00C74AE1" w:rsidRPr="00B65D57" w:rsidRDefault="00C74AE1" w:rsidP="008F4848">
            <w:pPr>
              <w:widowControl w:val="0"/>
              <w:autoSpaceDE w:val="0"/>
              <w:autoSpaceDN w:val="0"/>
              <w:adjustRightInd w:val="0"/>
              <w:spacing w:before="80" w:after="80"/>
              <w:rPr>
                <w:rFonts w:cs="Times"/>
                <w:bCs/>
                <w:szCs w:val="29"/>
              </w:rPr>
            </w:pPr>
            <w:r w:rsidRPr="00B65D57">
              <w:rPr>
                <w:rFonts w:cs="Times"/>
                <w:bCs/>
                <w:szCs w:val="29"/>
              </w:rPr>
              <w:t>D</w:t>
            </w:r>
            <w:r w:rsidR="00DC49B3" w:rsidRPr="00B65D57">
              <w:rPr>
                <w:rFonts w:cs="Times"/>
                <w:bCs/>
                <w:szCs w:val="29"/>
              </w:rPr>
              <w:t xml:space="preserve">osage and use of the product </w:t>
            </w:r>
            <w:r w:rsidRPr="00B65D57">
              <w:rPr>
                <w:rFonts w:cs="Times"/>
                <w:bCs/>
                <w:szCs w:val="29"/>
              </w:rPr>
              <w:t>are</w:t>
            </w:r>
            <w:r w:rsidR="00DC49B3" w:rsidRPr="00B65D57">
              <w:rPr>
                <w:rFonts w:cs="Times"/>
                <w:bCs/>
                <w:szCs w:val="29"/>
              </w:rPr>
              <w:t xml:space="preserve"> performed according to </w:t>
            </w:r>
            <w:r w:rsidRPr="00B65D57">
              <w:rPr>
                <w:rFonts w:cs="Times"/>
                <w:bCs/>
                <w:szCs w:val="29"/>
              </w:rPr>
              <w:t xml:space="preserve">Manual Euroborbehandling (manual of Eurobor technique) </w:t>
            </w:r>
            <w:r w:rsidR="00DC49B3" w:rsidRPr="00B65D57">
              <w:rPr>
                <w:rFonts w:cs="Times"/>
                <w:bCs/>
                <w:szCs w:val="29"/>
              </w:rPr>
              <w:t xml:space="preserve">to minimize residues. </w:t>
            </w:r>
          </w:p>
          <w:p w14:paraId="2359D8ED" w14:textId="2870D6BF" w:rsidR="00C74AE1" w:rsidRPr="00B65D57" w:rsidRDefault="00C74AE1" w:rsidP="008F4848">
            <w:pPr>
              <w:spacing w:after="80" w:line="260" w:lineRule="atLeast"/>
              <w:rPr>
                <w:lang w:eastAsia="fi-FI"/>
              </w:rPr>
            </w:pPr>
            <w:r w:rsidRPr="00B65D57">
              <w:rPr>
                <w:lang w:eastAsia="fi-FI"/>
              </w:rPr>
              <w:t xml:space="preserve">Residues and spills are collected to be reused if possible, otherwise disposed of as hazardous waste. </w:t>
            </w:r>
          </w:p>
          <w:p w14:paraId="0EEE6A33" w14:textId="595DFB64" w:rsidR="00DC49B3" w:rsidRPr="00B65D57" w:rsidRDefault="005D3C94" w:rsidP="008F4848">
            <w:pPr>
              <w:spacing w:after="80" w:line="260" w:lineRule="atLeast"/>
              <w:rPr>
                <w:rFonts w:eastAsia="Calibri"/>
                <w:iCs/>
                <w:lang w:eastAsia="en-US"/>
              </w:rPr>
            </w:pPr>
            <w:r w:rsidRPr="00B65D57">
              <w:rPr>
                <w:rFonts w:eastAsia="Calibri"/>
                <w:iCs/>
                <w:lang w:eastAsia="en-US"/>
              </w:rPr>
              <w:t xml:space="preserve">Empty packaging is considered as hazardous waste </w:t>
            </w:r>
            <w:r w:rsidR="00947820">
              <w:rPr>
                <w:rFonts w:eastAsia="Calibri"/>
                <w:iCs/>
                <w:lang w:eastAsia="en-US"/>
              </w:rPr>
              <w:t xml:space="preserve">and </w:t>
            </w:r>
            <w:r w:rsidRPr="00B65D57">
              <w:rPr>
                <w:rFonts w:eastAsia="Calibri"/>
                <w:iCs/>
                <w:lang w:eastAsia="en-US"/>
              </w:rPr>
              <w:t xml:space="preserve">should be disposed of in accordance with local regulations. Cleaned packaging can be recycled or reused. </w:t>
            </w:r>
            <w:r w:rsidR="00C74AE1" w:rsidRPr="00B65D57">
              <w:rPr>
                <w:lang w:eastAsia="fi-FI"/>
              </w:rPr>
              <w:t xml:space="preserve">Reuse of empty packaging is only allowed for refilling of the Jerbor product. </w:t>
            </w:r>
            <w:r w:rsidRPr="00B65D57">
              <w:rPr>
                <w:rFonts w:eastAsia="Calibri"/>
                <w:iCs/>
                <w:lang w:eastAsia="en-US"/>
              </w:rPr>
              <w:t xml:space="preserve">Rinse the packaging three times with water and let it dry. </w:t>
            </w:r>
            <w:r w:rsidR="002835B0" w:rsidRPr="00B65D57">
              <w:rPr>
                <w:rFonts w:cs="Times"/>
                <w:bCs/>
                <w:szCs w:val="29"/>
              </w:rPr>
              <w:t>If possible, u</w:t>
            </w:r>
            <w:r w:rsidR="00DC49B3" w:rsidRPr="00B65D57">
              <w:rPr>
                <w:rFonts w:cs="Times"/>
                <w:bCs/>
                <w:szCs w:val="29"/>
              </w:rPr>
              <w:t xml:space="preserve">se the rinsing water in the production of </w:t>
            </w:r>
            <w:r w:rsidR="002835B0" w:rsidRPr="00B65D57">
              <w:rPr>
                <w:rFonts w:cs="Times"/>
                <w:bCs/>
                <w:szCs w:val="29"/>
              </w:rPr>
              <w:t xml:space="preserve">the </w:t>
            </w:r>
            <w:r w:rsidR="00DC49B3" w:rsidRPr="00B65D57">
              <w:rPr>
                <w:rFonts w:cs="Times"/>
                <w:bCs/>
                <w:szCs w:val="29"/>
              </w:rPr>
              <w:t>next batch.</w:t>
            </w:r>
            <w:r w:rsidR="00ED50EF" w:rsidRPr="00B65D57">
              <w:rPr>
                <w:rFonts w:cs="Times"/>
                <w:bCs/>
                <w:szCs w:val="29"/>
              </w:rPr>
              <w:t xml:space="preserve"> </w:t>
            </w:r>
            <w:r w:rsidR="00ED50EF" w:rsidRPr="00B65D57">
              <w:rPr>
                <w:rFonts w:eastAsia="Calibri"/>
                <w:iCs/>
                <w:lang w:eastAsia="en-US"/>
              </w:rPr>
              <w:t>Otherwise</w:t>
            </w:r>
            <w:r w:rsidR="00ED50EF" w:rsidRPr="00B65D57">
              <w:rPr>
                <w:rFonts w:eastAsia="Calibri"/>
                <w:lang w:eastAsia="en-US"/>
              </w:rPr>
              <w:t>,</w:t>
            </w:r>
            <w:r w:rsidR="00ED50EF" w:rsidRPr="00B65D57">
              <w:rPr>
                <w:rFonts w:eastAsia="Calibri"/>
                <w:iCs/>
                <w:lang w:eastAsia="en-US"/>
              </w:rPr>
              <w:t xml:space="preserve"> the cleaning water shall be disposed of as hazardous waste.</w:t>
            </w:r>
          </w:p>
          <w:p w14:paraId="6B6CDA60" w14:textId="6F428468" w:rsidR="00DC49B3" w:rsidRPr="00B65D57" w:rsidRDefault="00DC49B3" w:rsidP="008F4848">
            <w:pPr>
              <w:widowControl w:val="0"/>
              <w:autoSpaceDE w:val="0"/>
              <w:autoSpaceDN w:val="0"/>
              <w:adjustRightInd w:val="0"/>
              <w:spacing w:before="80" w:after="80"/>
              <w:rPr>
                <w:rFonts w:cs="Times"/>
                <w:bCs/>
                <w:szCs w:val="29"/>
              </w:rPr>
            </w:pPr>
            <w:r w:rsidRPr="00B65D57">
              <w:rPr>
                <w:rFonts w:cs="Times"/>
                <w:bCs/>
                <w:szCs w:val="29"/>
              </w:rPr>
              <w:t xml:space="preserve">Product residues and contaminated material are </w:t>
            </w:r>
            <w:r w:rsidR="00C74AE1" w:rsidRPr="00B65D57">
              <w:rPr>
                <w:rFonts w:cs="Times"/>
                <w:bCs/>
                <w:szCs w:val="29"/>
              </w:rPr>
              <w:t>hazardous</w:t>
            </w:r>
            <w:r w:rsidRPr="00B65D57">
              <w:rPr>
                <w:rFonts w:cs="Times"/>
                <w:bCs/>
                <w:szCs w:val="29"/>
              </w:rPr>
              <w:t xml:space="preserve"> waste and should be </w:t>
            </w:r>
            <w:r w:rsidR="00C74AE1" w:rsidRPr="00B65D57">
              <w:rPr>
                <w:rFonts w:cs="Times"/>
                <w:bCs/>
                <w:szCs w:val="29"/>
              </w:rPr>
              <w:t>disposed of in</w:t>
            </w:r>
            <w:r w:rsidRPr="00B65D57">
              <w:rPr>
                <w:rFonts w:cs="Times"/>
                <w:bCs/>
                <w:szCs w:val="29"/>
              </w:rPr>
              <w:t xml:space="preserve"> accordance with local/regional/national/international regulations.</w:t>
            </w:r>
          </w:p>
          <w:p w14:paraId="5E5D8630" w14:textId="77777777" w:rsidR="00DC49B3" w:rsidRPr="00B65D57" w:rsidRDefault="00DC49B3" w:rsidP="008F4848">
            <w:pPr>
              <w:widowControl w:val="0"/>
              <w:autoSpaceDE w:val="0"/>
              <w:autoSpaceDN w:val="0"/>
              <w:adjustRightInd w:val="0"/>
              <w:spacing w:before="80"/>
              <w:rPr>
                <w:rFonts w:cs="Times"/>
                <w:bCs/>
                <w:szCs w:val="29"/>
                <w:u w:val="single"/>
              </w:rPr>
            </w:pPr>
            <w:r w:rsidRPr="00B65D57">
              <w:rPr>
                <w:rFonts w:cs="Times"/>
                <w:bCs/>
                <w:szCs w:val="29"/>
                <w:u w:val="single"/>
              </w:rPr>
              <w:t xml:space="preserve">Waste and residues </w:t>
            </w:r>
          </w:p>
          <w:p w14:paraId="44F1B681" w14:textId="77777777" w:rsidR="00DC49B3" w:rsidRPr="00B65D57" w:rsidRDefault="00DC49B3" w:rsidP="008F4848">
            <w:pPr>
              <w:widowControl w:val="0"/>
              <w:autoSpaceDE w:val="0"/>
              <w:autoSpaceDN w:val="0"/>
              <w:adjustRightInd w:val="0"/>
              <w:spacing w:before="80"/>
              <w:rPr>
                <w:rFonts w:cs="Times"/>
                <w:bCs/>
                <w:szCs w:val="29"/>
              </w:rPr>
            </w:pPr>
            <w:r w:rsidRPr="00B65D57">
              <w:rPr>
                <w:rFonts w:cs="Times"/>
                <w:bCs/>
                <w:szCs w:val="29"/>
              </w:rPr>
              <w:t>EWC Code: 06 13 01* - Inorganic plant protection products, wood-</w:t>
            </w:r>
          </w:p>
          <w:p w14:paraId="07F34F41" w14:textId="77777777" w:rsidR="00DC49B3" w:rsidRPr="00B65D57" w:rsidRDefault="00DC49B3" w:rsidP="008F4848">
            <w:pPr>
              <w:widowControl w:val="0"/>
              <w:autoSpaceDE w:val="0"/>
              <w:autoSpaceDN w:val="0"/>
              <w:adjustRightInd w:val="0"/>
              <w:spacing w:before="80" w:after="120"/>
              <w:rPr>
                <w:rFonts w:cs="Times"/>
                <w:bCs/>
                <w:szCs w:val="29"/>
              </w:rPr>
            </w:pPr>
            <w:r w:rsidRPr="00B65D57">
              <w:rPr>
                <w:rFonts w:cs="Times"/>
                <w:bCs/>
                <w:szCs w:val="29"/>
              </w:rPr>
              <w:t xml:space="preserve">preserving agents and other biocides </w:t>
            </w:r>
          </w:p>
          <w:p w14:paraId="1C3422AB" w14:textId="77777777" w:rsidR="00DC49B3" w:rsidRPr="00B65D57" w:rsidRDefault="00DC49B3" w:rsidP="008F4848">
            <w:pPr>
              <w:widowControl w:val="0"/>
              <w:autoSpaceDE w:val="0"/>
              <w:autoSpaceDN w:val="0"/>
              <w:adjustRightInd w:val="0"/>
              <w:spacing w:before="80"/>
              <w:rPr>
                <w:rFonts w:cs="Times"/>
                <w:bCs/>
                <w:szCs w:val="29"/>
                <w:u w:val="single"/>
              </w:rPr>
            </w:pPr>
            <w:r w:rsidRPr="00B65D57">
              <w:rPr>
                <w:rFonts w:cs="Times"/>
                <w:bCs/>
                <w:szCs w:val="29"/>
                <w:u w:val="single"/>
              </w:rPr>
              <w:t xml:space="preserve">Uncleaned packaging </w:t>
            </w:r>
          </w:p>
          <w:p w14:paraId="1722BA7D" w14:textId="77777777" w:rsidR="00DC49B3" w:rsidRPr="00B65D57" w:rsidRDefault="00DC49B3" w:rsidP="008F4848">
            <w:pPr>
              <w:widowControl w:val="0"/>
              <w:autoSpaceDE w:val="0"/>
              <w:autoSpaceDN w:val="0"/>
              <w:adjustRightInd w:val="0"/>
              <w:spacing w:before="80"/>
              <w:rPr>
                <w:rFonts w:cs="Times"/>
                <w:bCs/>
                <w:szCs w:val="29"/>
              </w:rPr>
            </w:pPr>
            <w:r w:rsidRPr="00B65D57">
              <w:rPr>
                <w:rFonts w:cs="Times"/>
                <w:bCs/>
                <w:szCs w:val="29"/>
              </w:rPr>
              <w:t xml:space="preserve">EWC Code: 15 01 10* - Packaging containing residues of or </w:t>
            </w:r>
          </w:p>
          <w:p w14:paraId="380A2B27" w14:textId="2A590203" w:rsidR="00E7271C" w:rsidRPr="00B65D57" w:rsidRDefault="00DC49B3" w:rsidP="008F4848">
            <w:r w:rsidRPr="00B65D57">
              <w:rPr>
                <w:rFonts w:cs="Times"/>
                <w:bCs/>
                <w:szCs w:val="29"/>
              </w:rPr>
              <w:t>contaminated by dangerous substance</w:t>
            </w:r>
          </w:p>
        </w:tc>
      </w:tr>
    </w:tbl>
    <w:p w14:paraId="4C71DD3F" w14:textId="61BD823B" w:rsidR="00E7271C" w:rsidRPr="00B65D57" w:rsidRDefault="009A5C9B" w:rsidP="00065CC0">
      <w:pPr>
        <w:pStyle w:val="Rubrik4"/>
      </w:pPr>
      <w:bookmarkStart w:id="80" w:name="_Toc423017244"/>
      <w:bookmarkStart w:id="81" w:name="_Toc129689576"/>
      <w:r w:rsidRPr="00B65D57">
        <w:t xml:space="preserve">2.1.5.5 </w:t>
      </w:r>
      <w:r w:rsidR="00E7271C" w:rsidRPr="00B65D57">
        <w:t>Conditions of storage and shelf-life of the product under normal conditions of storage</w:t>
      </w:r>
      <w:bookmarkEnd w:id="80"/>
      <w:bookmarkEnd w:id="8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B65D57" w14:paraId="38B924A9" w14:textId="77777777" w:rsidTr="246707F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27ABF2D1" w14:textId="77777777" w:rsidR="00E1671C" w:rsidRPr="00B65D57" w:rsidRDefault="00E1671C" w:rsidP="00E1671C">
            <w:pPr>
              <w:widowControl w:val="0"/>
              <w:autoSpaceDE w:val="0"/>
              <w:autoSpaceDN w:val="0"/>
              <w:adjustRightInd w:val="0"/>
              <w:spacing w:before="80"/>
              <w:rPr>
                <w:rFonts w:cs="Times"/>
                <w:bCs/>
                <w:szCs w:val="29"/>
              </w:rPr>
            </w:pPr>
            <w:r w:rsidRPr="00B65D57">
              <w:rPr>
                <w:rFonts w:cs="Times"/>
                <w:bCs/>
                <w:szCs w:val="29"/>
              </w:rPr>
              <w:t xml:space="preserve">Shelf life: 10 weeks. </w:t>
            </w:r>
          </w:p>
          <w:p w14:paraId="12EFCC53" w14:textId="7ACC2AB0" w:rsidR="0005073A" w:rsidRPr="00B65D57" w:rsidRDefault="0005073A" w:rsidP="008F4848">
            <w:pPr>
              <w:widowControl w:val="0"/>
              <w:autoSpaceDE w:val="0"/>
              <w:autoSpaceDN w:val="0"/>
              <w:adjustRightInd w:val="0"/>
              <w:spacing w:before="80"/>
              <w:rPr>
                <w:rFonts w:cs="Times"/>
                <w:bCs/>
                <w:szCs w:val="29"/>
              </w:rPr>
            </w:pPr>
            <w:r w:rsidRPr="00B65D57">
              <w:rPr>
                <w:rFonts w:cs="Times"/>
                <w:bCs/>
                <w:szCs w:val="29"/>
              </w:rPr>
              <w:t xml:space="preserve">Do not store </w:t>
            </w:r>
            <w:r w:rsidR="00E1671C">
              <w:rPr>
                <w:rFonts w:cs="Times"/>
                <w:bCs/>
                <w:szCs w:val="29"/>
              </w:rPr>
              <w:t>above 25</w:t>
            </w:r>
            <w:r w:rsidR="00C36DED">
              <w:rPr>
                <w:rFonts w:ascii="Calibri" w:hAnsi="Calibri" w:cs="Calibri"/>
                <w:bCs/>
                <w:szCs w:val="29"/>
              </w:rPr>
              <w:t>°</w:t>
            </w:r>
            <w:r w:rsidR="00E1671C">
              <w:rPr>
                <w:rFonts w:cs="Times"/>
                <w:bCs/>
                <w:szCs w:val="29"/>
              </w:rPr>
              <w:t>C</w:t>
            </w:r>
            <w:r w:rsidRPr="00B65D57">
              <w:rPr>
                <w:rFonts w:cs="Times"/>
                <w:bCs/>
                <w:szCs w:val="29"/>
              </w:rPr>
              <w:t>.</w:t>
            </w:r>
          </w:p>
          <w:p w14:paraId="4A86973F" w14:textId="6A703B3F" w:rsidR="0005073A" w:rsidRPr="00B65D57" w:rsidRDefault="0005073A" w:rsidP="008F4848">
            <w:pPr>
              <w:widowControl w:val="0"/>
              <w:autoSpaceDE w:val="0"/>
              <w:autoSpaceDN w:val="0"/>
              <w:adjustRightInd w:val="0"/>
              <w:spacing w:before="80"/>
              <w:rPr>
                <w:rFonts w:cs="Times"/>
                <w:bCs/>
                <w:szCs w:val="29"/>
              </w:rPr>
            </w:pPr>
            <w:r w:rsidRPr="00B65D57">
              <w:rPr>
                <w:rFonts w:cs="Times"/>
                <w:bCs/>
                <w:szCs w:val="29"/>
              </w:rPr>
              <w:t xml:space="preserve">Store in original container in a </w:t>
            </w:r>
            <w:r w:rsidR="00C74AE1" w:rsidRPr="00B65D57">
              <w:rPr>
                <w:rFonts w:cs="Times"/>
                <w:bCs/>
                <w:szCs w:val="29"/>
              </w:rPr>
              <w:t>dry</w:t>
            </w:r>
            <w:r w:rsidR="002835B0" w:rsidRPr="00B65D57">
              <w:rPr>
                <w:rFonts w:cs="Times"/>
                <w:bCs/>
                <w:szCs w:val="29"/>
              </w:rPr>
              <w:t xml:space="preserve">, </w:t>
            </w:r>
            <w:r w:rsidR="00E1671C" w:rsidRPr="00B65D57">
              <w:rPr>
                <w:rFonts w:cs="Times"/>
                <w:bCs/>
                <w:szCs w:val="29"/>
              </w:rPr>
              <w:t>cool,</w:t>
            </w:r>
            <w:r w:rsidR="002835B0" w:rsidRPr="00B65D57">
              <w:rPr>
                <w:rFonts w:cs="Times"/>
                <w:bCs/>
                <w:szCs w:val="29"/>
              </w:rPr>
              <w:t xml:space="preserve"> and </w:t>
            </w:r>
            <w:r w:rsidRPr="00B65D57">
              <w:rPr>
                <w:rFonts w:cs="Times"/>
                <w:bCs/>
                <w:szCs w:val="29"/>
              </w:rPr>
              <w:t>well-ventilated place.</w:t>
            </w:r>
          </w:p>
          <w:p w14:paraId="47418C88" w14:textId="395B366C" w:rsidR="00E7271C" w:rsidRPr="00B65D57" w:rsidRDefault="0005073A" w:rsidP="008F4848">
            <w:pPr>
              <w:widowControl w:val="0"/>
              <w:autoSpaceDE w:val="0"/>
              <w:autoSpaceDN w:val="0"/>
              <w:adjustRightInd w:val="0"/>
              <w:spacing w:before="80"/>
            </w:pPr>
            <w:r w:rsidRPr="00B65D57">
              <w:rPr>
                <w:rFonts w:cs="Times"/>
                <w:bCs/>
                <w:szCs w:val="29"/>
              </w:rPr>
              <w:t xml:space="preserve">Keep </w:t>
            </w:r>
            <w:r w:rsidR="002835B0" w:rsidRPr="00B65D57">
              <w:rPr>
                <w:rFonts w:cs="Times"/>
                <w:bCs/>
                <w:szCs w:val="29"/>
              </w:rPr>
              <w:t>container</w:t>
            </w:r>
            <w:r w:rsidRPr="00B65D57">
              <w:rPr>
                <w:rFonts w:cs="Times"/>
                <w:bCs/>
                <w:szCs w:val="29"/>
              </w:rPr>
              <w:t xml:space="preserve"> tightly closed.</w:t>
            </w:r>
          </w:p>
        </w:tc>
      </w:tr>
    </w:tbl>
    <w:p w14:paraId="31C02669" w14:textId="77777777" w:rsidR="00E7271C" w:rsidRPr="00B65D57" w:rsidRDefault="00E7271C" w:rsidP="008F4848">
      <w:pPr>
        <w:pStyle w:val="Absatz"/>
        <w:rPr>
          <w:lang w:eastAsia="en-US"/>
        </w:rPr>
      </w:pPr>
    </w:p>
    <w:p w14:paraId="773CFC1F" w14:textId="21735783" w:rsidR="005D2E15" w:rsidRPr="00B65D57" w:rsidRDefault="009A5C9B" w:rsidP="00223981">
      <w:pPr>
        <w:pStyle w:val="Rubrik3"/>
        <w:rPr>
          <w:lang w:val="en-GB"/>
        </w:rPr>
      </w:pPr>
      <w:bookmarkStart w:id="82" w:name="_Toc129689577"/>
      <w:r w:rsidRPr="00B65D57">
        <w:rPr>
          <w:lang w:val="en-GB"/>
        </w:rPr>
        <w:t xml:space="preserve">2.1.6 </w:t>
      </w:r>
      <w:r w:rsidR="005D2E15" w:rsidRPr="00B65D57">
        <w:rPr>
          <w:lang w:val="en-GB"/>
        </w:rPr>
        <w:t>Other information</w:t>
      </w:r>
      <w:bookmarkEnd w:id="8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5D2E15" w:rsidRPr="00B65D57" w14:paraId="391B86BB" w14:textId="77777777" w:rsidTr="438EA607">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68E5DB4F" w14:textId="012376F2" w:rsidR="005D2E15" w:rsidRPr="00B65D57" w:rsidRDefault="00ED50EF" w:rsidP="00044CE8">
            <w:pPr>
              <w:rPr>
                <w:u w:val="single"/>
              </w:rPr>
            </w:pPr>
            <w:r w:rsidRPr="00B65D57">
              <w:rPr>
                <w:u w:val="single"/>
              </w:rPr>
              <w:t>Procedures for cleaning application equipment</w:t>
            </w:r>
          </w:p>
          <w:p w14:paraId="553D2193" w14:textId="77777777" w:rsidR="00ED50EF" w:rsidRPr="00B65D57" w:rsidRDefault="00ED50EF" w:rsidP="00ED50EF">
            <w:pPr>
              <w:spacing w:line="260" w:lineRule="atLeast"/>
              <w:rPr>
                <w:rFonts w:eastAsia="Calibri"/>
                <w:iCs/>
                <w:lang w:eastAsia="en-US"/>
              </w:rPr>
            </w:pPr>
            <w:r w:rsidRPr="00B65D57">
              <w:rPr>
                <w:rFonts w:eastAsia="Calibri"/>
                <w:iCs/>
                <w:lang w:eastAsia="en-US"/>
              </w:rPr>
              <w:t>Clean the application equipment in water. Collect the water in a barrel. If possible</w:t>
            </w:r>
            <w:r w:rsidRPr="00B65D57">
              <w:rPr>
                <w:rFonts w:eastAsia="Calibri"/>
                <w:lang w:eastAsia="en-US"/>
              </w:rPr>
              <w:t>,</w:t>
            </w:r>
            <w:r w:rsidRPr="00B65D57">
              <w:rPr>
                <w:rFonts w:eastAsia="Calibri"/>
                <w:iCs/>
                <w:lang w:eastAsia="en-US"/>
              </w:rPr>
              <w:t xml:space="preserve"> use this water in the production of the next batch. Wear protective clothing, safety goggles and protective gloves in nitrile rubber during the cleaning. </w:t>
            </w:r>
          </w:p>
          <w:p w14:paraId="79A1392E" w14:textId="4C4E0A16" w:rsidR="00ED50EF" w:rsidRPr="00B65D57" w:rsidRDefault="00ED50EF" w:rsidP="00044CE8"/>
        </w:tc>
      </w:tr>
      <w:bookmarkEnd w:id="57"/>
      <w:bookmarkEnd w:id="58"/>
    </w:tbl>
    <w:p w14:paraId="16B1CA5B" w14:textId="77777777" w:rsidR="002F56F6" w:rsidRPr="00B65D57" w:rsidRDefault="002F56F6"/>
    <w:p w14:paraId="79CA434D" w14:textId="67F36770" w:rsidR="00371654" w:rsidRPr="00B65D57" w:rsidRDefault="009A5C9B" w:rsidP="00223981">
      <w:pPr>
        <w:pStyle w:val="Rubrik3"/>
        <w:rPr>
          <w:lang w:val="en-GB"/>
        </w:rPr>
      </w:pPr>
      <w:bookmarkStart w:id="83" w:name="_Toc403566549"/>
      <w:bookmarkStart w:id="84" w:name="_Toc129689578"/>
      <w:r w:rsidRPr="00B65D57">
        <w:rPr>
          <w:lang w:val="en-GB"/>
        </w:rPr>
        <w:t xml:space="preserve">2.1.7 </w:t>
      </w:r>
      <w:r w:rsidR="00371654" w:rsidRPr="00B65D57">
        <w:rPr>
          <w:lang w:val="en-GB"/>
        </w:rPr>
        <w:t>Packaging of the biocidal product</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580"/>
        <w:gridCol w:w="1498"/>
        <w:gridCol w:w="1498"/>
        <w:gridCol w:w="1643"/>
        <w:gridCol w:w="1646"/>
      </w:tblGrid>
      <w:tr w:rsidR="00371654" w:rsidRPr="00B65D57" w14:paraId="3C6D3461" w14:textId="77777777" w:rsidTr="00226218">
        <w:tc>
          <w:tcPr>
            <w:tcW w:w="1339" w:type="dxa"/>
            <w:shd w:val="clear" w:color="auto" w:fill="FFFFCC"/>
          </w:tcPr>
          <w:p w14:paraId="5F84CE37" w14:textId="77777777" w:rsidR="00371654" w:rsidRPr="00B65D57" w:rsidRDefault="00371654" w:rsidP="008F4848">
            <w:pPr>
              <w:spacing w:line="260" w:lineRule="atLeast"/>
              <w:rPr>
                <w:rFonts w:eastAsia="Calibri"/>
                <w:b/>
                <w:sz w:val="18"/>
                <w:lang w:eastAsia="en-US"/>
              </w:rPr>
            </w:pPr>
            <w:r w:rsidRPr="00B65D57">
              <w:rPr>
                <w:rFonts w:eastAsia="Calibri"/>
                <w:b/>
                <w:sz w:val="18"/>
                <w:lang w:eastAsia="en-US"/>
              </w:rPr>
              <w:t>Type of packaging</w:t>
            </w:r>
            <w:r w:rsidRPr="00B65D57" w:rsidDel="00F33E33">
              <w:rPr>
                <w:rFonts w:eastAsia="Calibri"/>
                <w:b/>
                <w:sz w:val="18"/>
                <w:lang w:eastAsia="en-US"/>
              </w:rPr>
              <w:t xml:space="preserve"> </w:t>
            </w:r>
          </w:p>
        </w:tc>
        <w:tc>
          <w:tcPr>
            <w:tcW w:w="1580" w:type="dxa"/>
            <w:shd w:val="clear" w:color="auto" w:fill="FFFFCC"/>
          </w:tcPr>
          <w:p w14:paraId="04E80DE5" w14:textId="77777777" w:rsidR="00371654" w:rsidRPr="00B65D57" w:rsidRDefault="00371654" w:rsidP="008F4848">
            <w:pPr>
              <w:spacing w:line="260" w:lineRule="atLeast"/>
              <w:rPr>
                <w:rFonts w:eastAsia="Calibri"/>
                <w:b/>
                <w:sz w:val="18"/>
                <w:lang w:eastAsia="en-US"/>
              </w:rPr>
            </w:pPr>
            <w:r w:rsidRPr="00B65D57">
              <w:rPr>
                <w:rFonts w:eastAsia="Calibri"/>
                <w:b/>
                <w:sz w:val="18"/>
                <w:lang w:eastAsia="en-US"/>
              </w:rPr>
              <w:t>Size/volume</w:t>
            </w:r>
            <w:r w:rsidRPr="00B65D57" w:rsidDel="00F33E33">
              <w:rPr>
                <w:rFonts w:eastAsia="Calibri"/>
                <w:b/>
                <w:sz w:val="18"/>
                <w:lang w:eastAsia="en-US"/>
              </w:rPr>
              <w:t xml:space="preserve"> </w:t>
            </w:r>
            <w:r w:rsidRPr="00B65D57">
              <w:rPr>
                <w:rFonts w:eastAsia="Calibri"/>
                <w:b/>
                <w:sz w:val="18"/>
                <w:lang w:eastAsia="en-US"/>
              </w:rPr>
              <w:t>of the packaging</w:t>
            </w:r>
          </w:p>
        </w:tc>
        <w:tc>
          <w:tcPr>
            <w:tcW w:w="1498" w:type="dxa"/>
            <w:shd w:val="clear" w:color="auto" w:fill="FFFFCC"/>
          </w:tcPr>
          <w:p w14:paraId="5569AB9C" w14:textId="77777777" w:rsidR="00371654" w:rsidRPr="00B65D57" w:rsidRDefault="00371654" w:rsidP="008F4848">
            <w:pPr>
              <w:spacing w:line="260" w:lineRule="atLeast"/>
              <w:rPr>
                <w:rFonts w:eastAsia="Calibri"/>
                <w:b/>
                <w:sz w:val="18"/>
                <w:lang w:eastAsia="en-US"/>
              </w:rPr>
            </w:pPr>
            <w:r w:rsidRPr="00B65D57">
              <w:rPr>
                <w:rFonts w:eastAsia="Calibri"/>
                <w:b/>
                <w:sz w:val="18"/>
                <w:lang w:eastAsia="en-US"/>
              </w:rPr>
              <w:t>Material of the packaging</w:t>
            </w:r>
          </w:p>
        </w:tc>
        <w:tc>
          <w:tcPr>
            <w:tcW w:w="1498" w:type="dxa"/>
            <w:shd w:val="clear" w:color="auto" w:fill="FFFFCC"/>
          </w:tcPr>
          <w:p w14:paraId="51E959F6" w14:textId="77777777" w:rsidR="00371654" w:rsidRPr="00B65D57" w:rsidRDefault="00371654" w:rsidP="008F4848">
            <w:pPr>
              <w:spacing w:line="260" w:lineRule="atLeast"/>
              <w:rPr>
                <w:rFonts w:eastAsia="Calibri"/>
                <w:b/>
                <w:sz w:val="18"/>
                <w:lang w:eastAsia="en-US"/>
              </w:rPr>
            </w:pPr>
            <w:r w:rsidRPr="00B65D57">
              <w:rPr>
                <w:rFonts w:eastAsia="Calibri"/>
                <w:b/>
                <w:sz w:val="18"/>
                <w:lang w:eastAsia="en-US"/>
              </w:rPr>
              <w:t>Type and material of closure(s)</w:t>
            </w:r>
          </w:p>
        </w:tc>
        <w:tc>
          <w:tcPr>
            <w:tcW w:w="1643" w:type="dxa"/>
            <w:shd w:val="clear" w:color="auto" w:fill="FFFFCC"/>
          </w:tcPr>
          <w:p w14:paraId="002D077D" w14:textId="77777777" w:rsidR="00371654" w:rsidRPr="00B65D57" w:rsidRDefault="00371654" w:rsidP="008F4848">
            <w:pPr>
              <w:spacing w:line="260" w:lineRule="atLeast"/>
              <w:rPr>
                <w:rFonts w:eastAsia="Calibri"/>
                <w:b/>
                <w:sz w:val="18"/>
                <w:lang w:eastAsia="en-US"/>
              </w:rPr>
            </w:pPr>
            <w:r w:rsidRPr="00B65D57">
              <w:rPr>
                <w:rFonts w:eastAsia="Calibri"/>
                <w:b/>
                <w:sz w:val="18"/>
                <w:lang w:eastAsia="en-US"/>
              </w:rPr>
              <w:t>Intended user (e.g. professional, non-professional)</w:t>
            </w:r>
          </w:p>
        </w:tc>
        <w:tc>
          <w:tcPr>
            <w:tcW w:w="1646" w:type="dxa"/>
            <w:shd w:val="clear" w:color="auto" w:fill="FFFFCC"/>
          </w:tcPr>
          <w:p w14:paraId="5A850712" w14:textId="77777777" w:rsidR="00371654" w:rsidRPr="00B65D57" w:rsidRDefault="00371654" w:rsidP="008F4848">
            <w:pPr>
              <w:spacing w:line="260" w:lineRule="atLeast"/>
              <w:rPr>
                <w:rFonts w:eastAsia="Calibri"/>
                <w:b/>
                <w:sz w:val="18"/>
                <w:lang w:eastAsia="en-US"/>
              </w:rPr>
            </w:pPr>
            <w:r w:rsidRPr="00B65D57">
              <w:rPr>
                <w:rFonts w:eastAsia="Calibri"/>
                <w:b/>
                <w:sz w:val="18"/>
                <w:lang w:eastAsia="en-US"/>
              </w:rPr>
              <w:t xml:space="preserve">Compatibility of the product with the proposed packaging </w:t>
            </w:r>
            <w:r w:rsidRPr="00B65D57">
              <w:rPr>
                <w:rFonts w:eastAsia="Calibri"/>
                <w:b/>
                <w:sz w:val="18"/>
                <w:lang w:eastAsia="en-US"/>
              </w:rPr>
              <w:lastRenderedPageBreak/>
              <w:t>materials (Yes/No)</w:t>
            </w:r>
          </w:p>
        </w:tc>
      </w:tr>
      <w:tr w:rsidR="00371654" w:rsidRPr="00B65D57" w14:paraId="7ADC8E42" w14:textId="77777777" w:rsidTr="00FD0748">
        <w:trPr>
          <w:trHeight w:val="1488"/>
        </w:trPr>
        <w:tc>
          <w:tcPr>
            <w:tcW w:w="1339" w:type="dxa"/>
            <w:shd w:val="clear" w:color="auto" w:fill="auto"/>
          </w:tcPr>
          <w:p w14:paraId="447F323F" w14:textId="71A102A2" w:rsidR="00371654" w:rsidRPr="00B65D57" w:rsidRDefault="000D6B02" w:rsidP="008F4848">
            <w:pPr>
              <w:spacing w:line="260" w:lineRule="atLeast"/>
              <w:rPr>
                <w:rFonts w:eastAsia="Calibri"/>
                <w:sz w:val="18"/>
                <w:szCs w:val="18"/>
                <w:lang w:eastAsia="en-US"/>
              </w:rPr>
            </w:pPr>
            <w:r w:rsidRPr="00B65D57">
              <w:rPr>
                <w:rFonts w:eastAsia="Calibri"/>
                <w:sz w:val="18"/>
                <w:szCs w:val="18"/>
                <w:lang w:eastAsia="en-US"/>
              </w:rPr>
              <w:lastRenderedPageBreak/>
              <w:t>UN-approved</w:t>
            </w:r>
            <w:r w:rsidR="000C1AFA" w:rsidRPr="00B65D57">
              <w:rPr>
                <w:rFonts w:eastAsia="Calibri"/>
                <w:sz w:val="18"/>
                <w:szCs w:val="18"/>
                <w:lang w:eastAsia="en-US"/>
              </w:rPr>
              <w:t xml:space="preserve"> barrels </w:t>
            </w:r>
          </w:p>
        </w:tc>
        <w:tc>
          <w:tcPr>
            <w:tcW w:w="1580" w:type="dxa"/>
            <w:shd w:val="clear" w:color="auto" w:fill="auto"/>
          </w:tcPr>
          <w:p w14:paraId="5EB77FE3" w14:textId="12103213" w:rsidR="00371654" w:rsidRPr="00B65D57" w:rsidRDefault="000C1AFA" w:rsidP="008F4848">
            <w:pPr>
              <w:spacing w:line="260" w:lineRule="atLeast"/>
              <w:jc w:val="center"/>
              <w:rPr>
                <w:rFonts w:eastAsia="Calibri"/>
                <w:sz w:val="18"/>
                <w:szCs w:val="18"/>
                <w:lang w:eastAsia="en-US"/>
              </w:rPr>
            </w:pPr>
            <w:r w:rsidRPr="00B65D57">
              <w:rPr>
                <w:rFonts w:eastAsia="Calibri"/>
                <w:sz w:val="18"/>
                <w:szCs w:val="18"/>
                <w:lang w:eastAsia="en-US"/>
              </w:rPr>
              <w:t xml:space="preserve">30 </w:t>
            </w:r>
            <w:r w:rsidR="00BE3AD7" w:rsidRPr="00B65D57">
              <w:rPr>
                <w:rFonts w:eastAsia="Calibri"/>
                <w:sz w:val="18"/>
                <w:szCs w:val="18"/>
                <w:lang w:eastAsia="en-US"/>
              </w:rPr>
              <w:t>L</w:t>
            </w:r>
          </w:p>
        </w:tc>
        <w:tc>
          <w:tcPr>
            <w:tcW w:w="1498" w:type="dxa"/>
            <w:shd w:val="clear" w:color="auto" w:fill="auto"/>
          </w:tcPr>
          <w:p w14:paraId="40B221F9" w14:textId="77777777" w:rsidR="00371654" w:rsidRPr="00B65D57" w:rsidRDefault="00CF1D1D" w:rsidP="008F4848">
            <w:pPr>
              <w:spacing w:line="260" w:lineRule="atLeast"/>
              <w:rPr>
                <w:rFonts w:eastAsia="Calibri"/>
                <w:sz w:val="18"/>
                <w:szCs w:val="18"/>
                <w:lang w:eastAsia="en-US"/>
              </w:rPr>
            </w:pPr>
            <w:r w:rsidRPr="00B65D57">
              <w:rPr>
                <w:rFonts w:eastAsia="Calibri"/>
                <w:sz w:val="18"/>
                <w:szCs w:val="18"/>
                <w:lang w:eastAsia="en-US"/>
              </w:rPr>
              <w:t xml:space="preserve">High density </w:t>
            </w:r>
            <w:r w:rsidR="000C1AFA" w:rsidRPr="00B65D57">
              <w:rPr>
                <w:rFonts w:eastAsia="Calibri"/>
                <w:sz w:val="18"/>
                <w:szCs w:val="18"/>
                <w:lang w:eastAsia="en-US"/>
              </w:rPr>
              <w:t>polyethylene (</w:t>
            </w:r>
            <w:r w:rsidR="006111FE" w:rsidRPr="00B65D57">
              <w:rPr>
                <w:rFonts w:eastAsia="Calibri"/>
                <w:sz w:val="18"/>
                <w:szCs w:val="18"/>
                <w:lang w:eastAsia="en-US"/>
              </w:rPr>
              <w:t>HD</w:t>
            </w:r>
            <w:r w:rsidR="000C1AFA" w:rsidRPr="00B65D57">
              <w:rPr>
                <w:rFonts w:eastAsia="Calibri"/>
                <w:sz w:val="18"/>
                <w:szCs w:val="18"/>
                <w:lang w:eastAsia="en-US"/>
              </w:rPr>
              <w:t>PE)</w:t>
            </w:r>
          </w:p>
        </w:tc>
        <w:tc>
          <w:tcPr>
            <w:tcW w:w="1498" w:type="dxa"/>
            <w:shd w:val="clear" w:color="auto" w:fill="auto"/>
          </w:tcPr>
          <w:p w14:paraId="0CCE26A0" w14:textId="3B9DAF49" w:rsidR="00371654" w:rsidRPr="00B65D57" w:rsidRDefault="000C1AFA" w:rsidP="008F4848">
            <w:pPr>
              <w:spacing w:line="260" w:lineRule="atLeast"/>
              <w:rPr>
                <w:rFonts w:eastAsia="Calibri"/>
                <w:sz w:val="18"/>
                <w:szCs w:val="18"/>
                <w:lang w:eastAsia="en-US"/>
              </w:rPr>
            </w:pPr>
            <w:r w:rsidRPr="00B65D57">
              <w:rPr>
                <w:rFonts w:eastAsia="Calibri"/>
                <w:sz w:val="18"/>
                <w:szCs w:val="18"/>
                <w:lang w:eastAsia="en-US"/>
              </w:rPr>
              <w:t xml:space="preserve">The polyethylene lid </w:t>
            </w:r>
            <w:r w:rsidRPr="00B65D57">
              <w:rPr>
                <w:sz w:val="18"/>
                <w:szCs w:val="18"/>
              </w:rPr>
              <w:t xml:space="preserve">is </w:t>
            </w:r>
            <w:r w:rsidR="00BE3AD7" w:rsidRPr="00B65D57">
              <w:rPr>
                <w:sz w:val="18"/>
                <w:szCs w:val="18"/>
              </w:rPr>
              <w:t>secur</w:t>
            </w:r>
            <w:r w:rsidRPr="00B65D57">
              <w:rPr>
                <w:sz w:val="18"/>
                <w:szCs w:val="18"/>
              </w:rPr>
              <w:t>ed with a metal clamping ring</w:t>
            </w:r>
          </w:p>
        </w:tc>
        <w:tc>
          <w:tcPr>
            <w:tcW w:w="1643" w:type="dxa"/>
            <w:shd w:val="clear" w:color="auto" w:fill="auto"/>
          </w:tcPr>
          <w:p w14:paraId="5BAC8172" w14:textId="0068A4CD" w:rsidR="00371654" w:rsidRPr="00B65D57" w:rsidRDefault="00BE3AD7" w:rsidP="008F4848">
            <w:pPr>
              <w:spacing w:line="260" w:lineRule="atLeast"/>
              <w:jc w:val="center"/>
              <w:rPr>
                <w:rFonts w:eastAsia="Calibri"/>
                <w:sz w:val="18"/>
                <w:szCs w:val="18"/>
                <w:lang w:eastAsia="en-US"/>
              </w:rPr>
            </w:pPr>
            <w:r w:rsidRPr="00B65D57">
              <w:rPr>
                <w:rFonts w:eastAsia="Calibri"/>
                <w:sz w:val="18"/>
                <w:szCs w:val="18"/>
                <w:lang w:eastAsia="en-US"/>
              </w:rPr>
              <w:t>P</w:t>
            </w:r>
            <w:r w:rsidR="000C1AFA" w:rsidRPr="00B65D57">
              <w:rPr>
                <w:rFonts w:eastAsia="Calibri"/>
                <w:sz w:val="18"/>
                <w:szCs w:val="18"/>
                <w:lang w:eastAsia="en-US"/>
              </w:rPr>
              <w:t>rofessional</w:t>
            </w:r>
          </w:p>
        </w:tc>
        <w:tc>
          <w:tcPr>
            <w:tcW w:w="1646" w:type="dxa"/>
          </w:tcPr>
          <w:p w14:paraId="03EECA89" w14:textId="77777777" w:rsidR="00371654" w:rsidRPr="00B65D57" w:rsidRDefault="000C1AFA" w:rsidP="008F4848">
            <w:pPr>
              <w:spacing w:line="260" w:lineRule="atLeast"/>
              <w:jc w:val="center"/>
              <w:rPr>
                <w:rFonts w:eastAsia="Calibri"/>
                <w:sz w:val="18"/>
                <w:szCs w:val="18"/>
                <w:lang w:eastAsia="en-US"/>
              </w:rPr>
            </w:pPr>
            <w:r w:rsidRPr="00B65D57">
              <w:rPr>
                <w:rFonts w:eastAsia="Calibri"/>
                <w:sz w:val="18"/>
                <w:szCs w:val="18"/>
                <w:lang w:eastAsia="en-US"/>
              </w:rPr>
              <w:t>Yes</w:t>
            </w:r>
          </w:p>
        </w:tc>
      </w:tr>
    </w:tbl>
    <w:p w14:paraId="595A0CB2" w14:textId="77777777" w:rsidR="00371654" w:rsidRPr="00B65D57" w:rsidRDefault="00371654" w:rsidP="008F4848">
      <w:pPr>
        <w:spacing w:line="260" w:lineRule="atLeast"/>
        <w:rPr>
          <w:rFonts w:eastAsia="Calibri"/>
          <w:lang w:eastAsia="en-US"/>
        </w:rPr>
      </w:pPr>
    </w:p>
    <w:p w14:paraId="6C7685F7" w14:textId="0DBEC9F8" w:rsidR="009B3EF9" w:rsidRPr="00B65D57" w:rsidRDefault="009A5C9B" w:rsidP="00223981">
      <w:pPr>
        <w:pStyle w:val="Rubrik3"/>
        <w:rPr>
          <w:lang w:val="en-GB" w:eastAsia="en-US"/>
        </w:rPr>
      </w:pPr>
      <w:bookmarkStart w:id="85" w:name="_Toc366658854"/>
      <w:bookmarkStart w:id="86" w:name="d0e2119"/>
      <w:bookmarkStart w:id="87" w:name="_Toc129689579"/>
      <w:r w:rsidRPr="00B65D57">
        <w:rPr>
          <w:lang w:val="en-GB" w:eastAsia="en-US"/>
        </w:rPr>
        <w:t xml:space="preserve">2.1.8 </w:t>
      </w:r>
      <w:r w:rsidR="009B3EF9" w:rsidRPr="00B65D57">
        <w:rPr>
          <w:lang w:val="en-GB" w:eastAsia="en-US"/>
        </w:rPr>
        <w:t>Documentation</w:t>
      </w:r>
      <w:bookmarkEnd w:id="87"/>
    </w:p>
    <w:p w14:paraId="19FE41C1" w14:textId="68F44087" w:rsidR="009B3EF9" w:rsidRPr="00B65D57" w:rsidRDefault="009A5C9B" w:rsidP="00065CC0">
      <w:pPr>
        <w:pStyle w:val="Rubrik4"/>
      </w:pPr>
      <w:bookmarkStart w:id="88" w:name="_Toc129689580"/>
      <w:r w:rsidRPr="00B65D57">
        <w:t xml:space="preserve">2.1.8.1 </w:t>
      </w:r>
      <w:r w:rsidR="009B3EF9" w:rsidRPr="00B65D57">
        <w:t>Data submitted in relation to product application</w:t>
      </w:r>
      <w:bookmarkEnd w:id="88"/>
    </w:p>
    <w:p w14:paraId="44AA0802" w14:textId="74D343F7" w:rsidR="00284943" w:rsidRPr="00B65D57" w:rsidRDefault="00A919A6" w:rsidP="008F4848">
      <w:r w:rsidRPr="00B65D57">
        <w:t xml:space="preserve">See </w:t>
      </w:r>
      <w:r w:rsidR="003D6115" w:rsidRPr="00B65D57">
        <w:t>Annex 3.</w:t>
      </w:r>
      <w:r w:rsidRPr="00B65D57">
        <w:t>1 of this PAR.</w:t>
      </w:r>
    </w:p>
    <w:p w14:paraId="4623AB63" w14:textId="45B3008C" w:rsidR="009B3EF9" w:rsidRPr="00B65D57" w:rsidRDefault="009A5C9B" w:rsidP="00065CC0">
      <w:pPr>
        <w:pStyle w:val="Rubrik4"/>
      </w:pPr>
      <w:bookmarkStart w:id="89" w:name="_Toc129689581"/>
      <w:r w:rsidRPr="00B65D57">
        <w:t xml:space="preserve">2.1.8.2 </w:t>
      </w:r>
      <w:r w:rsidR="009B3EF9" w:rsidRPr="00B65D57">
        <w:t>Access to documentation</w:t>
      </w:r>
      <w:bookmarkEnd w:id="89"/>
    </w:p>
    <w:p w14:paraId="0CF8C090" w14:textId="1ECF9B83" w:rsidR="009B3EF9" w:rsidRPr="00B65D57" w:rsidRDefault="005C681C" w:rsidP="008F4848">
      <w:r w:rsidRPr="00B65D57">
        <w:t xml:space="preserve">European Borates Association A.I.S.B.L. </w:t>
      </w:r>
      <w:r w:rsidR="002F56F6" w:rsidRPr="00B65D57">
        <w:t xml:space="preserve">is the data </w:t>
      </w:r>
      <w:r w:rsidRPr="00B65D57">
        <w:t>own</w:t>
      </w:r>
      <w:r w:rsidR="002F56F6" w:rsidRPr="00B65D57">
        <w:t>er</w:t>
      </w:r>
      <w:r w:rsidRPr="00B65D57">
        <w:t xml:space="preserve"> </w:t>
      </w:r>
      <w:r w:rsidR="002F56F6" w:rsidRPr="00B65D57">
        <w:t xml:space="preserve">of </w:t>
      </w:r>
      <w:r w:rsidRPr="00B65D57">
        <w:t>the dossiers for boric acid and disodium tetraborate pentahydrate and has provided Jerbol System AB with a letter of access to both active substance dossiers.</w:t>
      </w:r>
    </w:p>
    <w:p w14:paraId="3E000996" w14:textId="77777777" w:rsidR="005D2E15" w:rsidRPr="00B65D57" w:rsidRDefault="005D2E15" w:rsidP="008F4848"/>
    <w:bookmarkEnd w:id="85"/>
    <w:bookmarkEnd w:id="86"/>
    <w:p w14:paraId="44E8B769" w14:textId="77777777" w:rsidR="00F854C5" w:rsidRPr="00B65D57" w:rsidRDefault="00A53EE0" w:rsidP="008F4848">
      <w:pPr>
        <w:rPr>
          <w:sz w:val="24"/>
          <w:szCs w:val="24"/>
        </w:rPr>
      </w:pPr>
      <w:r w:rsidRPr="00B65D57">
        <w:rPr>
          <w:sz w:val="24"/>
          <w:szCs w:val="24"/>
          <w:u w:val="single"/>
        </w:rPr>
        <w:br w:type="page"/>
      </w:r>
      <w:bookmarkStart w:id="90" w:name="_Toc389728863"/>
    </w:p>
    <w:p w14:paraId="2ED12178" w14:textId="78CF51D6" w:rsidR="00A53EE0" w:rsidRPr="00B65D57" w:rsidRDefault="00A53EE0" w:rsidP="00223981">
      <w:pPr>
        <w:pStyle w:val="Rubrik2"/>
        <w:rPr>
          <w:lang w:val="en-GB"/>
        </w:rPr>
      </w:pPr>
      <w:bookmarkStart w:id="91" w:name="_Toc387244927"/>
      <w:bookmarkStart w:id="92" w:name="_Toc387250751"/>
      <w:bookmarkStart w:id="93" w:name="_Toc388374050"/>
      <w:bookmarkStart w:id="94" w:name="_Toc387244929"/>
      <w:bookmarkStart w:id="95" w:name="_Toc387250753"/>
      <w:bookmarkStart w:id="96" w:name="_Toc387244930"/>
      <w:bookmarkStart w:id="97" w:name="_Toc387250754"/>
      <w:bookmarkStart w:id="98" w:name="_Toc387244932"/>
      <w:bookmarkStart w:id="99" w:name="_Toc387250756"/>
      <w:bookmarkStart w:id="100" w:name="_Toc388374053"/>
      <w:bookmarkStart w:id="101" w:name="_Toc387244935"/>
      <w:bookmarkStart w:id="102" w:name="_Toc387250759"/>
      <w:bookmarkStart w:id="103" w:name="_Toc388281243"/>
      <w:bookmarkStart w:id="104" w:name="_Toc388281699"/>
      <w:bookmarkStart w:id="105" w:name="_Toc388282181"/>
      <w:bookmarkStart w:id="106" w:name="_Toc388282629"/>
      <w:bookmarkStart w:id="107" w:name="_Toc387244936"/>
      <w:bookmarkStart w:id="108" w:name="_Toc387250760"/>
      <w:bookmarkStart w:id="109" w:name="_Toc388281244"/>
      <w:bookmarkStart w:id="110" w:name="_Toc388281700"/>
      <w:bookmarkStart w:id="111" w:name="_Toc388282182"/>
      <w:bookmarkStart w:id="112" w:name="_Toc388282630"/>
      <w:bookmarkStart w:id="113" w:name="_Toc387244937"/>
      <w:bookmarkStart w:id="114" w:name="_Toc387250761"/>
      <w:bookmarkStart w:id="115" w:name="_Toc388281245"/>
      <w:bookmarkStart w:id="116" w:name="_Toc388281701"/>
      <w:bookmarkStart w:id="117" w:name="_Toc388282183"/>
      <w:bookmarkStart w:id="118" w:name="_Toc388282631"/>
      <w:bookmarkStart w:id="119" w:name="_Toc387244938"/>
      <w:bookmarkStart w:id="120" w:name="_Toc387250762"/>
      <w:bookmarkStart w:id="121" w:name="_Toc388281246"/>
      <w:bookmarkStart w:id="122" w:name="_Toc388281702"/>
      <w:bookmarkStart w:id="123" w:name="_Toc388282184"/>
      <w:bookmarkStart w:id="124" w:name="_Toc388282632"/>
      <w:bookmarkStart w:id="125" w:name="_Toc387244939"/>
      <w:bookmarkStart w:id="126" w:name="_Toc387250763"/>
      <w:bookmarkStart w:id="127" w:name="_Toc388281247"/>
      <w:bookmarkStart w:id="128" w:name="_Toc388281703"/>
      <w:bookmarkStart w:id="129" w:name="_Toc388282185"/>
      <w:bookmarkStart w:id="130" w:name="_Toc388282633"/>
      <w:bookmarkStart w:id="131" w:name="_Toc387244940"/>
      <w:bookmarkStart w:id="132" w:name="_Toc387250764"/>
      <w:bookmarkStart w:id="133" w:name="_Toc388281248"/>
      <w:bookmarkStart w:id="134" w:name="_Toc388281704"/>
      <w:bookmarkStart w:id="135" w:name="_Toc388282186"/>
      <w:bookmarkStart w:id="136" w:name="_Toc388282634"/>
      <w:bookmarkStart w:id="137" w:name="_Toc387244941"/>
      <w:bookmarkStart w:id="138" w:name="_Toc387250765"/>
      <w:bookmarkStart w:id="139" w:name="_Toc388281249"/>
      <w:bookmarkStart w:id="140" w:name="_Toc388281705"/>
      <w:bookmarkStart w:id="141" w:name="_Toc388282187"/>
      <w:bookmarkStart w:id="142" w:name="_Toc388282635"/>
      <w:bookmarkStart w:id="143" w:name="_Toc389725110"/>
      <w:bookmarkStart w:id="144" w:name="_Toc389726046"/>
      <w:bookmarkStart w:id="145" w:name="_Toc389727098"/>
      <w:bookmarkStart w:id="146" w:name="_Toc389727456"/>
      <w:bookmarkStart w:id="147" w:name="_Toc389727815"/>
      <w:bookmarkStart w:id="148" w:name="_Toc389728174"/>
      <w:bookmarkStart w:id="149" w:name="_Toc389728534"/>
      <w:bookmarkStart w:id="150" w:name="_Toc389728892"/>
      <w:bookmarkStart w:id="151" w:name="_Toc387244961"/>
      <w:bookmarkStart w:id="152" w:name="_Toc387250770"/>
      <w:bookmarkStart w:id="153" w:name="_Toc388281268"/>
      <w:bookmarkStart w:id="154" w:name="_Toc388281724"/>
      <w:bookmarkStart w:id="155" w:name="_Toc388282206"/>
      <w:bookmarkStart w:id="156" w:name="_Toc388282654"/>
      <w:bookmarkStart w:id="157" w:name="_Toc387244962"/>
      <w:bookmarkStart w:id="158" w:name="_Toc387250771"/>
      <w:bookmarkStart w:id="159" w:name="_Toc388281269"/>
      <w:bookmarkStart w:id="160" w:name="_Toc388281725"/>
      <w:bookmarkStart w:id="161" w:name="_Toc388282207"/>
      <w:bookmarkStart w:id="162" w:name="_Toc388282655"/>
      <w:bookmarkStart w:id="163" w:name="_Toc388281270"/>
      <w:bookmarkStart w:id="164" w:name="_Toc388281726"/>
      <w:bookmarkStart w:id="165" w:name="_Toc388282208"/>
      <w:bookmarkStart w:id="166" w:name="_Toc388282656"/>
      <w:bookmarkStart w:id="167" w:name="_Toc388281275"/>
      <w:bookmarkStart w:id="168" w:name="_Toc388281731"/>
      <w:bookmarkStart w:id="169" w:name="_Toc388282213"/>
      <w:bookmarkStart w:id="170" w:name="_Toc388282661"/>
      <w:bookmarkStart w:id="171" w:name="_Toc388284930"/>
      <w:bookmarkStart w:id="172" w:name="_Toc388374075"/>
      <w:bookmarkStart w:id="173" w:name="_Toc388281276"/>
      <w:bookmarkStart w:id="174" w:name="_Toc388281732"/>
      <w:bookmarkStart w:id="175" w:name="_Toc388282214"/>
      <w:bookmarkStart w:id="176" w:name="_Toc388282662"/>
      <w:bookmarkStart w:id="177" w:name="_Toc388284931"/>
      <w:bookmarkStart w:id="178" w:name="_Toc388281277"/>
      <w:bookmarkStart w:id="179" w:name="_Toc388281733"/>
      <w:bookmarkStart w:id="180" w:name="_Toc388282215"/>
      <w:bookmarkStart w:id="181" w:name="_Toc388282663"/>
      <w:bookmarkStart w:id="182" w:name="_Toc388284932"/>
      <w:bookmarkStart w:id="183" w:name="_Toc388374077"/>
      <w:bookmarkStart w:id="184" w:name="_Toc377644220"/>
      <w:bookmarkStart w:id="185" w:name="_Toc377644817"/>
      <w:bookmarkStart w:id="186" w:name="_Toc377646047"/>
      <w:bookmarkStart w:id="187" w:name="_Toc377648982"/>
      <w:bookmarkStart w:id="188" w:name="_Toc377650835"/>
      <w:bookmarkStart w:id="189" w:name="_Toc377650962"/>
      <w:bookmarkStart w:id="190" w:name="_Toc377653231"/>
      <w:bookmarkStart w:id="191" w:name="_Toc378351536"/>
      <w:bookmarkStart w:id="192" w:name="_Toc378681285"/>
      <w:bookmarkStart w:id="193" w:name="_Toc378682205"/>
      <w:bookmarkStart w:id="194" w:name="_Toc378683652"/>
      <w:bookmarkStart w:id="195" w:name="_Toc378685340"/>
      <w:bookmarkStart w:id="196" w:name="_Toc378685476"/>
      <w:bookmarkStart w:id="197" w:name="_Toc378691685"/>
      <w:bookmarkStart w:id="198" w:name="_Toc378692142"/>
      <w:bookmarkStart w:id="199" w:name="_Toc378692279"/>
      <w:bookmarkStart w:id="200" w:name="_Toc378692416"/>
      <w:bookmarkStart w:id="201" w:name="_Toc378761118"/>
      <w:bookmarkStart w:id="202" w:name="_Toc378761261"/>
      <w:bookmarkStart w:id="203" w:name="_Toc378761404"/>
      <w:bookmarkStart w:id="204" w:name="_Toc378761547"/>
      <w:bookmarkStart w:id="205" w:name="_Toc378761860"/>
      <w:bookmarkStart w:id="206" w:name="_Toc378762000"/>
      <w:bookmarkStart w:id="207" w:name="_Toc378762138"/>
      <w:bookmarkStart w:id="208" w:name="_Toc378765615"/>
      <w:bookmarkStart w:id="209" w:name="_Toc378767363"/>
      <w:bookmarkStart w:id="210" w:name="_Toc378774958"/>
      <w:bookmarkStart w:id="211" w:name="_Toc378776153"/>
      <w:bookmarkStart w:id="212" w:name="_Toc378841233"/>
      <w:bookmarkStart w:id="213" w:name="_Toc378858832"/>
      <w:bookmarkStart w:id="214" w:name="_Toc378859060"/>
      <w:bookmarkStart w:id="215" w:name="_Toc377646048"/>
      <w:bookmarkStart w:id="216" w:name="_Toc377648983"/>
      <w:bookmarkStart w:id="217" w:name="_Toc377650836"/>
      <w:bookmarkStart w:id="218" w:name="_Toc377650963"/>
      <w:bookmarkStart w:id="219" w:name="_Toc377653232"/>
      <w:bookmarkStart w:id="220" w:name="_Toc378351537"/>
      <w:bookmarkStart w:id="221" w:name="_Toc378681286"/>
      <w:bookmarkStart w:id="222" w:name="_Toc378682206"/>
      <w:bookmarkStart w:id="223" w:name="_Toc378683653"/>
      <w:bookmarkStart w:id="224" w:name="_Toc378685341"/>
      <w:bookmarkStart w:id="225" w:name="_Toc378685477"/>
      <w:bookmarkStart w:id="226" w:name="_Toc378691686"/>
      <w:bookmarkStart w:id="227" w:name="_Toc378692143"/>
      <w:bookmarkStart w:id="228" w:name="_Toc378692280"/>
      <w:bookmarkStart w:id="229" w:name="_Toc378692417"/>
      <w:bookmarkStart w:id="230" w:name="_Toc378761119"/>
      <w:bookmarkStart w:id="231" w:name="_Toc378761262"/>
      <w:bookmarkStart w:id="232" w:name="_Toc378761405"/>
      <w:bookmarkStart w:id="233" w:name="_Toc378761548"/>
      <w:bookmarkStart w:id="234" w:name="_Toc378761861"/>
      <w:bookmarkStart w:id="235" w:name="_Toc378762001"/>
      <w:bookmarkStart w:id="236" w:name="_Toc378762139"/>
      <w:bookmarkStart w:id="237" w:name="_Toc378765616"/>
      <w:bookmarkStart w:id="238" w:name="_Toc378767364"/>
      <w:bookmarkStart w:id="239" w:name="_Toc378774959"/>
      <w:bookmarkStart w:id="240" w:name="_Toc378776154"/>
      <w:bookmarkStart w:id="241" w:name="_Toc378841234"/>
      <w:bookmarkStart w:id="242" w:name="_Toc378858833"/>
      <w:bookmarkStart w:id="243" w:name="_Toc378859061"/>
      <w:bookmarkStart w:id="244" w:name="_Toc377646049"/>
      <w:bookmarkStart w:id="245" w:name="_Toc377648984"/>
      <w:bookmarkStart w:id="246" w:name="_Toc377650837"/>
      <w:bookmarkStart w:id="247" w:name="_Toc377650964"/>
      <w:bookmarkStart w:id="248" w:name="_Toc377653233"/>
      <w:bookmarkStart w:id="249" w:name="_Toc378351538"/>
      <w:bookmarkStart w:id="250" w:name="_Toc378681287"/>
      <w:bookmarkStart w:id="251" w:name="_Toc378682207"/>
      <w:bookmarkStart w:id="252" w:name="_Toc378683654"/>
      <w:bookmarkStart w:id="253" w:name="_Toc378685342"/>
      <w:bookmarkStart w:id="254" w:name="_Toc378685478"/>
      <w:bookmarkStart w:id="255" w:name="_Toc378691687"/>
      <w:bookmarkStart w:id="256" w:name="_Toc378692144"/>
      <w:bookmarkStart w:id="257" w:name="_Toc378692281"/>
      <w:bookmarkStart w:id="258" w:name="_Toc378692418"/>
      <w:bookmarkStart w:id="259" w:name="_Toc378761120"/>
      <w:bookmarkStart w:id="260" w:name="_Toc378761263"/>
      <w:bookmarkStart w:id="261" w:name="_Toc378761406"/>
      <w:bookmarkStart w:id="262" w:name="_Toc378761549"/>
      <w:bookmarkStart w:id="263" w:name="_Toc378761862"/>
      <w:bookmarkStart w:id="264" w:name="_Toc378762002"/>
      <w:bookmarkStart w:id="265" w:name="_Toc378762140"/>
      <w:bookmarkStart w:id="266" w:name="_Toc378765617"/>
      <w:bookmarkStart w:id="267" w:name="_Toc378767365"/>
      <w:bookmarkStart w:id="268" w:name="_Toc378774960"/>
      <w:bookmarkStart w:id="269" w:name="_Toc378776155"/>
      <w:bookmarkStart w:id="270" w:name="_Toc378841235"/>
      <w:bookmarkStart w:id="271" w:name="_Toc378858834"/>
      <w:bookmarkStart w:id="272" w:name="_Toc378859062"/>
      <w:bookmarkStart w:id="273" w:name="_Toc377646050"/>
      <w:bookmarkStart w:id="274" w:name="_Toc377648985"/>
      <w:bookmarkStart w:id="275" w:name="_Toc377650838"/>
      <w:bookmarkStart w:id="276" w:name="_Toc377650965"/>
      <w:bookmarkStart w:id="277" w:name="_Toc377653234"/>
      <w:bookmarkStart w:id="278" w:name="_Toc378351539"/>
      <w:bookmarkStart w:id="279" w:name="_Toc378681288"/>
      <w:bookmarkStart w:id="280" w:name="_Toc378682208"/>
      <w:bookmarkStart w:id="281" w:name="_Toc378683655"/>
      <w:bookmarkStart w:id="282" w:name="_Toc378685343"/>
      <w:bookmarkStart w:id="283" w:name="_Toc378685479"/>
      <w:bookmarkStart w:id="284" w:name="_Toc378691688"/>
      <w:bookmarkStart w:id="285" w:name="_Toc378692145"/>
      <w:bookmarkStart w:id="286" w:name="_Toc378692282"/>
      <w:bookmarkStart w:id="287" w:name="_Toc378692419"/>
      <w:bookmarkStart w:id="288" w:name="_Toc378761121"/>
      <w:bookmarkStart w:id="289" w:name="_Toc378761264"/>
      <w:bookmarkStart w:id="290" w:name="_Toc378761407"/>
      <w:bookmarkStart w:id="291" w:name="_Toc378761550"/>
      <w:bookmarkStart w:id="292" w:name="_Toc378761863"/>
      <w:bookmarkStart w:id="293" w:name="_Toc378762003"/>
      <w:bookmarkStart w:id="294" w:name="_Toc378762141"/>
      <w:bookmarkStart w:id="295" w:name="_Toc378765618"/>
      <w:bookmarkStart w:id="296" w:name="_Toc378767366"/>
      <w:bookmarkStart w:id="297" w:name="_Toc378774961"/>
      <w:bookmarkStart w:id="298" w:name="_Toc378776156"/>
      <w:bookmarkStart w:id="299" w:name="_Toc378841236"/>
      <w:bookmarkStart w:id="300" w:name="_Toc378858835"/>
      <w:bookmarkStart w:id="301" w:name="_Toc378859063"/>
      <w:bookmarkStart w:id="302" w:name="_Toc388281278"/>
      <w:bookmarkStart w:id="303" w:name="_Toc388281734"/>
      <w:bookmarkStart w:id="304" w:name="_Toc388282216"/>
      <w:bookmarkStart w:id="305" w:name="_Toc388282664"/>
      <w:bookmarkStart w:id="306" w:name="_Toc388284933"/>
      <w:bookmarkStart w:id="307" w:name="_Toc388281292"/>
      <w:bookmarkStart w:id="308" w:name="_Toc388281748"/>
      <w:bookmarkStart w:id="309" w:name="_Toc388282230"/>
      <w:bookmarkStart w:id="310" w:name="_Toc388282678"/>
      <w:bookmarkStart w:id="311" w:name="_Toc388284947"/>
      <w:bookmarkStart w:id="312" w:name="_Toc388374088"/>
      <w:bookmarkStart w:id="313" w:name="_Toc388281295"/>
      <w:bookmarkStart w:id="314" w:name="_Toc388281751"/>
      <w:bookmarkStart w:id="315" w:name="_Toc388282233"/>
      <w:bookmarkStart w:id="316" w:name="_Toc388282681"/>
      <w:bookmarkStart w:id="317" w:name="_Toc388284950"/>
      <w:bookmarkStart w:id="318" w:name="_Toc388374090"/>
      <w:bookmarkStart w:id="319" w:name="_Toc388281298"/>
      <w:bookmarkStart w:id="320" w:name="_Toc388281754"/>
      <w:bookmarkStart w:id="321" w:name="_Toc388282236"/>
      <w:bookmarkStart w:id="322" w:name="_Toc388282684"/>
      <w:bookmarkStart w:id="323" w:name="_Toc388284953"/>
      <w:bookmarkStart w:id="324" w:name="_Toc388374092"/>
      <w:bookmarkStart w:id="325" w:name="_Toc388281301"/>
      <w:bookmarkStart w:id="326" w:name="_Toc388281757"/>
      <w:bookmarkStart w:id="327" w:name="_Toc388282239"/>
      <w:bookmarkStart w:id="328" w:name="_Toc388282687"/>
      <w:bookmarkStart w:id="329" w:name="_Toc388284956"/>
      <w:bookmarkStart w:id="330" w:name="_Toc388374094"/>
      <w:bookmarkStart w:id="331" w:name="_Toc388281313"/>
      <w:bookmarkStart w:id="332" w:name="_Toc388281769"/>
      <w:bookmarkStart w:id="333" w:name="_Toc388282251"/>
      <w:bookmarkStart w:id="334" w:name="_Toc388282699"/>
      <w:bookmarkStart w:id="335" w:name="_Toc388284968"/>
      <w:bookmarkStart w:id="336" w:name="_Toc388374102"/>
      <w:bookmarkStart w:id="337" w:name="_Toc388281318"/>
      <w:bookmarkStart w:id="338" w:name="_Toc388281774"/>
      <w:bookmarkStart w:id="339" w:name="_Toc388282256"/>
      <w:bookmarkStart w:id="340" w:name="_Toc388282704"/>
      <w:bookmarkStart w:id="341" w:name="_Toc388281319"/>
      <w:bookmarkStart w:id="342" w:name="_Toc388281775"/>
      <w:bookmarkStart w:id="343" w:name="_Toc388282257"/>
      <w:bookmarkStart w:id="344" w:name="_Toc388282705"/>
      <w:bookmarkStart w:id="345" w:name="_Toc388281320"/>
      <w:bookmarkStart w:id="346" w:name="_Toc388281776"/>
      <w:bookmarkStart w:id="347" w:name="_Toc388282258"/>
      <w:bookmarkStart w:id="348" w:name="_Toc388282706"/>
      <w:bookmarkStart w:id="349" w:name="_Toc388281321"/>
      <w:bookmarkStart w:id="350" w:name="_Toc388281777"/>
      <w:bookmarkStart w:id="351" w:name="_Toc388282259"/>
      <w:bookmarkStart w:id="352" w:name="_Toc388282707"/>
      <w:bookmarkStart w:id="353" w:name="_Toc387244977"/>
      <w:bookmarkStart w:id="354" w:name="_Toc388281327"/>
      <w:bookmarkStart w:id="355" w:name="_Toc388281783"/>
      <w:bookmarkStart w:id="356" w:name="_Toc388282265"/>
      <w:bookmarkStart w:id="357" w:name="_Toc388282713"/>
      <w:bookmarkStart w:id="358" w:name="_Toc388284979"/>
      <w:bookmarkStart w:id="359" w:name="_Toc388374113"/>
      <w:bookmarkStart w:id="360" w:name="_Toc387244978"/>
      <w:bookmarkStart w:id="361" w:name="_Toc388281328"/>
      <w:bookmarkStart w:id="362" w:name="_Toc388281784"/>
      <w:bookmarkStart w:id="363" w:name="_Toc388282266"/>
      <w:bookmarkStart w:id="364" w:name="_Toc388282714"/>
      <w:bookmarkStart w:id="365" w:name="_Toc388284980"/>
      <w:bookmarkStart w:id="366" w:name="_Toc387245003"/>
      <w:bookmarkStart w:id="367" w:name="_Toc388281353"/>
      <w:bookmarkStart w:id="368" w:name="_Toc388281809"/>
      <w:bookmarkStart w:id="369" w:name="_Toc388282291"/>
      <w:bookmarkStart w:id="370" w:name="_Toc388282739"/>
      <w:bookmarkStart w:id="371" w:name="_Toc388285005"/>
      <w:bookmarkStart w:id="372" w:name="_Toc388374131"/>
      <w:bookmarkStart w:id="373" w:name="_Toc387245028"/>
      <w:bookmarkStart w:id="374" w:name="_Toc388281378"/>
      <w:bookmarkStart w:id="375" w:name="_Toc388281834"/>
      <w:bookmarkStart w:id="376" w:name="_Toc388282316"/>
      <w:bookmarkStart w:id="377" w:name="_Toc388282764"/>
      <w:bookmarkStart w:id="378" w:name="_Toc388285030"/>
      <w:bookmarkStart w:id="379" w:name="_Toc388374148"/>
      <w:bookmarkStart w:id="380" w:name="_Toc387245029"/>
      <w:bookmarkStart w:id="381" w:name="_Toc388281379"/>
      <w:bookmarkStart w:id="382" w:name="_Toc388281835"/>
      <w:bookmarkStart w:id="383" w:name="_Toc388282317"/>
      <w:bookmarkStart w:id="384" w:name="_Toc388282765"/>
      <w:bookmarkStart w:id="385" w:name="_Toc388285031"/>
      <w:bookmarkStart w:id="386" w:name="_Toc388374149"/>
      <w:bookmarkStart w:id="387" w:name="_Toc387245030"/>
      <w:bookmarkStart w:id="388" w:name="_Toc388281380"/>
      <w:bookmarkStart w:id="389" w:name="_Toc388281836"/>
      <w:bookmarkStart w:id="390" w:name="_Toc388282318"/>
      <w:bookmarkStart w:id="391" w:name="_Toc388282766"/>
      <w:bookmarkStart w:id="392" w:name="_Toc388285032"/>
      <w:bookmarkStart w:id="393" w:name="_Toc388374150"/>
      <w:bookmarkStart w:id="394" w:name="_Toc387245031"/>
      <w:bookmarkStart w:id="395" w:name="_Toc388281381"/>
      <w:bookmarkStart w:id="396" w:name="_Toc388281837"/>
      <w:bookmarkStart w:id="397" w:name="_Toc388282319"/>
      <w:bookmarkStart w:id="398" w:name="_Toc388282767"/>
      <w:bookmarkStart w:id="399" w:name="_Toc388285033"/>
      <w:bookmarkStart w:id="400" w:name="_Toc388374151"/>
      <w:bookmarkStart w:id="401" w:name="_Toc387245032"/>
      <w:bookmarkStart w:id="402" w:name="_Toc388281382"/>
      <w:bookmarkStart w:id="403" w:name="_Toc388281838"/>
      <w:bookmarkStart w:id="404" w:name="_Toc388282320"/>
      <w:bookmarkStart w:id="405" w:name="_Toc388282768"/>
      <w:bookmarkStart w:id="406" w:name="_Toc388285034"/>
      <w:bookmarkStart w:id="407" w:name="_Toc388374152"/>
      <w:bookmarkStart w:id="408" w:name="_Toc387245033"/>
      <w:bookmarkStart w:id="409" w:name="_Toc388281383"/>
      <w:bookmarkStart w:id="410" w:name="_Toc388281839"/>
      <w:bookmarkStart w:id="411" w:name="_Toc388282321"/>
      <w:bookmarkStart w:id="412" w:name="_Toc388282769"/>
      <w:bookmarkStart w:id="413" w:name="_Toc388285035"/>
      <w:bookmarkStart w:id="414" w:name="_Toc387245106"/>
      <w:bookmarkStart w:id="415" w:name="_Toc388281456"/>
      <w:bookmarkStart w:id="416" w:name="_Toc388281912"/>
      <w:bookmarkStart w:id="417" w:name="_Toc388282394"/>
      <w:bookmarkStart w:id="418" w:name="_Toc388282842"/>
      <w:bookmarkStart w:id="419" w:name="_Toc388285108"/>
      <w:bookmarkStart w:id="420" w:name="_Toc388374208"/>
      <w:bookmarkStart w:id="421" w:name="_Toc377646054"/>
      <w:bookmarkStart w:id="422" w:name="_Toc377648989"/>
      <w:bookmarkStart w:id="423" w:name="_Toc377650842"/>
      <w:bookmarkStart w:id="424" w:name="_Toc377650969"/>
      <w:bookmarkStart w:id="425" w:name="_Toc377653238"/>
      <w:bookmarkStart w:id="426" w:name="_Toc378351543"/>
      <w:bookmarkStart w:id="427" w:name="_Toc378681292"/>
      <w:bookmarkStart w:id="428" w:name="_Toc378682212"/>
      <w:bookmarkStart w:id="429" w:name="_Toc378683659"/>
      <w:bookmarkStart w:id="430" w:name="_Toc378685347"/>
      <w:bookmarkStart w:id="431" w:name="_Toc378685483"/>
      <w:bookmarkStart w:id="432" w:name="_Toc378691692"/>
      <w:bookmarkStart w:id="433" w:name="_Toc378692149"/>
      <w:bookmarkStart w:id="434" w:name="_Toc378692286"/>
      <w:bookmarkStart w:id="435" w:name="_Toc378692423"/>
      <w:bookmarkStart w:id="436" w:name="_Toc378761125"/>
      <w:bookmarkStart w:id="437" w:name="_Toc378761268"/>
      <w:bookmarkStart w:id="438" w:name="_Toc378761411"/>
      <w:bookmarkStart w:id="439" w:name="_Toc378761554"/>
      <w:bookmarkStart w:id="440" w:name="_Toc378761867"/>
      <w:bookmarkStart w:id="441" w:name="_Toc378762007"/>
      <w:bookmarkStart w:id="442" w:name="_Toc378762145"/>
      <w:bookmarkStart w:id="443" w:name="_Toc378765622"/>
      <w:bookmarkStart w:id="444" w:name="_Toc378767370"/>
      <w:bookmarkStart w:id="445" w:name="_Toc378774965"/>
      <w:bookmarkStart w:id="446" w:name="_Toc378776160"/>
      <w:bookmarkStart w:id="447" w:name="_Toc378841240"/>
      <w:bookmarkStart w:id="448" w:name="_Toc378858839"/>
      <w:bookmarkStart w:id="449" w:name="_Toc378859067"/>
      <w:bookmarkStart w:id="450" w:name="_Toc377646055"/>
      <w:bookmarkStart w:id="451" w:name="_Toc377648990"/>
      <w:bookmarkStart w:id="452" w:name="_Toc377650843"/>
      <w:bookmarkStart w:id="453" w:name="_Toc377650970"/>
      <w:bookmarkStart w:id="454" w:name="_Toc377653239"/>
      <w:bookmarkStart w:id="455" w:name="_Toc378351544"/>
      <w:bookmarkStart w:id="456" w:name="_Toc378681293"/>
      <w:bookmarkStart w:id="457" w:name="_Toc378682213"/>
      <w:bookmarkStart w:id="458" w:name="_Toc378683660"/>
      <w:bookmarkStart w:id="459" w:name="_Toc378685348"/>
      <w:bookmarkStart w:id="460" w:name="_Toc378685484"/>
      <w:bookmarkStart w:id="461" w:name="_Toc378691693"/>
      <w:bookmarkStart w:id="462" w:name="_Toc378692150"/>
      <w:bookmarkStart w:id="463" w:name="_Toc378692287"/>
      <w:bookmarkStart w:id="464" w:name="_Toc378692424"/>
      <w:bookmarkStart w:id="465" w:name="_Toc378761126"/>
      <w:bookmarkStart w:id="466" w:name="_Toc378761269"/>
      <w:bookmarkStart w:id="467" w:name="_Toc378761412"/>
      <w:bookmarkStart w:id="468" w:name="_Toc378761555"/>
      <w:bookmarkStart w:id="469" w:name="_Toc378761868"/>
      <w:bookmarkStart w:id="470" w:name="_Toc378762008"/>
      <w:bookmarkStart w:id="471" w:name="_Toc378762146"/>
      <w:bookmarkStart w:id="472" w:name="_Toc378765623"/>
      <w:bookmarkStart w:id="473" w:name="_Toc378767371"/>
      <w:bookmarkStart w:id="474" w:name="_Toc378774966"/>
      <w:bookmarkStart w:id="475" w:name="_Toc378776161"/>
      <w:bookmarkStart w:id="476" w:name="_Toc378841241"/>
      <w:bookmarkStart w:id="477" w:name="_Toc378858840"/>
      <w:bookmarkStart w:id="478" w:name="_Toc378859068"/>
      <w:bookmarkStart w:id="479" w:name="_Toc377646056"/>
      <w:bookmarkStart w:id="480" w:name="_Toc377648991"/>
      <w:bookmarkStart w:id="481" w:name="_Toc377650844"/>
      <w:bookmarkStart w:id="482" w:name="_Toc377650971"/>
      <w:bookmarkStart w:id="483" w:name="_Toc377653240"/>
      <w:bookmarkStart w:id="484" w:name="_Toc378351545"/>
      <w:bookmarkStart w:id="485" w:name="_Toc378681294"/>
      <w:bookmarkStart w:id="486" w:name="_Toc378682214"/>
      <w:bookmarkStart w:id="487" w:name="_Toc378683661"/>
      <w:bookmarkStart w:id="488" w:name="_Toc378685349"/>
      <w:bookmarkStart w:id="489" w:name="_Toc378685485"/>
      <w:bookmarkStart w:id="490" w:name="_Toc378691694"/>
      <w:bookmarkStart w:id="491" w:name="_Toc378692151"/>
      <w:bookmarkStart w:id="492" w:name="_Toc378692288"/>
      <w:bookmarkStart w:id="493" w:name="_Toc378692425"/>
      <w:bookmarkStart w:id="494" w:name="_Toc378761127"/>
      <w:bookmarkStart w:id="495" w:name="_Toc378761270"/>
      <w:bookmarkStart w:id="496" w:name="_Toc378761413"/>
      <w:bookmarkStart w:id="497" w:name="_Toc378761556"/>
      <w:bookmarkStart w:id="498" w:name="_Toc378761869"/>
      <w:bookmarkStart w:id="499" w:name="_Toc378762009"/>
      <w:bookmarkStart w:id="500" w:name="_Toc378762147"/>
      <w:bookmarkStart w:id="501" w:name="_Toc378765624"/>
      <w:bookmarkStart w:id="502" w:name="_Toc378767372"/>
      <w:bookmarkStart w:id="503" w:name="_Toc378774967"/>
      <w:bookmarkStart w:id="504" w:name="_Toc378776162"/>
      <w:bookmarkStart w:id="505" w:name="_Toc378841242"/>
      <w:bookmarkStart w:id="506" w:name="_Toc378858841"/>
      <w:bookmarkStart w:id="507" w:name="_Toc378859069"/>
      <w:bookmarkStart w:id="508" w:name="_Toc377646057"/>
      <w:bookmarkStart w:id="509" w:name="_Toc377648992"/>
      <w:bookmarkStart w:id="510" w:name="_Toc377650845"/>
      <w:bookmarkStart w:id="511" w:name="_Toc377650972"/>
      <w:bookmarkStart w:id="512" w:name="_Toc377653241"/>
      <w:bookmarkStart w:id="513" w:name="_Toc378351546"/>
      <w:bookmarkStart w:id="514" w:name="_Toc378681295"/>
      <w:bookmarkStart w:id="515" w:name="_Toc378682215"/>
      <w:bookmarkStart w:id="516" w:name="_Toc378683662"/>
      <w:bookmarkStart w:id="517" w:name="_Toc378685350"/>
      <w:bookmarkStart w:id="518" w:name="_Toc378685486"/>
      <w:bookmarkStart w:id="519" w:name="_Toc378691695"/>
      <w:bookmarkStart w:id="520" w:name="_Toc378692152"/>
      <w:bookmarkStart w:id="521" w:name="_Toc378692289"/>
      <w:bookmarkStart w:id="522" w:name="_Toc378692426"/>
      <w:bookmarkStart w:id="523" w:name="_Toc378761128"/>
      <w:bookmarkStart w:id="524" w:name="_Toc378761271"/>
      <w:bookmarkStart w:id="525" w:name="_Toc378761414"/>
      <w:bookmarkStart w:id="526" w:name="_Toc378761557"/>
      <w:bookmarkStart w:id="527" w:name="_Toc378761870"/>
      <w:bookmarkStart w:id="528" w:name="_Toc378762010"/>
      <w:bookmarkStart w:id="529" w:name="_Toc378762148"/>
      <w:bookmarkStart w:id="530" w:name="_Toc378765625"/>
      <w:bookmarkStart w:id="531" w:name="_Toc378767373"/>
      <w:bookmarkStart w:id="532" w:name="_Toc378774968"/>
      <w:bookmarkStart w:id="533" w:name="_Toc378776163"/>
      <w:bookmarkStart w:id="534" w:name="_Toc378841243"/>
      <w:bookmarkStart w:id="535" w:name="_Toc378858842"/>
      <w:bookmarkStart w:id="536" w:name="_Toc378859070"/>
      <w:bookmarkStart w:id="537" w:name="_Toc377646058"/>
      <w:bookmarkStart w:id="538" w:name="_Toc377648993"/>
      <w:bookmarkStart w:id="539" w:name="_Toc377650846"/>
      <w:bookmarkStart w:id="540" w:name="_Toc377650973"/>
      <w:bookmarkStart w:id="541" w:name="_Toc377653242"/>
      <w:bookmarkStart w:id="542" w:name="_Toc378351547"/>
      <w:bookmarkStart w:id="543" w:name="_Toc378681296"/>
      <w:bookmarkStart w:id="544" w:name="_Toc378682216"/>
      <w:bookmarkStart w:id="545" w:name="_Toc378683663"/>
      <w:bookmarkStart w:id="546" w:name="_Toc378685351"/>
      <w:bookmarkStart w:id="547" w:name="_Toc378685487"/>
      <w:bookmarkStart w:id="548" w:name="_Toc378691696"/>
      <w:bookmarkStart w:id="549" w:name="_Toc378692153"/>
      <w:bookmarkStart w:id="550" w:name="_Toc378692290"/>
      <w:bookmarkStart w:id="551" w:name="_Toc378692427"/>
      <w:bookmarkStart w:id="552" w:name="_Toc378761129"/>
      <w:bookmarkStart w:id="553" w:name="_Toc378761272"/>
      <w:bookmarkStart w:id="554" w:name="_Toc378761415"/>
      <w:bookmarkStart w:id="555" w:name="_Toc378761558"/>
      <w:bookmarkStart w:id="556" w:name="_Toc378761871"/>
      <w:bookmarkStart w:id="557" w:name="_Toc378762011"/>
      <w:bookmarkStart w:id="558" w:name="_Toc378762149"/>
      <w:bookmarkStart w:id="559" w:name="_Toc378765626"/>
      <w:bookmarkStart w:id="560" w:name="_Toc378767374"/>
      <w:bookmarkStart w:id="561" w:name="_Toc378774969"/>
      <w:bookmarkStart w:id="562" w:name="_Toc378776164"/>
      <w:bookmarkStart w:id="563" w:name="_Toc378841244"/>
      <w:bookmarkStart w:id="564" w:name="_Toc378858843"/>
      <w:bookmarkStart w:id="565" w:name="_Toc378859071"/>
      <w:bookmarkStart w:id="566" w:name="_Toc377646059"/>
      <w:bookmarkStart w:id="567" w:name="_Toc377648994"/>
      <w:bookmarkStart w:id="568" w:name="_Toc377650847"/>
      <w:bookmarkStart w:id="569" w:name="_Toc377650974"/>
      <w:bookmarkStart w:id="570" w:name="_Toc377653243"/>
      <w:bookmarkStart w:id="571" w:name="_Toc378351548"/>
      <w:bookmarkStart w:id="572" w:name="_Toc378681297"/>
      <w:bookmarkStart w:id="573" w:name="_Toc378682217"/>
      <w:bookmarkStart w:id="574" w:name="_Toc378683664"/>
      <w:bookmarkStart w:id="575" w:name="_Toc378685352"/>
      <w:bookmarkStart w:id="576" w:name="_Toc378685488"/>
      <w:bookmarkStart w:id="577" w:name="_Toc378691697"/>
      <w:bookmarkStart w:id="578" w:name="_Toc378692154"/>
      <w:bookmarkStart w:id="579" w:name="_Toc378692291"/>
      <w:bookmarkStart w:id="580" w:name="_Toc378692428"/>
      <w:bookmarkStart w:id="581" w:name="_Toc378761130"/>
      <w:bookmarkStart w:id="582" w:name="_Toc378761273"/>
      <w:bookmarkStart w:id="583" w:name="_Toc378761416"/>
      <w:bookmarkStart w:id="584" w:name="_Toc378761559"/>
      <w:bookmarkStart w:id="585" w:name="_Toc378761872"/>
      <w:bookmarkStart w:id="586" w:name="_Toc378762012"/>
      <w:bookmarkStart w:id="587" w:name="_Toc378762150"/>
      <w:bookmarkStart w:id="588" w:name="_Toc378765627"/>
      <w:bookmarkStart w:id="589" w:name="_Toc378767375"/>
      <w:bookmarkStart w:id="590" w:name="_Toc378774970"/>
      <w:bookmarkStart w:id="591" w:name="_Toc378776165"/>
      <w:bookmarkStart w:id="592" w:name="_Toc378841245"/>
      <w:bookmarkStart w:id="593" w:name="_Toc378858844"/>
      <w:bookmarkStart w:id="594" w:name="_Toc378859072"/>
      <w:bookmarkStart w:id="595" w:name="_Toc377646060"/>
      <w:bookmarkStart w:id="596" w:name="_Toc377648995"/>
      <w:bookmarkStart w:id="597" w:name="_Toc377650848"/>
      <w:bookmarkStart w:id="598" w:name="_Toc377650975"/>
      <w:bookmarkStart w:id="599" w:name="_Toc377653244"/>
      <w:bookmarkStart w:id="600" w:name="_Toc378351549"/>
      <w:bookmarkStart w:id="601" w:name="_Toc378681298"/>
      <w:bookmarkStart w:id="602" w:name="_Toc378682218"/>
      <w:bookmarkStart w:id="603" w:name="_Toc378683665"/>
      <w:bookmarkStart w:id="604" w:name="_Toc378685353"/>
      <w:bookmarkStart w:id="605" w:name="_Toc378685489"/>
      <w:bookmarkStart w:id="606" w:name="_Toc378691698"/>
      <w:bookmarkStart w:id="607" w:name="_Toc378692155"/>
      <w:bookmarkStart w:id="608" w:name="_Toc378692292"/>
      <w:bookmarkStart w:id="609" w:name="_Toc378692429"/>
      <w:bookmarkStart w:id="610" w:name="_Toc378761131"/>
      <w:bookmarkStart w:id="611" w:name="_Toc378761274"/>
      <w:bookmarkStart w:id="612" w:name="_Toc378761417"/>
      <w:bookmarkStart w:id="613" w:name="_Toc378761560"/>
      <w:bookmarkStart w:id="614" w:name="_Toc378761873"/>
      <w:bookmarkStart w:id="615" w:name="_Toc378762013"/>
      <w:bookmarkStart w:id="616" w:name="_Toc378762151"/>
      <w:bookmarkStart w:id="617" w:name="_Toc378765628"/>
      <w:bookmarkStart w:id="618" w:name="_Toc378767376"/>
      <w:bookmarkStart w:id="619" w:name="_Toc378774971"/>
      <w:bookmarkStart w:id="620" w:name="_Toc378776166"/>
      <w:bookmarkStart w:id="621" w:name="_Toc378841246"/>
      <w:bookmarkStart w:id="622" w:name="_Toc378858845"/>
      <w:bookmarkStart w:id="623" w:name="_Toc378859073"/>
      <w:bookmarkStart w:id="624" w:name="_Toc387245107"/>
      <w:bookmarkStart w:id="625" w:name="_Toc388281457"/>
      <w:bookmarkStart w:id="626" w:name="_Toc388281913"/>
      <w:bookmarkStart w:id="627" w:name="_Toc388282395"/>
      <w:bookmarkStart w:id="628" w:name="_Toc388282843"/>
      <w:bookmarkStart w:id="629" w:name="_Toc388285109"/>
      <w:bookmarkStart w:id="630" w:name="_Toc387245108"/>
      <w:bookmarkStart w:id="631" w:name="_Toc388281458"/>
      <w:bookmarkStart w:id="632" w:name="_Toc388281914"/>
      <w:bookmarkStart w:id="633" w:name="_Toc388282396"/>
      <w:bookmarkStart w:id="634" w:name="_Toc388282844"/>
      <w:bookmarkStart w:id="635" w:name="_Toc388285110"/>
      <w:bookmarkStart w:id="636" w:name="_Toc387245109"/>
      <w:bookmarkStart w:id="637" w:name="_Toc388281459"/>
      <w:bookmarkStart w:id="638" w:name="_Toc388281915"/>
      <w:bookmarkStart w:id="639" w:name="_Toc388282397"/>
      <w:bookmarkStart w:id="640" w:name="_Toc388282845"/>
      <w:bookmarkStart w:id="641" w:name="_Toc388285111"/>
      <w:bookmarkStart w:id="642" w:name="_Toc388374211"/>
      <w:bookmarkStart w:id="643" w:name="_Toc387245110"/>
      <w:bookmarkStart w:id="644" w:name="_Toc388281460"/>
      <w:bookmarkStart w:id="645" w:name="_Toc388281916"/>
      <w:bookmarkStart w:id="646" w:name="_Toc388282398"/>
      <w:bookmarkStart w:id="647" w:name="_Toc388282846"/>
      <w:bookmarkStart w:id="648" w:name="_Toc388285112"/>
      <w:bookmarkStart w:id="649" w:name="_Toc388374212"/>
      <w:bookmarkStart w:id="650" w:name="_Toc387245111"/>
      <w:bookmarkStart w:id="651" w:name="_Toc388281461"/>
      <w:bookmarkStart w:id="652" w:name="_Toc388281917"/>
      <w:bookmarkStart w:id="653" w:name="_Toc388282399"/>
      <w:bookmarkStart w:id="654" w:name="_Toc388282847"/>
      <w:bookmarkStart w:id="655" w:name="_Toc388285113"/>
      <w:bookmarkStart w:id="656" w:name="_Toc387245148"/>
      <w:bookmarkStart w:id="657" w:name="_Toc387250792"/>
      <w:bookmarkStart w:id="658" w:name="_Toc388281498"/>
      <w:bookmarkStart w:id="659" w:name="_Toc388281954"/>
      <w:bookmarkStart w:id="660" w:name="_Toc388282436"/>
      <w:bookmarkStart w:id="661" w:name="_Toc388282884"/>
      <w:bookmarkStart w:id="662" w:name="_Toc388285150"/>
      <w:bookmarkStart w:id="663" w:name="_Toc388374241"/>
      <w:bookmarkStart w:id="664" w:name="_Toc387245149"/>
      <w:bookmarkStart w:id="665" w:name="_Toc387250793"/>
      <w:bookmarkStart w:id="666" w:name="_Toc388281499"/>
      <w:bookmarkStart w:id="667" w:name="_Toc388281955"/>
      <w:bookmarkStart w:id="668" w:name="_Toc388282437"/>
      <w:bookmarkStart w:id="669" w:name="_Toc388282885"/>
      <w:bookmarkStart w:id="670" w:name="_Toc388285151"/>
      <w:bookmarkStart w:id="671" w:name="_Toc388374242"/>
      <w:bookmarkStart w:id="672" w:name="_Toc387245151"/>
      <w:bookmarkStart w:id="673" w:name="_Toc388281501"/>
      <w:bookmarkStart w:id="674" w:name="_Toc388281957"/>
      <w:bookmarkStart w:id="675" w:name="_Toc388282439"/>
      <w:bookmarkStart w:id="676" w:name="_Toc388282887"/>
      <w:bookmarkStart w:id="677" w:name="_Toc388285153"/>
      <w:bookmarkStart w:id="678" w:name="_Toc388374244"/>
      <w:bookmarkStart w:id="679" w:name="_Toc377646064"/>
      <w:bookmarkStart w:id="680" w:name="_Toc377648999"/>
      <w:bookmarkStart w:id="681" w:name="_Toc377650852"/>
      <w:bookmarkStart w:id="682" w:name="_Toc377650979"/>
      <w:bookmarkStart w:id="683" w:name="_Toc377653248"/>
      <w:bookmarkStart w:id="684" w:name="_Toc378351553"/>
      <w:bookmarkStart w:id="685" w:name="_Toc378681302"/>
      <w:bookmarkStart w:id="686" w:name="_Toc378682222"/>
      <w:bookmarkStart w:id="687" w:name="_Toc378683669"/>
      <w:bookmarkStart w:id="688" w:name="_Toc378685357"/>
      <w:bookmarkStart w:id="689" w:name="_Toc378685493"/>
      <w:bookmarkStart w:id="690" w:name="_Toc378691702"/>
      <w:bookmarkStart w:id="691" w:name="_Toc378692159"/>
      <w:bookmarkStart w:id="692" w:name="_Toc378692296"/>
      <w:bookmarkStart w:id="693" w:name="_Toc378692433"/>
      <w:bookmarkStart w:id="694" w:name="_Toc378761135"/>
      <w:bookmarkStart w:id="695" w:name="_Toc378761278"/>
      <w:bookmarkStart w:id="696" w:name="_Toc378761421"/>
      <w:bookmarkStart w:id="697" w:name="_Toc378761564"/>
      <w:bookmarkStart w:id="698" w:name="_Toc378761877"/>
      <w:bookmarkStart w:id="699" w:name="_Toc378762017"/>
      <w:bookmarkStart w:id="700" w:name="_Toc378762155"/>
      <w:bookmarkStart w:id="701" w:name="_Toc378765632"/>
      <w:bookmarkStart w:id="702" w:name="_Toc378767380"/>
      <w:bookmarkStart w:id="703" w:name="_Toc378774975"/>
      <w:bookmarkStart w:id="704" w:name="_Toc378776170"/>
      <w:bookmarkStart w:id="705" w:name="_Toc378841250"/>
      <w:bookmarkStart w:id="706" w:name="_Toc378858849"/>
      <w:bookmarkStart w:id="707" w:name="_Toc378859077"/>
      <w:bookmarkStart w:id="708" w:name="_Toc377646065"/>
      <w:bookmarkStart w:id="709" w:name="_Toc377649000"/>
      <w:bookmarkStart w:id="710" w:name="_Toc377650853"/>
      <w:bookmarkStart w:id="711" w:name="_Toc377650980"/>
      <w:bookmarkStart w:id="712" w:name="_Toc377653249"/>
      <w:bookmarkStart w:id="713" w:name="_Toc378351554"/>
      <w:bookmarkStart w:id="714" w:name="_Toc378681303"/>
      <w:bookmarkStart w:id="715" w:name="_Toc378682223"/>
      <w:bookmarkStart w:id="716" w:name="_Toc378683670"/>
      <w:bookmarkStart w:id="717" w:name="_Toc378685358"/>
      <w:bookmarkStart w:id="718" w:name="_Toc378685494"/>
      <w:bookmarkStart w:id="719" w:name="_Toc378691703"/>
      <w:bookmarkStart w:id="720" w:name="_Toc378692160"/>
      <w:bookmarkStart w:id="721" w:name="_Toc378692297"/>
      <w:bookmarkStart w:id="722" w:name="_Toc378692434"/>
      <w:bookmarkStart w:id="723" w:name="_Toc378761136"/>
      <w:bookmarkStart w:id="724" w:name="_Toc378761279"/>
      <w:bookmarkStart w:id="725" w:name="_Toc378761422"/>
      <w:bookmarkStart w:id="726" w:name="_Toc378761565"/>
      <w:bookmarkStart w:id="727" w:name="_Toc378761878"/>
      <w:bookmarkStart w:id="728" w:name="_Toc378762018"/>
      <w:bookmarkStart w:id="729" w:name="_Toc378762156"/>
      <w:bookmarkStart w:id="730" w:name="_Toc378765633"/>
      <w:bookmarkStart w:id="731" w:name="_Toc378767381"/>
      <w:bookmarkStart w:id="732" w:name="_Toc378774976"/>
      <w:bookmarkStart w:id="733" w:name="_Toc378776171"/>
      <w:bookmarkStart w:id="734" w:name="_Toc378841251"/>
      <w:bookmarkStart w:id="735" w:name="_Toc378858850"/>
      <w:bookmarkStart w:id="736" w:name="_Toc378859078"/>
      <w:bookmarkStart w:id="737" w:name="_Toc377646066"/>
      <w:bookmarkStart w:id="738" w:name="_Toc377649001"/>
      <w:bookmarkStart w:id="739" w:name="_Toc377650854"/>
      <w:bookmarkStart w:id="740" w:name="_Toc377650981"/>
      <w:bookmarkStart w:id="741" w:name="_Toc377653250"/>
      <w:bookmarkStart w:id="742" w:name="_Toc378351555"/>
      <w:bookmarkStart w:id="743" w:name="_Toc378681304"/>
      <w:bookmarkStart w:id="744" w:name="_Toc378682224"/>
      <w:bookmarkStart w:id="745" w:name="_Toc378683671"/>
      <w:bookmarkStart w:id="746" w:name="_Toc378685359"/>
      <w:bookmarkStart w:id="747" w:name="_Toc378685495"/>
      <w:bookmarkStart w:id="748" w:name="_Toc378691704"/>
      <w:bookmarkStart w:id="749" w:name="_Toc378692161"/>
      <w:bookmarkStart w:id="750" w:name="_Toc378692298"/>
      <w:bookmarkStart w:id="751" w:name="_Toc378692435"/>
      <w:bookmarkStart w:id="752" w:name="_Toc378761137"/>
      <w:bookmarkStart w:id="753" w:name="_Toc378761280"/>
      <w:bookmarkStart w:id="754" w:name="_Toc378761423"/>
      <w:bookmarkStart w:id="755" w:name="_Toc378761566"/>
      <w:bookmarkStart w:id="756" w:name="_Toc378761879"/>
      <w:bookmarkStart w:id="757" w:name="_Toc378762019"/>
      <w:bookmarkStart w:id="758" w:name="_Toc378762157"/>
      <w:bookmarkStart w:id="759" w:name="_Toc378765634"/>
      <w:bookmarkStart w:id="760" w:name="_Toc378767382"/>
      <w:bookmarkStart w:id="761" w:name="_Toc378774977"/>
      <w:bookmarkStart w:id="762" w:name="_Toc378776172"/>
      <w:bookmarkStart w:id="763" w:name="_Toc378841252"/>
      <w:bookmarkStart w:id="764" w:name="_Toc378858851"/>
      <w:bookmarkStart w:id="765" w:name="_Toc378859079"/>
      <w:bookmarkStart w:id="766" w:name="_Toc377646067"/>
      <w:bookmarkStart w:id="767" w:name="_Toc377649002"/>
      <w:bookmarkStart w:id="768" w:name="_Toc377650855"/>
      <w:bookmarkStart w:id="769" w:name="_Toc377650982"/>
      <w:bookmarkStart w:id="770" w:name="_Toc377653251"/>
      <w:bookmarkStart w:id="771" w:name="_Toc378351556"/>
      <w:bookmarkStart w:id="772" w:name="_Toc378681305"/>
      <w:bookmarkStart w:id="773" w:name="_Toc378682225"/>
      <w:bookmarkStart w:id="774" w:name="_Toc378683672"/>
      <w:bookmarkStart w:id="775" w:name="_Toc378685360"/>
      <w:bookmarkStart w:id="776" w:name="_Toc378685496"/>
      <w:bookmarkStart w:id="777" w:name="_Toc378691705"/>
      <w:bookmarkStart w:id="778" w:name="_Toc378692162"/>
      <w:bookmarkStart w:id="779" w:name="_Toc378692299"/>
      <w:bookmarkStart w:id="780" w:name="_Toc378692436"/>
      <w:bookmarkStart w:id="781" w:name="_Toc378761138"/>
      <w:bookmarkStart w:id="782" w:name="_Toc378761281"/>
      <w:bookmarkStart w:id="783" w:name="_Toc378761424"/>
      <w:bookmarkStart w:id="784" w:name="_Toc378761567"/>
      <w:bookmarkStart w:id="785" w:name="_Toc378761880"/>
      <w:bookmarkStart w:id="786" w:name="_Toc378762020"/>
      <w:bookmarkStart w:id="787" w:name="_Toc378762158"/>
      <w:bookmarkStart w:id="788" w:name="_Toc378765635"/>
      <w:bookmarkStart w:id="789" w:name="_Toc378767383"/>
      <w:bookmarkStart w:id="790" w:name="_Toc378774978"/>
      <w:bookmarkStart w:id="791" w:name="_Toc378776173"/>
      <w:bookmarkStart w:id="792" w:name="_Toc378841253"/>
      <w:bookmarkStart w:id="793" w:name="_Toc378858852"/>
      <w:bookmarkStart w:id="794" w:name="_Toc378859080"/>
      <w:bookmarkStart w:id="795" w:name="_Toc377646068"/>
      <w:bookmarkStart w:id="796" w:name="_Toc377649003"/>
      <w:bookmarkStart w:id="797" w:name="_Toc377650856"/>
      <w:bookmarkStart w:id="798" w:name="_Toc377650983"/>
      <w:bookmarkStart w:id="799" w:name="_Toc377653252"/>
      <w:bookmarkStart w:id="800" w:name="_Toc378351557"/>
      <w:bookmarkStart w:id="801" w:name="_Toc378681306"/>
      <w:bookmarkStart w:id="802" w:name="_Toc378682226"/>
      <w:bookmarkStart w:id="803" w:name="_Toc378683673"/>
      <w:bookmarkStart w:id="804" w:name="_Toc378685361"/>
      <w:bookmarkStart w:id="805" w:name="_Toc378685497"/>
      <w:bookmarkStart w:id="806" w:name="_Toc378691706"/>
      <w:bookmarkStart w:id="807" w:name="_Toc378692163"/>
      <w:bookmarkStart w:id="808" w:name="_Toc378692300"/>
      <w:bookmarkStart w:id="809" w:name="_Toc378692437"/>
      <w:bookmarkStart w:id="810" w:name="_Toc378761139"/>
      <w:bookmarkStart w:id="811" w:name="_Toc378761282"/>
      <w:bookmarkStart w:id="812" w:name="_Toc378761425"/>
      <w:bookmarkStart w:id="813" w:name="_Toc378761568"/>
      <w:bookmarkStart w:id="814" w:name="_Toc378761881"/>
      <w:bookmarkStart w:id="815" w:name="_Toc378762021"/>
      <w:bookmarkStart w:id="816" w:name="_Toc378762159"/>
      <w:bookmarkStart w:id="817" w:name="_Toc378765636"/>
      <w:bookmarkStart w:id="818" w:name="_Toc378767384"/>
      <w:bookmarkStart w:id="819" w:name="_Toc378774979"/>
      <w:bookmarkStart w:id="820" w:name="_Toc378776174"/>
      <w:bookmarkStart w:id="821" w:name="_Toc378841254"/>
      <w:bookmarkStart w:id="822" w:name="_Toc378858853"/>
      <w:bookmarkStart w:id="823" w:name="_Toc378859081"/>
      <w:bookmarkStart w:id="824" w:name="_Toc389728912"/>
      <w:bookmarkStart w:id="825" w:name="_Toc12968958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B65D57">
        <w:rPr>
          <w:lang w:val="en-GB"/>
        </w:rPr>
        <w:lastRenderedPageBreak/>
        <w:t>Assessment of the biocidal product</w:t>
      </w:r>
      <w:bookmarkEnd w:id="824"/>
      <w:bookmarkEnd w:id="825"/>
    </w:p>
    <w:p w14:paraId="27FDC8C5" w14:textId="4C8D8C2E" w:rsidR="0062406C" w:rsidRPr="00B65D57" w:rsidRDefault="009A5C9B" w:rsidP="00223981">
      <w:pPr>
        <w:pStyle w:val="Rubrik3"/>
        <w:rPr>
          <w:lang w:val="en-GB"/>
        </w:rPr>
      </w:pPr>
      <w:bookmarkStart w:id="826" w:name="_Toc423017259"/>
      <w:bookmarkStart w:id="827" w:name="_Toc129689583"/>
      <w:r w:rsidRPr="00B65D57">
        <w:rPr>
          <w:lang w:val="en-GB"/>
        </w:rPr>
        <w:t xml:space="preserve">2.2.1 </w:t>
      </w:r>
      <w:r w:rsidR="0062406C" w:rsidRPr="00B65D57">
        <w:rPr>
          <w:lang w:val="en-GB"/>
        </w:rPr>
        <w:t>Intended use(s) as applied for by the applicant</w:t>
      </w:r>
      <w:bookmarkEnd w:id="826"/>
      <w:bookmarkEnd w:id="827"/>
      <w:r w:rsidR="0062406C" w:rsidRPr="00B65D57">
        <w:rPr>
          <w:lang w:val="en-GB"/>
        </w:rPr>
        <w:t xml:space="preserve"> </w:t>
      </w:r>
    </w:p>
    <w:p w14:paraId="75CAC009" w14:textId="72FED717" w:rsidR="0062406C" w:rsidRPr="00B65D57" w:rsidRDefault="0062406C" w:rsidP="008F4848">
      <w:pPr>
        <w:pStyle w:val="Beskrivning"/>
        <w:spacing w:after="120"/>
        <w:ind w:left="0" w:firstLine="0"/>
        <w:rPr>
          <w:rFonts w:ascii="Verdana" w:hAnsi="Verdana"/>
        </w:rPr>
      </w:pPr>
      <w:r w:rsidRPr="00B65D57">
        <w:rPr>
          <w:rFonts w:ascii="Verdana" w:hAnsi="Verdana"/>
        </w:rPr>
        <w:t xml:space="preserve">Table </w:t>
      </w:r>
      <w:r w:rsidRPr="00B65D57">
        <w:rPr>
          <w:rFonts w:ascii="Verdana" w:hAnsi="Verdana"/>
        </w:rPr>
        <w:fldChar w:fldCharType="begin"/>
      </w:r>
      <w:r w:rsidRPr="00B65D57">
        <w:rPr>
          <w:rFonts w:ascii="Verdana" w:hAnsi="Verdana"/>
        </w:rPr>
        <w:instrText xml:space="preserve"> SEQ Table \* ARABIC </w:instrText>
      </w:r>
      <w:r w:rsidRPr="00B65D57">
        <w:rPr>
          <w:rFonts w:ascii="Verdana" w:hAnsi="Verdana"/>
        </w:rPr>
        <w:fldChar w:fldCharType="separate"/>
      </w:r>
      <w:r w:rsidR="00327AD9">
        <w:rPr>
          <w:rFonts w:ascii="Verdana" w:hAnsi="Verdana"/>
          <w:noProof/>
        </w:rPr>
        <w:t>2</w:t>
      </w:r>
      <w:r w:rsidRPr="00B65D57">
        <w:rPr>
          <w:rFonts w:ascii="Verdana" w:hAnsi="Verdana"/>
        </w:rPr>
        <w:fldChar w:fldCharType="end"/>
      </w:r>
      <w:r w:rsidRPr="00B65D57">
        <w:rPr>
          <w:rFonts w:ascii="Verdana" w:hAnsi="Verdana"/>
        </w:rPr>
        <w:t xml:space="preserve">. Intended use # 1 – </w:t>
      </w:r>
      <w:r w:rsidR="001B6121" w:rsidRPr="00B65D57">
        <w:rPr>
          <w:rFonts w:ascii="Verdana" w:hAnsi="Verdana"/>
        </w:rPr>
        <w:t>Preservation of wooden foundations according to the Eurobor technique</w:t>
      </w:r>
    </w:p>
    <w:tbl>
      <w:tblPr>
        <w:tblW w:w="0" w:type="auto"/>
        <w:tblInd w:w="45" w:type="dxa"/>
        <w:tblLayout w:type="fixed"/>
        <w:tblCellMar>
          <w:left w:w="0" w:type="dxa"/>
          <w:right w:w="0" w:type="dxa"/>
        </w:tblCellMar>
        <w:tblLook w:val="0000" w:firstRow="0" w:lastRow="0" w:firstColumn="0" w:lastColumn="0" w:noHBand="0" w:noVBand="0"/>
      </w:tblPr>
      <w:tblGrid>
        <w:gridCol w:w="2360"/>
        <w:gridCol w:w="6665"/>
      </w:tblGrid>
      <w:tr w:rsidR="00AC4ADD" w:rsidRPr="00B65D57" w14:paraId="0028933D" w14:textId="77777777" w:rsidTr="195BAA32">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52B28C9A" w14:textId="77777777" w:rsidR="00AC4ADD" w:rsidRPr="00B65D57" w:rsidRDefault="00AC4ADD" w:rsidP="008F4848">
            <w:pPr>
              <w:rPr>
                <w:b/>
              </w:rPr>
            </w:pPr>
            <w:r w:rsidRPr="00B65D57">
              <w:rPr>
                <w:b/>
                <w:bCs/>
                <w:szCs w:val="24"/>
                <w:lang w:eastAsia="en-GB"/>
              </w:rPr>
              <w:t>Product Type</w:t>
            </w:r>
          </w:p>
        </w:tc>
        <w:tc>
          <w:tcPr>
            <w:tcW w:w="6665" w:type="dxa"/>
            <w:tcBorders>
              <w:top w:val="single" w:sz="4" w:space="0" w:color="000000" w:themeColor="text1"/>
              <w:left w:val="nil"/>
              <w:bottom w:val="single" w:sz="4" w:space="0" w:color="000000" w:themeColor="text1"/>
              <w:right w:val="single" w:sz="4" w:space="0" w:color="000000" w:themeColor="text1"/>
            </w:tcBorders>
            <w:tcMar>
              <w:top w:w="40" w:type="dxa"/>
              <w:left w:w="40" w:type="dxa"/>
              <w:bottom w:w="40" w:type="dxa"/>
              <w:right w:w="40" w:type="dxa"/>
            </w:tcMar>
          </w:tcPr>
          <w:p w14:paraId="26C8CB36" w14:textId="77777777" w:rsidR="00AC4ADD" w:rsidRPr="00B65D57" w:rsidRDefault="00AC4ADD" w:rsidP="008F4848">
            <w:r w:rsidRPr="00B65D57">
              <w:t>PT 8, (wood preservatives)</w:t>
            </w:r>
          </w:p>
        </w:tc>
      </w:tr>
      <w:tr w:rsidR="00AC4ADD" w:rsidRPr="00B65D57" w14:paraId="4ACB3EA1" w14:textId="77777777" w:rsidTr="195BAA32">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2FA53C9D" w14:textId="77777777" w:rsidR="00AC4ADD" w:rsidRPr="00B65D57" w:rsidRDefault="00AC4ADD" w:rsidP="008F4848">
            <w:pPr>
              <w:rPr>
                <w:b/>
              </w:rPr>
            </w:pPr>
            <w:r w:rsidRPr="00B65D57">
              <w:rPr>
                <w:b/>
                <w:bCs/>
                <w:szCs w:val="24"/>
                <w:lang w:eastAsia="en-GB"/>
              </w:rPr>
              <w:t>Where relevant, an exact description of the authorised use</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71132861" w14:textId="77777777" w:rsidR="00AC4ADD" w:rsidRPr="00B65D57" w:rsidRDefault="00AC4ADD" w:rsidP="008F4848">
            <w:r w:rsidRPr="00B65D57">
              <w:t>D.50, Curative treatment / wood in service</w:t>
            </w:r>
          </w:p>
          <w:p w14:paraId="0700F532" w14:textId="77777777" w:rsidR="00AC4ADD" w:rsidRPr="00B65D57" w:rsidRDefault="00AC4ADD" w:rsidP="008F4848">
            <w:r w:rsidRPr="00B65D57">
              <w:t>Professional remedial treatment of investigated wooden foundations, situated in dense clay. In situ treatment of wooden piles and grillages after proven fungi degradation according to the manual of Eurobor technique.</w:t>
            </w:r>
          </w:p>
        </w:tc>
      </w:tr>
      <w:tr w:rsidR="00AC4ADD" w:rsidRPr="00B65D57" w14:paraId="708F0D11" w14:textId="77777777" w:rsidTr="195BAA32">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722E7A8E" w14:textId="77777777" w:rsidR="00AC4ADD" w:rsidRPr="00B65D57" w:rsidRDefault="00AC4ADD" w:rsidP="008F4848">
            <w:pPr>
              <w:rPr>
                <w:b/>
              </w:rPr>
            </w:pPr>
            <w:r w:rsidRPr="00B65D57">
              <w:rPr>
                <w:b/>
                <w:bCs/>
                <w:szCs w:val="24"/>
                <w:lang w:eastAsia="en-GB"/>
              </w:rPr>
              <w:t>Target organism (including development stage)</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7C209224" w14:textId="7631C987" w:rsidR="00AC4ADD" w:rsidRPr="00B65D57" w:rsidRDefault="00AC4ADD" w:rsidP="008F4848">
            <w:pPr>
              <w:spacing w:before="60"/>
            </w:pPr>
            <w:r w:rsidRPr="00B65D57">
              <w:t>Wood</w:t>
            </w:r>
            <w:r w:rsidR="00262777" w:rsidRPr="00B65D57">
              <w:t>-</w:t>
            </w:r>
            <w:r w:rsidRPr="00B65D57">
              <w:t>rotting fungi in solid softwood (C.10, B10) including;</w:t>
            </w:r>
          </w:p>
          <w:p w14:paraId="08937953" w14:textId="77777777" w:rsidR="00AC4ADD" w:rsidRPr="00B65D57" w:rsidRDefault="00AC4ADD" w:rsidP="008F4848">
            <w:pPr>
              <w:spacing w:before="60"/>
              <w:ind w:left="357"/>
            </w:pPr>
            <w:r w:rsidRPr="00B65D57">
              <w:t xml:space="preserve">G.10, Basidiomycetes, brown rot fungi </w:t>
            </w:r>
          </w:p>
          <w:p w14:paraId="1CA21D93" w14:textId="77777777" w:rsidR="00AC4ADD" w:rsidRPr="00B65D57" w:rsidRDefault="00AC4ADD" w:rsidP="008F4848">
            <w:pPr>
              <w:spacing w:before="40"/>
              <w:ind w:left="357"/>
            </w:pPr>
            <w:r w:rsidRPr="00B65D57">
              <w:t>G.11, Basidiomycetes, white rot fungi</w:t>
            </w:r>
          </w:p>
          <w:p w14:paraId="125561A1" w14:textId="77777777" w:rsidR="00AC4ADD" w:rsidRPr="00B65D57" w:rsidRDefault="00AC4ADD" w:rsidP="008F4848">
            <w:pPr>
              <w:spacing w:before="40" w:after="20"/>
              <w:ind w:left="357"/>
            </w:pPr>
            <w:r w:rsidRPr="00B65D57">
              <w:t>G.12, Soft rot fungi</w:t>
            </w:r>
          </w:p>
        </w:tc>
      </w:tr>
      <w:tr w:rsidR="00AC4ADD" w:rsidRPr="00B65D57" w14:paraId="3253FD9F" w14:textId="77777777" w:rsidTr="195BAA32">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3AF52C21" w14:textId="77777777" w:rsidR="00AC4ADD" w:rsidRPr="00B65D57" w:rsidRDefault="00AC4ADD" w:rsidP="008F4848">
            <w:pPr>
              <w:rPr>
                <w:b/>
              </w:rPr>
            </w:pPr>
            <w:r w:rsidRPr="00B65D57">
              <w:rPr>
                <w:b/>
                <w:bCs/>
                <w:szCs w:val="24"/>
                <w:lang w:eastAsia="en-GB"/>
              </w:rPr>
              <w:t>Field of use</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6AAAB7A4" w14:textId="2310E53A" w:rsidR="00AC4ADD" w:rsidRPr="00B65D57" w:rsidRDefault="00AC4ADD" w:rsidP="008F4848">
            <w:r w:rsidRPr="00B65D57">
              <w:t xml:space="preserve">E.40 Wood preservative, use class 4a according to CEN 335-1 standard, remedial application of timbers in service in ground contact (curative). </w:t>
            </w:r>
            <w:r w:rsidR="00D0233C" w:rsidRPr="00B65D57">
              <w:t>(Assessment Report Boric acid, 2009, and Assessment Report Disodium tetraborate, 2009)</w:t>
            </w:r>
          </w:p>
        </w:tc>
      </w:tr>
      <w:tr w:rsidR="00AC4ADD" w:rsidRPr="00B65D57" w14:paraId="407EAA96" w14:textId="77777777" w:rsidTr="195BAA32">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5B359DF1" w14:textId="77777777" w:rsidR="00AC4ADD" w:rsidRPr="00B65D57" w:rsidRDefault="00AC4ADD" w:rsidP="008F4848">
            <w:pPr>
              <w:rPr>
                <w:b/>
                <w:bCs/>
                <w:szCs w:val="24"/>
                <w:lang w:eastAsia="en-GB"/>
              </w:rPr>
            </w:pPr>
            <w:r w:rsidRPr="00B65D57">
              <w:rPr>
                <w:b/>
                <w:bCs/>
                <w:szCs w:val="24"/>
                <w:lang w:eastAsia="en-GB"/>
              </w:rPr>
              <w:t>Application method</w:t>
            </w:r>
          </w:p>
          <w:p w14:paraId="32F916F2" w14:textId="77777777" w:rsidR="00AC4ADD" w:rsidRPr="00B65D57" w:rsidRDefault="00AC4ADD" w:rsidP="008F4848">
            <w:pPr>
              <w:rPr>
                <w:b/>
              </w:rPr>
            </w:pP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18F20713" w14:textId="580586A8" w:rsidR="00AC4ADD" w:rsidRPr="00B65D57" w:rsidRDefault="00AC4ADD" w:rsidP="008F4848">
            <w:pPr>
              <w:spacing w:after="20"/>
              <w:ind w:left="360"/>
            </w:pPr>
            <w:r w:rsidRPr="00B65D57">
              <w:t xml:space="preserve">F.20, </w:t>
            </w:r>
            <w:r w:rsidR="4CAB82E0" w:rsidRPr="00B65D57">
              <w:t>Injection</w:t>
            </w:r>
            <w:r w:rsidRPr="00B65D57">
              <w:t xml:space="preserve"> (Eurobor slurry is injected to a depot outside the wood).</w:t>
            </w:r>
            <w:r w:rsidRPr="00B65D57">
              <w:br/>
              <w:t>Jerbor is a granular concentrate and must be diluted in hot (50-70</w:t>
            </w:r>
            <w:r w:rsidRPr="00B65D57">
              <w:rPr>
                <w:rFonts w:ascii="Symbol" w:eastAsia="Symbol" w:hAnsi="Symbol" w:cs="Symbol"/>
              </w:rPr>
              <w:t>°</w:t>
            </w:r>
            <w:r w:rsidRPr="00B65D57">
              <w:t>C) water and mixed with sodium bentonite before application. Maximum permitted concentration of Jerbor</w:t>
            </w:r>
            <w:r w:rsidR="00390E45" w:rsidRPr="00B65D57">
              <w:t xml:space="preserve"> </w:t>
            </w:r>
            <w:r w:rsidRPr="00B65D57">
              <w:t xml:space="preserve">is </w:t>
            </w:r>
            <w:r w:rsidR="0083234A" w:rsidRPr="00B65D57">
              <w:t>9,6</w:t>
            </w:r>
            <w:r w:rsidRPr="00B65D57">
              <w:t xml:space="preserve">% w/w </w:t>
            </w:r>
            <w:r w:rsidRPr="00B65D57">
              <w:rPr>
                <w:color w:val="222222"/>
              </w:rPr>
              <w:t xml:space="preserve">and the minimum allowable proportion of </w:t>
            </w:r>
            <w:r w:rsidRPr="00B65D57">
              <w:t>sodium bentonite in the Eurobor slurry is 20% w/w.</w:t>
            </w:r>
          </w:p>
          <w:p w14:paraId="1806307B" w14:textId="4EA189E0" w:rsidR="00AC4ADD" w:rsidRPr="00B65D57" w:rsidRDefault="00AC4ADD" w:rsidP="008F4848">
            <w:pPr>
              <w:spacing w:after="20"/>
              <w:ind w:left="360"/>
            </w:pPr>
            <w:r w:rsidRPr="00B65D57">
              <w:t xml:space="preserve">F.60, Diffusion (diffusion of active </w:t>
            </w:r>
            <w:r w:rsidR="4CAB82E0" w:rsidRPr="00B65D57">
              <w:t>substances</w:t>
            </w:r>
            <w:r w:rsidRPr="00B65D57">
              <w:t xml:space="preserve"> from injected depot into the wet wood) </w:t>
            </w:r>
          </w:p>
        </w:tc>
      </w:tr>
      <w:tr w:rsidR="00AC4ADD" w:rsidRPr="00B65D57" w14:paraId="6EE306C6" w14:textId="77777777" w:rsidTr="195BAA32">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56631668" w14:textId="77777777" w:rsidR="00AC4ADD" w:rsidRPr="00B65D57" w:rsidRDefault="00AC4ADD" w:rsidP="008F4848">
            <w:pPr>
              <w:rPr>
                <w:b/>
              </w:rPr>
            </w:pPr>
            <w:r w:rsidRPr="00B65D57">
              <w:rPr>
                <w:b/>
                <w:bCs/>
                <w:szCs w:val="24"/>
                <w:lang w:eastAsia="en-GB"/>
              </w:rPr>
              <w:t>Application rate(s) and frequency</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325F6C6C" w14:textId="283C7E14" w:rsidR="00AC4ADD" w:rsidRPr="00B65D57" w:rsidRDefault="00AC4ADD" w:rsidP="008F4848">
            <w:pPr>
              <w:spacing w:after="60"/>
            </w:pPr>
            <w:r w:rsidRPr="00B65D57">
              <w:t>Concentration of AS in solution/slurry before application is 9,0% BAE w/w (</w:t>
            </w:r>
            <w:r w:rsidR="00D81CEA" w:rsidRPr="00B65D57">
              <w:t>about 10,6</w:t>
            </w:r>
            <w:r w:rsidRPr="00B65D57">
              <w:t>% BAE w/v).</w:t>
            </w:r>
          </w:p>
          <w:p w14:paraId="11CF4082" w14:textId="0A1A51AC" w:rsidR="00AC4ADD" w:rsidRPr="00B65D57" w:rsidRDefault="00AC4ADD" w:rsidP="008F4848">
            <w:pPr>
              <w:ind w:left="360"/>
            </w:pPr>
            <w:r w:rsidRPr="00B65D57">
              <w:t>Estimated/applied dose of Jerbor equal to</w:t>
            </w:r>
            <w:r w:rsidRPr="00B65D57">
              <w:rPr>
                <w:sz w:val="16"/>
                <w:szCs w:val="16"/>
              </w:rPr>
              <w:t xml:space="preserve"> </w:t>
            </w:r>
            <w:r w:rsidRPr="00B65D57">
              <w:t>5-12</w:t>
            </w:r>
            <w:r w:rsidRPr="00B65D57">
              <w:rPr>
                <w:sz w:val="16"/>
                <w:szCs w:val="16"/>
              </w:rPr>
              <w:t xml:space="preserve"> </w:t>
            </w:r>
            <w:r w:rsidRPr="00B65D57">
              <w:t>kg</w:t>
            </w:r>
            <w:r w:rsidRPr="00B65D57">
              <w:rPr>
                <w:sz w:val="16"/>
                <w:szCs w:val="16"/>
              </w:rPr>
              <w:t xml:space="preserve"> </w:t>
            </w:r>
            <w:r w:rsidRPr="00B65D57">
              <w:t>BAE/m</w:t>
            </w:r>
            <w:r w:rsidRPr="00B65D57">
              <w:rPr>
                <w:vertAlign w:val="superscript"/>
              </w:rPr>
              <w:t>3</w:t>
            </w:r>
          </w:p>
          <w:p w14:paraId="56EA6376" w14:textId="3F6677EE" w:rsidR="00AC4ADD" w:rsidRPr="00B65D57" w:rsidRDefault="00AC4ADD" w:rsidP="008F4848">
            <w:pPr>
              <w:ind w:left="360"/>
            </w:pPr>
            <w:r w:rsidRPr="00B65D57">
              <w:t>Target dose of Jerbor</w:t>
            </w:r>
            <w:r w:rsidR="00390E45" w:rsidRPr="00B65D57">
              <w:t xml:space="preserve"> </w:t>
            </w:r>
            <w:r w:rsidRPr="00B65D57">
              <w:t>equal to, 2 kg BAE/m</w:t>
            </w:r>
            <w:r w:rsidRPr="00B65D57">
              <w:rPr>
                <w:vertAlign w:val="superscript"/>
              </w:rPr>
              <w:t>3</w:t>
            </w:r>
          </w:p>
          <w:p w14:paraId="78F69475" w14:textId="1BE634EC" w:rsidR="00AC4ADD" w:rsidRPr="00B65D57" w:rsidRDefault="00AC4ADD" w:rsidP="008F4848">
            <w:pPr>
              <w:ind w:left="360"/>
            </w:pPr>
            <w:r w:rsidRPr="00B65D57">
              <w:t xml:space="preserve">Target retention of active </w:t>
            </w:r>
            <w:r w:rsidR="4CAB82E0" w:rsidRPr="00B65D57">
              <w:t>substances</w:t>
            </w:r>
            <w:r w:rsidRPr="00B65D57">
              <w:t xml:space="preserve"> in wood after 5 years, above 1 kg BAE/m</w:t>
            </w:r>
            <w:r w:rsidRPr="00B65D57">
              <w:rPr>
                <w:vertAlign w:val="superscript"/>
              </w:rPr>
              <w:t>3</w:t>
            </w:r>
          </w:p>
          <w:p w14:paraId="26AA509B" w14:textId="77777777" w:rsidR="00AC4ADD" w:rsidRPr="00B65D57" w:rsidRDefault="00AC4ADD" w:rsidP="008F4848">
            <w:pPr>
              <w:ind w:left="360"/>
            </w:pPr>
            <w:r w:rsidRPr="00B65D57">
              <w:t>Application is made once (1) for a foundation</w:t>
            </w:r>
          </w:p>
        </w:tc>
      </w:tr>
      <w:tr w:rsidR="00AC4ADD" w:rsidRPr="00B65D57" w14:paraId="7B579099" w14:textId="77777777" w:rsidTr="195BAA32">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1687CA2D" w14:textId="77777777" w:rsidR="00AC4ADD" w:rsidRPr="00B65D57" w:rsidRDefault="00AC4ADD" w:rsidP="008F4848">
            <w:pPr>
              <w:rPr>
                <w:b/>
              </w:rPr>
            </w:pPr>
            <w:r w:rsidRPr="00B65D57">
              <w:rPr>
                <w:b/>
                <w:bCs/>
                <w:szCs w:val="24"/>
                <w:lang w:eastAsia="en-GB"/>
              </w:rPr>
              <w:t>Category(ies) of users</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7263D7B8" w14:textId="7F3E45A1" w:rsidR="00AC4ADD" w:rsidRPr="00B65D57" w:rsidRDefault="00AC4ADD" w:rsidP="008F4848">
            <w:r w:rsidRPr="00B65D57">
              <w:t>A.30 Professional, Use is restricted to trained professional users, approved by Jerbol Systems AB, according to the manual of Eurobor technique.</w:t>
            </w:r>
          </w:p>
        </w:tc>
      </w:tr>
      <w:tr w:rsidR="00AC4ADD" w:rsidRPr="00B65D57" w14:paraId="0F2995CD" w14:textId="77777777" w:rsidTr="195BAA32">
        <w:tc>
          <w:tcPr>
            <w:tcW w:w="2360"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69532701" w14:textId="77777777" w:rsidR="00AC4ADD" w:rsidRPr="00B65D57" w:rsidRDefault="00AC4ADD" w:rsidP="008F4848">
            <w:pPr>
              <w:rPr>
                <w:b/>
              </w:rPr>
            </w:pPr>
            <w:r w:rsidRPr="00B65D57">
              <w:rPr>
                <w:b/>
                <w:bCs/>
                <w:szCs w:val="24"/>
                <w:lang w:eastAsia="en-GB"/>
              </w:rPr>
              <w:t>Pack sizes and packaging material</w:t>
            </w:r>
          </w:p>
        </w:tc>
        <w:tc>
          <w:tcPr>
            <w:tcW w:w="6665"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360C4115" w14:textId="753E4189" w:rsidR="00AC4ADD" w:rsidRPr="00B65D57" w:rsidRDefault="00AC4ADD" w:rsidP="008F4848">
            <w:r w:rsidRPr="00B65D57">
              <w:t xml:space="preserve">UN-approved polyethylene (PE) barrel with two carry handles, 30l, with lid locked with a clamping ring. </w:t>
            </w:r>
            <w:r w:rsidR="00A7185E" w:rsidRPr="00B65D57">
              <w:t>20</w:t>
            </w:r>
            <w:r w:rsidRPr="00B65D57">
              <w:t xml:space="preserve">,6 kg net weight </w:t>
            </w:r>
          </w:p>
        </w:tc>
      </w:tr>
    </w:tbl>
    <w:p w14:paraId="74D774E0" w14:textId="77777777" w:rsidR="00BC3510" w:rsidRPr="00B65D57" w:rsidRDefault="00BC3510" w:rsidP="008F4848">
      <w:pPr>
        <w:pStyle w:val="Absatz"/>
      </w:pPr>
    </w:p>
    <w:p w14:paraId="08ABA852" w14:textId="77777777" w:rsidR="0062406C" w:rsidRPr="00B65D57" w:rsidRDefault="0062406C" w:rsidP="008F4848">
      <w:pPr>
        <w:pStyle w:val="Absatz"/>
        <w:ind w:left="0"/>
      </w:pPr>
    </w:p>
    <w:p w14:paraId="7B8FD730" w14:textId="77777777" w:rsidR="00FA305C" w:rsidRPr="00B65D57" w:rsidRDefault="00FA305C" w:rsidP="008F4848">
      <w:pPr>
        <w:spacing w:after="120" w:line="259" w:lineRule="auto"/>
        <w:sectPr w:rsidR="00FA305C" w:rsidRPr="00B65D57" w:rsidSect="001338DA">
          <w:headerReference w:type="default" r:id="rId12"/>
          <w:footerReference w:type="default" r:id="rId13"/>
          <w:endnotePr>
            <w:numFmt w:val="decimal"/>
          </w:endnotePr>
          <w:pgSz w:w="11907" w:h="16840" w:code="9"/>
          <w:pgMar w:top="1474" w:right="1247" w:bottom="2013" w:left="1446" w:header="850" w:footer="850" w:gutter="0"/>
          <w:cols w:space="720"/>
          <w:docGrid w:linePitch="272"/>
        </w:sectPr>
      </w:pPr>
    </w:p>
    <w:p w14:paraId="7FCBC91D" w14:textId="1D4164B9" w:rsidR="00907D57" w:rsidRPr="00B65D57" w:rsidRDefault="009A5C9B" w:rsidP="00223981">
      <w:pPr>
        <w:pStyle w:val="Rubrik3"/>
        <w:rPr>
          <w:lang w:val="en-GB"/>
        </w:rPr>
      </w:pPr>
      <w:bookmarkStart w:id="828" w:name="_Toc387245157"/>
      <w:bookmarkStart w:id="829" w:name="_Toc388285159"/>
      <w:bookmarkStart w:id="830" w:name="_Toc388374250"/>
      <w:bookmarkStart w:id="831" w:name="_Toc388609953"/>
      <w:bookmarkStart w:id="832" w:name="_Toc388624987"/>
      <w:bookmarkStart w:id="833" w:name="_Toc388625241"/>
      <w:bookmarkStart w:id="834" w:name="_Toc388633642"/>
      <w:bookmarkStart w:id="835" w:name="_Toc389725131"/>
      <w:bookmarkStart w:id="836" w:name="_Toc389726067"/>
      <w:bookmarkStart w:id="837" w:name="_Toc389727119"/>
      <w:bookmarkStart w:id="838" w:name="_Toc389727477"/>
      <w:bookmarkStart w:id="839" w:name="_Toc389727836"/>
      <w:bookmarkStart w:id="840" w:name="_Toc389728195"/>
      <w:bookmarkStart w:id="841" w:name="_Toc389728555"/>
      <w:bookmarkStart w:id="842" w:name="_Toc389728913"/>
      <w:bookmarkStart w:id="843" w:name="_Toc389748638"/>
      <w:bookmarkStart w:id="844" w:name="_Toc389750053"/>
      <w:bookmarkStart w:id="845" w:name="_Toc389807235"/>
      <w:bookmarkStart w:id="846" w:name="_Toc389807491"/>
      <w:bookmarkStart w:id="847" w:name="_Toc389807857"/>
      <w:bookmarkStart w:id="848" w:name="_Toc388285160"/>
      <w:bookmarkStart w:id="849" w:name="_Toc389726068"/>
      <w:bookmarkStart w:id="850" w:name="_Toc389727120"/>
      <w:bookmarkStart w:id="851" w:name="_Toc389727478"/>
      <w:bookmarkStart w:id="852" w:name="_Toc389727837"/>
      <w:bookmarkStart w:id="853" w:name="_Toc389728196"/>
      <w:bookmarkStart w:id="854" w:name="_Toc389728556"/>
      <w:bookmarkStart w:id="855" w:name="_Toc389728914"/>
      <w:bookmarkStart w:id="856" w:name="_Toc388285161"/>
      <w:bookmarkStart w:id="857" w:name="_Toc388374252"/>
      <w:bookmarkStart w:id="858" w:name="_Toc388609955"/>
      <w:bookmarkStart w:id="859" w:name="_Toc388624989"/>
      <w:bookmarkStart w:id="860" w:name="_Toc388625243"/>
      <w:bookmarkStart w:id="861" w:name="_Toc388633644"/>
      <w:bookmarkStart w:id="862" w:name="_Toc389725133"/>
      <w:bookmarkStart w:id="863" w:name="_Toc389726069"/>
      <w:bookmarkStart w:id="864" w:name="_Toc389727121"/>
      <w:bookmarkStart w:id="865" w:name="_Toc389727479"/>
      <w:bookmarkStart w:id="866" w:name="_Toc389727838"/>
      <w:bookmarkStart w:id="867" w:name="_Toc389728197"/>
      <w:bookmarkStart w:id="868" w:name="_Toc389728557"/>
      <w:bookmarkStart w:id="869" w:name="_Toc389728915"/>
      <w:bookmarkStart w:id="870" w:name="_Toc389748640"/>
      <w:bookmarkStart w:id="871" w:name="_Toc389750055"/>
      <w:bookmarkStart w:id="872" w:name="_Toc389807237"/>
      <w:bookmarkStart w:id="873" w:name="_Toc389807493"/>
      <w:bookmarkStart w:id="874" w:name="_Toc389807859"/>
      <w:bookmarkStart w:id="875" w:name="_Toc388285162"/>
      <w:bookmarkStart w:id="876" w:name="_Toc389726070"/>
      <w:bookmarkStart w:id="877" w:name="_Toc389727122"/>
      <w:bookmarkStart w:id="878" w:name="_Toc389727480"/>
      <w:bookmarkStart w:id="879" w:name="_Toc389727839"/>
      <w:bookmarkStart w:id="880" w:name="_Toc389728198"/>
      <w:bookmarkStart w:id="881" w:name="_Toc389728558"/>
      <w:bookmarkStart w:id="882" w:name="_Toc389728916"/>
      <w:bookmarkStart w:id="883" w:name="_Toc388285164"/>
      <w:bookmarkStart w:id="884" w:name="_Toc389726072"/>
      <w:bookmarkStart w:id="885" w:name="_Toc389727124"/>
      <w:bookmarkStart w:id="886" w:name="_Toc389727482"/>
      <w:bookmarkStart w:id="887" w:name="_Toc389727841"/>
      <w:bookmarkStart w:id="888" w:name="_Toc389728200"/>
      <w:bookmarkStart w:id="889" w:name="_Toc389728560"/>
      <w:bookmarkStart w:id="890" w:name="_Toc389728918"/>
      <w:bookmarkStart w:id="891" w:name="_Toc388285165"/>
      <w:bookmarkStart w:id="892" w:name="_Toc389726073"/>
      <w:bookmarkStart w:id="893" w:name="_Toc389727125"/>
      <w:bookmarkStart w:id="894" w:name="_Toc389727483"/>
      <w:bookmarkStart w:id="895" w:name="_Toc389727842"/>
      <w:bookmarkStart w:id="896" w:name="_Toc389728201"/>
      <w:bookmarkStart w:id="897" w:name="_Toc389728561"/>
      <w:bookmarkStart w:id="898" w:name="_Toc389728919"/>
      <w:bookmarkStart w:id="899" w:name="_Toc388285167"/>
      <w:bookmarkStart w:id="900" w:name="_Toc389726075"/>
      <w:bookmarkStart w:id="901" w:name="_Toc389727127"/>
      <w:bookmarkStart w:id="902" w:name="_Toc389727485"/>
      <w:bookmarkStart w:id="903" w:name="_Toc389727844"/>
      <w:bookmarkStart w:id="904" w:name="_Toc389728203"/>
      <w:bookmarkStart w:id="905" w:name="_Toc389728563"/>
      <w:bookmarkStart w:id="906" w:name="_Toc389728921"/>
      <w:bookmarkStart w:id="907" w:name="_Toc388285168"/>
      <w:bookmarkStart w:id="908" w:name="_Toc389726076"/>
      <w:bookmarkStart w:id="909" w:name="_Toc389727128"/>
      <w:bookmarkStart w:id="910" w:name="_Toc389727486"/>
      <w:bookmarkStart w:id="911" w:name="_Toc389727845"/>
      <w:bookmarkStart w:id="912" w:name="_Toc389728204"/>
      <w:bookmarkStart w:id="913" w:name="_Toc389728564"/>
      <w:bookmarkStart w:id="914" w:name="_Toc389728922"/>
      <w:bookmarkStart w:id="915" w:name="_Toc388285170"/>
      <w:bookmarkStart w:id="916" w:name="_Toc389726078"/>
      <w:bookmarkStart w:id="917" w:name="_Toc389727130"/>
      <w:bookmarkStart w:id="918" w:name="_Toc389727488"/>
      <w:bookmarkStart w:id="919" w:name="_Toc389727847"/>
      <w:bookmarkStart w:id="920" w:name="_Toc389728206"/>
      <w:bookmarkStart w:id="921" w:name="_Toc389728566"/>
      <w:bookmarkStart w:id="922" w:name="_Toc389728924"/>
      <w:bookmarkStart w:id="923" w:name="_Toc388285171"/>
      <w:bookmarkStart w:id="924" w:name="_Toc389726079"/>
      <w:bookmarkStart w:id="925" w:name="_Toc389727131"/>
      <w:bookmarkStart w:id="926" w:name="_Toc389727489"/>
      <w:bookmarkStart w:id="927" w:name="_Toc389727848"/>
      <w:bookmarkStart w:id="928" w:name="_Toc389728207"/>
      <w:bookmarkStart w:id="929" w:name="_Toc389728567"/>
      <w:bookmarkStart w:id="930" w:name="_Toc389728925"/>
      <w:bookmarkStart w:id="931" w:name="_Toc388285179"/>
      <w:bookmarkStart w:id="932" w:name="_Toc389726087"/>
      <w:bookmarkStart w:id="933" w:name="_Toc389727139"/>
      <w:bookmarkStart w:id="934" w:name="_Toc389727497"/>
      <w:bookmarkStart w:id="935" w:name="_Toc389727856"/>
      <w:bookmarkStart w:id="936" w:name="_Toc389728215"/>
      <w:bookmarkStart w:id="937" w:name="_Toc389728575"/>
      <w:bookmarkStart w:id="938" w:name="_Toc389728933"/>
      <w:bookmarkStart w:id="939" w:name="_Toc388285186"/>
      <w:bookmarkStart w:id="940" w:name="_Toc389726094"/>
      <w:bookmarkStart w:id="941" w:name="_Toc389727146"/>
      <w:bookmarkStart w:id="942" w:name="_Toc389727504"/>
      <w:bookmarkStart w:id="943" w:name="_Toc389727863"/>
      <w:bookmarkStart w:id="944" w:name="_Toc389728222"/>
      <w:bookmarkStart w:id="945" w:name="_Toc389728582"/>
      <w:bookmarkStart w:id="946" w:name="_Toc389728940"/>
      <w:bookmarkStart w:id="947" w:name="_Toc388285193"/>
      <w:bookmarkStart w:id="948" w:name="_Toc389726101"/>
      <w:bookmarkStart w:id="949" w:name="_Toc389727153"/>
      <w:bookmarkStart w:id="950" w:name="_Toc389727511"/>
      <w:bookmarkStart w:id="951" w:name="_Toc389727870"/>
      <w:bookmarkStart w:id="952" w:name="_Toc389728229"/>
      <w:bookmarkStart w:id="953" w:name="_Toc389728589"/>
      <w:bookmarkStart w:id="954" w:name="_Toc389728947"/>
      <w:bookmarkStart w:id="955" w:name="_Toc388285200"/>
      <w:bookmarkStart w:id="956" w:name="_Toc389726108"/>
      <w:bookmarkStart w:id="957" w:name="_Toc389727160"/>
      <w:bookmarkStart w:id="958" w:name="_Toc389727518"/>
      <w:bookmarkStart w:id="959" w:name="_Toc389727877"/>
      <w:bookmarkStart w:id="960" w:name="_Toc389728236"/>
      <w:bookmarkStart w:id="961" w:name="_Toc389728596"/>
      <w:bookmarkStart w:id="962" w:name="_Toc389728954"/>
      <w:bookmarkStart w:id="963" w:name="_Toc388285207"/>
      <w:bookmarkStart w:id="964" w:name="_Toc389726115"/>
      <w:bookmarkStart w:id="965" w:name="_Toc389727167"/>
      <w:bookmarkStart w:id="966" w:name="_Toc389727525"/>
      <w:bookmarkStart w:id="967" w:name="_Toc389727884"/>
      <w:bookmarkStart w:id="968" w:name="_Toc389728243"/>
      <w:bookmarkStart w:id="969" w:name="_Toc389728603"/>
      <w:bookmarkStart w:id="970" w:name="_Toc389728961"/>
      <w:bookmarkStart w:id="971" w:name="_Toc388285208"/>
      <w:bookmarkStart w:id="972" w:name="_Toc389726116"/>
      <w:bookmarkStart w:id="973" w:name="_Toc389727168"/>
      <w:bookmarkStart w:id="974" w:name="_Toc389727526"/>
      <w:bookmarkStart w:id="975" w:name="_Toc389727885"/>
      <w:bookmarkStart w:id="976" w:name="_Toc389728244"/>
      <w:bookmarkStart w:id="977" w:name="_Toc389728604"/>
      <w:bookmarkStart w:id="978" w:name="_Toc389728962"/>
      <w:bookmarkStart w:id="979" w:name="_Toc388281508"/>
      <w:bookmarkStart w:id="980" w:name="_Toc388281964"/>
      <w:bookmarkStart w:id="981" w:name="_Toc388282446"/>
      <w:bookmarkStart w:id="982" w:name="_Toc388282894"/>
      <w:bookmarkStart w:id="983" w:name="_Toc388285210"/>
      <w:bookmarkStart w:id="984" w:name="_Toc389726118"/>
      <w:bookmarkStart w:id="985" w:name="_Toc389727170"/>
      <w:bookmarkStart w:id="986" w:name="_Toc389727528"/>
      <w:bookmarkStart w:id="987" w:name="_Toc389727887"/>
      <w:bookmarkStart w:id="988" w:name="_Toc389728246"/>
      <w:bookmarkStart w:id="989" w:name="_Toc389728606"/>
      <w:bookmarkStart w:id="990" w:name="_Toc389728964"/>
      <w:bookmarkStart w:id="991" w:name="_Toc388281510"/>
      <w:bookmarkStart w:id="992" w:name="_Toc388281966"/>
      <w:bookmarkStart w:id="993" w:name="_Toc388282448"/>
      <w:bookmarkStart w:id="994" w:name="_Toc388282896"/>
      <w:bookmarkStart w:id="995" w:name="_Toc388285212"/>
      <w:bookmarkStart w:id="996" w:name="_Toc389726120"/>
      <w:bookmarkStart w:id="997" w:name="_Toc389727172"/>
      <w:bookmarkStart w:id="998" w:name="_Toc389727530"/>
      <w:bookmarkStart w:id="999" w:name="_Toc389727889"/>
      <w:bookmarkStart w:id="1000" w:name="_Toc389728248"/>
      <w:bookmarkStart w:id="1001" w:name="_Toc389728608"/>
      <w:bookmarkStart w:id="1002" w:name="_Toc389728966"/>
      <w:bookmarkStart w:id="1003" w:name="_Toc388281511"/>
      <w:bookmarkStart w:id="1004" w:name="_Toc388281967"/>
      <w:bookmarkStart w:id="1005" w:name="_Toc388282449"/>
      <w:bookmarkStart w:id="1006" w:name="_Toc388282897"/>
      <w:bookmarkStart w:id="1007" w:name="_Toc388285213"/>
      <w:bookmarkStart w:id="1008" w:name="_Toc389726121"/>
      <w:bookmarkStart w:id="1009" w:name="_Toc389727173"/>
      <w:bookmarkStart w:id="1010" w:name="_Toc389727531"/>
      <w:bookmarkStart w:id="1011" w:name="_Toc389727890"/>
      <w:bookmarkStart w:id="1012" w:name="_Toc389728249"/>
      <w:bookmarkStart w:id="1013" w:name="_Toc389728609"/>
      <w:bookmarkStart w:id="1014" w:name="_Toc389728967"/>
      <w:bookmarkStart w:id="1015" w:name="_Toc388281525"/>
      <w:bookmarkStart w:id="1016" w:name="_Toc388281981"/>
      <w:bookmarkStart w:id="1017" w:name="_Toc388282463"/>
      <w:bookmarkStart w:id="1018" w:name="_Toc388282911"/>
      <w:bookmarkStart w:id="1019" w:name="_Toc388285227"/>
      <w:bookmarkStart w:id="1020" w:name="_Toc388374267"/>
      <w:bookmarkStart w:id="1021" w:name="_Toc388609970"/>
      <w:bookmarkStart w:id="1022" w:name="_Toc388625004"/>
      <w:bookmarkStart w:id="1023" w:name="_Toc388625258"/>
      <w:bookmarkStart w:id="1024" w:name="_Toc388633659"/>
      <w:bookmarkStart w:id="1025" w:name="_Toc389725148"/>
      <w:bookmarkStart w:id="1026" w:name="_Toc389726135"/>
      <w:bookmarkStart w:id="1027" w:name="_Toc389727187"/>
      <w:bookmarkStart w:id="1028" w:name="_Toc389727545"/>
      <w:bookmarkStart w:id="1029" w:name="_Toc389727904"/>
      <w:bookmarkStart w:id="1030" w:name="_Toc389728263"/>
      <w:bookmarkStart w:id="1031" w:name="_Toc389728623"/>
      <w:bookmarkStart w:id="1032" w:name="_Toc389728981"/>
      <w:bookmarkStart w:id="1033" w:name="_Toc389748652"/>
      <w:bookmarkStart w:id="1034" w:name="_Toc389750067"/>
      <w:bookmarkStart w:id="1035" w:name="_Toc389807249"/>
      <w:bookmarkStart w:id="1036" w:name="_Toc389807505"/>
      <w:bookmarkStart w:id="1037" w:name="_Toc389807871"/>
      <w:bookmarkStart w:id="1038" w:name="_Toc388281534"/>
      <w:bookmarkStart w:id="1039" w:name="_Toc388281990"/>
      <w:bookmarkStart w:id="1040" w:name="_Toc388282472"/>
      <w:bookmarkStart w:id="1041" w:name="_Toc388282920"/>
      <w:bookmarkStart w:id="1042" w:name="_Toc388285236"/>
      <w:bookmarkStart w:id="1043" w:name="_Toc388374275"/>
      <w:bookmarkStart w:id="1044" w:name="_Toc388609978"/>
      <w:bookmarkStart w:id="1045" w:name="_Toc388625012"/>
      <w:bookmarkStart w:id="1046" w:name="_Toc388625266"/>
      <w:bookmarkStart w:id="1047" w:name="_Toc388633667"/>
      <w:bookmarkStart w:id="1048" w:name="_Toc389725156"/>
      <w:bookmarkStart w:id="1049" w:name="_Toc389726144"/>
      <w:bookmarkStart w:id="1050" w:name="_Toc389727196"/>
      <w:bookmarkStart w:id="1051" w:name="_Toc389727554"/>
      <w:bookmarkStart w:id="1052" w:name="_Toc389727913"/>
      <w:bookmarkStart w:id="1053" w:name="_Toc389728272"/>
      <w:bookmarkStart w:id="1054" w:name="_Toc389728632"/>
      <w:bookmarkStart w:id="1055" w:name="_Toc389728990"/>
      <w:bookmarkStart w:id="1056" w:name="_Toc389748660"/>
      <w:bookmarkStart w:id="1057" w:name="_Toc389750075"/>
      <w:bookmarkStart w:id="1058" w:name="_Toc389807257"/>
      <w:bookmarkStart w:id="1059" w:name="_Toc389807513"/>
      <w:bookmarkStart w:id="1060" w:name="_Toc389807879"/>
      <w:bookmarkStart w:id="1061" w:name="_Toc388281535"/>
      <w:bookmarkStart w:id="1062" w:name="_Toc388281991"/>
      <w:bookmarkStart w:id="1063" w:name="_Toc388282473"/>
      <w:bookmarkStart w:id="1064" w:name="_Toc388282921"/>
      <w:bookmarkStart w:id="1065" w:name="_Toc388285237"/>
      <w:bookmarkStart w:id="1066" w:name="_Toc388374276"/>
      <w:bookmarkStart w:id="1067" w:name="_Toc388609979"/>
      <w:bookmarkStart w:id="1068" w:name="_Toc388625013"/>
      <w:bookmarkStart w:id="1069" w:name="_Toc388625267"/>
      <w:bookmarkStart w:id="1070" w:name="_Toc388633668"/>
      <w:bookmarkStart w:id="1071" w:name="_Toc389725157"/>
      <w:bookmarkStart w:id="1072" w:name="_Toc389726145"/>
      <w:bookmarkStart w:id="1073" w:name="_Toc389727197"/>
      <w:bookmarkStart w:id="1074" w:name="_Toc389727555"/>
      <w:bookmarkStart w:id="1075" w:name="_Toc389727914"/>
      <w:bookmarkStart w:id="1076" w:name="_Toc389728273"/>
      <w:bookmarkStart w:id="1077" w:name="_Toc389728633"/>
      <w:bookmarkStart w:id="1078" w:name="_Toc389728991"/>
      <w:bookmarkStart w:id="1079" w:name="_Toc389748661"/>
      <w:bookmarkStart w:id="1080" w:name="_Toc389750076"/>
      <w:bookmarkStart w:id="1081" w:name="_Toc389807258"/>
      <w:bookmarkStart w:id="1082" w:name="_Toc389807514"/>
      <w:bookmarkStart w:id="1083" w:name="_Toc389807880"/>
      <w:bookmarkStart w:id="1084" w:name="_Toc388281536"/>
      <w:bookmarkStart w:id="1085" w:name="_Toc388281992"/>
      <w:bookmarkStart w:id="1086" w:name="_Toc388282474"/>
      <w:bookmarkStart w:id="1087" w:name="_Toc388282922"/>
      <w:bookmarkStart w:id="1088" w:name="_Toc388285238"/>
      <w:bookmarkStart w:id="1089" w:name="_Toc389726146"/>
      <w:bookmarkStart w:id="1090" w:name="_Toc389727198"/>
      <w:bookmarkStart w:id="1091" w:name="_Toc389727556"/>
      <w:bookmarkStart w:id="1092" w:name="_Toc389727915"/>
      <w:bookmarkStart w:id="1093" w:name="_Toc389728274"/>
      <w:bookmarkStart w:id="1094" w:name="_Toc389728634"/>
      <w:bookmarkStart w:id="1095" w:name="_Toc389728992"/>
      <w:bookmarkStart w:id="1096" w:name="_Toc388281548"/>
      <w:bookmarkStart w:id="1097" w:name="_Toc388282004"/>
      <w:bookmarkStart w:id="1098" w:name="_Toc388282486"/>
      <w:bookmarkStart w:id="1099" w:name="_Toc388282934"/>
      <w:bookmarkStart w:id="1100" w:name="_Toc388285250"/>
      <w:bookmarkStart w:id="1101" w:name="_Toc388374287"/>
      <w:bookmarkStart w:id="1102" w:name="_Toc388609990"/>
      <w:bookmarkStart w:id="1103" w:name="_Toc388625024"/>
      <w:bookmarkStart w:id="1104" w:name="_Toc388625278"/>
      <w:bookmarkStart w:id="1105" w:name="_Toc388633679"/>
      <w:bookmarkStart w:id="1106" w:name="_Toc389725168"/>
      <w:bookmarkStart w:id="1107" w:name="_Toc389726158"/>
      <w:bookmarkStart w:id="1108" w:name="_Toc389727210"/>
      <w:bookmarkStart w:id="1109" w:name="_Toc389727568"/>
      <w:bookmarkStart w:id="1110" w:name="_Toc389727927"/>
      <w:bookmarkStart w:id="1111" w:name="_Toc389728286"/>
      <w:bookmarkStart w:id="1112" w:name="_Toc389728646"/>
      <w:bookmarkStart w:id="1113" w:name="_Toc389729004"/>
      <w:bookmarkStart w:id="1114" w:name="_Toc389748672"/>
      <w:bookmarkStart w:id="1115" w:name="_Toc389750087"/>
      <w:bookmarkStart w:id="1116" w:name="_Toc389807269"/>
      <w:bookmarkStart w:id="1117" w:name="_Toc389807525"/>
      <w:bookmarkStart w:id="1118" w:name="_Toc389807891"/>
      <w:bookmarkStart w:id="1119" w:name="_Toc388281555"/>
      <w:bookmarkStart w:id="1120" w:name="_Toc388282011"/>
      <w:bookmarkStart w:id="1121" w:name="_Toc388282493"/>
      <w:bookmarkStart w:id="1122" w:name="_Toc388282941"/>
      <w:bookmarkStart w:id="1123" w:name="_Toc388285257"/>
      <w:bookmarkStart w:id="1124" w:name="_Toc388374293"/>
      <w:bookmarkStart w:id="1125" w:name="_Toc388609996"/>
      <w:bookmarkStart w:id="1126" w:name="_Toc388625030"/>
      <w:bookmarkStart w:id="1127" w:name="_Toc388625284"/>
      <w:bookmarkStart w:id="1128" w:name="_Toc388633685"/>
      <w:bookmarkStart w:id="1129" w:name="_Toc389725174"/>
      <w:bookmarkStart w:id="1130" w:name="_Toc389726165"/>
      <w:bookmarkStart w:id="1131" w:name="_Toc389727217"/>
      <w:bookmarkStart w:id="1132" w:name="_Toc389727575"/>
      <w:bookmarkStart w:id="1133" w:name="_Toc389727934"/>
      <w:bookmarkStart w:id="1134" w:name="_Toc389728293"/>
      <w:bookmarkStart w:id="1135" w:name="_Toc389728653"/>
      <w:bookmarkStart w:id="1136" w:name="_Toc389729011"/>
      <w:bookmarkStart w:id="1137" w:name="_Toc389748678"/>
      <w:bookmarkStart w:id="1138" w:name="_Toc389750093"/>
      <w:bookmarkStart w:id="1139" w:name="_Toc389807275"/>
      <w:bookmarkStart w:id="1140" w:name="_Toc389807531"/>
      <w:bookmarkStart w:id="1141" w:name="_Toc389807897"/>
      <w:bookmarkStart w:id="1142" w:name="_Toc388281556"/>
      <w:bookmarkStart w:id="1143" w:name="_Toc388282012"/>
      <w:bookmarkStart w:id="1144" w:name="_Toc388282494"/>
      <w:bookmarkStart w:id="1145" w:name="_Toc388282942"/>
      <w:bookmarkStart w:id="1146" w:name="_Toc388285258"/>
      <w:bookmarkStart w:id="1147" w:name="_Toc388374294"/>
      <w:bookmarkStart w:id="1148" w:name="_Toc388609997"/>
      <w:bookmarkStart w:id="1149" w:name="_Toc388625031"/>
      <w:bookmarkStart w:id="1150" w:name="_Toc388625285"/>
      <w:bookmarkStart w:id="1151" w:name="_Toc388633686"/>
      <w:bookmarkStart w:id="1152" w:name="_Toc389725175"/>
      <w:bookmarkStart w:id="1153" w:name="_Toc389726166"/>
      <w:bookmarkStart w:id="1154" w:name="_Toc389727218"/>
      <w:bookmarkStart w:id="1155" w:name="_Toc389727576"/>
      <w:bookmarkStart w:id="1156" w:name="_Toc389727935"/>
      <w:bookmarkStart w:id="1157" w:name="_Toc389728294"/>
      <w:bookmarkStart w:id="1158" w:name="_Toc389728654"/>
      <w:bookmarkStart w:id="1159" w:name="_Toc389729012"/>
      <w:bookmarkStart w:id="1160" w:name="_Toc389748679"/>
      <w:bookmarkStart w:id="1161" w:name="_Toc389750094"/>
      <w:bookmarkStart w:id="1162" w:name="_Toc389807276"/>
      <w:bookmarkStart w:id="1163" w:name="_Toc389807532"/>
      <w:bookmarkStart w:id="1164" w:name="_Toc389807898"/>
      <w:bookmarkStart w:id="1165" w:name="_Toc388281557"/>
      <w:bookmarkStart w:id="1166" w:name="_Toc388282013"/>
      <w:bookmarkStart w:id="1167" w:name="_Toc388282495"/>
      <w:bookmarkStart w:id="1168" w:name="_Toc388282943"/>
      <w:bookmarkStart w:id="1169" w:name="_Toc388285259"/>
      <w:bookmarkStart w:id="1170" w:name="_Toc389726167"/>
      <w:bookmarkStart w:id="1171" w:name="_Toc389727219"/>
      <w:bookmarkStart w:id="1172" w:name="_Toc389727577"/>
      <w:bookmarkStart w:id="1173" w:name="_Toc389727936"/>
      <w:bookmarkStart w:id="1174" w:name="_Toc389728295"/>
      <w:bookmarkStart w:id="1175" w:name="_Toc389728655"/>
      <w:bookmarkStart w:id="1176" w:name="_Toc389729013"/>
      <w:bookmarkStart w:id="1177" w:name="_Toc388281565"/>
      <w:bookmarkStart w:id="1178" w:name="_Toc388282021"/>
      <w:bookmarkStart w:id="1179" w:name="_Toc388282503"/>
      <w:bookmarkStart w:id="1180" w:name="_Toc388282951"/>
      <w:bookmarkStart w:id="1181" w:name="_Toc388285267"/>
      <w:bookmarkStart w:id="1182" w:name="_Toc388374302"/>
      <w:bookmarkStart w:id="1183" w:name="_Toc388610005"/>
      <w:bookmarkStart w:id="1184" w:name="_Toc388625039"/>
      <w:bookmarkStart w:id="1185" w:name="_Toc388625293"/>
      <w:bookmarkStart w:id="1186" w:name="_Toc388633694"/>
      <w:bookmarkStart w:id="1187" w:name="_Toc389725183"/>
      <w:bookmarkStart w:id="1188" w:name="_Toc389726175"/>
      <w:bookmarkStart w:id="1189" w:name="_Toc389727227"/>
      <w:bookmarkStart w:id="1190" w:name="_Toc389727585"/>
      <w:bookmarkStart w:id="1191" w:name="_Toc389727944"/>
      <w:bookmarkStart w:id="1192" w:name="_Toc389728303"/>
      <w:bookmarkStart w:id="1193" w:name="_Toc389728663"/>
      <w:bookmarkStart w:id="1194" w:name="_Toc389729021"/>
      <w:bookmarkStart w:id="1195" w:name="_Toc389748687"/>
      <w:bookmarkStart w:id="1196" w:name="_Toc389750102"/>
      <w:bookmarkStart w:id="1197" w:name="_Toc389807284"/>
      <w:bookmarkStart w:id="1198" w:name="_Toc389807540"/>
      <w:bookmarkStart w:id="1199" w:name="_Toc389807906"/>
      <w:bookmarkStart w:id="1200" w:name="_Toc388281572"/>
      <w:bookmarkStart w:id="1201" w:name="_Toc388282028"/>
      <w:bookmarkStart w:id="1202" w:name="_Toc388282510"/>
      <w:bookmarkStart w:id="1203" w:name="_Toc388282958"/>
      <w:bookmarkStart w:id="1204" w:name="_Toc388285274"/>
      <w:bookmarkStart w:id="1205" w:name="_Toc388374308"/>
      <w:bookmarkStart w:id="1206" w:name="_Toc388610011"/>
      <w:bookmarkStart w:id="1207" w:name="_Toc388625045"/>
      <w:bookmarkStart w:id="1208" w:name="_Toc388625299"/>
      <w:bookmarkStart w:id="1209" w:name="_Toc388633700"/>
      <w:bookmarkStart w:id="1210" w:name="_Toc377649016"/>
      <w:bookmarkStart w:id="1211" w:name="_Toc377650869"/>
      <w:bookmarkStart w:id="1212" w:name="_Toc377650996"/>
      <w:bookmarkStart w:id="1213" w:name="_Toc377653265"/>
      <w:bookmarkStart w:id="1214" w:name="_Toc378351569"/>
      <w:bookmarkStart w:id="1215" w:name="_Toc378681318"/>
      <w:bookmarkStart w:id="1216" w:name="_Toc378682238"/>
      <w:bookmarkStart w:id="1217" w:name="_Toc378683685"/>
      <w:bookmarkStart w:id="1218" w:name="_Toc378685373"/>
      <w:bookmarkStart w:id="1219" w:name="_Toc378685509"/>
      <w:bookmarkStart w:id="1220" w:name="_Toc378691718"/>
      <w:bookmarkStart w:id="1221" w:name="_Toc378692175"/>
      <w:bookmarkStart w:id="1222" w:name="_Toc378692312"/>
      <w:bookmarkStart w:id="1223" w:name="_Toc378692449"/>
      <w:bookmarkStart w:id="1224" w:name="_Toc378761151"/>
      <w:bookmarkStart w:id="1225" w:name="_Toc378761294"/>
      <w:bookmarkStart w:id="1226" w:name="_Toc378761437"/>
      <w:bookmarkStart w:id="1227" w:name="_Toc378761580"/>
      <w:bookmarkStart w:id="1228" w:name="_Toc378761893"/>
      <w:bookmarkStart w:id="1229" w:name="_Toc378762033"/>
      <w:bookmarkStart w:id="1230" w:name="_Toc378762171"/>
      <w:bookmarkStart w:id="1231" w:name="_Toc378765648"/>
      <w:bookmarkStart w:id="1232" w:name="_Toc378767396"/>
      <w:bookmarkStart w:id="1233" w:name="_Toc378774991"/>
      <w:bookmarkStart w:id="1234" w:name="_Toc378776186"/>
      <w:bookmarkStart w:id="1235" w:name="_Toc378841266"/>
      <w:bookmarkStart w:id="1236" w:name="_Toc378858865"/>
      <w:bookmarkStart w:id="1237" w:name="_Toc378859093"/>
      <w:bookmarkStart w:id="1238" w:name="_Toc377649017"/>
      <w:bookmarkStart w:id="1239" w:name="_Toc377650870"/>
      <w:bookmarkStart w:id="1240" w:name="_Toc377650997"/>
      <w:bookmarkStart w:id="1241" w:name="_Toc377653266"/>
      <w:bookmarkStart w:id="1242" w:name="_Toc378351570"/>
      <w:bookmarkStart w:id="1243" w:name="_Toc378681319"/>
      <w:bookmarkStart w:id="1244" w:name="_Toc378682239"/>
      <w:bookmarkStart w:id="1245" w:name="_Toc378683686"/>
      <w:bookmarkStart w:id="1246" w:name="_Toc378685374"/>
      <w:bookmarkStart w:id="1247" w:name="_Toc378685510"/>
      <w:bookmarkStart w:id="1248" w:name="_Toc378691719"/>
      <w:bookmarkStart w:id="1249" w:name="_Toc378692176"/>
      <w:bookmarkStart w:id="1250" w:name="_Toc378692313"/>
      <w:bookmarkStart w:id="1251" w:name="_Toc378692450"/>
      <w:bookmarkStart w:id="1252" w:name="_Toc378761152"/>
      <w:bookmarkStart w:id="1253" w:name="_Toc378761295"/>
      <w:bookmarkStart w:id="1254" w:name="_Toc378761438"/>
      <w:bookmarkStart w:id="1255" w:name="_Toc378761581"/>
      <w:bookmarkStart w:id="1256" w:name="_Toc378761894"/>
      <w:bookmarkStart w:id="1257" w:name="_Toc378762034"/>
      <w:bookmarkStart w:id="1258" w:name="_Toc378762172"/>
      <w:bookmarkStart w:id="1259" w:name="_Toc378765649"/>
      <w:bookmarkStart w:id="1260" w:name="_Toc378767397"/>
      <w:bookmarkStart w:id="1261" w:name="_Toc378774992"/>
      <w:bookmarkStart w:id="1262" w:name="_Toc378776187"/>
      <w:bookmarkStart w:id="1263" w:name="_Toc378841267"/>
      <w:bookmarkStart w:id="1264" w:name="_Toc378858866"/>
      <w:bookmarkStart w:id="1265" w:name="_Toc378859094"/>
      <w:bookmarkStart w:id="1266" w:name="_Toc377649018"/>
      <w:bookmarkStart w:id="1267" w:name="_Toc377650871"/>
      <w:bookmarkStart w:id="1268" w:name="_Toc377650998"/>
      <w:bookmarkStart w:id="1269" w:name="_Toc377653267"/>
      <w:bookmarkStart w:id="1270" w:name="_Toc378351571"/>
      <w:bookmarkStart w:id="1271" w:name="_Toc378681320"/>
      <w:bookmarkStart w:id="1272" w:name="_Toc378682240"/>
      <w:bookmarkStart w:id="1273" w:name="_Toc378683687"/>
      <w:bookmarkStart w:id="1274" w:name="_Toc378685375"/>
      <w:bookmarkStart w:id="1275" w:name="_Toc378685511"/>
      <w:bookmarkStart w:id="1276" w:name="_Toc378691720"/>
      <w:bookmarkStart w:id="1277" w:name="_Toc378692177"/>
      <w:bookmarkStart w:id="1278" w:name="_Toc378692314"/>
      <w:bookmarkStart w:id="1279" w:name="_Toc378692451"/>
      <w:bookmarkStart w:id="1280" w:name="_Toc378761153"/>
      <w:bookmarkStart w:id="1281" w:name="_Toc378761296"/>
      <w:bookmarkStart w:id="1282" w:name="_Toc378761439"/>
      <w:bookmarkStart w:id="1283" w:name="_Toc378761582"/>
      <w:bookmarkStart w:id="1284" w:name="_Toc378761895"/>
      <w:bookmarkStart w:id="1285" w:name="_Toc378762035"/>
      <w:bookmarkStart w:id="1286" w:name="_Toc378762173"/>
      <w:bookmarkStart w:id="1287" w:name="_Toc378765650"/>
      <w:bookmarkStart w:id="1288" w:name="_Toc378767398"/>
      <w:bookmarkStart w:id="1289" w:name="_Toc378774993"/>
      <w:bookmarkStart w:id="1290" w:name="_Toc378776188"/>
      <w:bookmarkStart w:id="1291" w:name="_Toc378841268"/>
      <w:bookmarkStart w:id="1292" w:name="_Toc378858867"/>
      <w:bookmarkStart w:id="1293" w:name="_Toc378859095"/>
      <w:bookmarkStart w:id="1294" w:name="_Toc403472740"/>
      <w:bookmarkStart w:id="1295" w:name="_Toc389729028"/>
      <w:bookmarkStart w:id="1296" w:name="_Toc129689584"/>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r w:rsidRPr="00B65D57">
        <w:rPr>
          <w:lang w:val="en-GB"/>
        </w:rPr>
        <w:lastRenderedPageBreak/>
        <w:t xml:space="preserve">2.2.2. </w:t>
      </w:r>
      <w:r w:rsidR="00A53EE0" w:rsidRPr="00B65D57">
        <w:rPr>
          <w:lang w:val="en-GB"/>
        </w:rPr>
        <w:t>Physical, chemical and technical properties</w:t>
      </w:r>
      <w:bookmarkEnd w:id="1294"/>
      <w:bookmarkEnd w:id="1296"/>
      <w:r w:rsidR="00A53EE0" w:rsidRPr="00B65D57">
        <w:rPr>
          <w:lang w:val="en-GB"/>
        </w:rPr>
        <w:t xml:space="preserve"> </w:t>
      </w:r>
      <w:bookmarkEnd w:id="1295"/>
    </w:p>
    <w:p w14:paraId="4C8D32A9" w14:textId="5FDD4C24" w:rsidR="00635F3E" w:rsidRPr="00B65D57" w:rsidRDefault="00635F3E" w:rsidP="00635F3E">
      <w:pPr>
        <w:pStyle w:val="Absatz"/>
        <w:ind w:left="0"/>
      </w:pPr>
    </w:p>
    <w:p w14:paraId="6FBE6868" w14:textId="3F7F3CA7"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t xml:space="preserve">Table </w:t>
      </w:r>
      <w:r w:rsidR="00521506" w:rsidRPr="00B65D57">
        <w:rPr>
          <w:b/>
          <w:bCs/>
          <w:snapToGrid w:val="0"/>
          <w:szCs w:val="18"/>
          <w:lang w:eastAsia="fi-FI"/>
        </w:rPr>
        <w:t>2</w:t>
      </w:r>
      <w:r w:rsidRPr="00B65D57">
        <w:rPr>
          <w:b/>
          <w:bCs/>
          <w:snapToGrid w:val="0"/>
          <w:szCs w:val="18"/>
          <w:lang w:eastAsia="fi-FI"/>
        </w:rPr>
        <w:t>.</w:t>
      </w:r>
      <w:r w:rsidRPr="00B65D57">
        <w:rPr>
          <w:b/>
          <w:bCs/>
          <w:snapToGrid w:val="0"/>
          <w:szCs w:val="18"/>
          <w:lang w:eastAsia="fi-FI"/>
        </w:rPr>
        <w:fldChar w:fldCharType="begin"/>
      </w:r>
      <w:r w:rsidRPr="00B65D57">
        <w:rPr>
          <w:b/>
          <w:bCs/>
          <w:snapToGrid w:val="0"/>
          <w:szCs w:val="18"/>
          <w:lang w:eastAsia="fi-FI"/>
        </w:rPr>
        <w:instrText xml:space="preserve"> SEQ Table \* ARABIC \s 1 </w:instrText>
      </w:r>
      <w:r w:rsidRPr="00B65D57">
        <w:rPr>
          <w:b/>
          <w:bCs/>
          <w:snapToGrid w:val="0"/>
          <w:szCs w:val="18"/>
          <w:lang w:eastAsia="fi-FI"/>
        </w:rPr>
        <w:fldChar w:fldCharType="separate"/>
      </w:r>
      <w:r w:rsidR="00327AD9">
        <w:rPr>
          <w:b/>
          <w:bCs/>
          <w:noProof/>
          <w:snapToGrid w:val="0"/>
          <w:szCs w:val="18"/>
          <w:lang w:eastAsia="fi-FI"/>
        </w:rPr>
        <w:t>3</w:t>
      </w:r>
      <w:r w:rsidRPr="00B65D57">
        <w:rPr>
          <w:b/>
          <w:bCs/>
          <w:noProof/>
          <w:snapToGrid w:val="0"/>
          <w:szCs w:val="18"/>
          <w:lang w:eastAsia="fi-FI"/>
        </w:rPr>
        <w:fldChar w:fldCharType="end"/>
      </w:r>
      <w:r w:rsidR="00521506" w:rsidRPr="00B65D57">
        <w:rPr>
          <w:b/>
          <w:bCs/>
          <w:noProof/>
          <w:snapToGrid w:val="0"/>
          <w:szCs w:val="18"/>
          <w:lang w:eastAsia="fi-FI"/>
        </w:rPr>
        <w:t>.2-1</w:t>
      </w:r>
      <w:r w:rsidRPr="00B65D57">
        <w:rPr>
          <w:b/>
          <w:bCs/>
          <w:snapToGrid w:val="0"/>
          <w:szCs w:val="18"/>
          <w:lang w:eastAsia="fi-FI"/>
        </w:rPr>
        <w:t xml:space="preserve"> Physical, chemical, and technical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2125"/>
        <w:gridCol w:w="1985"/>
        <w:gridCol w:w="1700"/>
        <w:gridCol w:w="4395"/>
        <w:gridCol w:w="1581"/>
      </w:tblGrid>
      <w:tr w:rsidR="00635F3E" w:rsidRPr="00B65D57" w14:paraId="235FB594" w14:textId="77777777" w:rsidTr="00553245">
        <w:trPr>
          <w:trHeight w:val="782"/>
          <w:tblHeader/>
        </w:trPr>
        <w:tc>
          <w:tcPr>
            <w:tcW w:w="535" w:type="pct"/>
            <w:shd w:val="clear" w:color="auto" w:fill="FFFFCC"/>
          </w:tcPr>
          <w:p w14:paraId="76B84781" w14:textId="77777777" w:rsidR="00635F3E" w:rsidRPr="00B65D57" w:rsidRDefault="00635F3E" w:rsidP="00635F3E">
            <w:pPr>
              <w:widowControl w:val="0"/>
              <w:jc w:val="center"/>
              <w:rPr>
                <w:rFonts w:eastAsia="Calibri"/>
                <w:b/>
                <w:snapToGrid w:val="0"/>
                <w:sz w:val="18"/>
                <w:szCs w:val="18"/>
                <w:lang w:eastAsia="en-US"/>
              </w:rPr>
            </w:pPr>
            <w:r w:rsidRPr="00B65D57">
              <w:rPr>
                <w:rFonts w:eastAsia="Calibri"/>
                <w:b/>
                <w:snapToGrid w:val="0"/>
                <w:sz w:val="18"/>
                <w:szCs w:val="18"/>
                <w:lang w:eastAsia="en-US"/>
              </w:rPr>
              <w:t>Numbering according to Annex III of BPR</w:t>
            </w:r>
          </w:p>
        </w:tc>
        <w:tc>
          <w:tcPr>
            <w:tcW w:w="805" w:type="pct"/>
            <w:shd w:val="clear" w:color="auto" w:fill="FFFFCC"/>
            <w:vAlign w:val="center"/>
          </w:tcPr>
          <w:p w14:paraId="169C0518" w14:textId="77777777" w:rsidR="00635F3E" w:rsidRPr="00B65D57" w:rsidRDefault="00635F3E" w:rsidP="00635F3E">
            <w:pPr>
              <w:widowControl w:val="0"/>
              <w:jc w:val="center"/>
              <w:rPr>
                <w:rFonts w:eastAsia="Calibri"/>
                <w:b/>
                <w:snapToGrid w:val="0"/>
                <w:sz w:val="18"/>
                <w:szCs w:val="18"/>
                <w:lang w:eastAsia="en-US"/>
              </w:rPr>
            </w:pPr>
            <w:r w:rsidRPr="00B65D57">
              <w:rPr>
                <w:rFonts w:eastAsia="Calibri"/>
                <w:b/>
                <w:snapToGrid w:val="0"/>
                <w:sz w:val="18"/>
                <w:szCs w:val="18"/>
                <w:lang w:eastAsia="en-US"/>
              </w:rPr>
              <w:t>Property</w:t>
            </w:r>
          </w:p>
        </w:tc>
        <w:tc>
          <w:tcPr>
            <w:tcW w:w="752" w:type="pct"/>
            <w:shd w:val="clear" w:color="auto" w:fill="FFFFCC"/>
            <w:vAlign w:val="center"/>
          </w:tcPr>
          <w:p w14:paraId="7A7C2C7A" w14:textId="77777777" w:rsidR="00635F3E" w:rsidRPr="00B65D57" w:rsidRDefault="00635F3E" w:rsidP="00635F3E">
            <w:pPr>
              <w:widowControl w:val="0"/>
              <w:jc w:val="center"/>
              <w:rPr>
                <w:rFonts w:eastAsia="Calibri"/>
                <w:b/>
                <w:snapToGrid w:val="0"/>
                <w:sz w:val="18"/>
                <w:szCs w:val="18"/>
                <w:lang w:eastAsia="en-US"/>
              </w:rPr>
            </w:pPr>
            <w:r w:rsidRPr="00B65D57">
              <w:rPr>
                <w:rFonts w:eastAsia="Calibri"/>
                <w:b/>
                <w:snapToGrid w:val="0"/>
                <w:sz w:val="18"/>
                <w:szCs w:val="18"/>
                <w:lang w:eastAsia="en-US"/>
              </w:rPr>
              <w:t>Guideline and Method</w:t>
            </w:r>
          </w:p>
        </w:tc>
        <w:tc>
          <w:tcPr>
            <w:tcW w:w="644" w:type="pct"/>
            <w:shd w:val="clear" w:color="auto" w:fill="FFFFCC"/>
            <w:vAlign w:val="center"/>
          </w:tcPr>
          <w:p w14:paraId="08C33E75" w14:textId="77777777" w:rsidR="00635F3E" w:rsidRPr="00B65D57" w:rsidRDefault="00635F3E" w:rsidP="00635F3E">
            <w:pPr>
              <w:widowControl w:val="0"/>
              <w:jc w:val="center"/>
              <w:rPr>
                <w:rFonts w:eastAsia="Calibri"/>
                <w:b/>
                <w:snapToGrid w:val="0"/>
                <w:sz w:val="18"/>
                <w:szCs w:val="18"/>
                <w:lang w:eastAsia="en-US"/>
              </w:rPr>
            </w:pPr>
            <w:r w:rsidRPr="00B65D57">
              <w:rPr>
                <w:rFonts w:eastAsia="Calibri"/>
                <w:b/>
                <w:snapToGrid w:val="0"/>
                <w:sz w:val="18"/>
                <w:szCs w:val="18"/>
                <w:lang w:eastAsia="en-US"/>
              </w:rPr>
              <w:t>Tested product/batch (AS% w/w)</w:t>
            </w:r>
          </w:p>
        </w:tc>
        <w:tc>
          <w:tcPr>
            <w:tcW w:w="1665" w:type="pct"/>
            <w:shd w:val="clear" w:color="auto" w:fill="FFFFCC"/>
            <w:vAlign w:val="center"/>
          </w:tcPr>
          <w:p w14:paraId="453FC4FA" w14:textId="77777777" w:rsidR="00635F3E" w:rsidRPr="00B65D57" w:rsidRDefault="00635F3E" w:rsidP="00635F3E">
            <w:pPr>
              <w:widowControl w:val="0"/>
              <w:jc w:val="center"/>
              <w:rPr>
                <w:rFonts w:eastAsia="Calibri"/>
                <w:b/>
                <w:snapToGrid w:val="0"/>
                <w:sz w:val="18"/>
                <w:szCs w:val="18"/>
                <w:lang w:eastAsia="en-US"/>
              </w:rPr>
            </w:pPr>
            <w:r w:rsidRPr="00B65D57">
              <w:rPr>
                <w:rFonts w:eastAsia="Calibri"/>
                <w:b/>
                <w:snapToGrid w:val="0"/>
                <w:sz w:val="18"/>
                <w:szCs w:val="18"/>
                <w:lang w:eastAsia="en-US"/>
              </w:rPr>
              <w:t>Results</w:t>
            </w:r>
          </w:p>
        </w:tc>
        <w:tc>
          <w:tcPr>
            <w:tcW w:w="599" w:type="pct"/>
            <w:shd w:val="clear" w:color="auto" w:fill="FFFFCC"/>
            <w:vAlign w:val="center"/>
          </w:tcPr>
          <w:p w14:paraId="3A7486AF" w14:textId="77777777" w:rsidR="00635F3E" w:rsidRPr="00B65D57" w:rsidRDefault="00635F3E" w:rsidP="00635F3E">
            <w:pPr>
              <w:widowControl w:val="0"/>
              <w:jc w:val="center"/>
              <w:rPr>
                <w:rFonts w:eastAsia="Calibri"/>
                <w:b/>
                <w:snapToGrid w:val="0"/>
                <w:sz w:val="18"/>
                <w:szCs w:val="18"/>
                <w:lang w:eastAsia="en-US"/>
              </w:rPr>
            </w:pPr>
            <w:r w:rsidRPr="00B65D57">
              <w:rPr>
                <w:rFonts w:eastAsia="Calibri"/>
                <w:b/>
                <w:snapToGrid w:val="0"/>
                <w:sz w:val="18"/>
                <w:szCs w:val="18"/>
                <w:lang w:eastAsia="en-US"/>
              </w:rPr>
              <w:t>Reference</w:t>
            </w:r>
          </w:p>
        </w:tc>
      </w:tr>
      <w:tr w:rsidR="00635F3E" w:rsidRPr="00B65D57" w14:paraId="2EC04E59" w14:textId="77777777" w:rsidTr="00553245">
        <w:trPr>
          <w:trHeight w:val="481"/>
        </w:trPr>
        <w:tc>
          <w:tcPr>
            <w:tcW w:w="535" w:type="pct"/>
          </w:tcPr>
          <w:p w14:paraId="29C5A59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3.1</w:t>
            </w:r>
          </w:p>
          <w:p w14:paraId="1E6F506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3.1.1</w:t>
            </w:r>
          </w:p>
          <w:p w14:paraId="2F6B52A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3.1.2</w:t>
            </w:r>
          </w:p>
        </w:tc>
        <w:tc>
          <w:tcPr>
            <w:tcW w:w="805" w:type="pct"/>
          </w:tcPr>
          <w:p w14:paraId="434DEFF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Appearance, physical state and colour at 20 °C and 101.3 kPa</w:t>
            </w:r>
          </w:p>
        </w:tc>
        <w:tc>
          <w:tcPr>
            <w:tcW w:w="752" w:type="pct"/>
          </w:tcPr>
          <w:p w14:paraId="1FFA90E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n/a</w:t>
            </w:r>
          </w:p>
        </w:tc>
        <w:tc>
          <w:tcPr>
            <w:tcW w:w="644" w:type="pct"/>
          </w:tcPr>
          <w:p w14:paraId="6A96733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46.3 %)</w:t>
            </w:r>
          </w:p>
        </w:tc>
        <w:tc>
          <w:tcPr>
            <w:tcW w:w="1665" w:type="pct"/>
          </w:tcPr>
          <w:p w14:paraId="28CE074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White solid</w:t>
            </w:r>
          </w:p>
        </w:tc>
        <w:tc>
          <w:tcPr>
            <w:tcW w:w="599" w:type="pct"/>
          </w:tcPr>
          <w:p w14:paraId="02F9040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261C8252" w14:textId="7BB2C940"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Re</w:t>
            </w:r>
            <w:r w:rsidR="002C2AC5" w:rsidRPr="00B65D57">
              <w:rPr>
                <w:rFonts w:eastAsia="Calibri"/>
                <w:snapToGrid w:val="0"/>
                <w:sz w:val="18"/>
                <w:szCs w:val="18"/>
                <w:lang w:eastAsia="fi-FI"/>
              </w:rPr>
              <w:t>port</w:t>
            </w:r>
            <w:r w:rsidRPr="00B65D57">
              <w:rPr>
                <w:rFonts w:eastAsia="Calibri"/>
                <w:snapToGrid w:val="0"/>
                <w:sz w:val="18"/>
                <w:szCs w:val="18"/>
                <w:lang w:eastAsia="fi-FI"/>
              </w:rPr>
              <w:t xml:space="preserve"> no. 140185</w:t>
            </w:r>
          </w:p>
        </w:tc>
      </w:tr>
      <w:tr w:rsidR="00635F3E" w:rsidRPr="00B65D57" w14:paraId="380A2935" w14:textId="77777777" w:rsidTr="00553245">
        <w:trPr>
          <w:trHeight w:val="481"/>
        </w:trPr>
        <w:tc>
          <w:tcPr>
            <w:tcW w:w="535" w:type="pct"/>
          </w:tcPr>
          <w:p w14:paraId="228A6C8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3.1.3.</w:t>
            </w:r>
          </w:p>
        </w:tc>
        <w:tc>
          <w:tcPr>
            <w:tcW w:w="805" w:type="pct"/>
          </w:tcPr>
          <w:p w14:paraId="337303E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Odour at 20 °C and 101.3 kPa</w:t>
            </w:r>
          </w:p>
        </w:tc>
        <w:tc>
          <w:tcPr>
            <w:tcW w:w="752" w:type="pct"/>
          </w:tcPr>
          <w:p w14:paraId="5E68EAD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n/a</w:t>
            </w:r>
          </w:p>
        </w:tc>
        <w:tc>
          <w:tcPr>
            <w:tcW w:w="644" w:type="pct"/>
          </w:tcPr>
          <w:p w14:paraId="7A05151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46.3 %)</w:t>
            </w:r>
          </w:p>
        </w:tc>
        <w:tc>
          <w:tcPr>
            <w:tcW w:w="1665" w:type="pct"/>
          </w:tcPr>
          <w:p w14:paraId="3007D46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Odourless</w:t>
            </w:r>
          </w:p>
        </w:tc>
        <w:tc>
          <w:tcPr>
            <w:tcW w:w="599" w:type="pct"/>
          </w:tcPr>
          <w:p w14:paraId="376D19D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6F840D96" w14:textId="4A57A460"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Re</w:t>
            </w:r>
            <w:r w:rsidR="002C2AC5" w:rsidRPr="00B65D57">
              <w:rPr>
                <w:rFonts w:eastAsia="Calibri"/>
                <w:snapToGrid w:val="0"/>
                <w:sz w:val="18"/>
                <w:szCs w:val="18"/>
                <w:lang w:eastAsia="fi-FI"/>
              </w:rPr>
              <w:t>port</w:t>
            </w:r>
            <w:r w:rsidRPr="00B65D57">
              <w:rPr>
                <w:rFonts w:eastAsia="Calibri"/>
                <w:snapToGrid w:val="0"/>
                <w:sz w:val="18"/>
                <w:szCs w:val="18"/>
                <w:lang w:eastAsia="fi-FI"/>
              </w:rPr>
              <w:t xml:space="preserve"> no. 140185</w:t>
            </w:r>
          </w:p>
        </w:tc>
      </w:tr>
      <w:tr w:rsidR="00635F3E" w:rsidRPr="00B65D57" w14:paraId="3C4256FA" w14:textId="77777777" w:rsidTr="00553245">
        <w:trPr>
          <w:trHeight w:val="240"/>
        </w:trPr>
        <w:tc>
          <w:tcPr>
            <w:tcW w:w="535" w:type="pct"/>
          </w:tcPr>
          <w:p w14:paraId="78DB978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3.2.</w:t>
            </w:r>
          </w:p>
        </w:tc>
        <w:tc>
          <w:tcPr>
            <w:tcW w:w="805" w:type="pct"/>
          </w:tcPr>
          <w:p w14:paraId="1B5084D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Acidity, alkalinity and pH value</w:t>
            </w:r>
          </w:p>
        </w:tc>
        <w:tc>
          <w:tcPr>
            <w:tcW w:w="752" w:type="pct"/>
          </w:tcPr>
          <w:p w14:paraId="7B03DBBA" w14:textId="77777777" w:rsidR="00635F3E" w:rsidRPr="00B65D57" w:rsidRDefault="00635F3E" w:rsidP="00635F3E">
            <w:pPr>
              <w:widowControl w:val="0"/>
              <w:rPr>
                <w:rFonts w:eastAsia="Calibri"/>
                <w:snapToGrid w:val="0"/>
                <w:sz w:val="18"/>
                <w:szCs w:val="18"/>
                <w:lang w:val="sv-SE" w:eastAsia="fi-FI"/>
              </w:rPr>
            </w:pPr>
            <w:r w:rsidRPr="00B65D57">
              <w:rPr>
                <w:rFonts w:eastAsia="Calibri"/>
                <w:snapToGrid w:val="0"/>
                <w:sz w:val="18"/>
                <w:szCs w:val="18"/>
                <w:lang w:val="sv-SE" w:eastAsia="fi-FI"/>
              </w:rPr>
              <w:t>SS-EN ISO 10523:2012</w:t>
            </w:r>
          </w:p>
          <w:p w14:paraId="5E11694D" w14:textId="77777777" w:rsidR="00635F3E" w:rsidRPr="00B65D57" w:rsidRDefault="00635F3E" w:rsidP="00635F3E">
            <w:pPr>
              <w:widowControl w:val="0"/>
              <w:rPr>
                <w:rFonts w:eastAsia="Calibri"/>
                <w:snapToGrid w:val="0"/>
                <w:sz w:val="18"/>
                <w:szCs w:val="18"/>
                <w:lang w:val="sv-SE" w:eastAsia="fi-FI"/>
              </w:rPr>
            </w:pPr>
          </w:p>
          <w:p w14:paraId="5D019D31" w14:textId="77777777" w:rsidR="00635F3E" w:rsidRPr="00B65D57" w:rsidRDefault="00635F3E" w:rsidP="00635F3E">
            <w:pPr>
              <w:widowControl w:val="0"/>
              <w:rPr>
                <w:rFonts w:eastAsia="Calibri"/>
                <w:snapToGrid w:val="0"/>
                <w:sz w:val="18"/>
                <w:szCs w:val="18"/>
                <w:lang w:val="sv-SE" w:eastAsia="fi-FI"/>
              </w:rPr>
            </w:pPr>
            <w:r w:rsidRPr="00B65D57">
              <w:rPr>
                <w:rFonts w:eastAsia="Calibri"/>
                <w:snapToGrid w:val="0"/>
                <w:sz w:val="18"/>
                <w:szCs w:val="18"/>
                <w:lang w:val="sv-SE" w:eastAsia="fi-FI"/>
              </w:rPr>
              <w:t>SS-EN ISO 9963-2</w:t>
            </w:r>
          </w:p>
          <w:p w14:paraId="21F8420F" w14:textId="77777777" w:rsidR="00635F3E" w:rsidRPr="00B65D57" w:rsidRDefault="00635F3E" w:rsidP="00635F3E">
            <w:pPr>
              <w:widowControl w:val="0"/>
              <w:rPr>
                <w:rFonts w:eastAsia="Calibri"/>
                <w:snapToGrid w:val="0"/>
                <w:sz w:val="18"/>
                <w:szCs w:val="18"/>
                <w:lang w:val="sv-SE" w:eastAsia="fi-FI"/>
              </w:rPr>
            </w:pPr>
          </w:p>
          <w:p w14:paraId="4C0B0A72" w14:textId="77777777" w:rsidR="00635F3E" w:rsidRPr="00B65D57" w:rsidRDefault="00635F3E" w:rsidP="00635F3E">
            <w:pPr>
              <w:widowControl w:val="0"/>
              <w:rPr>
                <w:rFonts w:eastAsia="Calibri"/>
                <w:snapToGrid w:val="0"/>
                <w:sz w:val="18"/>
                <w:szCs w:val="18"/>
                <w:lang w:val="sv-SE" w:eastAsia="fi-FI"/>
              </w:rPr>
            </w:pPr>
          </w:p>
        </w:tc>
        <w:tc>
          <w:tcPr>
            <w:tcW w:w="644" w:type="pct"/>
          </w:tcPr>
          <w:p w14:paraId="5E9C9ED0" w14:textId="328C5A6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w:t>
            </w:r>
            <w:r w:rsidR="00E303AD" w:rsidRPr="00B65D57">
              <w:rPr>
                <w:rFonts w:eastAsia="Calibri"/>
                <w:snapToGrid w:val="0"/>
                <w:sz w:val="18"/>
                <w:szCs w:val="18"/>
                <w:lang w:eastAsia="fi-FI"/>
              </w:rPr>
              <w:t xml:space="preserve"> </w:t>
            </w:r>
            <w:r w:rsidRPr="00B65D57">
              <w:rPr>
                <w:rFonts w:eastAsia="Calibri"/>
                <w:snapToGrid w:val="0"/>
                <w:sz w:val="18"/>
                <w:szCs w:val="18"/>
                <w:lang w:eastAsia="fi-FI"/>
              </w:rPr>
              <w:t>%)</w:t>
            </w:r>
          </w:p>
        </w:tc>
        <w:tc>
          <w:tcPr>
            <w:tcW w:w="1665" w:type="pct"/>
          </w:tcPr>
          <w:p w14:paraId="398584E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pH</w:t>
            </w:r>
          </w:p>
          <w:p w14:paraId="5247741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12 % w/w: 7.3 ± 0.1 (at 25°C)</w:t>
            </w:r>
          </w:p>
          <w:p w14:paraId="1A3E8E9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1 % w/w: 8.5 ± 0.1 (at 25°C)</w:t>
            </w:r>
          </w:p>
          <w:p w14:paraId="6CF0518D" w14:textId="77777777" w:rsidR="00635F3E" w:rsidRPr="00B65D57" w:rsidRDefault="00635F3E" w:rsidP="00635F3E">
            <w:pPr>
              <w:widowControl w:val="0"/>
              <w:rPr>
                <w:rFonts w:eastAsia="Calibri"/>
                <w:snapToGrid w:val="0"/>
                <w:sz w:val="18"/>
                <w:szCs w:val="18"/>
                <w:lang w:eastAsia="fi-FI"/>
              </w:rPr>
            </w:pPr>
          </w:p>
          <w:p w14:paraId="5A75783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Alkalinity</w:t>
            </w:r>
          </w:p>
          <w:p w14:paraId="6792E39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12 % w/w: 23.8 ± 2.2 g HCO3/l (at 25°C)</w:t>
            </w:r>
          </w:p>
          <w:p w14:paraId="093349B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1 % w/w: 1.94 ± 0.09 g HCO3/l (at 25°C)</w:t>
            </w:r>
          </w:p>
        </w:tc>
        <w:tc>
          <w:tcPr>
            <w:tcW w:w="599" w:type="pct"/>
          </w:tcPr>
          <w:p w14:paraId="0F9ED99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5C0EBBAA" w14:textId="6B02B059"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tc>
      </w:tr>
      <w:tr w:rsidR="00635F3E" w:rsidRPr="00B65D57" w14:paraId="1F8C7AFA" w14:textId="77777777" w:rsidTr="00553245">
        <w:trPr>
          <w:trHeight w:val="481"/>
        </w:trPr>
        <w:tc>
          <w:tcPr>
            <w:tcW w:w="535" w:type="pct"/>
            <w:tcBorders>
              <w:top w:val="single" w:sz="4" w:space="0" w:color="auto"/>
              <w:left w:val="single" w:sz="4" w:space="0" w:color="auto"/>
              <w:bottom w:val="single" w:sz="4" w:space="0" w:color="auto"/>
              <w:right w:val="single" w:sz="4" w:space="0" w:color="auto"/>
            </w:tcBorders>
          </w:tcPr>
          <w:p w14:paraId="580F961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3.3.</w:t>
            </w:r>
          </w:p>
        </w:tc>
        <w:tc>
          <w:tcPr>
            <w:tcW w:w="805" w:type="pct"/>
            <w:tcBorders>
              <w:top w:val="single" w:sz="4" w:space="0" w:color="auto"/>
              <w:left w:val="single" w:sz="4" w:space="0" w:color="auto"/>
              <w:bottom w:val="single" w:sz="4" w:space="0" w:color="auto"/>
              <w:right w:val="single" w:sz="4" w:space="0" w:color="auto"/>
            </w:tcBorders>
          </w:tcPr>
          <w:p w14:paraId="68FD4E4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Relative density / bulk density</w:t>
            </w:r>
          </w:p>
        </w:tc>
        <w:tc>
          <w:tcPr>
            <w:tcW w:w="752" w:type="pct"/>
            <w:tcBorders>
              <w:top w:val="single" w:sz="4" w:space="0" w:color="auto"/>
              <w:left w:val="single" w:sz="4" w:space="0" w:color="auto"/>
              <w:bottom w:val="single" w:sz="4" w:space="0" w:color="auto"/>
              <w:right w:val="single" w:sz="4" w:space="0" w:color="auto"/>
            </w:tcBorders>
          </w:tcPr>
          <w:p w14:paraId="58B047B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CIPAC MT 186</w:t>
            </w:r>
          </w:p>
          <w:p w14:paraId="7DBD10F9" w14:textId="77777777" w:rsidR="00635F3E" w:rsidRPr="00B65D57" w:rsidRDefault="00635F3E" w:rsidP="00635F3E">
            <w:pPr>
              <w:widowControl w:val="0"/>
              <w:rPr>
                <w:rFonts w:eastAsia="Calibri"/>
                <w:snapToGrid w:val="0"/>
                <w:sz w:val="18"/>
                <w:szCs w:val="18"/>
                <w:lang w:eastAsia="fi-FI"/>
              </w:rPr>
            </w:pPr>
          </w:p>
          <w:p w14:paraId="59410F3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OECD Test Guideline 109 (rev. 2012) Pycnometer test SS-ISO 758</w:t>
            </w:r>
          </w:p>
        </w:tc>
        <w:tc>
          <w:tcPr>
            <w:tcW w:w="644" w:type="pct"/>
            <w:tcBorders>
              <w:top w:val="single" w:sz="4" w:space="0" w:color="auto"/>
              <w:left w:val="single" w:sz="4" w:space="0" w:color="auto"/>
              <w:bottom w:val="single" w:sz="4" w:space="0" w:color="auto"/>
              <w:right w:val="single" w:sz="4" w:space="0" w:color="auto"/>
            </w:tcBorders>
          </w:tcPr>
          <w:p w14:paraId="2FF1035A" w14:textId="22569F54"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w:t>
            </w:r>
            <w:r w:rsidR="00E303AD" w:rsidRPr="00B65D57">
              <w:rPr>
                <w:rFonts w:eastAsia="Calibri"/>
                <w:snapToGrid w:val="0"/>
                <w:sz w:val="18"/>
                <w:szCs w:val="18"/>
                <w:lang w:eastAsia="fi-FI"/>
              </w:rPr>
              <w:t xml:space="preserve"> </w:t>
            </w:r>
            <w:r w:rsidRPr="00B65D57">
              <w:rPr>
                <w:rFonts w:eastAsia="Calibri"/>
                <w:snapToGrid w:val="0"/>
                <w:sz w:val="18"/>
                <w:szCs w:val="18"/>
                <w:lang w:eastAsia="fi-FI"/>
              </w:rPr>
              <w:t>%)</w:t>
            </w:r>
          </w:p>
          <w:p w14:paraId="4C1A55C8" w14:textId="77777777" w:rsidR="00635F3E" w:rsidRPr="00B65D57" w:rsidRDefault="00635F3E" w:rsidP="00635F3E">
            <w:pPr>
              <w:widowControl w:val="0"/>
              <w:rPr>
                <w:rFonts w:eastAsia="Calibri"/>
                <w:snapToGrid w:val="0"/>
                <w:sz w:val="18"/>
                <w:szCs w:val="18"/>
                <w:lang w:eastAsia="fi-FI"/>
              </w:rPr>
            </w:pPr>
          </w:p>
        </w:tc>
        <w:tc>
          <w:tcPr>
            <w:tcW w:w="1665" w:type="pct"/>
            <w:tcBorders>
              <w:top w:val="single" w:sz="4" w:space="0" w:color="auto"/>
              <w:left w:val="single" w:sz="4" w:space="0" w:color="auto"/>
              <w:bottom w:val="single" w:sz="4" w:space="0" w:color="auto"/>
              <w:right w:val="single" w:sz="4" w:space="0" w:color="auto"/>
            </w:tcBorders>
          </w:tcPr>
          <w:p w14:paraId="2959BB70" w14:textId="77777777" w:rsidR="00635F3E" w:rsidRPr="00325E28" w:rsidRDefault="00635F3E" w:rsidP="00635F3E">
            <w:pPr>
              <w:widowControl w:val="0"/>
              <w:rPr>
                <w:rFonts w:eastAsia="Calibri"/>
                <w:snapToGrid w:val="0"/>
                <w:sz w:val="18"/>
                <w:szCs w:val="18"/>
                <w:lang w:val="da-DK" w:eastAsia="fi-FI"/>
              </w:rPr>
            </w:pPr>
            <w:r w:rsidRPr="00325E28">
              <w:rPr>
                <w:rFonts w:eastAsia="Calibri"/>
                <w:snapToGrid w:val="0"/>
                <w:sz w:val="18"/>
                <w:szCs w:val="18"/>
                <w:lang w:val="da-DK" w:eastAsia="fi-FI"/>
              </w:rPr>
              <w:t>Pour density: 0.949 kg/dm-3  ± 0.005 kg/dm-3</w:t>
            </w:r>
          </w:p>
          <w:p w14:paraId="72789319" w14:textId="77777777" w:rsidR="00635F3E" w:rsidRPr="00325E28" w:rsidRDefault="00635F3E" w:rsidP="00635F3E">
            <w:pPr>
              <w:widowControl w:val="0"/>
              <w:rPr>
                <w:rFonts w:eastAsia="Calibri"/>
                <w:snapToGrid w:val="0"/>
                <w:sz w:val="18"/>
                <w:szCs w:val="18"/>
                <w:lang w:val="da-DK" w:eastAsia="fi-FI"/>
              </w:rPr>
            </w:pPr>
            <w:r w:rsidRPr="00325E28">
              <w:rPr>
                <w:rFonts w:eastAsia="Calibri"/>
                <w:snapToGrid w:val="0"/>
                <w:sz w:val="18"/>
                <w:szCs w:val="18"/>
                <w:lang w:val="da-DK" w:eastAsia="fi-FI"/>
              </w:rPr>
              <w:t>Tap density: 1.01 kg/dm-3  ± 0.003 kg/dm-3</w:t>
            </w:r>
          </w:p>
          <w:p w14:paraId="16B01700" w14:textId="77777777" w:rsidR="00635F3E" w:rsidRPr="00325E28" w:rsidRDefault="00635F3E" w:rsidP="00635F3E">
            <w:pPr>
              <w:widowControl w:val="0"/>
              <w:rPr>
                <w:rFonts w:eastAsia="Calibri"/>
                <w:snapToGrid w:val="0"/>
                <w:sz w:val="18"/>
                <w:szCs w:val="18"/>
                <w:lang w:val="da-DK" w:eastAsia="fi-FI"/>
              </w:rPr>
            </w:pPr>
          </w:p>
          <w:p w14:paraId="7C6F2AA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Aqueous soln. 12 % w/w </w:t>
            </w:r>
          </w:p>
          <w:p w14:paraId="4FC3FF5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1.05 g/mL ± 0,0002 g/mL (at 21.5°C)</w:t>
            </w:r>
          </w:p>
          <w:p w14:paraId="06515FF8" w14:textId="78CAB9DF" w:rsidR="00635F3E" w:rsidRPr="00B65D57" w:rsidRDefault="00635F3E" w:rsidP="00635F3E">
            <w:pPr>
              <w:widowControl w:val="0"/>
              <w:rPr>
                <w:rFonts w:eastAsia="Calibri"/>
                <w:snapToGrid w:val="0"/>
                <w:sz w:val="18"/>
                <w:szCs w:val="18"/>
                <w:lang w:eastAsia="fi-FI"/>
              </w:rPr>
            </w:pPr>
          </w:p>
        </w:tc>
        <w:tc>
          <w:tcPr>
            <w:tcW w:w="599" w:type="pct"/>
            <w:tcBorders>
              <w:top w:val="single" w:sz="4" w:space="0" w:color="auto"/>
              <w:left w:val="single" w:sz="4" w:space="0" w:color="auto"/>
              <w:bottom w:val="single" w:sz="4" w:space="0" w:color="auto"/>
              <w:right w:val="single" w:sz="4" w:space="0" w:color="auto"/>
            </w:tcBorders>
          </w:tcPr>
          <w:p w14:paraId="7ADB5CD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4C84D92D" w14:textId="015A5050"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tc>
      </w:tr>
      <w:tr w:rsidR="00635F3E" w:rsidRPr="00B65D57" w14:paraId="723EF210" w14:textId="77777777" w:rsidTr="00553245">
        <w:trPr>
          <w:trHeight w:val="722"/>
        </w:trPr>
        <w:tc>
          <w:tcPr>
            <w:tcW w:w="535" w:type="pct"/>
          </w:tcPr>
          <w:p w14:paraId="6B56845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3.4.1.1.</w:t>
            </w:r>
          </w:p>
        </w:tc>
        <w:tc>
          <w:tcPr>
            <w:tcW w:w="805" w:type="pct"/>
          </w:tcPr>
          <w:p w14:paraId="711ED37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Storage stability test – </w:t>
            </w:r>
            <w:r w:rsidRPr="00B65D57">
              <w:rPr>
                <w:rFonts w:eastAsia="Calibri"/>
                <w:b/>
                <w:snapToGrid w:val="0"/>
                <w:sz w:val="18"/>
                <w:szCs w:val="18"/>
                <w:lang w:eastAsia="fi-FI"/>
              </w:rPr>
              <w:t>accelerated storage</w:t>
            </w:r>
          </w:p>
        </w:tc>
        <w:tc>
          <w:tcPr>
            <w:tcW w:w="752" w:type="pct"/>
          </w:tcPr>
          <w:p w14:paraId="58F834B0" w14:textId="502040AE" w:rsidR="00635F3E" w:rsidRPr="00251079" w:rsidRDefault="00455E9F" w:rsidP="00635F3E">
            <w:pPr>
              <w:widowControl w:val="0"/>
              <w:jc w:val="both"/>
              <w:rPr>
                <w:rFonts w:eastAsia="Calibri"/>
                <w:snapToGrid w:val="0"/>
                <w:sz w:val="18"/>
                <w:szCs w:val="18"/>
                <w:lang w:val="sv-SE" w:eastAsia="fi-FI"/>
              </w:rPr>
            </w:pPr>
            <w:r>
              <w:rPr>
                <w:rFonts w:eastAsia="Calibri"/>
                <w:snapToGrid w:val="0"/>
                <w:sz w:val="18"/>
                <w:szCs w:val="18"/>
                <w:lang w:val="sv-SE" w:eastAsia="fi-FI"/>
              </w:rPr>
              <w:t>n/a</w:t>
            </w:r>
          </w:p>
        </w:tc>
        <w:tc>
          <w:tcPr>
            <w:tcW w:w="644" w:type="pct"/>
          </w:tcPr>
          <w:p w14:paraId="306D09BC" w14:textId="0EE5852D" w:rsidR="00635F3E" w:rsidRPr="00B65D57" w:rsidRDefault="00DE0935" w:rsidP="00DE0935">
            <w:pPr>
              <w:widowControl w:val="0"/>
              <w:rPr>
                <w:rFonts w:eastAsia="Calibri"/>
                <w:snapToGrid w:val="0"/>
                <w:sz w:val="18"/>
                <w:szCs w:val="18"/>
                <w:lang w:eastAsia="fi-FI"/>
              </w:rPr>
            </w:pPr>
            <w:r>
              <w:rPr>
                <w:rFonts w:eastAsia="Calibri"/>
                <w:snapToGrid w:val="0"/>
                <w:sz w:val="18"/>
                <w:szCs w:val="18"/>
                <w:lang w:eastAsia="fi-FI"/>
              </w:rPr>
              <w:t>-</w:t>
            </w:r>
          </w:p>
        </w:tc>
        <w:tc>
          <w:tcPr>
            <w:tcW w:w="1665" w:type="pct"/>
          </w:tcPr>
          <w:p w14:paraId="556DAE5C" w14:textId="438559F9" w:rsidR="00635F3E" w:rsidRPr="00B65D57" w:rsidRDefault="00DE0935" w:rsidP="00DE0935">
            <w:pPr>
              <w:widowControl w:val="0"/>
              <w:rPr>
                <w:rFonts w:eastAsia="Calibri"/>
                <w:iCs/>
                <w:snapToGrid w:val="0"/>
                <w:sz w:val="18"/>
                <w:szCs w:val="18"/>
                <w:lang w:eastAsia="fi-FI"/>
              </w:rPr>
            </w:pPr>
            <w:r>
              <w:rPr>
                <w:rFonts w:eastAsia="Calibri"/>
                <w:iCs/>
                <w:snapToGrid w:val="0"/>
                <w:sz w:val="18"/>
                <w:szCs w:val="18"/>
                <w:lang w:eastAsia="fi-FI"/>
              </w:rPr>
              <w:t xml:space="preserve">Test waived. The phrase “Do not store above 25 </w:t>
            </w:r>
            <w:r w:rsidRPr="00B65D57">
              <w:rPr>
                <w:rFonts w:eastAsia="Calibri"/>
                <w:snapToGrid w:val="0"/>
                <w:sz w:val="18"/>
                <w:szCs w:val="18"/>
                <w:lang w:eastAsia="fi-FI"/>
              </w:rPr>
              <w:t>ºC</w:t>
            </w:r>
            <w:r>
              <w:rPr>
                <w:rFonts w:eastAsia="Calibri"/>
                <w:snapToGrid w:val="0"/>
                <w:sz w:val="18"/>
                <w:szCs w:val="18"/>
                <w:lang w:eastAsia="fi-FI"/>
              </w:rPr>
              <w:t xml:space="preserve">.” </w:t>
            </w:r>
            <w:r w:rsidR="00AC28FD">
              <w:rPr>
                <w:rFonts w:eastAsia="Calibri"/>
                <w:snapToGrid w:val="0"/>
                <w:sz w:val="18"/>
                <w:szCs w:val="18"/>
                <w:lang w:eastAsia="fi-FI"/>
              </w:rPr>
              <w:t>should</w:t>
            </w:r>
            <w:r>
              <w:rPr>
                <w:rFonts w:eastAsia="Calibri"/>
                <w:snapToGrid w:val="0"/>
                <w:sz w:val="18"/>
                <w:szCs w:val="18"/>
                <w:lang w:eastAsia="fi-FI"/>
              </w:rPr>
              <w:t xml:space="preserve"> be indicated on the label.</w:t>
            </w:r>
          </w:p>
        </w:tc>
        <w:tc>
          <w:tcPr>
            <w:tcW w:w="599" w:type="pct"/>
          </w:tcPr>
          <w:p w14:paraId="467E3187" w14:textId="083FD0C7" w:rsidR="00635F3E" w:rsidRPr="00B65D57" w:rsidRDefault="00DE0935" w:rsidP="00635F3E">
            <w:pPr>
              <w:widowControl w:val="0"/>
              <w:rPr>
                <w:rFonts w:eastAsia="Calibri"/>
                <w:snapToGrid w:val="0"/>
                <w:sz w:val="18"/>
                <w:szCs w:val="18"/>
                <w:lang w:eastAsia="fi-FI"/>
              </w:rPr>
            </w:pPr>
            <w:r>
              <w:rPr>
                <w:rFonts w:eastAsia="Calibri"/>
                <w:snapToGrid w:val="0"/>
                <w:sz w:val="18"/>
                <w:szCs w:val="18"/>
                <w:lang w:eastAsia="fi-FI"/>
              </w:rPr>
              <w:t>-</w:t>
            </w:r>
          </w:p>
        </w:tc>
      </w:tr>
      <w:tr w:rsidR="00635F3E" w:rsidRPr="00B65D57" w14:paraId="71116BF8" w14:textId="77777777" w:rsidTr="00553245">
        <w:trPr>
          <w:trHeight w:val="1218"/>
        </w:trPr>
        <w:tc>
          <w:tcPr>
            <w:tcW w:w="535" w:type="pct"/>
          </w:tcPr>
          <w:p w14:paraId="73D950D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3.4.1.2.</w:t>
            </w:r>
          </w:p>
        </w:tc>
        <w:tc>
          <w:tcPr>
            <w:tcW w:w="805" w:type="pct"/>
          </w:tcPr>
          <w:p w14:paraId="72FF19D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Storage stability test – </w:t>
            </w:r>
            <w:r w:rsidRPr="00B65D57">
              <w:rPr>
                <w:rFonts w:eastAsia="Calibri"/>
                <w:b/>
                <w:snapToGrid w:val="0"/>
                <w:sz w:val="18"/>
                <w:szCs w:val="18"/>
                <w:lang w:eastAsia="fi-FI"/>
              </w:rPr>
              <w:t>long-term storage at ambient temperature</w:t>
            </w:r>
          </w:p>
        </w:tc>
        <w:tc>
          <w:tcPr>
            <w:tcW w:w="752" w:type="pct"/>
          </w:tcPr>
          <w:p w14:paraId="3F8FA0A1" w14:textId="77777777" w:rsidR="00635F3E" w:rsidRPr="00B65D57" w:rsidRDefault="00635F3E" w:rsidP="00635F3E">
            <w:pPr>
              <w:widowControl w:val="0"/>
              <w:rPr>
                <w:rFonts w:eastAsia="Calibri"/>
                <w:snapToGrid w:val="0"/>
                <w:sz w:val="18"/>
                <w:szCs w:val="18"/>
                <w:lang w:val="sv-SE" w:eastAsia="fi-FI"/>
              </w:rPr>
            </w:pPr>
            <w:r w:rsidRPr="00B65D57">
              <w:rPr>
                <w:rFonts w:eastAsia="Calibri"/>
                <w:snapToGrid w:val="0"/>
                <w:sz w:val="18"/>
                <w:szCs w:val="18"/>
                <w:lang w:eastAsia="fi-FI"/>
              </w:rPr>
              <w:t xml:space="preserve">GIFAP (Croplife International) monograph no. 17, 3:rd ed. </w:t>
            </w:r>
            <w:r w:rsidRPr="00B65D57">
              <w:rPr>
                <w:rFonts w:eastAsia="Calibri"/>
                <w:snapToGrid w:val="0"/>
                <w:sz w:val="18"/>
                <w:szCs w:val="18"/>
                <w:lang w:val="sv-SE" w:eastAsia="fi-FI"/>
              </w:rPr>
              <w:t>(2021)</w:t>
            </w:r>
          </w:p>
          <w:p w14:paraId="041211A4" w14:textId="77777777" w:rsidR="00635F3E" w:rsidRPr="00B65D57" w:rsidRDefault="00635F3E" w:rsidP="00635F3E">
            <w:pPr>
              <w:widowControl w:val="0"/>
              <w:rPr>
                <w:rFonts w:eastAsia="Calibri"/>
                <w:snapToGrid w:val="0"/>
                <w:sz w:val="18"/>
                <w:szCs w:val="18"/>
                <w:lang w:val="sv-SE" w:eastAsia="fi-FI"/>
              </w:rPr>
            </w:pPr>
          </w:p>
          <w:p w14:paraId="443B6930" w14:textId="77777777" w:rsidR="00635F3E" w:rsidRPr="00B65D57" w:rsidRDefault="00635F3E" w:rsidP="00635F3E">
            <w:pPr>
              <w:widowControl w:val="0"/>
              <w:rPr>
                <w:rFonts w:eastAsia="Calibri"/>
                <w:snapToGrid w:val="0"/>
                <w:sz w:val="18"/>
                <w:szCs w:val="18"/>
                <w:lang w:val="sv-SE" w:eastAsia="fi-FI"/>
              </w:rPr>
            </w:pPr>
            <w:r w:rsidRPr="00B65D57">
              <w:rPr>
                <w:rFonts w:eastAsia="Calibri"/>
                <w:snapToGrid w:val="0"/>
                <w:sz w:val="18"/>
                <w:szCs w:val="18"/>
                <w:lang w:val="sv-SE" w:eastAsia="fi-FI"/>
              </w:rPr>
              <w:t>SS EN ISO 17294-1</w:t>
            </w:r>
          </w:p>
          <w:p w14:paraId="2E5B24C3" w14:textId="77777777" w:rsidR="00E303AD" w:rsidRPr="00B65D57" w:rsidRDefault="00E303AD" w:rsidP="00E303AD">
            <w:pPr>
              <w:widowControl w:val="0"/>
              <w:rPr>
                <w:rFonts w:eastAsia="Calibri"/>
                <w:snapToGrid w:val="0"/>
                <w:sz w:val="18"/>
                <w:szCs w:val="18"/>
                <w:lang w:val="sv-SE" w:eastAsia="fi-FI"/>
              </w:rPr>
            </w:pPr>
            <w:r w:rsidRPr="00B65D57">
              <w:rPr>
                <w:rFonts w:eastAsia="Calibri"/>
                <w:snapToGrid w:val="0"/>
                <w:sz w:val="18"/>
                <w:szCs w:val="18"/>
                <w:lang w:val="sv-SE" w:eastAsia="fi-FI"/>
              </w:rPr>
              <w:t>SS EN ISO 17294-1</w:t>
            </w:r>
          </w:p>
          <w:p w14:paraId="363F4183" w14:textId="0E49A733" w:rsidR="00635F3E" w:rsidRPr="00B65D57" w:rsidRDefault="00406A9E" w:rsidP="00635F3E">
            <w:pPr>
              <w:widowControl w:val="0"/>
              <w:rPr>
                <w:rFonts w:eastAsia="Calibri"/>
                <w:iCs/>
                <w:snapToGrid w:val="0"/>
                <w:sz w:val="18"/>
                <w:szCs w:val="18"/>
                <w:lang w:eastAsia="fi-FI"/>
              </w:rPr>
            </w:pPr>
            <w:r w:rsidRPr="00B65D57">
              <w:rPr>
                <w:rFonts w:eastAsia="Calibri"/>
                <w:iCs/>
                <w:snapToGrid w:val="0"/>
                <w:sz w:val="18"/>
                <w:szCs w:val="18"/>
                <w:lang w:eastAsia="fi-FI"/>
              </w:rPr>
              <w:t>US EPA 200.8</w:t>
            </w:r>
          </w:p>
        </w:tc>
        <w:tc>
          <w:tcPr>
            <w:tcW w:w="644" w:type="pct"/>
          </w:tcPr>
          <w:p w14:paraId="33C107B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46.3 %)</w:t>
            </w:r>
          </w:p>
          <w:p w14:paraId="0F52027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Batch AJP 1-5</w:t>
            </w:r>
          </w:p>
          <w:p w14:paraId="5835B39F" w14:textId="77777777" w:rsidR="00635F3E" w:rsidRPr="00B65D57" w:rsidRDefault="00635F3E" w:rsidP="00635F3E">
            <w:pPr>
              <w:widowControl w:val="0"/>
              <w:rPr>
                <w:rFonts w:eastAsia="Calibri"/>
                <w:snapToGrid w:val="0"/>
                <w:sz w:val="18"/>
                <w:szCs w:val="18"/>
                <w:lang w:eastAsia="fi-FI"/>
              </w:rPr>
            </w:pPr>
          </w:p>
        </w:tc>
        <w:tc>
          <w:tcPr>
            <w:tcW w:w="1665" w:type="pct"/>
          </w:tcPr>
          <w:p w14:paraId="1F38C88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Storage: 10 weeks at 25 ºC (22.6% Rh)</w:t>
            </w:r>
          </w:p>
          <w:p w14:paraId="6071E73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Packaging: 1 L HDPE container</w:t>
            </w:r>
          </w:p>
          <w:p w14:paraId="0CC012B5" w14:textId="77777777" w:rsidR="00635F3E" w:rsidRPr="00B65D57" w:rsidRDefault="00635F3E" w:rsidP="00635F3E">
            <w:pPr>
              <w:widowControl w:val="0"/>
              <w:rPr>
                <w:rFonts w:eastAsia="Calibri"/>
                <w:snapToGrid w:val="0"/>
                <w:sz w:val="18"/>
                <w:szCs w:val="18"/>
                <w:lang w:eastAsia="fi-FI"/>
              </w:rPr>
            </w:pPr>
          </w:p>
          <w:p w14:paraId="3F9A688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Appearance</w:t>
            </w:r>
          </w:p>
          <w:p w14:paraId="21A97E9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Initial: white solid, no lumps or caking</w:t>
            </w:r>
          </w:p>
          <w:p w14:paraId="7E69C4A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After storage: white solid, no lumps or caking</w:t>
            </w:r>
          </w:p>
          <w:p w14:paraId="3AAB745F" w14:textId="77777777" w:rsidR="00635F3E" w:rsidRPr="00B65D57" w:rsidRDefault="00635F3E" w:rsidP="00635F3E">
            <w:pPr>
              <w:widowControl w:val="0"/>
              <w:rPr>
                <w:rFonts w:eastAsia="Calibri"/>
                <w:snapToGrid w:val="0"/>
                <w:sz w:val="18"/>
                <w:szCs w:val="18"/>
                <w:lang w:eastAsia="fi-FI"/>
              </w:rPr>
            </w:pPr>
          </w:p>
          <w:p w14:paraId="5E9C31A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Active substance content</w:t>
            </w:r>
          </w:p>
          <w:p w14:paraId="2929EF5F" w14:textId="77777777" w:rsidR="00635F3E" w:rsidRPr="007E6B84" w:rsidRDefault="00635F3E" w:rsidP="00635F3E">
            <w:pPr>
              <w:widowControl w:val="0"/>
              <w:rPr>
                <w:rFonts w:eastAsia="Calibri"/>
                <w:snapToGrid w:val="0"/>
                <w:sz w:val="18"/>
                <w:szCs w:val="18"/>
                <w:highlight w:val="black"/>
                <w:lang w:eastAsia="fi-FI"/>
              </w:rPr>
            </w:pPr>
            <w:r w:rsidRPr="007E6B84">
              <w:rPr>
                <w:rFonts w:eastAsia="Calibri"/>
                <w:snapToGrid w:val="0"/>
                <w:sz w:val="18"/>
                <w:szCs w:val="18"/>
                <w:highlight w:val="black"/>
                <w:u w:val="single"/>
                <w:lang w:eastAsia="fi-FI"/>
              </w:rPr>
              <w:t>Boron</w:t>
            </w:r>
            <w:r w:rsidRPr="007E6B84">
              <w:rPr>
                <w:rFonts w:eastAsia="Calibri"/>
                <w:snapToGrid w:val="0"/>
                <w:sz w:val="18"/>
                <w:szCs w:val="18"/>
                <w:highlight w:val="black"/>
                <w:lang w:eastAsia="fi-FI"/>
              </w:rPr>
              <w:t xml:space="preserve"> (total nominal content: 16.1 % w/w based on a min. purity of 99% for boric acid and disodium tetraborate pentahydrate)</w:t>
            </w:r>
          </w:p>
          <w:p w14:paraId="48D0D439" w14:textId="77777777" w:rsidR="00635F3E" w:rsidRPr="007E6B84" w:rsidRDefault="00635F3E" w:rsidP="00635F3E">
            <w:pPr>
              <w:widowControl w:val="0"/>
              <w:rPr>
                <w:rFonts w:eastAsia="Calibri"/>
                <w:snapToGrid w:val="0"/>
                <w:sz w:val="18"/>
                <w:szCs w:val="18"/>
                <w:highlight w:val="black"/>
                <w:lang w:eastAsia="fi-FI"/>
              </w:rPr>
            </w:pPr>
            <w:r w:rsidRPr="007E6B84">
              <w:rPr>
                <w:rFonts w:eastAsia="Calibri"/>
                <w:snapToGrid w:val="0"/>
                <w:sz w:val="18"/>
                <w:szCs w:val="18"/>
                <w:highlight w:val="black"/>
                <w:lang w:eastAsia="fi-FI"/>
              </w:rPr>
              <w:t>Initial: 14.8 % w/w</w:t>
            </w:r>
          </w:p>
          <w:p w14:paraId="0E6A57D7" w14:textId="77777777" w:rsidR="00635F3E" w:rsidRPr="007E6B84" w:rsidRDefault="00635F3E" w:rsidP="00635F3E">
            <w:pPr>
              <w:widowControl w:val="0"/>
              <w:rPr>
                <w:rFonts w:eastAsia="Calibri"/>
                <w:snapToGrid w:val="0"/>
                <w:sz w:val="18"/>
                <w:szCs w:val="18"/>
                <w:highlight w:val="black"/>
                <w:lang w:eastAsia="fi-FI"/>
              </w:rPr>
            </w:pPr>
            <w:r w:rsidRPr="007E6B84">
              <w:rPr>
                <w:rFonts w:eastAsia="Calibri"/>
                <w:snapToGrid w:val="0"/>
                <w:sz w:val="18"/>
                <w:szCs w:val="18"/>
                <w:highlight w:val="black"/>
                <w:lang w:eastAsia="fi-FI"/>
              </w:rPr>
              <w:t>After storage: 15.5 % w/w (+4.7 %)</w:t>
            </w:r>
          </w:p>
          <w:p w14:paraId="20B89160" w14:textId="77777777" w:rsidR="00635F3E" w:rsidRPr="007E6B84" w:rsidRDefault="00635F3E" w:rsidP="00635F3E">
            <w:pPr>
              <w:widowControl w:val="0"/>
              <w:rPr>
                <w:rFonts w:eastAsia="Calibri"/>
                <w:snapToGrid w:val="0"/>
                <w:sz w:val="18"/>
                <w:szCs w:val="18"/>
                <w:highlight w:val="black"/>
                <w:lang w:eastAsia="fi-FI"/>
              </w:rPr>
            </w:pPr>
            <w:r w:rsidRPr="007E6B84">
              <w:rPr>
                <w:rFonts w:eastAsia="Calibri"/>
                <w:snapToGrid w:val="0"/>
                <w:sz w:val="18"/>
                <w:szCs w:val="18"/>
                <w:highlight w:val="black"/>
                <w:u w:val="single"/>
                <w:lang w:eastAsia="fi-FI"/>
              </w:rPr>
              <w:t>Sodium</w:t>
            </w:r>
            <w:r w:rsidRPr="007E6B84">
              <w:rPr>
                <w:rFonts w:eastAsia="Calibri"/>
                <w:snapToGrid w:val="0"/>
                <w:sz w:val="18"/>
                <w:szCs w:val="18"/>
                <w:highlight w:val="black"/>
                <w:lang w:eastAsia="fi-FI"/>
              </w:rPr>
              <w:t xml:space="preserve"> (total nominal content: 7.2 % w/w based on a min. purity of 99% for disodium tetraborate pentahydrate)</w:t>
            </w:r>
          </w:p>
          <w:p w14:paraId="63ADC12D" w14:textId="77777777" w:rsidR="00635F3E" w:rsidRPr="007E6B84" w:rsidRDefault="00635F3E" w:rsidP="00635F3E">
            <w:pPr>
              <w:widowControl w:val="0"/>
              <w:rPr>
                <w:rFonts w:eastAsia="Calibri"/>
                <w:snapToGrid w:val="0"/>
                <w:sz w:val="18"/>
                <w:szCs w:val="18"/>
                <w:highlight w:val="black"/>
                <w:lang w:eastAsia="fi-FI"/>
              </w:rPr>
            </w:pPr>
            <w:r w:rsidRPr="007E6B84">
              <w:rPr>
                <w:rFonts w:eastAsia="Calibri"/>
                <w:snapToGrid w:val="0"/>
                <w:sz w:val="18"/>
                <w:szCs w:val="18"/>
                <w:highlight w:val="black"/>
                <w:lang w:eastAsia="fi-FI"/>
              </w:rPr>
              <w:t>Initial: 6.6 % w/w</w:t>
            </w:r>
          </w:p>
          <w:p w14:paraId="1BD8C91F" w14:textId="77777777" w:rsidR="00635F3E" w:rsidRPr="00B65D57" w:rsidRDefault="00635F3E" w:rsidP="00635F3E">
            <w:pPr>
              <w:widowControl w:val="0"/>
              <w:rPr>
                <w:rFonts w:eastAsia="Calibri"/>
                <w:snapToGrid w:val="0"/>
                <w:sz w:val="18"/>
                <w:szCs w:val="18"/>
                <w:lang w:eastAsia="fi-FI"/>
              </w:rPr>
            </w:pPr>
            <w:r w:rsidRPr="007E6B84">
              <w:rPr>
                <w:rFonts w:eastAsia="Calibri"/>
                <w:snapToGrid w:val="0"/>
                <w:sz w:val="18"/>
                <w:szCs w:val="18"/>
                <w:highlight w:val="black"/>
                <w:lang w:eastAsia="fi-FI"/>
              </w:rPr>
              <w:t>After storage: 7.5 % w/w (+13.9 %)</w:t>
            </w:r>
          </w:p>
          <w:p w14:paraId="66A861B5" w14:textId="77777777" w:rsidR="00635F3E" w:rsidRPr="00B65D57" w:rsidRDefault="00635F3E" w:rsidP="00635F3E">
            <w:pPr>
              <w:widowControl w:val="0"/>
              <w:rPr>
                <w:rFonts w:eastAsia="Calibri"/>
                <w:snapToGrid w:val="0"/>
                <w:sz w:val="18"/>
                <w:szCs w:val="18"/>
                <w:lang w:eastAsia="fi-FI"/>
              </w:rPr>
            </w:pPr>
          </w:p>
          <w:p w14:paraId="64B9467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pH (SS-EN ISO 10523)</w:t>
            </w:r>
          </w:p>
          <w:p w14:paraId="32D19B7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(1 % aq. soln., at 25°C)</w:t>
            </w:r>
          </w:p>
          <w:p w14:paraId="2E46530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Initial: 8.5</w:t>
            </w:r>
          </w:p>
          <w:p w14:paraId="5AEC778E" w14:textId="77777777" w:rsidR="00635F3E" w:rsidRPr="004E139D" w:rsidRDefault="00635F3E" w:rsidP="00635F3E">
            <w:pPr>
              <w:widowControl w:val="0"/>
              <w:rPr>
                <w:rFonts w:eastAsia="Calibri"/>
                <w:snapToGrid w:val="0"/>
                <w:sz w:val="18"/>
                <w:szCs w:val="18"/>
                <w:lang w:val="sv-SE" w:eastAsia="fi-FI"/>
              </w:rPr>
            </w:pPr>
            <w:r w:rsidRPr="004E139D">
              <w:rPr>
                <w:rFonts w:eastAsia="Calibri"/>
                <w:snapToGrid w:val="0"/>
                <w:sz w:val="18"/>
                <w:szCs w:val="18"/>
                <w:lang w:val="sv-SE" w:eastAsia="fi-FI"/>
              </w:rPr>
              <w:t>After storage: 8.5</w:t>
            </w:r>
          </w:p>
          <w:p w14:paraId="3CB36305" w14:textId="77777777" w:rsidR="00635F3E" w:rsidRPr="004E139D" w:rsidRDefault="00635F3E" w:rsidP="00635F3E">
            <w:pPr>
              <w:widowControl w:val="0"/>
              <w:rPr>
                <w:rFonts w:eastAsia="Calibri"/>
                <w:snapToGrid w:val="0"/>
                <w:sz w:val="18"/>
                <w:szCs w:val="18"/>
                <w:lang w:val="sv-SE" w:eastAsia="fi-FI"/>
              </w:rPr>
            </w:pPr>
          </w:p>
          <w:p w14:paraId="48EA87E3" w14:textId="77777777" w:rsidR="00635F3E" w:rsidRPr="004E139D" w:rsidRDefault="00635F3E" w:rsidP="00635F3E">
            <w:pPr>
              <w:widowControl w:val="0"/>
              <w:rPr>
                <w:rFonts w:eastAsia="Calibri"/>
                <w:snapToGrid w:val="0"/>
                <w:sz w:val="18"/>
                <w:szCs w:val="18"/>
                <w:lang w:val="sv-SE" w:eastAsia="fi-FI"/>
              </w:rPr>
            </w:pPr>
            <w:r w:rsidRPr="004E139D">
              <w:rPr>
                <w:rFonts w:eastAsia="Calibri"/>
                <w:snapToGrid w:val="0"/>
                <w:sz w:val="18"/>
                <w:szCs w:val="18"/>
                <w:lang w:val="sv-SE" w:eastAsia="fi-FI"/>
              </w:rPr>
              <w:t>Alkalinity (SS-EN ISO 9963-2)</w:t>
            </w:r>
          </w:p>
          <w:p w14:paraId="686BFDD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(1 % aq. soln., at 25 °C)</w:t>
            </w:r>
          </w:p>
          <w:p w14:paraId="11F5C39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Initial: 1.9 g HCO</w:t>
            </w:r>
            <w:r w:rsidRPr="00B65D57">
              <w:rPr>
                <w:rFonts w:eastAsia="Calibri"/>
                <w:snapToGrid w:val="0"/>
                <w:sz w:val="18"/>
                <w:szCs w:val="18"/>
                <w:vertAlign w:val="subscript"/>
                <w:lang w:eastAsia="fi-FI"/>
              </w:rPr>
              <w:t>3</w:t>
            </w:r>
            <w:r w:rsidRPr="00B65D57">
              <w:rPr>
                <w:rFonts w:eastAsia="Calibri"/>
                <w:snapToGrid w:val="0"/>
                <w:sz w:val="18"/>
                <w:szCs w:val="18"/>
                <w:vertAlign w:val="superscript"/>
                <w:lang w:eastAsia="fi-FI"/>
              </w:rPr>
              <w:t>-</w:t>
            </w:r>
            <w:r w:rsidRPr="00B65D57">
              <w:rPr>
                <w:rFonts w:eastAsia="Calibri"/>
                <w:snapToGrid w:val="0"/>
                <w:sz w:val="18"/>
                <w:szCs w:val="18"/>
                <w:lang w:eastAsia="fi-FI"/>
              </w:rPr>
              <w:t>/L</w:t>
            </w:r>
          </w:p>
          <w:p w14:paraId="1C5CA72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After storage: 1.9 g HCO</w:t>
            </w:r>
            <w:r w:rsidRPr="00B65D57">
              <w:rPr>
                <w:rFonts w:eastAsia="Calibri"/>
                <w:snapToGrid w:val="0"/>
                <w:sz w:val="18"/>
                <w:szCs w:val="18"/>
                <w:vertAlign w:val="subscript"/>
                <w:lang w:eastAsia="fi-FI"/>
              </w:rPr>
              <w:t>3</w:t>
            </w:r>
            <w:r w:rsidRPr="00B65D57">
              <w:rPr>
                <w:rFonts w:eastAsia="Calibri"/>
                <w:snapToGrid w:val="0"/>
                <w:sz w:val="18"/>
                <w:szCs w:val="18"/>
                <w:vertAlign w:val="superscript"/>
                <w:lang w:eastAsia="fi-FI"/>
              </w:rPr>
              <w:t>-</w:t>
            </w:r>
            <w:r w:rsidRPr="00B65D57">
              <w:rPr>
                <w:rFonts w:eastAsia="Calibri"/>
                <w:snapToGrid w:val="0"/>
                <w:sz w:val="18"/>
                <w:szCs w:val="18"/>
                <w:lang w:eastAsia="fi-FI"/>
              </w:rPr>
              <w:t>/L</w:t>
            </w:r>
          </w:p>
          <w:p w14:paraId="298591AF" w14:textId="77777777" w:rsidR="00635F3E" w:rsidRPr="00B65D57" w:rsidRDefault="00635F3E" w:rsidP="00635F3E">
            <w:pPr>
              <w:widowControl w:val="0"/>
              <w:rPr>
                <w:rFonts w:eastAsia="Calibri"/>
                <w:snapToGrid w:val="0"/>
                <w:sz w:val="18"/>
                <w:szCs w:val="18"/>
                <w:lang w:eastAsia="fi-FI"/>
              </w:rPr>
            </w:pPr>
          </w:p>
          <w:p w14:paraId="0432AC7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Degree of dissolution and dilution stability (CIPAC MT 179.1)</w:t>
            </w:r>
          </w:p>
          <w:p w14:paraId="270FD695"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Conc.: 30 g in 250 mL water</w:t>
            </w:r>
          </w:p>
          <w:p w14:paraId="25A7DB3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Initial: 0.031 % (5 min), 0.027 % (24 h)</w:t>
            </w:r>
          </w:p>
          <w:p w14:paraId="339077B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After storage: 0.031 % (5 min), 0.025 % (24 h)</w:t>
            </w:r>
          </w:p>
          <w:p w14:paraId="484E4315" w14:textId="77777777" w:rsidR="00635F3E" w:rsidRPr="00B65D57" w:rsidRDefault="00635F3E" w:rsidP="00635F3E">
            <w:pPr>
              <w:widowControl w:val="0"/>
              <w:rPr>
                <w:rFonts w:eastAsia="Calibri"/>
                <w:snapToGrid w:val="0"/>
                <w:sz w:val="18"/>
                <w:szCs w:val="18"/>
                <w:lang w:eastAsia="fi-FI"/>
              </w:rPr>
            </w:pPr>
          </w:p>
          <w:p w14:paraId="7D706A0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Dustiness (CIPAC MT 171.1, gravimetric)</w:t>
            </w:r>
          </w:p>
          <w:p w14:paraId="5CA0498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Initial: 9.9 mg (nearly dust-free)</w:t>
            </w:r>
          </w:p>
          <w:p w14:paraId="0C30FEA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After storage: 6.0 mg (nearly dust-free)</w:t>
            </w:r>
          </w:p>
          <w:p w14:paraId="4EA550BC" w14:textId="77777777" w:rsidR="00635F3E" w:rsidRPr="00B65D57" w:rsidRDefault="00635F3E" w:rsidP="00635F3E">
            <w:pPr>
              <w:widowControl w:val="0"/>
              <w:rPr>
                <w:rFonts w:eastAsia="Calibri"/>
                <w:snapToGrid w:val="0"/>
                <w:sz w:val="18"/>
                <w:szCs w:val="18"/>
                <w:lang w:eastAsia="fi-FI"/>
              </w:rPr>
            </w:pPr>
          </w:p>
          <w:p w14:paraId="37172BD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Attrition resistance (CIPAC MT 178)</w:t>
            </w:r>
          </w:p>
          <w:p w14:paraId="0EFAA8E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Initial: 94.4%</w:t>
            </w:r>
          </w:p>
          <w:p w14:paraId="412DB9A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After storage: 94.8%</w:t>
            </w:r>
          </w:p>
          <w:p w14:paraId="1237DD17" w14:textId="77777777" w:rsidR="00635F3E" w:rsidRPr="00B65D57" w:rsidRDefault="00635F3E" w:rsidP="00635F3E">
            <w:pPr>
              <w:widowControl w:val="0"/>
              <w:rPr>
                <w:rFonts w:eastAsia="Calibri"/>
                <w:snapToGrid w:val="0"/>
                <w:sz w:val="18"/>
                <w:szCs w:val="18"/>
                <w:lang w:eastAsia="fi-FI"/>
              </w:rPr>
            </w:pPr>
          </w:p>
          <w:p w14:paraId="04296F4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Stability of packaging</w:t>
            </w:r>
          </w:p>
          <w:p w14:paraId="449EF24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Initial: Intact container and without leakages.</w:t>
            </w:r>
          </w:p>
          <w:p w14:paraId="20C14E7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After storage: Container remains intact. No seepage, ballooning or panelling observed. Weight change &lt;0.005%.</w:t>
            </w:r>
          </w:p>
          <w:p w14:paraId="32EBAEFA" w14:textId="77777777" w:rsidR="00635F3E" w:rsidRPr="00B65D57" w:rsidRDefault="00635F3E" w:rsidP="00635F3E">
            <w:pPr>
              <w:widowControl w:val="0"/>
              <w:jc w:val="both"/>
              <w:rPr>
                <w:rFonts w:eastAsia="Calibri"/>
                <w:snapToGrid w:val="0"/>
                <w:sz w:val="18"/>
                <w:szCs w:val="18"/>
                <w:lang w:eastAsia="fi-FI"/>
              </w:rPr>
            </w:pPr>
          </w:p>
        </w:tc>
        <w:tc>
          <w:tcPr>
            <w:tcW w:w="599" w:type="pct"/>
          </w:tcPr>
          <w:p w14:paraId="16A489C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Theorin, M. (2022)</w:t>
            </w:r>
          </w:p>
          <w:p w14:paraId="41478DA3" w14:textId="62F29DB0"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Report no.</w:t>
            </w:r>
            <w:r w:rsidR="00635F3E" w:rsidRPr="00B65D57">
              <w:rPr>
                <w:rFonts w:eastAsia="Calibri"/>
                <w:snapToGrid w:val="0"/>
                <w:sz w:val="18"/>
                <w:szCs w:val="18"/>
                <w:lang w:eastAsia="fi-FI"/>
              </w:rPr>
              <w:t xml:space="preserve"> 140185</w:t>
            </w:r>
          </w:p>
        </w:tc>
      </w:tr>
      <w:tr w:rsidR="00635F3E" w:rsidRPr="00B65D57" w14:paraId="368DE8DE" w14:textId="77777777" w:rsidTr="00553245">
        <w:trPr>
          <w:trHeight w:val="963"/>
        </w:trPr>
        <w:tc>
          <w:tcPr>
            <w:tcW w:w="535" w:type="pct"/>
          </w:tcPr>
          <w:p w14:paraId="44680D6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3.4.1.3.</w:t>
            </w:r>
          </w:p>
        </w:tc>
        <w:tc>
          <w:tcPr>
            <w:tcW w:w="805" w:type="pct"/>
          </w:tcPr>
          <w:p w14:paraId="66D7935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Storage stability test – </w:t>
            </w:r>
            <w:r w:rsidRPr="00B65D57">
              <w:rPr>
                <w:rFonts w:eastAsia="Calibri"/>
                <w:b/>
                <w:snapToGrid w:val="0"/>
                <w:sz w:val="18"/>
                <w:szCs w:val="18"/>
                <w:lang w:eastAsia="fi-FI"/>
              </w:rPr>
              <w:t>low temperature stability test for liquids</w:t>
            </w:r>
          </w:p>
        </w:tc>
        <w:tc>
          <w:tcPr>
            <w:tcW w:w="752" w:type="pct"/>
          </w:tcPr>
          <w:p w14:paraId="773B754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n/a</w:t>
            </w:r>
          </w:p>
        </w:tc>
        <w:tc>
          <w:tcPr>
            <w:tcW w:w="644" w:type="pct"/>
          </w:tcPr>
          <w:p w14:paraId="3F0ED90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37A85F8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solid formulations.</w:t>
            </w:r>
          </w:p>
        </w:tc>
        <w:tc>
          <w:tcPr>
            <w:tcW w:w="599" w:type="pct"/>
          </w:tcPr>
          <w:p w14:paraId="51654ED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37642D69" w14:textId="77777777" w:rsidTr="00553245">
        <w:trPr>
          <w:trHeight w:val="722"/>
        </w:trPr>
        <w:tc>
          <w:tcPr>
            <w:tcW w:w="535" w:type="pct"/>
          </w:tcPr>
          <w:p w14:paraId="7D2B5BEB" w14:textId="77777777" w:rsidR="00635F3E" w:rsidRPr="00B65D57" w:rsidRDefault="00635F3E" w:rsidP="00635F3E">
            <w:pPr>
              <w:widowControl w:val="0"/>
              <w:rPr>
                <w:rFonts w:eastAsia="Calibri"/>
                <w:snapToGrid w:val="0"/>
                <w:sz w:val="18"/>
                <w:szCs w:val="18"/>
                <w:lang w:eastAsia="en-US"/>
              </w:rPr>
            </w:pPr>
            <w:r w:rsidRPr="00B65D57">
              <w:rPr>
                <w:rFonts w:eastAsia="Calibri"/>
                <w:snapToGrid w:val="0"/>
                <w:sz w:val="18"/>
                <w:szCs w:val="18"/>
                <w:lang w:eastAsia="fi-FI"/>
              </w:rPr>
              <w:t>3.4.2.1.</w:t>
            </w:r>
          </w:p>
        </w:tc>
        <w:tc>
          <w:tcPr>
            <w:tcW w:w="805" w:type="pct"/>
          </w:tcPr>
          <w:p w14:paraId="03724D52" w14:textId="77777777" w:rsidR="00635F3E" w:rsidRPr="00B65D57" w:rsidRDefault="00635F3E" w:rsidP="00635F3E">
            <w:pPr>
              <w:widowControl w:val="0"/>
              <w:rPr>
                <w:rFonts w:eastAsia="Calibri"/>
                <w:snapToGrid w:val="0"/>
                <w:sz w:val="18"/>
                <w:szCs w:val="18"/>
                <w:vertAlign w:val="superscript"/>
                <w:lang w:eastAsia="en-US"/>
              </w:rPr>
            </w:pPr>
            <w:r w:rsidRPr="00B65D57">
              <w:rPr>
                <w:rFonts w:eastAsia="Calibri"/>
                <w:snapToGrid w:val="0"/>
                <w:sz w:val="18"/>
                <w:szCs w:val="18"/>
                <w:lang w:eastAsia="en-US"/>
              </w:rPr>
              <w:t xml:space="preserve">Effects on content of the active substance and technical characteristics of the biocidal product – </w:t>
            </w:r>
            <w:r w:rsidRPr="00B65D57">
              <w:rPr>
                <w:rFonts w:eastAsia="Calibri"/>
                <w:b/>
                <w:snapToGrid w:val="0"/>
                <w:sz w:val="18"/>
                <w:szCs w:val="18"/>
                <w:lang w:eastAsia="en-US"/>
              </w:rPr>
              <w:t>light</w:t>
            </w:r>
          </w:p>
        </w:tc>
        <w:tc>
          <w:tcPr>
            <w:tcW w:w="752" w:type="pct"/>
          </w:tcPr>
          <w:p w14:paraId="530CFB82" w14:textId="77777777" w:rsidR="00635F3E" w:rsidRPr="00B65D57" w:rsidRDefault="00635F3E" w:rsidP="00635F3E">
            <w:pPr>
              <w:widowControl w:val="0"/>
              <w:rPr>
                <w:rFonts w:eastAsia="Calibri"/>
                <w:snapToGrid w:val="0"/>
                <w:sz w:val="18"/>
                <w:szCs w:val="18"/>
                <w:lang w:eastAsia="en-US"/>
              </w:rPr>
            </w:pPr>
            <w:r w:rsidRPr="00B65D57">
              <w:rPr>
                <w:rFonts w:eastAsia="Calibri"/>
                <w:snapToGrid w:val="0"/>
                <w:sz w:val="18"/>
                <w:szCs w:val="18"/>
                <w:lang w:eastAsia="en-US"/>
              </w:rPr>
              <w:t>n/a</w:t>
            </w:r>
          </w:p>
        </w:tc>
        <w:tc>
          <w:tcPr>
            <w:tcW w:w="644" w:type="pct"/>
          </w:tcPr>
          <w:p w14:paraId="34199753" w14:textId="77777777" w:rsidR="00635F3E" w:rsidRPr="00B65D57" w:rsidRDefault="00635F3E" w:rsidP="00635F3E">
            <w:pPr>
              <w:widowControl w:val="0"/>
              <w:rPr>
                <w:rFonts w:eastAsia="Calibri"/>
                <w:snapToGrid w:val="0"/>
                <w:sz w:val="18"/>
                <w:szCs w:val="18"/>
                <w:lang w:eastAsia="en-US"/>
              </w:rPr>
            </w:pPr>
            <w:r w:rsidRPr="00B65D57">
              <w:rPr>
                <w:rFonts w:eastAsia="Calibri"/>
                <w:snapToGrid w:val="0"/>
                <w:sz w:val="18"/>
                <w:szCs w:val="18"/>
                <w:lang w:eastAsia="en-US"/>
              </w:rPr>
              <w:t>-</w:t>
            </w:r>
          </w:p>
        </w:tc>
        <w:tc>
          <w:tcPr>
            <w:tcW w:w="1665" w:type="pct"/>
          </w:tcPr>
          <w:p w14:paraId="54CF109C" w14:textId="77777777" w:rsidR="00635F3E" w:rsidRPr="00B65D57" w:rsidRDefault="00635F3E" w:rsidP="00635F3E">
            <w:pPr>
              <w:widowControl w:val="0"/>
              <w:rPr>
                <w:rFonts w:eastAsia="Calibri"/>
                <w:snapToGrid w:val="0"/>
                <w:sz w:val="18"/>
                <w:szCs w:val="18"/>
                <w:lang w:eastAsia="en-US"/>
              </w:rPr>
            </w:pPr>
            <w:r w:rsidRPr="00B65D57">
              <w:rPr>
                <w:rFonts w:eastAsia="Calibri"/>
                <w:snapToGrid w:val="0"/>
                <w:sz w:val="18"/>
                <w:szCs w:val="18"/>
                <w:lang w:eastAsia="en-US"/>
              </w:rPr>
              <w:t>Boric acid and disodium tetraborate do not have absorption maximum or minimum in neutral, basic or acidic medium in the range 190-750 nm. Jerbor is therefore considered to be stable to light.</w:t>
            </w:r>
          </w:p>
        </w:tc>
        <w:tc>
          <w:tcPr>
            <w:tcW w:w="599" w:type="pct"/>
          </w:tcPr>
          <w:p w14:paraId="26BD1920" w14:textId="77777777" w:rsidR="00635F3E" w:rsidRPr="00B65D57" w:rsidRDefault="00635F3E" w:rsidP="00635F3E">
            <w:pPr>
              <w:widowControl w:val="0"/>
              <w:rPr>
                <w:rFonts w:eastAsia="Calibri"/>
                <w:iCs/>
                <w:snapToGrid w:val="0"/>
                <w:sz w:val="18"/>
                <w:szCs w:val="18"/>
                <w:lang w:eastAsia="en-US"/>
              </w:rPr>
            </w:pPr>
            <w:r w:rsidRPr="00B65D57">
              <w:rPr>
                <w:rFonts w:eastAsia="Calibri"/>
                <w:iCs/>
                <w:snapToGrid w:val="0"/>
                <w:sz w:val="18"/>
                <w:szCs w:val="18"/>
                <w:lang w:eastAsia="en-US"/>
              </w:rPr>
              <w:t>CAR Boric acid (2009)</w:t>
            </w:r>
          </w:p>
          <w:p w14:paraId="3F799C0B" w14:textId="77777777" w:rsidR="00635F3E" w:rsidRPr="00B65D57" w:rsidRDefault="00635F3E" w:rsidP="00635F3E">
            <w:pPr>
              <w:widowControl w:val="0"/>
              <w:rPr>
                <w:rFonts w:eastAsia="Calibri"/>
                <w:iCs/>
                <w:snapToGrid w:val="0"/>
                <w:sz w:val="18"/>
                <w:szCs w:val="18"/>
                <w:lang w:eastAsia="en-US"/>
              </w:rPr>
            </w:pPr>
            <w:r w:rsidRPr="00B65D57">
              <w:rPr>
                <w:rFonts w:eastAsia="Calibri"/>
                <w:iCs/>
                <w:snapToGrid w:val="0"/>
                <w:sz w:val="18"/>
                <w:szCs w:val="18"/>
                <w:lang w:eastAsia="en-US"/>
              </w:rPr>
              <w:t>CAR Disodium tetraborate (2009)</w:t>
            </w:r>
          </w:p>
        </w:tc>
      </w:tr>
      <w:tr w:rsidR="00635F3E" w:rsidRPr="00B65D57" w14:paraId="700BBFC3" w14:textId="77777777" w:rsidTr="00553245">
        <w:trPr>
          <w:trHeight w:val="1700"/>
        </w:trPr>
        <w:tc>
          <w:tcPr>
            <w:tcW w:w="535" w:type="pct"/>
          </w:tcPr>
          <w:p w14:paraId="192EDFB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3.4.2.2.</w:t>
            </w:r>
          </w:p>
        </w:tc>
        <w:tc>
          <w:tcPr>
            <w:tcW w:w="805" w:type="pct"/>
          </w:tcPr>
          <w:p w14:paraId="3648A59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Effects on content of the active substance and technical characteristics of the biocidal product – </w:t>
            </w:r>
            <w:r w:rsidRPr="00B65D57">
              <w:rPr>
                <w:rFonts w:eastAsia="Calibri"/>
                <w:b/>
                <w:snapToGrid w:val="0"/>
                <w:sz w:val="18"/>
                <w:szCs w:val="18"/>
                <w:lang w:eastAsia="fi-FI"/>
              </w:rPr>
              <w:t>temperature and humidity</w:t>
            </w:r>
          </w:p>
        </w:tc>
        <w:tc>
          <w:tcPr>
            <w:tcW w:w="752" w:type="pct"/>
          </w:tcPr>
          <w:p w14:paraId="1C05DB0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n/a</w:t>
            </w:r>
          </w:p>
        </w:tc>
        <w:tc>
          <w:tcPr>
            <w:tcW w:w="644" w:type="pct"/>
          </w:tcPr>
          <w:p w14:paraId="27B0DD29" w14:textId="304B389B" w:rsidR="00635F3E" w:rsidRPr="00B65D57" w:rsidRDefault="00455E9F" w:rsidP="00635F3E">
            <w:pPr>
              <w:widowControl w:val="0"/>
              <w:rPr>
                <w:rFonts w:eastAsia="Calibri"/>
                <w:snapToGrid w:val="0"/>
                <w:sz w:val="18"/>
                <w:szCs w:val="18"/>
                <w:lang w:eastAsia="fi-FI"/>
              </w:rPr>
            </w:pPr>
            <w:r>
              <w:rPr>
                <w:rFonts w:eastAsia="Calibri"/>
                <w:snapToGrid w:val="0"/>
                <w:sz w:val="18"/>
                <w:szCs w:val="18"/>
                <w:lang w:eastAsia="fi-FI"/>
              </w:rPr>
              <w:t>-</w:t>
            </w:r>
          </w:p>
        </w:tc>
        <w:tc>
          <w:tcPr>
            <w:tcW w:w="1665" w:type="pct"/>
          </w:tcPr>
          <w:p w14:paraId="47212F28" w14:textId="41E4A350" w:rsidR="00635F3E" w:rsidRPr="00B65D57" w:rsidRDefault="00AC28FD" w:rsidP="00635F3E">
            <w:pPr>
              <w:widowControl w:val="0"/>
              <w:jc w:val="both"/>
              <w:rPr>
                <w:rFonts w:eastAsia="Calibri"/>
                <w:snapToGrid w:val="0"/>
                <w:sz w:val="18"/>
                <w:szCs w:val="18"/>
                <w:lang w:eastAsia="fi-FI"/>
              </w:rPr>
            </w:pPr>
            <w:r>
              <w:rPr>
                <w:rFonts w:eastAsia="Calibri"/>
                <w:snapToGrid w:val="0"/>
                <w:sz w:val="18"/>
                <w:szCs w:val="18"/>
                <w:lang w:eastAsia="fi-FI"/>
              </w:rPr>
              <w:t>Boric acid and disodium tetraborate show tendency for caking with temperature cycling and exposure to humid environment. The phrase “</w:t>
            </w:r>
            <w:r w:rsidR="00E1671C" w:rsidRPr="00E1671C">
              <w:rPr>
                <w:rFonts w:eastAsia="Calibri"/>
                <w:snapToGrid w:val="0"/>
                <w:sz w:val="18"/>
                <w:szCs w:val="18"/>
                <w:lang w:eastAsia="fi-FI"/>
              </w:rPr>
              <w:t>Store in original container in a dry, cool, and well-ventilated place</w:t>
            </w:r>
            <w:r>
              <w:rPr>
                <w:rFonts w:eastAsia="Calibri"/>
                <w:snapToGrid w:val="0"/>
                <w:sz w:val="18"/>
                <w:szCs w:val="18"/>
                <w:lang w:eastAsia="fi-FI"/>
              </w:rPr>
              <w:t>.”</w:t>
            </w:r>
            <w:r w:rsidR="00635F3E" w:rsidRPr="00B65D57">
              <w:rPr>
                <w:rFonts w:eastAsia="Calibri"/>
                <w:snapToGrid w:val="0"/>
                <w:sz w:val="18"/>
                <w:szCs w:val="18"/>
                <w:lang w:eastAsia="fi-FI"/>
              </w:rPr>
              <w:t xml:space="preserve"> </w:t>
            </w:r>
            <w:r>
              <w:rPr>
                <w:rFonts w:eastAsia="Calibri"/>
                <w:snapToGrid w:val="0"/>
                <w:sz w:val="18"/>
                <w:szCs w:val="18"/>
                <w:lang w:eastAsia="fi-FI"/>
              </w:rPr>
              <w:t>should be indicated on the label.</w:t>
            </w:r>
          </w:p>
        </w:tc>
        <w:tc>
          <w:tcPr>
            <w:tcW w:w="599" w:type="pct"/>
          </w:tcPr>
          <w:p w14:paraId="27F7FF59" w14:textId="52B5D3CB" w:rsidR="00635F3E" w:rsidRPr="00B65D57" w:rsidRDefault="0009462A" w:rsidP="00635F3E">
            <w:pPr>
              <w:widowControl w:val="0"/>
              <w:rPr>
                <w:rFonts w:eastAsia="Calibri"/>
                <w:snapToGrid w:val="0"/>
                <w:sz w:val="18"/>
                <w:szCs w:val="18"/>
                <w:lang w:eastAsia="fi-FI"/>
              </w:rPr>
            </w:pPr>
            <w:r>
              <w:rPr>
                <w:rFonts w:eastAsia="Calibri"/>
                <w:snapToGrid w:val="0"/>
                <w:sz w:val="18"/>
                <w:szCs w:val="18"/>
                <w:lang w:eastAsia="fi-FI"/>
              </w:rPr>
              <w:t>-</w:t>
            </w:r>
          </w:p>
        </w:tc>
      </w:tr>
      <w:tr w:rsidR="00635F3E" w:rsidRPr="00B65D57" w14:paraId="2D065906" w14:textId="77777777" w:rsidTr="00553245">
        <w:trPr>
          <w:trHeight w:val="1700"/>
        </w:trPr>
        <w:tc>
          <w:tcPr>
            <w:tcW w:w="535" w:type="pct"/>
          </w:tcPr>
          <w:p w14:paraId="0DC8922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3.4.2.3.</w:t>
            </w:r>
          </w:p>
        </w:tc>
        <w:tc>
          <w:tcPr>
            <w:tcW w:w="805" w:type="pct"/>
          </w:tcPr>
          <w:p w14:paraId="629BB4D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Effects on content of the active substance and technical characteristics of the biocidal product - </w:t>
            </w:r>
            <w:r w:rsidRPr="00B65D57">
              <w:rPr>
                <w:rFonts w:eastAsia="Calibri"/>
                <w:b/>
                <w:snapToGrid w:val="0"/>
                <w:sz w:val="18"/>
                <w:szCs w:val="18"/>
                <w:lang w:eastAsia="fi-FI"/>
              </w:rPr>
              <w:t>reactivity towards container material</w:t>
            </w:r>
          </w:p>
        </w:tc>
        <w:tc>
          <w:tcPr>
            <w:tcW w:w="752" w:type="pct"/>
          </w:tcPr>
          <w:p w14:paraId="0A7476D1" w14:textId="77777777" w:rsidR="00635F3E" w:rsidRPr="00B65D57" w:rsidRDefault="00635F3E" w:rsidP="00635F3E">
            <w:pPr>
              <w:widowControl w:val="0"/>
              <w:rPr>
                <w:rFonts w:eastAsia="Calibri"/>
                <w:snapToGrid w:val="0"/>
                <w:sz w:val="18"/>
                <w:szCs w:val="18"/>
                <w:lang w:eastAsia="fi-FI"/>
              </w:rPr>
            </w:pPr>
          </w:p>
        </w:tc>
        <w:tc>
          <w:tcPr>
            <w:tcW w:w="644" w:type="pct"/>
          </w:tcPr>
          <w:p w14:paraId="30FEEEF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46.3 %)</w:t>
            </w:r>
          </w:p>
          <w:p w14:paraId="3F21642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Batch AJP 1-5</w:t>
            </w:r>
          </w:p>
        </w:tc>
        <w:tc>
          <w:tcPr>
            <w:tcW w:w="1665" w:type="pct"/>
          </w:tcPr>
          <w:p w14:paraId="7F0CD6E7" w14:textId="77777777" w:rsidR="00635F3E" w:rsidRPr="00B65D57" w:rsidRDefault="00635F3E" w:rsidP="00635F3E">
            <w:pPr>
              <w:widowControl w:val="0"/>
              <w:jc w:val="both"/>
              <w:rPr>
                <w:rFonts w:eastAsia="Calibri"/>
                <w:snapToGrid w:val="0"/>
                <w:sz w:val="18"/>
                <w:szCs w:val="18"/>
                <w:lang w:eastAsia="fi-FI"/>
              </w:rPr>
            </w:pPr>
            <w:r w:rsidRPr="00B65D57">
              <w:rPr>
                <w:rFonts w:eastAsia="Calibri"/>
                <w:snapToGrid w:val="0"/>
                <w:sz w:val="18"/>
                <w:szCs w:val="18"/>
                <w:lang w:eastAsia="fi-FI"/>
              </w:rPr>
              <w:t>After storage for 10 weeks at ambient temperature, the HDPE-container remained intact and no seepage, ballooning or panelling was observed.</w:t>
            </w:r>
          </w:p>
          <w:p w14:paraId="2A9D63D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 packaging material is compatible with Jerbor.</w:t>
            </w:r>
          </w:p>
        </w:tc>
        <w:tc>
          <w:tcPr>
            <w:tcW w:w="599" w:type="pct"/>
          </w:tcPr>
          <w:p w14:paraId="730BF5C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2CE01EB2" w14:textId="09E04183"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tc>
      </w:tr>
      <w:tr w:rsidR="00635F3E" w:rsidRPr="00B65D57" w14:paraId="348742FB" w14:textId="77777777" w:rsidTr="00553245">
        <w:trPr>
          <w:trHeight w:val="240"/>
        </w:trPr>
        <w:tc>
          <w:tcPr>
            <w:tcW w:w="535" w:type="pct"/>
          </w:tcPr>
          <w:p w14:paraId="6792042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3.5.1.</w:t>
            </w:r>
          </w:p>
        </w:tc>
        <w:tc>
          <w:tcPr>
            <w:tcW w:w="805" w:type="pct"/>
          </w:tcPr>
          <w:p w14:paraId="67B66F9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Wettability </w:t>
            </w:r>
          </w:p>
        </w:tc>
        <w:tc>
          <w:tcPr>
            <w:tcW w:w="752" w:type="pct"/>
          </w:tcPr>
          <w:p w14:paraId="5CE3AD6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25800F1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3CCF30C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738E48A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308CFC56" w14:textId="77777777" w:rsidTr="00553245">
        <w:trPr>
          <w:trHeight w:val="737"/>
        </w:trPr>
        <w:tc>
          <w:tcPr>
            <w:tcW w:w="535" w:type="pct"/>
          </w:tcPr>
          <w:p w14:paraId="4421761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3.5.2.</w:t>
            </w:r>
          </w:p>
        </w:tc>
        <w:tc>
          <w:tcPr>
            <w:tcW w:w="805" w:type="pct"/>
          </w:tcPr>
          <w:p w14:paraId="52BD3C0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Suspensibility, spontaneity, and dispersion stability </w:t>
            </w:r>
          </w:p>
        </w:tc>
        <w:tc>
          <w:tcPr>
            <w:tcW w:w="752" w:type="pct"/>
          </w:tcPr>
          <w:p w14:paraId="40B5D92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1B586E8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2A9433B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128FC53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40B15132" w14:textId="77777777" w:rsidTr="00553245">
        <w:trPr>
          <w:trHeight w:val="481"/>
        </w:trPr>
        <w:tc>
          <w:tcPr>
            <w:tcW w:w="535" w:type="pct"/>
          </w:tcPr>
          <w:p w14:paraId="2BB93BA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3.5.3.</w:t>
            </w:r>
          </w:p>
        </w:tc>
        <w:tc>
          <w:tcPr>
            <w:tcW w:w="805" w:type="pct"/>
          </w:tcPr>
          <w:p w14:paraId="7C32F37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Wet sieve analysis </w:t>
            </w:r>
          </w:p>
        </w:tc>
        <w:tc>
          <w:tcPr>
            <w:tcW w:w="752" w:type="pct"/>
          </w:tcPr>
          <w:p w14:paraId="49B264E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CIPAC MT 185</w:t>
            </w:r>
          </w:p>
        </w:tc>
        <w:tc>
          <w:tcPr>
            <w:tcW w:w="644" w:type="pct"/>
          </w:tcPr>
          <w:p w14:paraId="5BD6FCD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46.3 %)</w:t>
            </w:r>
          </w:p>
          <w:p w14:paraId="61AF948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Batch AJP 1-5</w:t>
            </w:r>
          </w:p>
        </w:tc>
        <w:tc>
          <w:tcPr>
            <w:tcW w:w="1665" w:type="pct"/>
          </w:tcPr>
          <w:p w14:paraId="27E214F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Test concentration: 10 g in 100 mL water</w:t>
            </w:r>
          </w:p>
          <w:p w14:paraId="274B800E" w14:textId="77777777" w:rsidR="00635F3E" w:rsidRPr="00B65D57" w:rsidRDefault="00635F3E" w:rsidP="00635F3E">
            <w:pPr>
              <w:widowControl w:val="0"/>
              <w:rPr>
                <w:rFonts w:eastAsia="Calibri"/>
                <w:snapToGrid w:val="0"/>
                <w:sz w:val="18"/>
                <w:szCs w:val="18"/>
                <w:lang w:eastAsia="fi-FI"/>
              </w:rPr>
            </w:pPr>
          </w:p>
          <w:p w14:paraId="167C6CA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Residue: 0.016 %</w:t>
            </w:r>
          </w:p>
        </w:tc>
        <w:tc>
          <w:tcPr>
            <w:tcW w:w="599" w:type="pct"/>
          </w:tcPr>
          <w:p w14:paraId="3E604AA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0F1C0325" w14:textId="24C5CB90"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tc>
      </w:tr>
      <w:tr w:rsidR="00635F3E" w:rsidRPr="00B65D57" w14:paraId="0EE5DF45" w14:textId="77777777" w:rsidTr="00553245">
        <w:trPr>
          <w:trHeight w:val="722"/>
        </w:trPr>
        <w:tc>
          <w:tcPr>
            <w:tcW w:w="535" w:type="pct"/>
          </w:tcPr>
          <w:p w14:paraId="6D84D23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3.5.4.</w:t>
            </w:r>
          </w:p>
        </w:tc>
        <w:tc>
          <w:tcPr>
            <w:tcW w:w="805" w:type="pct"/>
          </w:tcPr>
          <w:p w14:paraId="1B80724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Emulsifiability, re-emulsifiability and emulsion stability </w:t>
            </w:r>
          </w:p>
        </w:tc>
        <w:tc>
          <w:tcPr>
            <w:tcW w:w="752" w:type="pct"/>
          </w:tcPr>
          <w:p w14:paraId="29ACC49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63FDC00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18BD703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3687B2D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61C58B48" w14:textId="77777777" w:rsidTr="00553245">
        <w:trPr>
          <w:trHeight w:val="240"/>
        </w:trPr>
        <w:tc>
          <w:tcPr>
            <w:tcW w:w="535" w:type="pct"/>
          </w:tcPr>
          <w:p w14:paraId="23B30DC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3.5.5.</w:t>
            </w:r>
          </w:p>
        </w:tc>
        <w:tc>
          <w:tcPr>
            <w:tcW w:w="805" w:type="pct"/>
          </w:tcPr>
          <w:p w14:paraId="2723FEC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Disintegration time</w:t>
            </w:r>
          </w:p>
        </w:tc>
        <w:tc>
          <w:tcPr>
            <w:tcW w:w="752" w:type="pct"/>
          </w:tcPr>
          <w:p w14:paraId="2AF20BA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22B707E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62B7D04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40BE5B6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20813BA6" w14:textId="77777777" w:rsidTr="00406A9E">
        <w:trPr>
          <w:trHeight w:val="2932"/>
        </w:trPr>
        <w:tc>
          <w:tcPr>
            <w:tcW w:w="535" w:type="pct"/>
          </w:tcPr>
          <w:p w14:paraId="727D359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3.5.6.</w:t>
            </w:r>
          </w:p>
        </w:tc>
        <w:tc>
          <w:tcPr>
            <w:tcW w:w="805" w:type="pct"/>
          </w:tcPr>
          <w:p w14:paraId="487D423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Particle size distribution, content of dust/fines, attrition, friability </w:t>
            </w:r>
          </w:p>
        </w:tc>
        <w:tc>
          <w:tcPr>
            <w:tcW w:w="752" w:type="pct"/>
          </w:tcPr>
          <w:p w14:paraId="0862DF2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CIPAC MT 186</w:t>
            </w:r>
          </w:p>
        </w:tc>
        <w:tc>
          <w:tcPr>
            <w:tcW w:w="644" w:type="pct"/>
          </w:tcPr>
          <w:p w14:paraId="5416949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46.3 %)</w:t>
            </w:r>
          </w:p>
          <w:p w14:paraId="014FF12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Batch AJP 1-5</w:t>
            </w:r>
          </w:p>
        </w:tc>
        <w:tc>
          <w:tcPr>
            <w:tcW w:w="1665" w:type="pct"/>
          </w:tcPr>
          <w:p w14:paraId="72E4104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Attrition resistance: 94.4 %</w:t>
            </w:r>
          </w:p>
          <w:p w14:paraId="32517832" w14:textId="77777777" w:rsidR="00635F3E" w:rsidRPr="00B65D57" w:rsidRDefault="00635F3E" w:rsidP="00635F3E">
            <w:pPr>
              <w:widowControl w:val="0"/>
              <w:rPr>
                <w:rFonts w:eastAsia="Calibri"/>
                <w:snapToGrid w:val="0"/>
                <w:sz w:val="18"/>
                <w:szCs w:val="18"/>
                <w:lang w:eastAsia="fi-FI"/>
              </w:rPr>
            </w:pPr>
          </w:p>
          <w:p w14:paraId="7A7CD3AD" w14:textId="77777777" w:rsidR="00635F3E" w:rsidRPr="00B65D57" w:rsidRDefault="00635F3E" w:rsidP="00635F3E">
            <w:pPr>
              <w:widowControl w:val="0"/>
              <w:spacing w:line="360" w:lineRule="auto"/>
              <w:rPr>
                <w:rFonts w:eastAsia="Calibri"/>
                <w:snapToGrid w:val="0"/>
                <w:sz w:val="18"/>
                <w:szCs w:val="18"/>
                <w:lang w:eastAsia="fi-FI"/>
              </w:rPr>
            </w:pPr>
            <w:r w:rsidRPr="00B65D57">
              <w:rPr>
                <w:rFonts w:eastAsia="Calibri"/>
                <w:snapToGrid w:val="0"/>
                <w:sz w:val="18"/>
                <w:szCs w:val="18"/>
                <w:lang w:eastAsia="fi-FI"/>
              </w:rPr>
              <w:t>Particle size distribution (SS-EN 933-1:2012)</w:t>
            </w:r>
          </w:p>
          <w:tbl>
            <w:tblPr>
              <w:tblStyle w:val="Listtabell7frgstark1"/>
              <w:tblW w:w="0" w:type="auto"/>
              <w:tblLayout w:type="fixed"/>
              <w:tblLook w:val="0620" w:firstRow="1" w:lastRow="0" w:firstColumn="0" w:lastColumn="0" w:noHBand="1" w:noVBand="1"/>
            </w:tblPr>
            <w:tblGrid>
              <w:gridCol w:w="1210"/>
              <w:gridCol w:w="1550"/>
            </w:tblGrid>
            <w:tr w:rsidR="00635F3E" w:rsidRPr="00B65D57" w14:paraId="544346F9" w14:textId="77777777" w:rsidTr="00635F3E">
              <w:trPr>
                <w:cnfStyle w:val="100000000000" w:firstRow="1" w:lastRow="0" w:firstColumn="0" w:lastColumn="0" w:oddVBand="0" w:evenVBand="0" w:oddHBand="0" w:evenHBand="0" w:firstRowFirstColumn="0" w:firstRowLastColumn="0" w:lastRowFirstColumn="0" w:lastRowLastColumn="0"/>
              </w:trPr>
              <w:tc>
                <w:tcPr>
                  <w:tcW w:w="1210" w:type="dxa"/>
                </w:tcPr>
                <w:p w14:paraId="21D198EC"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Sieve (mm)</w:t>
                  </w:r>
                </w:p>
              </w:tc>
              <w:tc>
                <w:tcPr>
                  <w:tcW w:w="1550" w:type="dxa"/>
                </w:tcPr>
                <w:p w14:paraId="00E45FFE"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Retained on sieve (%)</w:t>
                  </w:r>
                </w:p>
              </w:tc>
            </w:tr>
            <w:tr w:rsidR="00635F3E" w:rsidRPr="00B65D57" w14:paraId="66A05A2B" w14:textId="77777777" w:rsidTr="00553245">
              <w:tc>
                <w:tcPr>
                  <w:tcW w:w="1210" w:type="dxa"/>
                </w:tcPr>
                <w:p w14:paraId="3406A509"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&lt;0.053</w:t>
                  </w:r>
                </w:p>
              </w:tc>
              <w:tc>
                <w:tcPr>
                  <w:tcW w:w="1550" w:type="dxa"/>
                </w:tcPr>
                <w:p w14:paraId="7DF622C2"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0.9</w:t>
                  </w:r>
                </w:p>
              </w:tc>
            </w:tr>
            <w:tr w:rsidR="00635F3E" w:rsidRPr="00B65D57" w14:paraId="38FFE8EB" w14:textId="77777777" w:rsidTr="00553245">
              <w:tc>
                <w:tcPr>
                  <w:tcW w:w="1210" w:type="dxa"/>
                </w:tcPr>
                <w:p w14:paraId="30B020D4"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0.053</w:t>
                  </w:r>
                </w:p>
              </w:tc>
              <w:tc>
                <w:tcPr>
                  <w:tcW w:w="1550" w:type="dxa"/>
                </w:tcPr>
                <w:p w14:paraId="6FE82C7F"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1.6</w:t>
                  </w:r>
                </w:p>
              </w:tc>
            </w:tr>
            <w:tr w:rsidR="00635F3E" w:rsidRPr="00B65D57" w14:paraId="557208FA" w14:textId="77777777" w:rsidTr="00553245">
              <w:tc>
                <w:tcPr>
                  <w:tcW w:w="1210" w:type="dxa"/>
                </w:tcPr>
                <w:p w14:paraId="4C973EAF"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0.075</w:t>
                  </w:r>
                </w:p>
              </w:tc>
              <w:tc>
                <w:tcPr>
                  <w:tcW w:w="1550" w:type="dxa"/>
                </w:tcPr>
                <w:p w14:paraId="614CAC12"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5.0</w:t>
                  </w:r>
                </w:p>
              </w:tc>
            </w:tr>
            <w:tr w:rsidR="00635F3E" w:rsidRPr="00B65D57" w14:paraId="2648AF1E" w14:textId="77777777" w:rsidTr="00553245">
              <w:tc>
                <w:tcPr>
                  <w:tcW w:w="1210" w:type="dxa"/>
                </w:tcPr>
                <w:p w14:paraId="12CF41E1"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0.125</w:t>
                  </w:r>
                </w:p>
              </w:tc>
              <w:tc>
                <w:tcPr>
                  <w:tcW w:w="1550" w:type="dxa"/>
                </w:tcPr>
                <w:p w14:paraId="341F0D29"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20.8</w:t>
                  </w:r>
                </w:p>
              </w:tc>
            </w:tr>
            <w:tr w:rsidR="00635F3E" w:rsidRPr="00B65D57" w14:paraId="29CFAAF5" w14:textId="77777777" w:rsidTr="00553245">
              <w:tc>
                <w:tcPr>
                  <w:tcW w:w="1210" w:type="dxa"/>
                </w:tcPr>
                <w:p w14:paraId="4D72E7D7"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0.5</w:t>
                  </w:r>
                </w:p>
              </w:tc>
              <w:tc>
                <w:tcPr>
                  <w:tcW w:w="1550" w:type="dxa"/>
                </w:tcPr>
                <w:p w14:paraId="4C350A0E"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46.7</w:t>
                  </w:r>
                </w:p>
              </w:tc>
            </w:tr>
            <w:tr w:rsidR="00635F3E" w:rsidRPr="00B65D57" w14:paraId="788F67D7" w14:textId="77777777" w:rsidTr="00406A9E">
              <w:tc>
                <w:tcPr>
                  <w:tcW w:w="1210" w:type="dxa"/>
                  <w:tcBorders>
                    <w:bottom w:val="single" w:sz="4" w:space="0" w:color="auto"/>
                  </w:tcBorders>
                </w:tcPr>
                <w:p w14:paraId="1EDE33C0"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1</w:t>
                  </w:r>
                </w:p>
              </w:tc>
              <w:tc>
                <w:tcPr>
                  <w:tcW w:w="1550" w:type="dxa"/>
                  <w:tcBorders>
                    <w:bottom w:val="single" w:sz="4" w:space="0" w:color="auto"/>
                  </w:tcBorders>
                </w:tcPr>
                <w:p w14:paraId="4D740FCF"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24.0</w:t>
                  </w:r>
                </w:p>
              </w:tc>
            </w:tr>
            <w:tr w:rsidR="00635F3E" w:rsidRPr="00B65D57" w14:paraId="7F11B0AB" w14:textId="77777777" w:rsidTr="00406A9E">
              <w:tc>
                <w:tcPr>
                  <w:tcW w:w="1210" w:type="dxa"/>
                  <w:tcBorders>
                    <w:top w:val="single" w:sz="4" w:space="0" w:color="auto"/>
                  </w:tcBorders>
                </w:tcPr>
                <w:p w14:paraId="308F95AC"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Sum</w:t>
                  </w:r>
                </w:p>
              </w:tc>
              <w:tc>
                <w:tcPr>
                  <w:tcW w:w="1550" w:type="dxa"/>
                  <w:tcBorders>
                    <w:top w:val="single" w:sz="4" w:space="0" w:color="auto"/>
                  </w:tcBorders>
                </w:tcPr>
                <w:p w14:paraId="0F6DB6FD" w14:textId="77777777" w:rsidR="00635F3E" w:rsidRPr="00B65D57" w:rsidRDefault="00635F3E" w:rsidP="00635F3E">
                  <w:pPr>
                    <w:widowControl w:val="0"/>
                    <w:rPr>
                      <w:snapToGrid w:val="0"/>
                      <w:sz w:val="18"/>
                      <w:szCs w:val="18"/>
                      <w:lang w:eastAsia="fi-FI"/>
                    </w:rPr>
                  </w:pPr>
                  <w:r w:rsidRPr="00B65D57">
                    <w:rPr>
                      <w:snapToGrid w:val="0"/>
                      <w:sz w:val="18"/>
                      <w:szCs w:val="18"/>
                      <w:lang w:eastAsia="fi-FI"/>
                    </w:rPr>
                    <w:t>99.9</w:t>
                  </w:r>
                </w:p>
              </w:tc>
            </w:tr>
          </w:tbl>
          <w:p w14:paraId="64B38921" w14:textId="77777777" w:rsidR="00635F3E" w:rsidRPr="00B65D57" w:rsidRDefault="00635F3E" w:rsidP="00635F3E">
            <w:pPr>
              <w:widowControl w:val="0"/>
              <w:rPr>
                <w:rFonts w:eastAsia="Calibri"/>
                <w:snapToGrid w:val="0"/>
                <w:sz w:val="18"/>
                <w:szCs w:val="18"/>
                <w:lang w:eastAsia="fi-FI"/>
              </w:rPr>
            </w:pPr>
          </w:p>
        </w:tc>
        <w:tc>
          <w:tcPr>
            <w:tcW w:w="599" w:type="pct"/>
          </w:tcPr>
          <w:p w14:paraId="56A09E5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6AE64F68" w14:textId="563AA410"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tc>
      </w:tr>
      <w:tr w:rsidR="00635F3E" w:rsidRPr="00B65D57" w14:paraId="325AE167" w14:textId="77777777" w:rsidTr="00553245">
        <w:trPr>
          <w:trHeight w:val="240"/>
        </w:trPr>
        <w:tc>
          <w:tcPr>
            <w:tcW w:w="535" w:type="pct"/>
          </w:tcPr>
          <w:p w14:paraId="18DA145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3.5.7.</w:t>
            </w:r>
          </w:p>
        </w:tc>
        <w:tc>
          <w:tcPr>
            <w:tcW w:w="805" w:type="pct"/>
          </w:tcPr>
          <w:p w14:paraId="014A261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Persistent foaming </w:t>
            </w:r>
          </w:p>
        </w:tc>
        <w:tc>
          <w:tcPr>
            <w:tcW w:w="752" w:type="pct"/>
          </w:tcPr>
          <w:p w14:paraId="14A32E5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CIPAC MT 47.2</w:t>
            </w:r>
          </w:p>
        </w:tc>
        <w:tc>
          <w:tcPr>
            <w:tcW w:w="644" w:type="pct"/>
          </w:tcPr>
          <w:p w14:paraId="5334D8F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 disodium tetraborate pentahydrate 46.3 %)</w:t>
            </w:r>
          </w:p>
          <w:p w14:paraId="2D73F3D4" w14:textId="77777777" w:rsidR="00635F3E" w:rsidRPr="00B65D57" w:rsidRDefault="00635F3E" w:rsidP="00635F3E">
            <w:pPr>
              <w:widowControl w:val="0"/>
              <w:rPr>
                <w:rFonts w:eastAsia="Calibri"/>
                <w:snapToGrid w:val="0"/>
                <w:sz w:val="18"/>
                <w:szCs w:val="18"/>
                <w:lang w:eastAsia="fi-FI"/>
              </w:rPr>
            </w:pPr>
          </w:p>
        </w:tc>
        <w:tc>
          <w:tcPr>
            <w:tcW w:w="1665" w:type="pct"/>
          </w:tcPr>
          <w:p w14:paraId="545DCC7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Concentration: 2.06 g in 15 mL water</w:t>
            </w:r>
          </w:p>
          <w:p w14:paraId="2D79601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 foaming observed.</w:t>
            </w:r>
          </w:p>
        </w:tc>
        <w:tc>
          <w:tcPr>
            <w:tcW w:w="599" w:type="pct"/>
          </w:tcPr>
          <w:p w14:paraId="24677BE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31089C24" w14:textId="7F66085A"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tc>
      </w:tr>
      <w:tr w:rsidR="00635F3E" w:rsidRPr="00B65D57" w14:paraId="659D2E72" w14:textId="77777777" w:rsidTr="00553245">
        <w:trPr>
          <w:trHeight w:val="240"/>
        </w:trPr>
        <w:tc>
          <w:tcPr>
            <w:tcW w:w="535" w:type="pct"/>
          </w:tcPr>
          <w:p w14:paraId="6385FB7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3.5.8.</w:t>
            </w:r>
          </w:p>
        </w:tc>
        <w:tc>
          <w:tcPr>
            <w:tcW w:w="805" w:type="pct"/>
          </w:tcPr>
          <w:p w14:paraId="260CF64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Flowability/pourability/dustability</w:t>
            </w:r>
          </w:p>
        </w:tc>
        <w:tc>
          <w:tcPr>
            <w:tcW w:w="752" w:type="pct"/>
          </w:tcPr>
          <w:p w14:paraId="5A50A07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6227CDB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2C0AD372" w14:textId="027C3550" w:rsidR="00A57BC7" w:rsidRPr="00B65D57" w:rsidRDefault="00A57BC7" w:rsidP="00635F3E">
            <w:pPr>
              <w:widowControl w:val="0"/>
              <w:rPr>
                <w:rFonts w:eastAsia="Calibri"/>
                <w:snapToGrid w:val="0"/>
                <w:sz w:val="18"/>
                <w:szCs w:val="18"/>
                <w:lang w:eastAsia="fi-FI"/>
              </w:rPr>
            </w:pPr>
            <w:r>
              <w:rPr>
                <w:rFonts w:eastAsia="Calibri"/>
                <w:snapToGrid w:val="0"/>
                <w:sz w:val="18"/>
                <w:szCs w:val="18"/>
                <w:lang w:eastAsia="fi-FI"/>
              </w:rPr>
              <w:t>Only required for granular formulations applied through application equipment that would subject the granules to pressure and/or heat.</w:t>
            </w:r>
          </w:p>
        </w:tc>
        <w:tc>
          <w:tcPr>
            <w:tcW w:w="599" w:type="pct"/>
          </w:tcPr>
          <w:p w14:paraId="365E959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2EA30720" w14:textId="77777777" w:rsidTr="00553245">
        <w:trPr>
          <w:trHeight w:val="481"/>
        </w:trPr>
        <w:tc>
          <w:tcPr>
            <w:tcW w:w="535" w:type="pct"/>
          </w:tcPr>
          <w:p w14:paraId="5A0BC9E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3.5.9.</w:t>
            </w:r>
          </w:p>
        </w:tc>
        <w:tc>
          <w:tcPr>
            <w:tcW w:w="805" w:type="pct"/>
          </w:tcPr>
          <w:p w14:paraId="114D210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Burning rate — smoke generators</w:t>
            </w:r>
          </w:p>
        </w:tc>
        <w:tc>
          <w:tcPr>
            <w:tcW w:w="752" w:type="pct"/>
          </w:tcPr>
          <w:p w14:paraId="56F98E7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3EDA710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5D2EC33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66037B6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4E30C5D7" w14:textId="77777777" w:rsidTr="00553245">
        <w:trPr>
          <w:trHeight w:val="722"/>
        </w:trPr>
        <w:tc>
          <w:tcPr>
            <w:tcW w:w="535" w:type="pct"/>
          </w:tcPr>
          <w:p w14:paraId="3F551A2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3.5.10.</w:t>
            </w:r>
          </w:p>
        </w:tc>
        <w:tc>
          <w:tcPr>
            <w:tcW w:w="805" w:type="pct"/>
          </w:tcPr>
          <w:p w14:paraId="3ED87D7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Burning completeness — smoke generators</w:t>
            </w:r>
          </w:p>
        </w:tc>
        <w:tc>
          <w:tcPr>
            <w:tcW w:w="752" w:type="pct"/>
          </w:tcPr>
          <w:p w14:paraId="125131E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4FF3C98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56860CE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6FA9550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1C6C5555" w14:textId="77777777" w:rsidTr="00553245">
        <w:trPr>
          <w:trHeight w:val="737"/>
        </w:trPr>
        <w:tc>
          <w:tcPr>
            <w:tcW w:w="535" w:type="pct"/>
          </w:tcPr>
          <w:p w14:paraId="4022952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3.5.11.</w:t>
            </w:r>
          </w:p>
        </w:tc>
        <w:tc>
          <w:tcPr>
            <w:tcW w:w="805" w:type="pct"/>
          </w:tcPr>
          <w:p w14:paraId="09C1076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Composition of smoke — smoke generators</w:t>
            </w:r>
          </w:p>
        </w:tc>
        <w:tc>
          <w:tcPr>
            <w:tcW w:w="752" w:type="pct"/>
          </w:tcPr>
          <w:p w14:paraId="4D450B0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6CC3D50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2FCFE860" w14:textId="77777777" w:rsidR="00635F3E" w:rsidRPr="00B65D57" w:rsidRDefault="00635F3E" w:rsidP="00635F3E">
            <w:pPr>
              <w:widowControl w:val="0"/>
              <w:jc w:val="both"/>
              <w:rPr>
                <w:rFonts w:eastAsia="Calibri"/>
                <w: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5612705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0E19A8C2" w14:textId="77777777" w:rsidTr="00553245">
        <w:trPr>
          <w:trHeight w:val="481"/>
        </w:trPr>
        <w:tc>
          <w:tcPr>
            <w:tcW w:w="535" w:type="pct"/>
          </w:tcPr>
          <w:p w14:paraId="0312594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3.5.12.</w:t>
            </w:r>
          </w:p>
        </w:tc>
        <w:tc>
          <w:tcPr>
            <w:tcW w:w="805" w:type="pct"/>
          </w:tcPr>
          <w:p w14:paraId="71F8940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Spraying pattern — aerosols / spray</w:t>
            </w:r>
          </w:p>
        </w:tc>
        <w:tc>
          <w:tcPr>
            <w:tcW w:w="752" w:type="pct"/>
          </w:tcPr>
          <w:p w14:paraId="685374B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64B236D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23EFFC6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48B2CAC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1D95DC9C" w14:textId="77777777" w:rsidTr="00553245">
        <w:trPr>
          <w:trHeight w:val="481"/>
        </w:trPr>
        <w:tc>
          <w:tcPr>
            <w:tcW w:w="535" w:type="pct"/>
          </w:tcPr>
          <w:p w14:paraId="096BCF0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3.6.1.</w:t>
            </w:r>
          </w:p>
        </w:tc>
        <w:tc>
          <w:tcPr>
            <w:tcW w:w="805" w:type="pct"/>
          </w:tcPr>
          <w:p w14:paraId="07F1198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Physical compatibility</w:t>
            </w:r>
          </w:p>
        </w:tc>
        <w:tc>
          <w:tcPr>
            <w:tcW w:w="752" w:type="pct"/>
          </w:tcPr>
          <w:p w14:paraId="476C2FE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n/a</w:t>
            </w:r>
            <w:r w:rsidRPr="00B65D57">
              <w:rPr>
                <w:snapToGrid w:val="0"/>
                <w:sz w:val="18"/>
                <w:szCs w:val="18"/>
                <w:lang w:eastAsia="fi-FI"/>
              </w:rPr>
              <w:br/>
            </w:r>
          </w:p>
        </w:tc>
        <w:tc>
          <w:tcPr>
            <w:tcW w:w="644" w:type="pct"/>
          </w:tcPr>
          <w:p w14:paraId="1C774435" w14:textId="1DA7E1F2"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w:t>
            </w:r>
            <w:r w:rsidR="00C00AA6" w:rsidRPr="00B65D57">
              <w:rPr>
                <w:rFonts w:eastAsia="Calibri"/>
                <w:snapToGrid w:val="0"/>
                <w:sz w:val="18"/>
                <w:szCs w:val="18"/>
                <w:lang w:eastAsia="fi-FI"/>
              </w:rPr>
              <w:t xml:space="preserve"> </w:t>
            </w:r>
            <w:r w:rsidRPr="00B65D57">
              <w:rPr>
                <w:rFonts w:eastAsia="Calibri"/>
                <w:snapToGrid w:val="0"/>
                <w:sz w:val="18"/>
                <w:szCs w:val="18"/>
                <w:lang w:eastAsia="fi-FI"/>
              </w:rPr>
              <w:t>%, disodium tetraborate pentahydrate 46.3</w:t>
            </w:r>
            <w:r w:rsidR="00C00AA6" w:rsidRPr="00B65D57">
              <w:rPr>
                <w:rFonts w:eastAsia="Calibri"/>
                <w:snapToGrid w:val="0"/>
                <w:sz w:val="18"/>
                <w:szCs w:val="18"/>
                <w:lang w:eastAsia="fi-FI"/>
              </w:rPr>
              <w:t xml:space="preserve"> </w:t>
            </w:r>
            <w:r w:rsidRPr="00B65D57">
              <w:rPr>
                <w:rFonts w:eastAsia="Calibri"/>
                <w:snapToGrid w:val="0"/>
                <w:sz w:val="18"/>
                <w:szCs w:val="18"/>
                <w:lang w:eastAsia="fi-FI"/>
              </w:rPr>
              <w:t>%)</w:t>
            </w:r>
          </w:p>
          <w:p w14:paraId="26806612" w14:textId="77777777" w:rsidR="00635F3E" w:rsidRPr="00B65D57" w:rsidRDefault="00635F3E" w:rsidP="00635F3E">
            <w:pPr>
              <w:widowControl w:val="0"/>
              <w:rPr>
                <w:rFonts w:eastAsia="Calibri"/>
                <w:snapToGrid w:val="0"/>
                <w:sz w:val="18"/>
                <w:szCs w:val="18"/>
                <w:lang w:eastAsia="fi-FI"/>
              </w:rPr>
            </w:pPr>
          </w:p>
          <w:p w14:paraId="26D87896" w14:textId="77777777" w:rsidR="00635F3E" w:rsidRPr="00B65D57" w:rsidRDefault="00635F3E" w:rsidP="00635F3E">
            <w:pPr>
              <w:widowControl w:val="0"/>
              <w:rPr>
                <w:rFonts w:eastAsia="Calibri"/>
                <w:snapToGrid w:val="0"/>
                <w:sz w:val="18"/>
                <w:szCs w:val="18"/>
                <w:lang w:eastAsia="fi-FI"/>
              </w:rPr>
            </w:pPr>
          </w:p>
        </w:tc>
        <w:tc>
          <w:tcPr>
            <w:tcW w:w="1665" w:type="pct"/>
          </w:tcPr>
          <w:p w14:paraId="5996E73C" w14:textId="77777777" w:rsidR="00635F3E" w:rsidRPr="00B65D57" w:rsidRDefault="00635F3E" w:rsidP="00635F3E">
            <w:pPr>
              <w:widowControl w:val="0"/>
              <w:spacing w:line="259" w:lineRule="auto"/>
              <w:rPr>
                <w:rFonts w:eastAsia="Calibri"/>
                <w:snapToGrid w:val="0"/>
                <w:sz w:val="18"/>
                <w:szCs w:val="18"/>
                <w:lang w:eastAsia="fi-FI"/>
              </w:rPr>
            </w:pPr>
            <w:r w:rsidRPr="00B65D57">
              <w:rPr>
                <w:rFonts w:eastAsia="Calibri"/>
                <w:snapToGrid w:val="0"/>
                <w:sz w:val="18"/>
                <w:szCs w:val="18"/>
                <w:lang w:eastAsia="fi-FI"/>
              </w:rPr>
              <w:t>Jerbor is applied as a slurry (Eurobor) that is prepared on-site by dissolution of Jerbor (9.6 % w/w) in hot water (50-70°C) and mixing with sodium bentonite (20 % w/w). Sodium bentonite is used as a thickening agent in the slurry, to increase efficacy and to reduce risk for leakage. Eurobor is applied by pumping the slurry in a closed system into the wooden foundation of buildings. No incompatibilities have been reported or documented during 30 years of use when the product is used according to instructions on the label and in Manual Euroborbehandling.</w:t>
            </w:r>
          </w:p>
          <w:p w14:paraId="0D31D359" w14:textId="77777777" w:rsidR="00635F3E" w:rsidRPr="00B65D57" w:rsidRDefault="00635F3E" w:rsidP="00635F3E">
            <w:pPr>
              <w:widowControl w:val="0"/>
              <w:rPr>
                <w:rFonts w:eastAsia="Calibri"/>
                <w:snapToGrid w:val="0"/>
                <w:sz w:val="18"/>
                <w:szCs w:val="18"/>
                <w:lang w:eastAsia="fi-FI"/>
              </w:rPr>
            </w:pPr>
          </w:p>
        </w:tc>
        <w:tc>
          <w:tcPr>
            <w:tcW w:w="599" w:type="pct"/>
          </w:tcPr>
          <w:p w14:paraId="4B85BC0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648BF378" w14:textId="39FF0EDF"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p w14:paraId="68083E00" w14:textId="77777777" w:rsidR="00635F3E" w:rsidRPr="00B65D57" w:rsidRDefault="00635F3E" w:rsidP="00635F3E">
            <w:pPr>
              <w:widowControl w:val="0"/>
              <w:rPr>
                <w:rFonts w:eastAsia="Calibri"/>
                <w:snapToGrid w:val="0"/>
                <w:sz w:val="18"/>
                <w:szCs w:val="18"/>
                <w:lang w:eastAsia="fi-FI"/>
              </w:rPr>
            </w:pPr>
          </w:p>
          <w:p w14:paraId="1F3F660F" w14:textId="77777777" w:rsidR="00635F3E" w:rsidRPr="00B65D57" w:rsidRDefault="00635F3E" w:rsidP="00635F3E">
            <w:pPr>
              <w:widowControl w:val="0"/>
              <w:rPr>
                <w:rFonts w:eastAsia="Calibri"/>
                <w:snapToGrid w:val="0"/>
                <w:sz w:val="18"/>
                <w:szCs w:val="18"/>
                <w:lang w:eastAsia="fi-FI"/>
              </w:rPr>
            </w:pPr>
          </w:p>
          <w:p w14:paraId="5E3B220B" w14:textId="77777777" w:rsidR="00635F3E" w:rsidRPr="00B65D57" w:rsidRDefault="00635F3E" w:rsidP="00635F3E">
            <w:pPr>
              <w:widowControl w:val="0"/>
              <w:rPr>
                <w:rFonts w:eastAsia="Calibri"/>
                <w:snapToGrid w:val="0"/>
                <w:sz w:val="18"/>
                <w:szCs w:val="18"/>
                <w:lang w:eastAsia="fi-FI"/>
              </w:rPr>
            </w:pPr>
          </w:p>
        </w:tc>
      </w:tr>
      <w:tr w:rsidR="00635F3E" w:rsidRPr="00B65D57" w14:paraId="0FB8141E" w14:textId="77777777" w:rsidTr="00553245">
        <w:trPr>
          <w:trHeight w:val="481"/>
        </w:trPr>
        <w:tc>
          <w:tcPr>
            <w:tcW w:w="535" w:type="pct"/>
          </w:tcPr>
          <w:p w14:paraId="193D13A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3.6.2.</w:t>
            </w:r>
          </w:p>
        </w:tc>
        <w:tc>
          <w:tcPr>
            <w:tcW w:w="805" w:type="pct"/>
          </w:tcPr>
          <w:p w14:paraId="5726E1D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Chemical compatibility</w:t>
            </w:r>
          </w:p>
        </w:tc>
        <w:tc>
          <w:tcPr>
            <w:tcW w:w="752" w:type="pct"/>
          </w:tcPr>
          <w:p w14:paraId="09B3444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3D4F611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294B73A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See 3.6.1</w:t>
            </w:r>
          </w:p>
        </w:tc>
        <w:tc>
          <w:tcPr>
            <w:tcW w:w="599" w:type="pct"/>
          </w:tcPr>
          <w:p w14:paraId="4EA0F3D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43B84E3D" w14:textId="77777777" w:rsidTr="00553245">
        <w:trPr>
          <w:trHeight w:val="481"/>
        </w:trPr>
        <w:tc>
          <w:tcPr>
            <w:tcW w:w="535" w:type="pct"/>
          </w:tcPr>
          <w:p w14:paraId="23E88A8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3.7.</w:t>
            </w:r>
          </w:p>
        </w:tc>
        <w:tc>
          <w:tcPr>
            <w:tcW w:w="805" w:type="pct"/>
          </w:tcPr>
          <w:p w14:paraId="2B174FC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Degree of dissolution and dilution stability </w:t>
            </w:r>
          </w:p>
        </w:tc>
        <w:tc>
          <w:tcPr>
            <w:tcW w:w="752" w:type="pct"/>
          </w:tcPr>
          <w:p w14:paraId="385BA2D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CIPAC method MT 179.1 </w:t>
            </w:r>
          </w:p>
        </w:tc>
        <w:tc>
          <w:tcPr>
            <w:tcW w:w="644" w:type="pct"/>
          </w:tcPr>
          <w:p w14:paraId="2E82D205" w14:textId="3C9F613C"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w:t>
            </w:r>
            <w:r w:rsidR="00C00AA6" w:rsidRPr="00B65D57">
              <w:rPr>
                <w:rFonts w:eastAsia="Calibri"/>
                <w:snapToGrid w:val="0"/>
                <w:sz w:val="18"/>
                <w:szCs w:val="18"/>
                <w:lang w:eastAsia="fi-FI"/>
              </w:rPr>
              <w:t xml:space="preserve"> </w:t>
            </w:r>
            <w:r w:rsidRPr="00B65D57">
              <w:rPr>
                <w:rFonts w:eastAsia="Calibri"/>
                <w:snapToGrid w:val="0"/>
                <w:sz w:val="18"/>
                <w:szCs w:val="18"/>
                <w:lang w:eastAsia="fi-FI"/>
              </w:rPr>
              <w:t>%, disodium tetraborate pentahydrate 46.3</w:t>
            </w:r>
            <w:r w:rsidR="00C00AA6" w:rsidRPr="00B65D57">
              <w:rPr>
                <w:rFonts w:eastAsia="Calibri"/>
                <w:snapToGrid w:val="0"/>
                <w:sz w:val="18"/>
                <w:szCs w:val="18"/>
                <w:lang w:eastAsia="fi-FI"/>
              </w:rPr>
              <w:t xml:space="preserve"> </w:t>
            </w:r>
            <w:r w:rsidRPr="00B65D57">
              <w:rPr>
                <w:rFonts w:eastAsia="Calibri"/>
                <w:snapToGrid w:val="0"/>
                <w:sz w:val="18"/>
                <w:szCs w:val="18"/>
                <w:lang w:eastAsia="fi-FI"/>
              </w:rPr>
              <w:t>%)</w:t>
            </w:r>
          </w:p>
          <w:p w14:paraId="6BBFE15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Batch AJP1-5 </w:t>
            </w:r>
          </w:p>
        </w:tc>
        <w:tc>
          <w:tcPr>
            <w:tcW w:w="1665" w:type="pct"/>
          </w:tcPr>
          <w:p w14:paraId="3B3459B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Concentration: 30 g in 250 mL</w:t>
            </w:r>
          </w:p>
          <w:p w14:paraId="71AE7868" w14:textId="39C3F6A1" w:rsidR="00403DCF" w:rsidRDefault="00403DCF" w:rsidP="00635F3E">
            <w:pPr>
              <w:widowControl w:val="0"/>
              <w:rPr>
                <w:rFonts w:eastAsia="Calibri"/>
                <w:snapToGrid w:val="0"/>
                <w:sz w:val="18"/>
                <w:szCs w:val="18"/>
                <w:lang w:eastAsia="fi-FI"/>
              </w:rPr>
            </w:pPr>
            <w:r>
              <w:rPr>
                <w:rFonts w:eastAsia="Calibri"/>
                <w:snapToGrid w:val="0"/>
                <w:sz w:val="18"/>
                <w:szCs w:val="18"/>
                <w:lang w:eastAsia="fi-FI"/>
              </w:rPr>
              <w:t>Residue on 75 µm sieve</w:t>
            </w:r>
          </w:p>
          <w:p w14:paraId="6262813E" w14:textId="0B82DB1D" w:rsidR="00635F3E" w:rsidRPr="00B65D57" w:rsidRDefault="001F6132" w:rsidP="00635F3E">
            <w:pPr>
              <w:widowControl w:val="0"/>
              <w:rPr>
                <w:rFonts w:eastAsia="Calibri"/>
                <w:snapToGrid w:val="0"/>
                <w:sz w:val="18"/>
                <w:szCs w:val="18"/>
                <w:lang w:eastAsia="fi-FI"/>
              </w:rPr>
            </w:pPr>
            <w:r>
              <w:rPr>
                <w:rFonts w:eastAsia="Calibri"/>
                <w:snapToGrid w:val="0"/>
                <w:sz w:val="18"/>
                <w:szCs w:val="18"/>
                <w:lang w:eastAsia="fi-FI"/>
              </w:rPr>
              <w:t xml:space="preserve">After </w:t>
            </w:r>
            <w:r w:rsidR="00635F3E" w:rsidRPr="00B65D57">
              <w:rPr>
                <w:rFonts w:eastAsia="Calibri"/>
                <w:snapToGrid w:val="0"/>
                <w:sz w:val="18"/>
                <w:szCs w:val="18"/>
                <w:lang w:eastAsia="fi-FI"/>
              </w:rPr>
              <w:t>5 min</w:t>
            </w:r>
            <w:r>
              <w:rPr>
                <w:rFonts w:eastAsia="Calibri"/>
                <w:snapToGrid w:val="0"/>
                <w:sz w:val="18"/>
                <w:szCs w:val="18"/>
                <w:lang w:eastAsia="fi-FI"/>
              </w:rPr>
              <w:t>:</w:t>
            </w:r>
            <w:r w:rsidR="00635F3E" w:rsidRPr="00B65D57">
              <w:rPr>
                <w:rFonts w:eastAsia="Calibri"/>
                <w:snapToGrid w:val="0"/>
                <w:sz w:val="18"/>
                <w:szCs w:val="18"/>
                <w:lang w:eastAsia="fi-FI"/>
              </w:rPr>
              <w:t xml:space="preserve"> 0.031% ± 0.005%</w:t>
            </w:r>
          </w:p>
          <w:p w14:paraId="78051777" w14:textId="44F220D8" w:rsidR="00635F3E" w:rsidRPr="00B65D57" w:rsidRDefault="001F6132" w:rsidP="00635F3E">
            <w:pPr>
              <w:widowControl w:val="0"/>
              <w:rPr>
                <w:rFonts w:eastAsia="Calibri"/>
                <w:snapToGrid w:val="0"/>
                <w:sz w:val="18"/>
                <w:szCs w:val="18"/>
                <w:lang w:eastAsia="fi-FI"/>
              </w:rPr>
            </w:pPr>
            <w:r>
              <w:rPr>
                <w:rFonts w:eastAsia="Calibri"/>
                <w:snapToGrid w:val="0"/>
                <w:sz w:val="18"/>
                <w:szCs w:val="18"/>
                <w:lang w:eastAsia="fi-FI"/>
              </w:rPr>
              <w:t xml:space="preserve">After </w:t>
            </w:r>
            <w:r w:rsidR="00635F3E" w:rsidRPr="00B65D57">
              <w:rPr>
                <w:rFonts w:eastAsia="Calibri"/>
                <w:snapToGrid w:val="0"/>
                <w:sz w:val="18"/>
                <w:szCs w:val="18"/>
                <w:lang w:eastAsia="fi-FI"/>
              </w:rPr>
              <w:t>24 h</w:t>
            </w:r>
            <w:r>
              <w:rPr>
                <w:rFonts w:eastAsia="Calibri"/>
                <w:snapToGrid w:val="0"/>
                <w:sz w:val="18"/>
                <w:szCs w:val="18"/>
                <w:lang w:eastAsia="fi-FI"/>
              </w:rPr>
              <w:t>:</w:t>
            </w:r>
            <w:r w:rsidR="00635F3E" w:rsidRPr="00B65D57">
              <w:rPr>
                <w:rFonts w:eastAsia="Calibri"/>
                <w:snapToGrid w:val="0"/>
                <w:sz w:val="18"/>
                <w:szCs w:val="18"/>
                <w:lang w:eastAsia="fi-FI"/>
              </w:rPr>
              <w:t xml:space="preserve"> 0.027% ± 0.006%</w:t>
            </w:r>
          </w:p>
        </w:tc>
        <w:tc>
          <w:tcPr>
            <w:tcW w:w="599" w:type="pct"/>
          </w:tcPr>
          <w:p w14:paraId="7662184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Theorin, M. (2022)</w:t>
            </w:r>
          </w:p>
          <w:p w14:paraId="2C4B4DB7" w14:textId="3043EFA1" w:rsidR="00635F3E" w:rsidRPr="00B65D57" w:rsidRDefault="002C2AC5" w:rsidP="00635F3E">
            <w:pPr>
              <w:widowControl w:val="0"/>
              <w:rPr>
                <w:rFonts w:eastAsia="Calibri"/>
                <w:snapToGrid w:val="0"/>
                <w:sz w:val="18"/>
                <w:szCs w:val="18"/>
                <w:lang w:eastAsia="fi-FI"/>
              </w:rPr>
            </w:pPr>
            <w:r w:rsidRPr="00B65D57">
              <w:rPr>
                <w:rFonts w:eastAsia="Calibri"/>
                <w:snapToGrid w:val="0"/>
                <w:sz w:val="18"/>
                <w:szCs w:val="18"/>
                <w:lang w:eastAsia="fi-FI"/>
              </w:rPr>
              <w:t xml:space="preserve">Report no. </w:t>
            </w:r>
            <w:r w:rsidR="00635F3E" w:rsidRPr="00B65D57">
              <w:rPr>
                <w:rFonts w:eastAsia="Calibri"/>
                <w:snapToGrid w:val="0"/>
                <w:sz w:val="18"/>
                <w:szCs w:val="18"/>
                <w:lang w:eastAsia="fi-FI"/>
              </w:rPr>
              <w:t>140185</w:t>
            </w:r>
          </w:p>
          <w:p w14:paraId="5FF1362D" w14:textId="77777777" w:rsidR="00635F3E" w:rsidRPr="00B65D57" w:rsidRDefault="00635F3E" w:rsidP="00635F3E">
            <w:pPr>
              <w:widowControl w:val="0"/>
              <w:rPr>
                <w:rFonts w:eastAsia="Calibri"/>
                <w:snapToGrid w:val="0"/>
                <w:sz w:val="18"/>
                <w:szCs w:val="18"/>
                <w:lang w:eastAsia="fi-FI"/>
              </w:rPr>
            </w:pPr>
          </w:p>
        </w:tc>
      </w:tr>
      <w:tr w:rsidR="00635F3E" w:rsidRPr="00B65D57" w14:paraId="276D43A9" w14:textId="77777777" w:rsidTr="00553245">
        <w:trPr>
          <w:trHeight w:val="240"/>
        </w:trPr>
        <w:tc>
          <w:tcPr>
            <w:tcW w:w="535" w:type="pct"/>
          </w:tcPr>
          <w:p w14:paraId="109E579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3.8.</w:t>
            </w:r>
          </w:p>
        </w:tc>
        <w:tc>
          <w:tcPr>
            <w:tcW w:w="805" w:type="pct"/>
          </w:tcPr>
          <w:p w14:paraId="25934F7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Surface tension </w:t>
            </w:r>
          </w:p>
        </w:tc>
        <w:tc>
          <w:tcPr>
            <w:tcW w:w="752" w:type="pct"/>
          </w:tcPr>
          <w:p w14:paraId="1F5C5BA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3533E95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238B446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30CC448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471064AB" w14:textId="77777777" w:rsidTr="00553245">
        <w:trPr>
          <w:trHeight w:val="225"/>
        </w:trPr>
        <w:tc>
          <w:tcPr>
            <w:tcW w:w="535" w:type="pct"/>
          </w:tcPr>
          <w:p w14:paraId="25C97DB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3.9.</w:t>
            </w:r>
          </w:p>
        </w:tc>
        <w:tc>
          <w:tcPr>
            <w:tcW w:w="805" w:type="pct"/>
          </w:tcPr>
          <w:p w14:paraId="3DE8AEB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Viscosity </w:t>
            </w:r>
          </w:p>
        </w:tc>
        <w:tc>
          <w:tcPr>
            <w:tcW w:w="752" w:type="pct"/>
          </w:tcPr>
          <w:p w14:paraId="2283AF7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644" w:type="pct"/>
          </w:tcPr>
          <w:p w14:paraId="30F06F2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1665" w:type="pct"/>
          </w:tcPr>
          <w:p w14:paraId="12E4369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Not required for SG formulations.</w:t>
            </w:r>
          </w:p>
        </w:tc>
        <w:tc>
          <w:tcPr>
            <w:tcW w:w="599" w:type="pct"/>
          </w:tcPr>
          <w:p w14:paraId="580EB3B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r>
      <w:tr w:rsidR="00635F3E" w:rsidRPr="00B65D57" w14:paraId="3B4F03E0" w14:textId="77777777" w:rsidTr="00553245">
        <w:trPr>
          <w:trHeight w:val="225"/>
        </w:trPr>
        <w:tc>
          <w:tcPr>
            <w:tcW w:w="535" w:type="pct"/>
          </w:tcPr>
          <w:p w14:paraId="5AF2C60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3.10 </w:t>
            </w:r>
          </w:p>
        </w:tc>
        <w:tc>
          <w:tcPr>
            <w:tcW w:w="805" w:type="pct"/>
          </w:tcPr>
          <w:p w14:paraId="2EA375C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Other</w:t>
            </w:r>
          </w:p>
        </w:tc>
        <w:tc>
          <w:tcPr>
            <w:tcW w:w="752" w:type="pct"/>
          </w:tcPr>
          <w:p w14:paraId="4FE9089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In house method</w:t>
            </w:r>
          </w:p>
        </w:tc>
        <w:tc>
          <w:tcPr>
            <w:tcW w:w="644" w:type="pct"/>
          </w:tcPr>
          <w:p w14:paraId="39FC3BEA" w14:textId="3E35D0B1"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47</w:t>
            </w:r>
            <w:r w:rsidR="00C00AA6" w:rsidRPr="00B65D57">
              <w:rPr>
                <w:rFonts w:eastAsia="Calibri"/>
                <w:snapToGrid w:val="0"/>
                <w:sz w:val="18"/>
                <w:szCs w:val="18"/>
                <w:lang w:eastAsia="fi-FI"/>
              </w:rPr>
              <w:t xml:space="preserve"> </w:t>
            </w:r>
            <w:r w:rsidRPr="00B65D57">
              <w:rPr>
                <w:rFonts w:eastAsia="Calibri"/>
                <w:snapToGrid w:val="0"/>
                <w:sz w:val="18"/>
                <w:szCs w:val="18"/>
                <w:lang w:eastAsia="fi-FI"/>
              </w:rPr>
              <w:t>%, disodium tetraborate decahydrate 53</w:t>
            </w:r>
            <w:r w:rsidR="00C00AA6" w:rsidRPr="00B65D57">
              <w:rPr>
                <w:rFonts w:eastAsia="Calibri"/>
              </w:rPr>
              <w:t xml:space="preserve"> </w:t>
            </w:r>
            <w:r w:rsidRPr="00B65D57">
              <w:rPr>
                <w:rFonts w:eastAsia="Calibri"/>
                <w:snapToGrid w:val="0"/>
                <w:sz w:val="18"/>
                <w:szCs w:val="18"/>
                <w:lang w:eastAsia="fi-FI"/>
              </w:rPr>
              <w:t>%)</w:t>
            </w:r>
          </w:p>
          <w:p w14:paraId="1C93416C" w14:textId="77777777" w:rsidR="00635F3E" w:rsidRPr="00B65D57" w:rsidRDefault="00635F3E" w:rsidP="00635F3E">
            <w:pPr>
              <w:widowControl w:val="0"/>
              <w:rPr>
                <w:rFonts w:eastAsia="Calibri"/>
                <w:snapToGrid w:val="0"/>
                <w:sz w:val="18"/>
                <w:szCs w:val="18"/>
                <w:lang w:eastAsia="fi-FI"/>
              </w:rPr>
            </w:pPr>
          </w:p>
        </w:tc>
        <w:tc>
          <w:tcPr>
            <w:tcW w:w="1665" w:type="pct"/>
          </w:tcPr>
          <w:p w14:paraId="584195A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Swelling tests with Eurobor. Test was also done at different pH and salinity (NaCl) and different amount of bentonite.</w:t>
            </w:r>
          </w:p>
          <w:p w14:paraId="671774E5" w14:textId="77777777" w:rsidR="00635F3E" w:rsidRPr="00B65D57" w:rsidRDefault="00635F3E" w:rsidP="00635F3E">
            <w:pPr>
              <w:widowControl w:val="0"/>
              <w:rPr>
                <w:rFonts w:eastAsia="Calibri"/>
                <w:snapToGrid w:val="0"/>
                <w:sz w:val="18"/>
                <w:szCs w:val="18"/>
                <w:lang w:eastAsia="fi-FI"/>
              </w:rPr>
            </w:pPr>
          </w:p>
          <w:p w14:paraId="09EC62B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Eurobor: Jerbor deca (11% w/w) dissolved in hot water and sodium bentonite (10 or 20 % w/w)</w:t>
            </w:r>
          </w:p>
          <w:p w14:paraId="4C94B591" w14:textId="77777777" w:rsidR="00635F3E" w:rsidRPr="00B65D57" w:rsidRDefault="00635F3E" w:rsidP="00635F3E">
            <w:pPr>
              <w:widowControl w:val="0"/>
              <w:rPr>
                <w:rFonts w:eastAsia="Calibri"/>
                <w:snapToGrid w:val="0"/>
                <w:sz w:val="18"/>
                <w:szCs w:val="18"/>
                <w:lang w:eastAsia="fi-FI"/>
              </w:rPr>
            </w:pPr>
          </w:p>
          <w:p w14:paraId="00064B67" w14:textId="6D6B0899"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Swelling is observed when the concentration of boron substances differs between Eurobor and the water surrounding the Eurobor slurry. The swelling increases with the release of boron subtances from the Eurobor slurry.</w:t>
            </w:r>
          </w:p>
          <w:p w14:paraId="0C876C1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Swelling also increases with increased amount of bentonite.</w:t>
            </w:r>
          </w:p>
          <w:p w14:paraId="424A4E4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Swelling is affected by pH and salinity (NaCl) in the water surrounding the Eurobor slurry. Higher concentration of NaCl decreases swelling. The largest swelling is observed at neutral pH.</w:t>
            </w:r>
          </w:p>
          <w:p w14:paraId="37A9C976" w14:textId="77777777" w:rsidR="00635F3E" w:rsidRPr="00B65D57" w:rsidRDefault="00635F3E" w:rsidP="00635F3E">
            <w:pPr>
              <w:widowControl w:val="0"/>
              <w:rPr>
                <w:rFonts w:eastAsia="Calibri"/>
                <w:snapToGrid w:val="0"/>
                <w:sz w:val="18"/>
                <w:szCs w:val="18"/>
                <w:lang w:eastAsia="fi-FI"/>
              </w:rPr>
            </w:pPr>
          </w:p>
          <w:p w14:paraId="07A28910" w14:textId="77777777" w:rsidR="00635F3E" w:rsidRPr="00B65D57" w:rsidRDefault="00635F3E" w:rsidP="00635F3E">
            <w:pPr>
              <w:widowControl w:val="0"/>
              <w:rPr>
                <w:rFonts w:eastAsia="Calibri"/>
                <w:sz w:val="18"/>
                <w:szCs w:val="18"/>
              </w:rPr>
            </w:pPr>
            <w:r w:rsidRPr="00B65D57">
              <w:rPr>
                <w:rFonts w:eastAsia="Calibri"/>
                <w:sz w:val="18"/>
                <w:szCs w:val="18"/>
              </w:rPr>
              <w:t xml:space="preserve">Viscosity: 35000 mPas (at 23 </w:t>
            </w:r>
            <w:r w:rsidRPr="00B65D57">
              <w:rPr>
                <w:rFonts w:ascii="Symbol" w:eastAsia="Symbol" w:hAnsi="Symbol" w:cs="Symbol"/>
                <w:sz w:val="18"/>
                <w:szCs w:val="18"/>
              </w:rPr>
              <w:t>°</w:t>
            </w:r>
            <w:r w:rsidRPr="00B65D57">
              <w:rPr>
                <w:rFonts w:eastAsia="Calibri"/>
                <w:sz w:val="18"/>
                <w:szCs w:val="18"/>
              </w:rPr>
              <w:t>C)</w:t>
            </w:r>
          </w:p>
          <w:p w14:paraId="0170F273" w14:textId="7371BCF5"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Method: Brookfield digital rotational viscometer </w:t>
            </w:r>
          </w:p>
          <w:p w14:paraId="6511CBC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DV-I with RV-spindle no. 4 at 5 rpm</w:t>
            </w:r>
          </w:p>
          <w:p w14:paraId="76C2FB9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Test item: Jerbor deca (11 % w/w) diluted in </w:t>
            </w:r>
            <w:r w:rsidRPr="00B65D57">
              <w:rPr>
                <w:rFonts w:eastAsia="Calibri"/>
                <w:snapToGrid w:val="0"/>
                <w:sz w:val="18"/>
                <w:szCs w:val="18"/>
                <w:lang w:eastAsia="fi-FI"/>
              </w:rPr>
              <w:lastRenderedPageBreak/>
              <w:t xml:space="preserve">water (50-70 </w:t>
            </w:r>
            <w:r w:rsidRPr="00B65D57">
              <w:rPr>
                <w:rFonts w:ascii="Symbol" w:eastAsia="Symbol" w:hAnsi="Symbol" w:cs="Symbol"/>
                <w:snapToGrid w:val="0"/>
                <w:sz w:val="18"/>
                <w:szCs w:val="18"/>
                <w:lang w:eastAsia="fi-FI"/>
              </w:rPr>
              <w:t>°</w:t>
            </w:r>
            <w:r w:rsidRPr="00B65D57">
              <w:rPr>
                <w:rFonts w:eastAsia="Calibri"/>
                <w:snapToGrid w:val="0"/>
                <w:sz w:val="18"/>
                <w:szCs w:val="18"/>
                <w:lang w:eastAsia="fi-FI"/>
              </w:rPr>
              <w:t xml:space="preserve">C) and sodium bentonite (20 % w/w) </w:t>
            </w:r>
          </w:p>
        </w:tc>
        <w:tc>
          <w:tcPr>
            <w:tcW w:w="599" w:type="pct"/>
          </w:tcPr>
          <w:p w14:paraId="3139B50E" w14:textId="37468644"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Bandh, K. and Theorin, M. (2011</w:t>
            </w:r>
            <w:r w:rsidR="008A5EB3" w:rsidRPr="00B65D57">
              <w:rPr>
                <w:rFonts w:eastAsia="Calibri"/>
                <w:snapToGrid w:val="0"/>
                <w:sz w:val="18"/>
                <w:szCs w:val="18"/>
                <w:lang w:eastAsia="fi-FI"/>
              </w:rPr>
              <w:t>a</w:t>
            </w:r>
            <w:r w:rsidRPr="00B65D57">
              <w:rPr>
                <w:rFonts w:eastAsia="Calibri"/>
                <w:snapToGrid w:val="0"/>
                <w:sz w:val="18"/>
                <w:szCs w:val="18"/>
                <w:lang w:eastAsia="fi-FI"/>
              </w:rPr>
              <w:t>)</w:t>
            </w:r>
          </w:p>
          <w:p w14:paraId="0DE3A9BD" w14:textId="77777777" w:rsidR="00635F3E" w:rsidRPr="00B65D57" w:rsidRDefault="00635F3E" w:rsidP="00635F3E">
            <w:pPr>
              <w:widowControl w:val="0"/>
              <w:rPr>
                <w:rFonts w:eastAsia="Calibri"/>
                <w:snapToGrid w:val="0"/>
                <w:sz w:val="18"/>
                <w:szCs w:val="18"/>
                <w:lang w:eastAsia="fi-FI"/>
              </w:rPr>
            </w:pPr>
          </w:p>
          <w:p w14:paraId="71F36E5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Theorin, M. </w:t>
            </w:r>
          </w:p>
          <w:p w14:paraId="22DD89D4" w14:textId="68FAF8C9"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(2011</w:t>
            </w:r>
            <w:r w:rsidR="00775EED">
              <w:rPr>
                <w:rFonts w:eastAsia="Calibri"/>
                <w:snapToGrid w:val="0"/>
                <w:sz w:val="18"/>
                <w:szCs w:val="18"/>
                <w:lang w:eastAsia="fi-FI"/>
              </w:rPr>
              <w:t>d</w:t>
            </w:r>
            <w:r w:rsidRPr="00B65D57">
              <w:rPr>
                <w:rFonts w:eastAsia="Calibri"/>
                <w:snapToGrid w:val="0"/>
                <w:sz w:val="18"/>
                <w:szCs w:val="18"/>
                <w:lang w:eastAsia="fi-FI"/>
              </w:rPr>
              <w:t>)</w:t>
            </w:r>
          </w:p>
          <w:p w14:paraId="27FD4BB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Report no. 2011:6</w:t>
            </w:r>
          </w:p>
        </w:tc>
      </w:tr>
    </w:tbl>
    <w:p w14:paraId="7FA76595" w14:textId="77777777" w:rsidR="00635F3E" w:rsidRPr="00B65D57" w:rsidRDefault="00635F3E" w:rsidP="00CE5AE6">
      <w:pPr>
        <w:widowControl w:val="0"/>
        <w:contextualSpacing/>
        <w:rPr>
          <w:rFonts w:eastAsia="Calibri"/>
          <w:snapToGrid w:val="0"/>
          <w:lang w:eastAsia="sv-SE"/>
        </w:rPr>
        <w:sectPr w:rsidR="00635F3E" w:rsidRPr="00B65D57" w:rsidSect="00674CD5">
          <w:headerReference w:type="default" r:id="rId14"/>
          <w:pgSz w:w="16840" w:h="11907" w:orient="landscape" w:code="9"/>
          <w:pgMar w:top="1446" w:right="1474" w:bottom="1247" w:left="2013" w:header="851" w:footer="851" w:gutter="0"/>
          <w:cols w:space="720"/>
          <w:docGrid w:linePitch="272"/>
        </w:sectPr>
      </w:pPr>
    </w:p>
    <w:p w14:paraId="53F10CAC" w14:textId="6A295EF1"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lastRenderedPageBreak/>
        <w:t>Conclusion on physical, chemical, and technical properties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635F3E" w:rsidRPr="00B65D57" w14:paraId="0963E6C5" w14:textId="77777777" w:rsidTr="00553245">
        <w:tc>
          <w:tcPr>
            <w:tcW w:w="5000" w:type="pct"/>
            <w:tcBorders>
              <w:top w:val="single" w:sz="4" w:space="0" w:color="auto"/>
              <w:left w:val="single" w:sz="4" w:space="0" w:color="auto"/>
              <w:bottom w:val="single" w:sz="6" w:space="0" w:color="auto"/>
              <w:right w:val="single" w:sz="6" w:space="0" w:color="auto"/>
            </w:tcBorders>
            <w:shd w:val="clear" w:color="auto" w:fill="CCFFCC"/>
          </w:tcPr>
          <w:p w14:paraId="618012F3" w14:textId="77777777" w:rsidR="00635F3E" w:rsidRPr="00B65D57" w:rsidRDefault="00635F3E" w:rsidP="00635F3E">
            <w:pPr>
              <w:widowControl w:val="0"/>
              <w:rPr>
                <w:rFonts w:eastAsia="Calibri"/>
                <w:b/>
                <w:bCs/>
                <w:snapToGrid w:val="0"/>
                <w:sz w:val="18"/>
                <w:szCs w:val="16"/>
                <w:lang w:eastAsia="en-US"/>
              </w:rPr>
            </w:pPr>
            <w:r w:rsidRPr="00B65D57">
              <w:rPr>
                <w:rFonts w:eastAsia="Calibri"/>
                <w:b/>
                <w:bCs/>
                <w:snapToGrid w:val="0"/>
                <w:sz w:val="18"/>
                <w:szCs w:val="16"/>
                <w:lang w:eastAsia="en-US"/>
              </w:rPr>
              <w:t>Conclusion on p</w:t>
            </w:r>
            <w:r w:rsidRPr="00B65D57">
              <w:rPr>
                <w:rFonts w:eastAsia="Calibri"/>
                <w:b/>
                <w:snapToGrid w:val="0"/>
                <w:sz w:val="18"/>
                <w:szCs w:val="16"/>
                <w:lang w:eastAsia="fi-FI"/>
              </w:rPr>
              <w:t>hysical, chemical, and technical properties</w:t>
            </w:r>
          </w:p>
        </w:tc>
      </w:tr>
      <w:tr w:rsidR="00635F3E" w:rsidRPr="00B65D57" w14:paraId="4791E5E2" w14:textId="77777777" w:rsidTr="0055324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898DC05" w14:textId="411F38BC" w:rsidR="00635F3E" w:rsidRPr="00B65D57" w:rsidRDefault="00635F3E" w:rsidP="00635F3E">
            <w:pPr>
              <w:widowControl w:val="0"/>
              <w:spacing w:before="120" w:after="120"/>
              <w:jc w:val="both"/>
              <w:rPr>
                <w:rFonts w:eastAsia="Calibri" w:cs="Arial"/>
                <w:snapToGrid w:val="0"/>
                <w:sz w:val="18"/>
                <w:szCs w:val="16"/>
                <w:lang w:eastAsia="en-US"/>
              </w:rPr>
            </w:pPr>
            <w:r w:rsidRPr="00B65D57">
              <w:rPr>
                <w:rFonts w:eastAsia="Calibri" w:cs="Arial"/>
                <w:snapToGrid w:val="0"/>
                <w:sz w:val="18"/>
                <w:szCs w:val="16"/>
                <w:lang w:eastAsia="en-US"/>
              </w:rPr>
              <w:t xml:space="preserve">Jerbor is water soluble granules (SG) formulation type. The applicant has stated that the formulation type should be changed from granules </w:t>
            </w:r>
            <w:r w:rsidR="003914F5" w:rsidRPr="00B65D57">
              <w:rPr>
                <w:rFonts w:eastAsia="Calibri" w:cs="Arial"/>
                <w:snapToGrid w:val="0"/>
                <w:sz w:val="18"/>
                <w:szCs w:val="16"/>
                <w:lang w:eastAsia="en-US"/>
              </w:rPr>
              <w:t xml:space="preserve">(GR) </w:t>
            </w:r>
            <w:r w:rsidRPr="00B65D57">
              <w:rPr>
                <w:rFonts w:eastAsia="Calibri" w:cs="Arial"/>
                <w:snapToGrid w:val="0"/>
                <w:sz w:val="18"/>
                <w:szCs w:val="16"/>
                <w:lang w:eastAsia="en-US"/>
              </w:rPr>
              <w:t xml:space="preserve">to water soluble granules. RefMS has accepted this based on </w:t>
            </w:r>
            <w:r w:rsidR="00AE70AF" w:rsidRPr="00B65D57">
              <w:rPr>
                <w:rFonts w:eastAsia="Calibri" w:cs="Arial"/>
                <w:snapToGrid w:val="0"/>
                <w:sz w:val="18"/>
                <w:szCs w:val="16"/>
                <w:lang w:eastAsia="en-US"/>
              </w:rPr>
              <w:t xml:space="preserve">how Jerbor is used to prepare the application slurry (Eurobor), its solubility in hot water and </w:t>
            </w:r>
            <w:r w:rsidRPr="00B65D57">
              <w:rPr>
                <w:rFonts w:eastAsia="Calibri" w:cs="Arial"/>
                <w:snapToGrid w:val="0"/>
                <w:sz w:val="18"/>
                <w:szCs w:val="16"/>
                <w:lang w:eastAsia="en-US"/>
              </w:rPr>
              <w:t xml:space="preserve">the wet sieve test result. In the wet sieve test only 0.016 % residue is obtained. </w:t>
            </w:r>
            <w:r w:rsidR="00AE70AF" w:rsidRPr="00B65D57">
              <w:rPr>
                <w:rFonts w:eastAsia="Calibri" w:cs="Arial"/>
                <w:snapToGrid w:val="0"/>
                <w:sz w:val="18"/>
                <w:szCs w:val="16"/>
                <w:lang w:eastAsia="en-US"/>
              </w:rPr>
              <w:t>And b</w:t>
            </w:r>
            <w:r w:rsidRPr="00B65D57">
              <w:rPr>
                <w:rFonts w:eastAsia="Calibri" w:cs="Arial"/>
                <w:snapToGrid w:val="0"/>
                <w:sz w:val="18"/>
                <w:szCs w:val="16"/>
                <w:lang w:eastAsia="en-US"/>
              </w:rPr>
              <w:t>ased on more than 15 years of field experience, the applicant states that complete dissolution is achieved when Jerbor is mixed with water (50-70 °C). The dissolution of Jerbor in hot water is the first step in the preparation of the Eurobor</w:t>
            </w:r>
            <w:r w:rsidR="00AE70AF" w:rsidRPr="00B65D57">
              <w:rPr>
                <w:rFonts w:eastAsia="Calibri" w:cs="Arial"/>
                <w:snapToGrid w:val="0"/>
                <w:sz w:val="18"/>
                <w:szCs w:val="16"/>
                <w:lang w:eastAsia="en-US"/>
              </w:rPr>
              <w:t xml:space="preserve"> slurry</w:t>
            </w:r>
            <w:r w:rsidRPr="00B65D57">
              <w:rPr>
                <w:rFonts w:eastAsia="Calibri" w:cs="Arial"/>
                <w:snapToGrid w:val="0"/>
                <w:sz w:val="18"/>
                <w:szCs w:val="16"/>
                <w:lang w:eastAsia="en-US"/>
              </w:rPr>
              <w:t xml:space="preserve"> as described in the </w:t>
            </w:r>
            <w:r w:rsidR="00BE356A" w:rsidRPr="00B65D57">
              <w:rPr>
                <w:rFonts w:eastAsia="Calibri" w:cs="Arial"/>
                <w:snapToGrid w:val="0"/>
                <w:sz w:val="18"/>
                <w:szCs w:val="16"/>
                <w:lang w:eastAsia="en-US"/>
              </w:rPr>
              <w:t>instructions</w:t>
            </w:r>
            <w:r w:rsidRPr="00B65D57">
              <w:rPr>
                <w:rFonts w:eastAsia="Calibri" w:cs="Arial"/>
                <w:snapToGrid w:val="0"/>
                <w:sz w:val="18"/>
                <w:szCs w:val="16"/>
                <w:lang w:eastAsia="en-US"/>
              </w:rPr>
              <w:t xml:space="preserve"> for use.</w:t>
            </w:r>
          </w:p>
          <w:p w14:paraId="7B3D9E74" w14:textId="53A409E1" w:rsidR="00635F3E" w:rsidRPr="00B65D57" w:rsidRDefault="00635F3E" w:rsidP="00635F3E">
            <w:pPr>
              <w:widowControl w:val="0"/>
              <w:spacing w:before="120" w:after="120"/>
              <w:jc w:val="both"/>
              <w:rPr>
                <w:rFonts w:eastAsia="Calibri" w:cs="Arial"/>
                <w:snapToGrid w:val="0"/>
                <w:sz w:val="18"/>
                <w:szCs w:val="16"/>
                <w:lang w:eastAsia="en-US"/>
              </w:rPr>
            </w:pPr>
            <w:r w:rsidRPr="00B65D57">
              <w:rPr>
                <w:rFonts w:eastAsia="Calibri" w:cs="Arial"/>
                <w:snapToGrid w:val="0"/>
                <w:sz w:val="18"/>
                <w:szCs w:val="16"/>
                <w:lang w:eastAsia="en-US"/>
              </w:rPr>
              <w:t xml:space="preserve">The claimed shelf life for Jerbor is 10 weeks (production only on demand). No significant changes in appearance, pH, alkalinity, dilution stability, dustiness, attrition resistance, and active substance content were observed after storage at ambient temperature for 10 weeks. HDPE-packaging compatibility has been demonstrated in the stability study where no degradation, ballooning, panelling or seepage were observed. All studies have been performed in accordance with the current requirements and the results are deemed to be acceptable. </w:t>
            </w:r>
          </w:p>
          <w:p w14:paraId="05F4C4E6" w14:textId="7978AE74" w:rsidR="00635F3E" w:rsidRPr="00B65D57" w:rsidRDefault="00635F3E" w:rsidP="00635F3E">
            <w:pPr>
              <w:widowControl w:val="0"/>
              <w:spacing w:before="120" w:after="120"/>
              <w:jc w:val="both"/>
              <w:rPr>
                <w:rFonts w:eastAsia="Calibri" w:cs="Arial"/>
                <w:snapToGrid w:val="0"/>
                <w:sz w:val="18"/>
                <w:szCs w:val="16"/>
                <w:lang w:eastAsia="en-US"/>
              </w:rPr>
            </w:pPr>
            <w:r w:rsidRPr="00B65D57">
              <w:rPr>
                <w:rFonts w:eastAsia="Calibri" w:cs="Arial"/>
                <w:snapToGrid w:val="0"/>
                <w:sz w:val="18"/>
                <w:szCs w:val="16"/>
                <w:lang w:eastAsia="en-US"/>
              </w:rPr>
              <w:t xml:space="preserve">Longer ambient temperature storage stability test (T=2 years) is ongoing and will be </w:t>
            </w:r>
            <w:r w:rsidR="00BE356A" w:rsidRPr="00B65D57">
              <w:rPr>
                <w:rFonts w:eastAsia="Calibri" w:cs="Arial"/>
                <w:snapToGrid w:val="0"/>
                <w:sz w:val="18"/>
                <w:szCs w:val="16"/>
                <w:lang w:eastAsia="en-US"/>
              </w:rPr>
              <w:t>completed in</w:t>
            </w:r>
            <w:r w:rsidRPr="00B65D57">
              <w:rPr>
                <w:rFonts w:eastAsia="Calibri" w:cs="Arial"/>
                <w:snapToGrid w:val="0"/>
                <w:sz w:val="18"/>
                <w:szCs w:val="16"/>
                <w:lang w:eastAsia="en-US"/>
              </w:rPr>
              <w:t xml:space="preserve"> January 2024.</w:t>
            </w:r>
          </w:p>
          <w:p w14:paraId="1A326FAB" w14:textId="77777777" w:rsidR="00635F3E" w:rsidRPr="00B65D57" w:rsidRDefault="00635F3E" w:rsidP="00635F3E">
            <w:pPr>
              <w:widowControl w:val="0"/>
              <w:spacing w:before="120" w:after="120"/>
              <w:jc w:val="both"/>
              <w:rPr>
                <w:rFonts w:eastAsia="Calibri" w:cs="Arial"/>
                <w:snapToGrid w:val="0"/>
                <w:sz w:val="18"/>
                <w:szCs w:val="16"/>
                <w:lang w:eastAsia="en-US"/>
              </w:rPr>
            </w:pPr>
          </w:p>
          <w:p w14:paraId="1BF2AADF" w14:textId="313E6206" w:rsidR="00635F3E" w:rsidRPr="00B65D57" w:rsidRDefault="00635F3E" w:rsidP="00635F3E">
            <w:pPr>
              <w:widowControl w:val="0"/>
              <w:spacing w:before="120" w:after="120"/>
              <w:jc w:val="both"/>
              <w:rPr>
                <w:rFonts w:eastAsia="Calibri" w:cs="Arial"/>
                <w:b/>
                <w:snapToGrid w:val="0"/>
                <w:sz w:val="18"/>
                <w:szCs w:val="16"/>
                <w:u w:val="single"/>
                <w:lang w:eastAsia="en-US"/>
              </w:rPr>
            </w:pPr>
            <w:r w:rsidRPr="00B65D57">
              <w:rPr>
                <w:rFonts w:eastAsia="Calibri" w:cs="Arial"/>
                <w:b/>
                <w:snapToGrid w:val="0"/>
                <w:sz w:val="18"/>
                <w:szCs w:val="16"/>
                <w:u w:val="single"/>
                <w:lang w:eastAsia="en-US"/>
              </w:rPr>
              <w:t>Implications for labelling:</w:t>
            </w:r>
            <w:r w:rsidRPr="00B65D57">
              <w:rPr>
                <w:rFonts w:eastAsia="Calibri" w:cs="Arial"/>
                <w:snapToGrid w:val="0"/>
                <w:sz w:val="18"/>
                <w:szCs w:val="16"/>
                <w:lang w:eastAsia="en-US"/>
              </w:rPr>
              <w:t xml:space="preserve"> </w:t>
            </w:r>
            <w:r w:rsidR="005C409E">
              <w:rPr>
                <w:rFonts w:eastAsia="Calibri" w:cs="Arial"/>
                <w:snapToGrid w:val="0"/>
                <w:sz w:val="18"/>
                <w:szCs w:val="16"/>
                <w:lang w:eastAsia="en-US"/>
              </w:rPr>
              <w:t>“</w:t>
            </w:r>
            <w:r w:rsidRPr="00B65D57">
              <w:rPr>
                <w:rFonts w:eastAsia="Calibri" w:cs="Arial"/>
                <w:snapToGrid w:val="0"/>
                <w:sz w:val="18"/>
                <w:szCs w:val="16"/>
                <w:lang w:eastAsia="en-US"/>
              </w:rPr>
              <w:t xml:space="preserve">Do not store </w:t>
            </w:r>
            <w:r w:rsidR="005C409E">
              <w:rPr>
                <w:rFonts w:eastAsia="Calibri" w:cs="Arial"/>
                <w:snapToGrid w:val="0"/>
                <w:sz w:val="18"/>
                <w:szCs w:val="16"/>
                <w:lang w:eastAsia="en-US"/>
              </w:rPr>
              <w:t>above 25°C.” and</w:t>
            </w:r>
            <w:r w:rsidRPr="00B65D57">
              <w:rPr>
                <w:rFonts w:eastAsia="Calibri" w:cs="Arial"/>
                <w:snapToGrid w:val="0"/>
                <w:sz w:val="18"/>
                <w:szCs w:val="16"/>
                <w:lang w:eastAsia="en-US"/>
              </w:rPr>
              <w:t xml:space="preserve"> </w:t>
            </w:r>
            <w:r w:rsidR="005C409E">
              <w:rPr>
                <w:rFonts w:eastAsia="Calibri" w:cs="Arial"/>
                <w:snapToGrid w:val="0"/>
                <w:sz w:val="18"/>
                <w:szCs w:val="16"/>
                <w:lang w:eastAsia="en-US"/>
              </w:rPr>
              <w:t>“</w:t>
            </w:r>
            <w:r w:rsidR="005C409E" w:rsidRPr="005C409E">
              <w:rPr>
                <w:rFonts w:eastAsia="Calibri" w:cs="Arial"/>
                <w:snapToGrid w:val="0"/>
                <w:sz w:val="18"/>
                <w:szCs w:val="16"/>
                <w:lang w:eastAsia="en-US"/>
              </w:rPr>
              <w:t>Store in original container in a dry, cool, and well-ventilated place</w:t>
            </w:r>
            <w:r w:rsidR="005C409E">
              <w:rPr>
                <w:rFonts w:eastAsia="Calibri" w:cs="Arial"/>
                <w:snapToGrid w:val="0"/>
                <w:sz w:val="18"/>
                <w:szCs w:val="16"/>
                <w:lang w:eastAsia="en-US"/>
              </w:rPr>
              <w:t xml:space="preserve">.” </w:t>
            </w:r>
            <w:r w:rsidRPr="00B65D57">
              <w:rPr>
                <w:rFonts w:eastAsia="Calibri" w:cs="Arial"/>
                <w:snapToGrid w:val="0"/>
                <w:sz w:val="18"/>
                <w:szCs w:val="16"/>
                <w:lang w:eastAsia="en-US"/>
              </w:rPr>
              <w:t>should be included on the label.</w:t>
            </w:r>
            <w:r w:rsidR="005C409E">
              <w:t xml:space="preserve"> </w:t>
            </w:r>
          </w:p>
        </w:tc>
      </w:tr>
    </w:tbl>
    <w:p w14:paraId="432CE3C5" w14:textId="77777777" w:rsidR="00635F3E" w:rsidRPr="00B65D57" w:rsidRDefault="00635F3E" w:rsidP="00635F3E">
      <w:pPr>
        <w:jc w:val="both"/>
        <w:rPr>
          <w:rFonts w:eastAsia="Calibri"/>
          <w:snapToGrid w:val="0"/>
          <w:lang w:eastAsia="en-US"/>
        </w:rPr>
        <w:sectPr w:rsidR="00635F3E" w:rsidRPr="00B65D57" w:rsidSect="00674CD5">
          <w:headerReference w:type="default" r:id="rId15"/>
          <w:pgSz w:w="11907" w:h="16840" w:code="9"/>
          <w:pgMar w:top="1474" w:right="1247" w:bottom="2013" w:left="1446" w:header="851" w:footer="851" w:gutter="0"/>
          <w:cols w:space="720"/>
          <w:docGrid w:linePitch="272"/>
        </w:sectPr>
      </w:pPr>
    </w:p>
    <w:p w14:paraId="2C2AE026" w14:textId="40E431DD" w:rsidR="00635F3E" w:rsidRPr="00B65D57" w:rsidRDefault="009A5C9B" w:rsidP="00223981">
      <w:pPr>
        <w:pStyle w:val="Rubrik3"/>
        <w:rPr>
          <w:snapToGrid w:val="0"/>
          <w:lang w:val="en-GB" w:eastAsia="fi-FI"/>
        </w:rPr>
      </w:pPr>
      <w:bookmarkStart w:id="1297" w:name="_Toc26187725"/>
      <w:bookmarkStart w:id="1298" w:name="_Toc26189389"/>
      <w:bookmarkStart w:id="1299" w:name="_Toc26191053"/>
      <w:bookmarkStart w:id="1300" w:name="_Toc26192723"/>
      <w:bookmarkStart w:id="1301" w:name="_Toc26194389"/>
      <w:bookmarkStart w:id="1302" w:name="_Toc26187726"/>
      <w:bookmarkStart w:id="1303" w:name="_Toc26189390"/>
      <w:bookmarkStart w:id="1304" w:name="_Toc26191054"/>
      <w:bookmarkStart w:id="1305" w:name="_Toc26192724"/>
      <w:bookmarkStart w:id="1306" w:name="_Toc26194390"/>
      <w:bookmarkStart w:id="1307" w:name="_Toc25922552"/>
      <w:bookmarkStart w:id="1308" w:name="_Toc26256010"/>
      <w:bookmarkStart w:id="1309" w:name="_Toc40273841"/>
      <w:bookmarkStart w:id="1310" w:name="_Toc41555053"/>
      <w:bookmarkStart w:id="1311" w:name="_Toc41565174"/>
      <w:bookmarkStart w:id="1312" w:name="_Toc72846214"/>
      <w:bookmarkStart w:id="1313" w:name="_Toc129689585"/>
      <w:bookmarkEnd w:id="1297"/>
      <w:bookmarkEnd w:id="1298"/>
      <w:bookmarkEnd w:id="1299"/>
      <w:bookmarkEnd w:id="1300"/>
      <w:bookmarkEnd w:id="1301"/>
      <w:bookmarkEnd w:id="1302"/>
      <w:bookmarkEnd w:id="1303"/>
      <w:bookmarkEnd w:id="1304"/>
      <w:bookmarkEnd w:id="1305"/>
      <w:bookmarkEnd w:id="1306"/>
      <w:r w:rsidRPr="00B65D57">
        <w:rPr>
          <w:snapToGrid w:val="0"/>
          <w:lang w:val="en-GB" w:eastAsia="fi-FI"/>
        </w:rPr>
        <w:lastRenderedPageBreak/>
        <w:t xml:space="preserve">2.2.3 </w:t>
      </w:r>
      <w:r w:rsidR="00635F3E" w:rsidRPr="00B65D57">
        <w:rPr>
          <w:snapToGrid w:val="0"/>
          <w:lang w:val="en-GB" w:eastAsia="fi-FI"/>
        </w:rPr>
        <w:t>Physical hazards and respective characteristics</w:t>
      </w:r>
      <w:bookmarkEnd w:id="1307"/>
      <w:bookmarkEnd w:id="1308"/>
      <w:bookmarkEnd w:id="1309"/>
      <w:bookmarkEnd w:id="1310"/>
      <w:bookmarkEnd w:id="1311"/>
      <w:bookmarkEnd w:id="1312"/>
      <w:bookmarkEnd w:id="1313"/>
    </w:p>
    <w:p w14:paraId="231B7252" w14:textId="272C33B1"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t xml:space="preserve">Table </w:t>
      </w:r>
      <w:r w:rsidR="00521506" w:rsidRPr="00B65D57">
        <w:rPr>
          <w:b/>
          <w:bCs/>
          <w:snapToGrid w:val="0"/>
          <w:szCs w:val="18"/>
          <w:lang w:eastAsia="fi-FI"/>
        </w:rPr>
        <w:t>2.2.</w:t>
      </w:r>
      <w:r w:rsidRPr="00B65D57">
        <w:rPr>
          <w:b/>
          <w:bCs/>
          <w:snapToGrid w:val="0"/>
          <w:szCs w:val="18"/>
          <w:lang w:eastAsia="fi-FI"/>
        </w:rPr>
        <w:fldChar w:fldCharType="begin"/>
      </w:r>
      <w:r w:rsidRPr="00B65D57">
        <w:rPr>
          <w:b/>
          <w:bCs/>
          <w:snapToGrid w:val="0"/>
          <w:szCs w:val="18"/>
          <w:lang w:eastAsia="fi-FI"/>
        </w:rPr>
        <w:instrText xml:space="preserve"> STYLEREF 1 \s </w:instrText>
      </w:r>
      <w:r w:rsidRPr="00B65D57">
        <w:rPr>
          <w:b/>
          <w:bCs/>
          <w:snapToGrid w:val="0"/>
          <w:szCs w:val="18"/>
          <w:lang w:eastAsia="fi-FI"/>
        </w:rPr>
        <w:fldChar w:fldCharType="separate"/>
      </w:r>
      <w:r w:rsidR="00327AD9">
        <w:rPr>
          <w:b/>
          <w:bCs/>
          <w:noProof/>
          <w:snapToGrid w:val="0"/>
          <w:szCs w:val="18"/>
          <w:lang w:eastAsia="fi-FI"/>
        </w:rPr>
        <w:t>2</w:t>
      </w:r>
      <w:r w:rsidRPr="00B65D57">
        <w:rPr>
          <w:b/>
          <w:bCs/>
          <w:noProof/>
          <w:snapToGrid w:val="0"/>
          <w:szCs w:val="18"/>
          <w:lang w:eastAsia="fi-FI"/>
        </w:rPr>
        <w:fldChar w:fldCharType="end"/>
      </w:r>
      <w:r w:rsidR="00521506" w:rsidRPr="00B65D57">
        <w:rPr>
          <w:b/>
          <w:bCs/>
          <w:snapToGrid w:val="0"/>
          <w:szCs w:val="18"/>
          <w:lang w:eastAsia="fi-FI"/>
        </w:rPr>
        <w:t>-1</w:t>
      </w:r>
      <w:r w:rsidRPr="00B65D57">
        <w:rPr>
          <w:b/>
          <w:bCs/>
          <w:snapToGrid w:val="0"/>
          <w:szCs w:val="18"/>
          <w:lang w:eastAsia="fi-FI"/>
        </w:rPr>
        <w:t xml:space="preserve"> Physical hazards and respective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6"/>
        <w:gridCol w:w="1985"/>
        <w:gridCol w:w="2407"/>
        <w:gridCol w:w="1985"/>
        <w:gridCol w:w="5408"/>
      </w:tblGrid>
      <w:tr w:rsidR="00635F3E" w:rsidRPr="00B65D57" w14:paraId="170D72A2" w14:textId="77777777" w:rsidTr="00553245">
        <w:trPr>
          <w:trHeight w:val="729"/>
          <w:tblHeader/>
        </w:trPr>
        <w:tc>
          <w:tcPr>
            <w:tcW w:w="583" w:type="pct"/>
            <w:shd w:val="clear" w:color="auto" w:fill="FFFFCC"/>
            <w:vAlign w:val="center"/>
          </w:tcPr>
          <w:p w14:paraId="6EFD65FD" w14:textId="77777777" w:rsidR="00635F3E" w:rsidRPr="00B65D57" w:rsidRDefault="00635F3E" w:rsidP="00635F3E">
            <w:pPr>
              <w:widowControl w:val="0"/>
              <w:jc w:val="center"/>
              <w:rPr>
                <w:rFonts w:eastAsia="Calibri"/>
                <w:b/>
                <w:snapToGrid w:val="0"/>
                <w:sz w:val="18"/>
                <w:szCs w:val="18"/>
                <w:lang w:eastAsia="fi-FI"/>
              </w:rPr>
            </w:pPr>
            <w:r w:rsidRPr="00B65D57">
              <w:rPr>
                <w:rFonts w:eastAsia="Calibri"/>
                <w:b/>
                <w:snapToGrid w:val="0"/>
                <w:sz w:val="18"/>
                <w:szCs w:val="18"/>
                <w:lang w:eastAsia="en-US"/>
              </w:rPr>
              <w:t>Numbering according to Annex III of BPR</w:t>
            </w:r>
          </w:p>
        </w:tc>
        <w:tc>
          <w:tcPr>
            <w:tcW w:w="744" w:type="pct"/>
            <w:shd w:val="clear" w:color="auto" w:fill="FFFFCC"/>
            <w:vAlign w:val="center"/>
          </w:tcPr>
          <w:p w14:paraId="0A3E8F94" w14:textId="77777777" w:rsidR="00635F3E" w:rsidRPr="00B65D57" w:rsidRDefault="00635F3E" w:rsidP="00635F3E">
            <w:pPr>
              <w:widowControl w:val="0"/>
              <w:jc w:val="center"/>
              <w:rPr>
                <w:rFonts w:eastAsia="Calibri"/>
                <w:b/>
                <w:snapToGrid w:val="0"/>
                <w:sz w:val="18"/>
                <w:szCs w:val="18"/>
                <w:lang w:eastAsia="fi-FI"/>
              </w:rPr>
            </w:pPr>
            <w:r w:rsidRPr="00B65D57">
              <w:rPr>
                <w:rFonts w:eastAsia="Calibri"/>
                <w:b/>
                <w:snapToGrid w:val="0"/>
                <w:sz w:val="18"/>
                <w:szCs w:val="18"/>
                <w:lang w:eastAsia="fi-FI"/>
              </w:rPr>
              <w:t>Property</w:t>
            </w:r>
          </w:p>
        </w:tc>
        <w:tc>
          <w:tcPr>
            <w:tcW w:w="902" w:type="pct"/>
            <w:shd w:val="clear" w:color="auto" w:fill="FFFFCC"/>
            <w:vAlign w:val="center"/>
          </w:tcPr>
          <w:p w14:paraId="1D16CD33" w14:textId="77777777" w:rsidR="00635F3E" w:rsidRPr="00B65D57" w:rsidRDefault="00635F3E" w:rsidP="00635F3E">
            <w:pPr>
              <w:widowControl w:val="0"/>
              <w:jc w:val="center"/>
              <w:rPr>
                <w:rFonts w:eastAsia="Calibri"/>
                <w:b/>
                <w:snapToGrid w:val="0"/>
                <w:sz w:val="18"/>
                <w:szCs w:val="18"/>
                <w:lang w:eastAsia="fi-FI"/>
              </w:rPr>
            </w:pPr>
            <w:r w:rsidRPr="00B65D57">
              <w:rPr>
                <w:rFonts w:eastAsia="Calibri"/>
                <w:b/>
                <w:snapToGrid w:val="0"/>
                <w:sz w:val="18"/>
                <w:szCs w:val="18"/>
                <w:lang w:eastAsia="fi-FI"/>
              </w:rPr>
              <w:t>Guideline and Method</w:t>
            </w:r>
          </w:p>
        </w:tc>
        <w:tc>
          <w:tcPr>
            <w:tcW w:w="744" w:type="pct"/>
            <w:shd w:val="clear" w:color="auto" w:fill="FFFFCC"/>
            <w:vAlign w:val="center"/>
          </w:tcPr>
          <w:p w14:paraId="0ECAEC5B" w14:textId="77777777" w:rsidR="00635F3E" w:rsidRPr="00B65D57" w:rsidRDefault="00635F3E" w:rsidP="00635F3E">
            <w:pPr>
              <w:widowControl w:val="0"/>
              <w:jc w:val="center"/>
              <w:rPr>
                <w:rFonts w:eastAsia="Calibri"/>
                <w:b/>
                <w:snapToGrid w:val="0"/>
                <w:sz w:val="18"/>
                <w:szCs w:val="18"/>
                <w:lang w:eastAsia="fi-FI"/>
              </w:rPr>
            </w:pPr>
            <w:r w:rsidRPr="00B65D57">
              <w:rPr>
                <w:rFonts w:eastAsia="Calibri"/>
                <w:b/>
                <w:snapToGrid w:val="0"/>
                <w:sz w:val="18"/>
                <w:szCs w:val="18"/>
                <w:lang w:eastAsia="fi-FI"/>
              </w:rPr>
              <w:t xml:space="preserve">Tested product / batch </w:t>
            </w:r>
          </w:p>
          <w:p w14:paraId="19DA15D5" w14:textId="77777777" w:rsidR="00635F3E" w:rsidRPr="00B65D57" w:rsidRDefault="00635F3E" w:rsidP="00635F3E">
            <w:pPr>
              <w:widowControl w:val="0"/>
              <w:jc w:val="center"/>
              <w:rPr>
                <w:rFonts w:eastAsia="Calibri"/>
                <w:b/>
                <w:snapToGrid w:val="0"/>
                <w:sz w:val="18"/>
                <w:szCs w:val="18"/>
                <w:lang w:eastAsia="fi-FI"/>
              </w:rPr>
            </w:pPr>
            <w:r w:rsidRPr="00B65D57">
              <w:rPr>
                <w:rFonts w:eastAsia="Calibri"/>
                <w:b/>
                <w:snapToGrid w:val="0"/>
                <w:sz w:val="18"/>
                <w:szCs w:val="18"/>
                <w:lang w:eastAsia="fi-FI"/>
              </w:rPr>
              <w:t>(AS% (w/w)</w:t>
            </w:r>
          </w:p>
        </w:tc>
        <w:tc>
          <w:tcPr>
            <w:tcW w:w="2027" w:type="pct"/>
            <w:shd w:val="clear" w:color="auto" w:fill="FFFFCC"/>
            <w:vAlign w:val="center"/>
          </w:tcPr>
          <w:p w14:paraId="5E845DC0" w14:textId="77777777" w:rsidR="00635F3E" w:rsidRPr="00B65D57" w:rsidRDefault="00635F3E" w:rsidP="00635F3E">
            <w:pPr>
              <w:widowControl w:val="0"/>
              <w:jc w:val="center"/>
              <w:rPr>
                <w:rFonts w:eastAsia="Calibri"/>
                <w:b/>
                <w:snapToGrid w:val="0"/>
                <w:sz w:val="18"/>
                <w:szCs w:val="18"/>
                <w:lang w:eastAsia="fi-FI"/>
              </w:rPr>
            </w:pPr>
            <w:r w:rsidRPr="00B65D57">
              <w:rPr>
                <w:rFonts w:eastAsia="Calibri"/>
                <w:b/>
                <w:snapToGrid w:val="0"/>
                <w:sz w:val="18"/>
                <w:szCs w:val="18"/>
                <w:lang w:eastAsia="fi-FI"/>
              </w:rPr>
              <w:t>Results</w:t>
            </w:r>
          </w:p>
        </w:tc>
      </w:tr>
      <w:tr w:rsidR="00635F3E" w:rsidRPr="00B65D57" w14:paraId="2CA5B5DC" w14:textId="77777777" w:rsidTr="00553245">
        <w:trPr>
          <w:trHeight w:val="256"/>
        </w:trPr>
        <w:tc>
          <w:tcPr>
            <w:tcW w:w="583" w:type="pct"/>
          </w:tcPr>
          <w:p w14:paraId="79F3693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w:t>
            </w:r>
          </w:p>
        </w:tc>
        <w:tc>
          <w:tcPr>
            <w:tcW w:w="744" w:type="pct"/>
          </w:tcPr>
          <w:p w14:paraId="0A1793C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Explosives</w:t>
            </w:r>
          </w:p>
        </w:tc>
        <w:tc>
          <w:tcPr>
            <w:tcW w:w="902" w:type="pct"/>
          </w:tcPr>
          <w:p w14:paraId="458D39C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n/a</w:t>
            </w:r>
          </w:p>
        </w:tc>
        <w:tc>
          <w:tcPr>
            <w:tcW w:w="744" w:type="pct"/>
          </w:tcPr>
          <w:p w14:paraId="55EF0E4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Pr>
          <w:p w14:paraId="4F041C2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Jerbor does not have explosive properties since it is only composed of boric acid and disodium tetraborate pentahydrate which do not contain groups with explosive properties. </w:t>
            </w:r>
          </w:p>
          <w:p w14:paraId="6BB8D3E4" w14:textId="77777777" w:rsidR="00635F3E" w:rsidRPr="00B65D57" w:rsidRDefault="00635F3E" w:rsidP="00635F3E">
            <w:pPr>
              <w:autoSpaceDE w:val="0"/>
              <w:autoSpaceDN w:val="0"/>
              <w:adjustRightInd w:val="0"/>
              <w:rPr>
                <w:rFonts w:eastAsia="Calibri" w:cs="Verdana"/>
                <w:color w:val="000000"/>
                <w:sz w:val="18"/>
                <w:szCs w:val="18"/>
                <w:lang w:eastAsia="en-US"/>
              </w:rPr>
            </w:pPr>
          </w:p>
        </w:tc>
      </w:tr>
      <w:tr w:rsidR="00635F3E" w:rsidRPr="00B65D57" w14:paraId="4957B443" w14:textId="77777777" w:rsidTr="00553245">
        <w:trPr>
          <w:trHeight w:val="243"/>
        </w:trPr>
        <w:tc>
          <w:tcPr>
            <w:tcW w:w="583" w:type="pct"/>
          </w:tcPr>
          <w:p w14:paraId="6C3E7F4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4.2.</w:t>
            </w:r>
          </w:p>
        </w:tc>
        <w:tc>
          <w:tcPr>
            <w:tcW w:w="744" w:type="pct"/>
          </w:tcPr>
          <w:p w14:paraId="34A5B62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Flammable gases</w:t>
            </w:r>
          </w:p>
        </w:tc>
        <w:tc>
          <w:tcPr>
            <w:tcW w:w="902" w:type="pct"/>
          </w:tcPr>
          <w:p w14:paraId="5449338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Pr>
          <w:p w14:paraId="174BBC6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Pr>
          <w:p w14:paraId="4F88ACB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 gas.</w:t>
            </w:r>
          </w:p>
        </w:tc>
      </w:tr>
      <w:tr w:rsidR="00635F3E" w:rsidRPr="00B65D57" w14:paraId="02CABEE4" w14:textId="77777777" w:rsidTr="00553245">
        <w:trPr>
          <w:trHeight w:val="243"/>
        </w:trPr>
        <w:tc>
          <w:tcPr>
            <w:tcW w:w="583" w:type="pct"/>
          </w:tcPr>
          <w:p w14:paraId="44AB53D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4.3.</w:t>
            </w:r>
          </w:p>
        </w:tc>
        <w:tc>
          <w:tcPr>
            <w:tcW w:w="744" w:type="pct"/>
          </w:tcPr>
          <w:p w14:paraId="7BBD4A3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Flammable aerosols</w:t>
            </w:r>
          </w:p>
        </w:tc>
        <w:tc>
          <w:tcPr>
            <w:tcW w:w="902" w:type="pct"/>
          </w:tcPr>
          <w:p w14:paraId="27D4B5F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Pr>
          <w:p w14:paraId="26547435"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Pr>
          <w:p w14:paraId="10FADBB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an aerosol.</w:t>
            </w:r>
          </w:p>
        </w:tc>
      </w:tr>
      <w:tr w:rsidR="00635F3E" w:rsidRPr="00B65D57" w14:paraId="15FC2D49" w14:textId="77777777" w:rsidTr="00553245">
        <w:trPr>
          <w:trHeight w:val="243"/>
        </w:trPr>
        <w:tc>
          <w:tcPr>
            <w:tcW w:w="583" w:type="pct"/>
            <w:tcBorders>
              <w:top w:val="single" w:sz="4" w:space="0" w:color="auto"/>
              <w:left w:val="single" w:sz="4" w:space="0" w:color="auto"/>
              <w:bottom w:val="single" w:sz="4" w:space="0" w:color="auto"/>
              <w:right w:val="single" w:sz="4" w:space="0" w:color="auto"/>
            </w:tcBorders>
          </w:tcPr>
          <w:p w14:paraId="3709DD0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4.4.</w:t>
            </w:r>
          </w:p>
        </w:tc>
        <w:tc>
          <w:tcPr>
            <w:tcW w:w="744" w:type="pct"/>
            <w:tcBorders>
              <w:top w:val="single" w:sz="4" w:space="0" w:color="auto"/>
              <w:left w:val="single" w:sz="4" w:space="0" w:color="auto"/>
              <w:bottom w:val="single" w:sz="4" w:space="0" w:color="auto"/>
              <w:right w:val="single" w:sz="4" w:space="0" w:color="auto"/>
            </w:tcBorders>
          </w:tcPr>
          <w:p w14:paraId="1071828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Oxidising gases</w:t>
            </w:r>
          </w:p>
        </w:tc>
        <w:tc>
          <w:tcPr>
            <w:tcW w:w="902" w:type="pct"/>
            <w:tcBorders>
              <w:top w:val="single" w:sz="4" w:space="0" w:color="auto"/>
              <w:left w:val="single" w:sz="4" w:space="0" w:color="auto"/>
              <w:bottom w:val="single" w:sz="4" w:space="0" w:color="auto"/>
              <w:right w:val="single" w:sz="4" w:space="0" w:color="auto"/>
            </w:tcBorders>
          </w:tcPr>
          <w:p w14:paraId="6DAA5BB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3B8DB5C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Borders>
              <w:top w:val="single" w:sz="4" w:space="0" w:color="auto"/>
              <w:left w:val="single" w:sz="4" w:space="0" w:color="auto"/>
              <w:bottom w:val="single" w:sz="4" w:space="0" w:color="auto"/>
              <w:right w:val="single" w:sz="4" w:space="0" w:color="auto"/>
            </w:tcBorders>
          </w:tcPr>
          <w:p w14:paraId="4682762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 gas.</w:t>
            </w:r>
          </w:p>
        </w:tc>
      </w:tr>
      <w:tr w:rsidR="00635F3E" w:rsidRPr="00B65D57" w14:paraId="38D9A68A" w14:textId="77777777" w:rsidTr="00553245">
        <w:trPr>
          <w:trHeight w:val="256"/>
        </w:trPr>
        <w:tc>
          <w:tcPr>
            <w:tcW w:w="583" w:type="pct"/>
            <w:tcBorders>
              <w:top w:val="single" w:sz="4" w:space="0" w:color="auto"/>
              <w:left w:val="single" w:sz="4" w:space="0" w:color="auto"/>
              <w:bottom w:val="single" w:sz="4" w:space="0" w:color="auto"/>
              <w:right w:val="single" w:sz="4" w:space="0" w:color="auto"/>
            </w:tcBorders>
          </w:tcPr>
          <w:p w14:paraId="0661FEF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4.5.</w:t>
            </w:r>
          </w:p>
        </w:tc>
        <w:tc>
          <w:tcPr>
            <w:tcW w:w="744" w:type="pct"/>
            <w:tcBorders>
              <w:top w:val="single" w:sz="4" w:space="0" w:color="auto"/>
              <w:left w:val="single" w:sz="4" w:space="0" w:color="auto"/>
              <w:bottom w:val="single" w:sz="4" w:space="0" w:color="auto"/>
              <w:right w:val="single" w:sz="4" w:space="0" w:color="auto"/>
            </w:tcBorders>
          </w:tcPr>
          <w:p w14:paraId="787E50F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Gases under pressure</w:t>
            </w:r>
          </w:p>
        </w:tc>
        <w:tc>
          <w:tcPr>
            <w:tcW w:w="902" w:type="pct"/>
            <w:tcBorders>
              <w:top w:val="single" w:sz="4" w:space="0" w:color="auto"/>
              <w:left w:val="single" w:sz="4" w:space="0" w:color="auto"/>
              <w:bottom w:val="single" w:sz="4" w:space="0" w:color="auto"/>
              <w:right w:val="single" w:sz="4" w:space="0" w:color="auto"/>
            </w:tcBorders>
          </w:tcPr>
          <w:p w14:paraId="20F4354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53AB89E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Borders>
              <w:top w:val="single" w:sz="4" w:space="0" w:color="auto"/>
              <w:left w:val="single" w:sz="4" w:space="0" w:color="auto"/>
              <w:bottom w:val="single" w:sz="4" w:space="0" w:color="auto"/>
              <w:right w:val="single" w:sz="4" w:space="0" w:color="auto"/>
            </w:tcBorders>
          </w:tcPr>
          <w:p w14:paraId="76D7335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 gas.</w:t>
            </w:r>
          </w:p>
        </w:tc>
      </w:tr>
      <w:tr w:rsidR="00635F3E" w:rsidRPr="00B65D57" w14:paraId="642D4C29" w14:textId="77777777" w:rsidTr="00553245">
        <w:trPr>
          <w:trHeight w:val="256"/>
        </w:trPr>
        <w:tc>
          <w:tcPr>
            <w:tcW w:w="583" w:type="pct"/>
            <w:tcBorders>
              <w:top w:val="single" w:sz="4" w:space="0" w:color="auto"/>
              <w:left w:val="single" w:sz="4" w:space="0" w:color="auto"/>
              <w:bottom w:val="single" w:sz="4" w:space="0" w:color="auto"/>
              <w:right w:val="single" w:sz="4" w:space="0" w:color="auto"/>
            </w:tcBorders>
          </w:tcPr>
          <w:p w14:paraId="10D6C17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4.6.</w:t>
            </w:r>
          </w:p>
        </w:tc>
        <w:tc>
          <w:tcPr>
            <w:tcW w:w="744" w:type="pct"/>
            <w:tcBorders>
              <w:top w:val="single" w:sz="4" w:space="0" w:color="auto"/>
              <w:left w:val="single" w:sz="4" w:space="0" w:color="auto"/>
              <w:bottom w:val="single" w:sz="4" w:space="0" w:color="auto"/>
              <w:right w:val="single" w:sz="4" w:space="0" w:color="auto"/>
            </w:tcBorders>
          </w:tcPr>
          <w:p w14:paraId="19C7E69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Flammable liquids</w:t>
            </w:r>
          </w:p>
        </w:tc>
        <w:tc>
          <w:tcPr>
            <w:tcW w:w="902" w:type="pct"/>
            <w:tcBorders>
              <w:top w:val="single" w:sz="4" w:space="0" w:color="auto"/>
              <w:left w:val="single" w:sz="4" w:space="0" w:color="auto"/>
              <w:bottom w:val="single" w:sz="4" w:space="0" w:color="auto"/>
              <w:right w:val="single" w:sz="4" w:space="0" w:color="auto"/>
            </w:tcBorders>
          </w:tcPr>
          <w:p w14:paraId="24E50C5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021719E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Borders>
              <w:top w:val="single" w:sz="4" w:space="0" w:color="auto"/>
              <w:left w:val="single" w:sz="4" w:space="0" w:color="auto"/>
              <w:bottom w:val="single" w:sz="4" w:space="0" w:color="auto"/>
              <w:right w:val="single" w:sz="4" w:space="0" w:color="auto"/>
            </w:tcBorders>
          </w:tcPr>
          <w:p w14:paraId="4B49AAE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 liquid.</w:t>
            </w:r>
          </w:p>
        </w:tc>
      </w:tr>
      <w:tr w:rsidR="00635F3E" w:rsidRPr="00B65D57" w14:paraId="0D8BAE79" w14:textId="77777777" w:rsidTr="00553245">
        <w:trPr>
          <w:trHeight w:val="256"/>
        </w:trPr>
        <w:tc>
          <w:tcPr>
            <w:tcW w:w="583" w:type="pct"/>
            <w:tcBorders>
              <w:top w:val="single" w:sz="4" w:space="0" w:color="auto"/>
              <w:left w:val="single" w:sz="4" w:space="0" w:color="auto"/>
              <w:bottom w:val="single" w:sz="4" w:space="0" w:color="auto"/>
              <w:right w:val="single" w:sz="4" w:space="0" w:color="auto"/>
            </w:tcBorders>
          </w:tcPr>
          <w:p w14:paraId="38CFAA3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4.7.</w:t>
            </w:r>
          </w:p>
        </w:tc>
        <w:tc>
          <w:tcPr>
            <w:tcW w:w="744" w:type="pct"/>
            <w:tcBorders>
              <w:top w:val="single" w:sz="4" w:space="0" w:color="auto"/>
              <w:left w:val="single" w:sz="4" w:space="0" w:color="auto"/>
              <w:bottom w:val="single" w:sz="4" w:space="0" w:color="auto"/>
              <w:right w:val="single" w:sz="4" w:space="0" w:color="auto"/>
            </w:tcBorders>
          </w:tcPr>
          <w:p w14:paraId="11C2F53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Flammable solids</w:t>
            </w:r>
          </w:p>
        </w:tc>
        <w:tc>
          <w:tcPr>
            <w:tcW w:w="902" w:type="pct"/>
            <w:tcBorders>
              <w:top w:val="single" w:sz="4" w:space="0" w:color="auto"/>
              <w:left w:val="single" w:sz="4" w:space="0" w:color="auto"/>
              <w:bottom w:val="single" w:sz="4" w:space="0" w:color="auto"/>
              <w:right w:val="single" w:sz="4" w:space="0" w:color="auto"/>
            </w:tcBorders>
          </w:tcPr>
          <w:p w14:paraId="7F4575D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26C6FB3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Borders>
              <w:top w:val="single" w:sz="4" w:space="0" w:color="auto"/>
              <w:left w:val="single" w:sz="4" w:space="0" w:color="auto"/>
              <w:bottom w:val="single" w:sz="4" w:space="0" w:color="auto"/>
              <w:right w:val="single" w:sz="4" w:space="0" w:color="auto"/>
            </w:tcBorders>
          </w:tcPr>
          <w:p w14:paraId="3AA16BA4" w14:textId="64276FA4"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does not have flammable properties.</w:t>
            </w:r>
            <w:r w:rsidR="008B3D57">
              <w:rPr>
                <w:rFonts w:eastAsia="Calibri"/>
                <w:snapToGrid w:val="0"/>
                <w:sz w:val="18"/>
                <w:szCs w:val="18"/>
                <w:lang w:eastAsia="fi-FI"/>
              </w:rPr>
              <w:t xml:space="preserve"> In the CAR for boric </w:t>
            </w:r>
            <w:r w:rsidR="00FE29DD">
              <w:rPr>
                <w:rFonts w:eastAsia="Calibri"/>
                <w:snapToGrid w:val="0"/>
                <w:sz w:val="18"/>
                <w:szCs w:val="18"/>
                <w:lang w:eastAsia="fi-FI"/>
              </w:rPr>
              <w:t>acid,</w:t>
            </w:r>
            <w:r w:rsidR="008B3D57">
              <w:rPr>
                <w:rFonts w:eastAsia="Calibri"/>
                <w:snapToGrid w:val="0"/>
                <w:sz w:val="18"/>
                <w:szCs w:val="18"/>
                <w:lang w:eastAsia="fi-FI"/>
              </w:rPr>
              <w:t xml:space="preserve"> it was concluded that the </w:t>
            </w:r>
            <w:r w:rsidR="00603711">
              <w:rPr>
                <w:rFonts w:eastAsia="Calibri"/>
                <w:snapToGrid w:val="0"/>
                <w:sz w:val="18"/>
                <w:szCs w:val="18"/>
                <w:lang w:eastAsia="fi-FI"/>
              </w:rPr>
              <w:t xml:space="preserve">active </w:t>
            </w:r>
            <w:r w:rsidR="008B3D57">
              <w:rPr>
                <w:rFonts w:eastAsia="Calibri"/>
                <w:snapToGrid w:val="0"/>
                <w:sz w:val="18"/>
                <w:szCs w:val="18"/>
                <w:lang w:eastAsia="fi-FI"/>
              </w:rPr>
              <w:t xml:space="preserve">substance is a non-flammable solid based on </w:t>
            </w:r>
            <w:r w:rsidR="00FE29DD">
              <w:rPr>
                <w:rFonts w:eastAsia="Calibri"/>
                <w:snapToGrid w:val="0"/>
                <w:sz w:val="18"/>
                <w:szCs w:val="18"/>
                <w:lang w:eastAsia="fi-FI"/>
              </w:rPr>
              <w:t xml:space="preserve">the result of </w:t>
            </w:r>
            <w:r w:rsidR="008B3D57">
              <w:rPr>
                <w:rFonts w:eastAsia="Calibri"/>
                <w:snapToGrid w:val="0"/>
                <w:sz w:val="18"/>
                <w:szCs w:val="18"/>
                <w:lang w:eastAsia="fi-FI"/>
              </w:rPr>
              <w:t>a flammability test.</w:t>
            </w:r>
            <w:r w:rsidR="008B3D57" w:rsidRPr="00B65D57">
              <w:rPr>
                <w:rFonts w:eastAsia="Calibri"/>
                <w:snapToGrid w:val="0"/>
                <w:sz w:val="18"/>
                <w:szCs w:val="18"/>
                <w:lang w:eastAsia="fi-FI"/>
              </w:rPr>
              <w:t xml:space="preserve"> </w:t>
            </w:r>
            <w:r w:rsidR="008B3D57">
              <w:rPr>
                <w:rFonts w:eastAsia="Calibri"/>
                <w:snapToGrid w:val="0"/>
                <w:sz w:val="18"/>
                <w:szCs w:val="18"/>
                <w:lang w:eastAsia="fi-FI"/>
              </w:rPr>
              <w:t xml:space="preserve">In the CAR for sodium tetraborate it was concluded that the </w:t>
            </w:r>
            <w:r w:rsidR="00107FE2">
              <w:rPr>
                <w:rFonts w:eastAsia="Calibri"/>
                <w:snapToGrid w:val="0"/>
                <w:sz w:val="18"/>
                <w:szCs w:val="18"/>
                <w:lang w:eastAsia="fi-FI"/>
              </w:rPr>
              <w:t xml:space="preserve">active </w:t>
            </w:r>
            <w:r w:rsidR="008B3D57">
              <w:rPr>
                <w:rFonts w:eastAsia="Calibri"/>
                <w:snapToGrid w:val="0"/>
                <w:sz w:val="18"/>
                <w:szCs w:val="18"/>
                <w:lang w:eastAsia="fi-FI"/>
              </w:rPr>
              <w:t>substance is a non-flammable solid since it is known for its flame retardant properties</w:t>
            </w:r>
            <w:r w:rsidR="00FE29DD">
              <w:rPr>
                <w:rFonts w:eastAsia="Calibri"/>
                <w:snapToGrid w:val="0"/>
                <w:sz w:val="18"/>
                <w:szCs w:val="18"/>
                <w:lang w:eastAsia="fi-FI"/>
              </w:rPr>
              <w:t>.</w:t>
            </w:r>
            <w:r w:rsidRPr="00B65D57">
              <w:rPr>
                <w:rFonts w:eastAsia="Calibri"/>
                <w:snapToGrid w:val="0"/>
                <w:sz w:val="18"/>
                <w:szCs w:val="18"/>
                <w:lang w:eastAsia="fi-FI"/>
              </w:rPr>
              <w:t xml:space="preserve"> </w:t>
            </w:r>
          </w:p>
          <w:p w14:paraId="5DAB3E8E" w14:textId="2DCE323C" w:rsidR="00635F3E" w:rsidRPr="00B65D57" w:rsidRDefault="0050771A" w:rsidP="00635F3E">
            <w:pPr>
              <w:widowControl w:val="0"/>
              <w:rPr>
                <w:rFonts w:eastAsia="Calibri"/>
                <w:snapToGrid w:val="0"/>
                <w:sz w:val="18"/>
                <w:szCs w:val="18"/>
                <w:lang w:eastAsia="fi-FI"/>
              </w:rPr>
            </w:pPr>
            <w:r>
              <w:rPr>
                <w:rFonts w:eastAsia="Calibri"/>
                <w:snapToGrid w:val="0"/>
                <w:sz w:val="18"/>
                <w:szCs w:val="18"/>
                <w:lang w:eastAsia="fi-FI"/>
              </w:rPr>
              <w:t xml:space="preserve">(Reference: </w:t>
            </w:r>
            <w:r w:rsidR="00C10C30">
              <w:rPr>
                <w:rFonts w:eastAsia="Calibri"/>
                <w:snapToGrid w:val="0"/>
                <w:sz w:val="18"/>
                <w:szCs w:val="18"/>
                <w:lang w:eastAsia="fi-FI"/>
              </w:rPr>
              <w:t>CAR (Boric acid, 2004)</w:t>
            </w:r>
            <w:r w:rsidR="008B3D57">
              <w:rPr>
                <w:rFonts w:eastAsia="Calibri"/>
                <w:snapToGrid w:val="0"/>
                <w:sz w:val="18"/>
                <w:szCs w:val="18"/>
                <w:lang w:eastAsia="fi-FI"/>
              </w:rPr>
              <w:t xml:space="preserve"> and CAR (</w:t>
            </w:r>
            <w:r w:rsidR="00253659">
              <w:rPr>
                <w:rFonts w:eastAsia="Calibri"/>
                <w:snapToGrid w:val="0"/>
                <w:sz w:val="18"/>
                <w:szCs w:val="18"/>
                <w:lang w:eastAsia="fi-FI"/>
              </w:rPr>
              <w:t>S</w:t>
            </w:r>
            <w:r w:rsidR="008B3D57">
              <w:rPr>
                <w:rFonts w:eastAsia="Calibri"/>
                <w:snapToGrid w:val="0"/>
                <w:sz w:val="18"/>
                <w:szCs w:val="18"/>
                <w:lang w:eastAsia="fi-FI"/>
              </w:rPr>
              <w:t>odium tetraborate, 2005)</w:t>
            </w:r>
            <w:r w:rsidR="00431D23">
              <w:rPr>
                <w:rFonts w:eastAsia="Calibri"/>
                <w:snapToGrid w:val="0"/>
                <w:sz w:val="18"/>
                <w:szCs w:val="18"/>
                <w:lang w:eastAsia="fi-FI"/>
              </w:rPr>
              <w:t>)</w:t>
            </w:r>
          </w:p>
        </w:tc>
      </w:tr>
      <w:tr w:rsidR="00635F3E" w:rsidRPr="00B65D57" w14:paraId="4A510B1E" w14:textId="77777777" w:rsidTr="00553245">
        <w:trPr>
          <w:trHeight w:val="96"/>
        </w:trPr>
        <w:tc>
          <w:tcPr>
            <w:tcW w:w="583" w:type="pct"/>
          </w:tcPr>
          <w:p w14:paraId="42B1061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4.8.</w:t>
            </w:r>
          </w:p>
        </w:tc>
        <w:tc>
          <w:tcPr>
            <w:tcW w:w="744" w:type="pct"/>
          </w:tcPr>
          <w:p w14:paraId="1C445C2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Self-reactive substances and mixtures</w:t>
            </w:r>
          </w:p>
        </w:tc>
        <w:tc>
          <w:tcPr>
            <w:tcW w:w="902" w:type="pct"/>
          </w:tcPr>
          <w:p w14:paraId="05911BC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Pr>
          <w:p w14:paraId="2AE3EE6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Pr>
          <w:p w14:paraId="053C922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Jerbor does not have self-reactive properties since it is only composed of boric acid and disodium tetraborate pentahydrate which do not contain groups associated with self-reactive properties. </w:t>
            </w:r>
          </w:p>
          <w:p w14:paraId="7FBE8068" w14:textId="77777777" w:rsidR="00635F3E" w:rsidRPr="00B65D57" w:rsidRDefault="00635F3E" w:rsidP="00635F3E">
            <w:pPr>
              <w:autoSpaceDE w:val="0"/>
              <w:autoSpaceDN w:val="0"/>
              <w:adjustRightInd w:val="0"/>
              <w:rPr>
                <w:rFonts w:eastAsia="Calibri" w:cs="Verdana"/>
                <w:color w:val="000000"/>
                <w:sz w:val="18"/>
                <w:szCs w:val="18"/>
                <w:lang w:eastAsia="en-US"/>
              </w:rPr>
            </w:pPr>
          </w:p>
        </w:tc>
      </w:tr>
      <w:tr w:rsidR="00635F3E" w:rsidRPr="00B65D57" w14:paraId="65929D45" w14:textId="77777777" w:rsidTr="00553245">
        <w:trPr>
          <w:trHeight w:val="243"/>
        </w:trPr>
        <w:tc>
          <w:tcPr>
            <w:tcW w:w="583" w:type="pct"/>
          </w:tcPr>
          <w:p w14:paraId="2224691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4.9.</w:t>
            </w:r>
          </w:p>
        </w:tc>
        <w:tc>
          <w:tcPr>
            <w:tcW w:w="744" w:type="pct"/>
          </w:tcPr>
          <w:p w14:paraId="69E1A15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Pyrophoric liquids</w:t>
            </w:r>
          </w:p>
        </w:tc>
        <w:tc>
          <w:tcPr>
            <w:tcW w:w="902" w:type="pct"/>
          </w:tcPr>
          <w:p w14:paraId="0FF6EFE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Pr>
          <w:p w14:paraId="0F5E495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Pr>
          <w:p w14:paraId="2F30289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 liquid.</w:t>
            </w:r>
          </w:p>
        </w:tc>
      </w:tr>
      <w:tr w:rsidR="00635F3E" w:rsidRPr="00B65D57" w14:paraId="7C11D85E" w14:textId="77777777" w:rsidTr="00553245">
        <w:trPr>
          <w:trHeight w:val="341"/>
        </w:trPr>
        <w:tc>
          <w:tcPr>
            <w:tcW w:w="583" w:type="pct"/>
            <w:tcBorders>
              <w:top w:val="single" w:sz="4" w:space="0" w:color="auto"/>
              <w:left w:val="single" w:sz="4" w:space="0" w:color="auto"/>
              <w:bottom w:val="single" w:sz="4" w:space="0" w:color="auto"/>
              <w:right w:val="single" w:sz="4" w:space="0" w:color="auto"/>
            </w:tcBorders>
          </w:tcPr>
          <w:p w14:paraId="44A84D8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4.10.</w:t>
            </w:r>
          </w:p>
        </w:tc>
        <w:tc>
          <w:tcPr>
            <w:tcW w:w="744" w:type="pct"/>
            <w:tcBorders>
              <w:top w:val="single" w:sz="4" w:space="0" w:color="auto"/>
              <w:left w:val="single" w:sz="4" w:space="0" w:color="auto"/>
              <w:bottom w:val="single" w:sz="4" w:space="0" w:color="auto"/>
              <w:right w:val="single" w:sz="4" w:space="0" w:color="auto"/>
            </w:tcBorders>
          </w:tcPr>
          <w:p w14:paraId="07B3691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Pyrophoric solids</w:t>
            </w:r>
          </w:p>
        </w:tc>
        <w:tc>
          <w:tcPr>
            <w:tcW w:w="902" w:type="pct"/>
            <w:tcBorders>
              <w:top w:val="single" w:sz="4" w:space="0" w:color="auto"/>
              <w:left w:val="single" w:sz="4" w:space="0" w:color="auto"/>
              <w:bottom w:val="single" w:sz="4" w:space="0" w:color="auto"/>
              <w:right w:val="single" w:sz="4" w:space="0" w:color="auto"/>
            </w:tcBorders>
          </w:tcPr>
          <w:p w14:paraId="08D2AB6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1505B24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Borders>
              <w:top w:val="single" w:sz="4" w:space="0" w:color="auto"/>
              <w:left w:val="single" w:sz="4" w:space="0" w:color="auto"/>
              <w:bottom w:val="single" w:sz="4" w:space="0" w:color="auto"/>
              <w:right w:val="single" w:sz="4" w:space="0" w:color="auto"/>
            </w:tcBorders>
          </w:tcPr>
          <w:p w14:paraId="169457C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Pyrophoric solids are substances/mixtures that react with oxygen in air and ignite spontaneously without the aid of a supplied spark, flame or heat. </w:t>
            </w:r>
          </w:p>
          <w:p w14:paraId="53F86A4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Experience in handling and use of Jerbor shows that it does not ignite spontaneously upon contact with air at </w:t>
            </w:r>
            <w:r w:rsidRPr="00B65D57">
              <w:rPr>
                <w:rFonts w:eastAsia="Calibri"/>
                <w:snapToGrid w:val="0"/>
                <w:sz w:val="18"/>
                <w:szCs w:val="18"/>
                <w:lang w:eastAsia="fi-FI"/>
              </w:rPr>
              <w:lastRenderedPageBreak/>
              <w:t>normal temperatures, therefore, Jerbor should not be classified as a pyrophoric solid.</w:t>
            </w:r>
          </w:p>
        </w:tc>
      </w:tr>
      <w:tr w:rsidR="00635F3E" w:rsidRPr="00B65D57" w14:paraId="6F3AFCDE" w14:textId="77777777" w:rsidTr="00553245">
        <w:trPr>
          <w:trHeight w:val="410"/>
        </w:trPr>
        <w:tc>
          <w:tcPr>
            <w:tcW w:w="583" w:type="pct"/>
            <w:tcBorders>
              <w:top w:val="single" w:sz="4" w:space="0" w:color="auto"/>
              <w:left w:val="single" w:sz="4" w:space="0" w:color="auto"/>
              <w:bottom w:val="single" w:sz="4" w:space="0" w:color="auto"/>
              <w:right w:val="single" w:sz="4" w:space="0" w:color="auto"/>
            </w:tcBorders>
          </w:tcPr>
          <w:p w14:paraId="53A67F4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4.11.</w:t>
            </w:r>
          </w:p>
        </w:tc>
        <w:tc>
          <w:tcPr>
            <w:tcW w:w="744" w:type="pct"/>
            <w:tcBorders>
              <w:top w:val="single" w:sz="4" w:space="0" w:color="auto"/>
              <w:left w:val="single" w:sz="4" w:space="0" w:color="auto"/>
              <w:bottom w:val="single" w:sz="4" w:space="0" w:color="auto"/>
              <w:right w:val="single" w:sz="4" w:space="0" w:color="auto"/>
            </w:tcBorders>
          </w:tcPr>
          <w:p w14:paraId="356E1E83"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Self-heating substances and mixtures</w:t>
            </w:r>
          </w:p>
        </w:tc>
        <w:tc>
          <w:tcPr>
            <w:tcW w:w="902" w:type="pct"/>
            <w:tcBorders>
              <w:top w:val="single" w:sz="4" w:space="0" w:color="auto"/>
              <w:left w:val="single" w:sz="4" w:space="0" w:color="auto"/>
              <w:bottom w:val="single" w:sz="4" w:space="0" w:color="auto"/>
              <w:right w:val="single" w:sz="4" w:space="0" w:color="auto"/>
            </w:tcBorders>
          </w:tcPr>
          <w:p w14:paraId="5C955F4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69742E6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Borders>
              <w:top w:val="single" w:sz="4" w:space="0" w:color="auto"/>
              <w:left w:val="single" w:sz="4" w:space="0" w:color="auto"/>
              <w:bottom w:val="single" w:sz="4" w:space="0" w:color="auto"/>
              <w:right w:val="single" w:sz="4" w:space="0" w:color="auto"/>
            </w:tcBorders>
          </w:tcPr>
          <w:p w14:paraId="2C68673C" w14:textId="77777777" w:rsidR="000C0EDA" w:rsidRPr="00B65D57" w:rsidRDefault="00635F3E" w:rsidP="00635F3E">
            <w:pPr>
              <w:autoSpaceDE w:val="0"/>
              <w:autoSpaceDN w:val="0"/>
              <w:adjustRightInd w:val="0"/>
              <w:rPr>
                <w:rFonts w:cs="Verdana"/>
                <w:color w:val="000000"/>
                <w:sz w:val="18"/>
                <w:szCs w:val="18"/>
                <w:lang w:eastAsia="en-US"/>
              </w:rPr>
            </w:pPr>
            <w:r w:rsidRPr="00B65D57">
              <w:rPr>
                <w:rFonts w:cs="Verdana"/>
                <w:color w:val="000000"/>
                <w:sz w:val="18"/>
                <w:szCs w:val="18"/>
                <w:lang w:eastAsia="en-US"/>
              </w:rPr>
              <w:t xml:space="preserve">Self-heating is a process where the gradual reaction of a substance/mixture with oxygen (in the air) generates heat which may lead to self-ignition and combustion. Boron acid and disodium tetraborate pentahydrate are substances in which the element B is </w:t>
            </w:r>
            <w:r w:rsidR="000C0EDA" w:rsidRPr="00B65D57">
              <w:rPr>
                <w:rFonts w:cs="Verdana"/>
                <w:color w:val="000000"/>
                <w:sz w:val="18"/>
                <w:szCs w:val="18"/>
                <w:lang w:eastAsia="en-US"/>
              </w:rPr>
              <w:t xml:space="preserve">already </w:t>
            </w:r>
            <w:r w:rsidRPr="00B65D57">
              <w:rPr>
                <w:rFonts w:cs="Verdana"/>
                <w:color w:val="000000"/>
                <w:sz w:val="18"/>
                <w:szCs w:val="18"/>
                <w:lang w:eastAsia="en-US"/>
              </w:rPr>
              <w:t xml:space="preserve">in the highest possible oxidation state (+3), and thus are not prone to react further with oxygen. </w:t>
            </w:r>
          </w:p>
          <w:p w14:paraId="2924436A" w14:textId="3B725660" w:rsidR="00635F3E" w:rsidRPr="00B65D57" w:rsidRDefault="00635F3E" w:rsidP="00635F3E">
            <w:pPr>
              <w:autoSpaceDE w:val="0"/>
              <w:autoSpaceDN w:val="0"/>
              <w:adjustRightInd w:val="0"/>
              <w:rPr>
                <w:rFonts w:cs="Verdana"/>
                <w:color w:val="000000"/>
                <w:sz w:val="18"/>
                <w:szCs w:val="18"/>
                <w:lang w:eastAsia="en-US"/>
              </w:rPr>
            </w:pPr>
            <w:r w:rsidRPr="00B65D57">
              <w:rPr>
                <w:rFonts w:cs="Verdana"/>
                <w:color w:val="000000"/>
                <w:sz w:val="18"/>
                <w:szCs w:val="18"/>
                <w:lang w:eastAsia="en-US"/>
              </w:rPr>
              <w:t xml:space="preserve">Jerbor </w:t>
            </w:r>
            <w:r w:rsidRPr="00B65D57">
              <w:rPr>
                <w:rFonts w:eastAsia="Calibri" w:cs="Verdana"/>
                <w:color w:val="000000"/>
                <w:sz w:val="18"/>
                <w:szCs w:val="18"/>
                <w:lang w:eastAsia="en-US"/>
              </w:rPr>
              <w:t>does not have</w:t>
            </w:r>
            <w:r w:rsidRPr="00B65D57">
              <w:rPr>
                <w:rFonts w:cs="Verdana"/>
                <w:color w:val="000000"/>
                <w:sz w:val="18"/>
                <w:szCs w:val="18"/>
                <w:lang w:eastAsia="en-US"/>
              </w:rPr>
              <w:t xml:space="preserve"> self-heating properties. </w:t>
            </w:r>
          </w:p>
        </w:tc>
      </w:tr>
      <w:tr w:rsidR="00635F3E" w:rsidRPr="00B65D57" w14:paraId="527DBC56" w14:textId="77777777" w:rsidTr="00553245">
        <w:trPr>
          <w:trHeight w:val="589"/>
        </w:trPr>
        <w:tc>
          <w:tcPr>
            <w:tcW w:w="583" w:type="pct"/>
          </w:tcPr>
          <w:p w14:paraId="4503B5C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4.12.</w:t>
            </w:r>
          </w:p>
        </w:tc>
        <w:tc>
          <w:tcPr>
            <w:tcW w:w="744" w:type="pct"/>
          </w:tcPr>
          <w:p w14:paraId="3A625BB4"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Substances and mixtures which in contact with water emit flammable gases</w:t>
            </w:r>
          </w:p>
        </w:tc>
        <w:tc>
          <w:tcPr>
            <w:tcW w:w="902" w:type="pct"/>
          </w:tcPr>
          <w:p w14:paraId="6A64E73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Pr>
          <w:p w14:paraId="3C085A7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Pr>
          <w:p w14:paraId="278272E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Experience in handling and use of Jerbor shows that it does not emit flammable gases upon contact with water.</w:t>
            </w:r>
          </w:p>
        </w:tc>
      </w:tr>
      <w:tr w:rsidR="00635F3E" w:rsidRPr="00B65D57" w14:paraId="7203577C" w14:textId="77777777" w:rsidTr="00553245">
        <w:trPr>
          <w:trHeight w:val="243"/>
        </w:trPr>
        <w:tc>
          <w:tcPr>
            <w:tcW w:w="583" w:type="pct"/>
            <w:tcBorders>
              <w:top w:val="single" w:sz="4" w:space="0" w:color="auto"/>
              <w:left w:val="single" w:sz="4" w:space="0" w:color="auto"/>
              <w:bottom w:val="single" w:sz="4" w:space="0" w:color="auto"/>
              <w:right w:val="single" w:sz="4" w:space="0" w:color="auto"/>
            </w:tcBorders>
          </w:tcPr>
          <w:p w14:paraId="3CAF1B9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4.13.</w:t>
            </w:r>
          </w:p>
        </w:tc>
        <w:tc>
          <w:tcPr>
            <w:tcW w:w="744" w:type="pct"/>
            <w:tcBorders>
              <w:top w:val="single" w:sz="4" w:space="0" w:color="auto"/>
              <w:left w:val="single" w:sz="4" w:space="0" w:color="auto"/>
              <w:bottom w:val="single" w:sz="4" w:space="0" w:color="auto"/>
              <w:right w:val="single" w:sz="4" w:space="0" w:color="auto"/>
            </w:tcBorders>
          </w:tcPr>
          <w:p w14:paraId="24C23C5C"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Oxidising liquids</w:t>
            </w:r>
          </w:p>
        </w:tc>
        <w:tc>
          <w:tcPr>
            <w:tcW w:w="902" w:type="pct"/>
            <w:tcBorders>
              <w:top w:val="single" w:sz="4" w:space="0" w:color="auto"/>
              <w:left w:val="single" w:sz="4" w:space="0" w:color="auto"/>
              <w:bottom w:val="single" w:sz="4" w:space="0" w:color="auto"/>
              <w:right w:val="single" w:sz="4" w:space="0" w:color="auto"/>
            </w:tcBorders>
          </w:tcPr>
          <w:p w14:paraId="4A925A5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6BA1331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Borders>
              <w:top w:val="single" w:sz="4" w:space="0" w:color="auto"/>
              <w:left w:val="single" w:sz="4" w:space="0" w:color="auto"/>
              <w:bottom w:val="single" w:sz="4" w:space="0" w:color="auto"/>
              <w:right w:val="single" w:sz="4" w:space="0" w:color="auto"/>
            </w:tcBorders>
          </w:tcPr>
          <w:p w14:paraId="2231F7F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 liquid.</w:t>
            </w:r>
          </w:p>
        </w:tc>
      </w:tr>
      <w:tr w:rsidR="00635F3E" w:rsidRPr="00B65D57" w14:paraId="550D6543" w14:textId="77777777" w:rsidTr="00553245">
        <w:trPr>
          <w:trHeight w:val="243"/>
        </w:trPr>
        <w:tc>
          <w:tcPr>
            <w:tcW w:w="583" w:type="pct"/>
            <w:tcBorders>
              <w:top w:val="single" w:sz="4" w:space="0" w:color="auto"/>
              <w:left w:val="single" w:sz="4" w:space="0" w:color="auto"/>
              <w:bottom w:val="single" w:sz="4" w:space="0" w:color="auto"/>
              <w:right w:val="single" w:sz="4" w:space="0" w:color="auto"/>
            </w:tcBorders>
          </w:tcPr>
          <w:p w14:paraId="0540213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4.14.</w:t>
            </w:r>
          </w:p>
        </w:tc>
        <w:tc>
          <w:tcPr>
            <w:tcW w:w="744" w:type="pct"/>
            <w:tcBorders>
              <w:top w:val="single" w:sz="4" w:space="0" w:color="auto"/>
              <w:left w:val="single" w:sz="4" w:space="0" w:color="auto"/>
              <w:bottom w:val="single" w:sz="4" w:space="0" w:color="auto"/>
              <w:right w:val="single" w:sz="4" w:space="0" w:color="auto"/>
            </w:tcBorders>
          </w:tcPr>
          <w:p w14:paraId="0846131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Oxidising solids</w:t>
            </w:r>
          </w:p>
        </w:tc>
        <w:tc>
          <w:tcPr>
            <w:tcW w:w="902" w:type="pct"/>
            <w:tcBorders>
              <w:top w:val="single" w:sz="4" w:space="0" w:color="auto"/>
              <w:left w:val="single" w:sz="4" w:space="0" w:color="auto"/>
              <w:bottom w:val="single" w:sz="4" w:space="0" w:color="auto"/>
              <w:right w:val="single" w:sz="4" w:space="0" w:color="auto"/>
            </w:tcBorders>
          </w:tcPr>
          <w:p w14:paraId="03564AD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208207E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Borders>
              <w:top w:val="single" w:sz="4" w:space="0" w:color="auto"/>
              <w:left w:val="single" w:sz="4" w:space="0" w:color="auto"/>
              <w:bottom w:val="single" w:sz="4" w:space="0" w:color="auto"/>
              <w:right w:val="single" w:sz="4" w:space="0" w:color="auto"/>
            </w:tcBorders>
          </w:tcPr>
          <w:p w14:paraId="3774FA30" w14:textId="0DB4DEE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 xml:space="preserve">Jerbor does not have oxidising properties. </w:t>
            </w:r>
            <w:r w:rsidR="00CA3E2D" w:rsidRPr="00CA3E2D">
              <w:rPr>
                <w:rFonts w:eastAsia="Calibri"/>
                <w:snapToGrid w:val="0"/>
                <w:sz w:val="18"/>
                <w:szCs w:val="18"/>
                <w:lang w:eastAsia="fi-FI"/>
              </w:rPr>
              <w:t>The testing procedures for oxidising solids are based on the capability of an oxidising solid to enhance the combustion of a combustible material.</w:t>
            </w:r>
            <w:r w:rsidR="00CA3E2D">
              <w:rPr>
                <w:rFonts w:eastAsia="Calibri"/>
                <w:snapToGrid w:val="0"/>
                <w:sz w:val="18"/>
                <w:szCs w:val="18"/>
                <w:lang w:eastAsia="fi-FI"/>
              </w:rPr>
              <w:t xml:space="preserve"> In the CAR for </w:t>
            </w:r>
            <w:r w:rsidR="006E1D5F">
              <w:rPr>
                <w:rFonts w:eastAsia="Calibri"/>
                <w:snapToGrid w:val="0"/>
                <w:sz w:val="18"/>
                <w:szCs w:val="18"/>
                <w:lang w:eastAsia="fi-FI"/>
              </w:rPr>
              <w:t xml:space="preserve">boric acid and </w:t>
            </w:r>
            <w:r w:rsidR="00CA3E2D">
              <w:rPr>
                <w:rFonts w:eastAsia="Calibri"/>
                <w:snapToGrid w:val="0"/>
                <w:sz w:val="18"/>
                <w:szCs w:val="18"/>
                <w:lang w:eastAsia="fi-FI"/>
              </w:rPr>
              <w:t xml:space="preserve">sodium tetraborate it </w:t>
            </w:r>
            <w:r w:rsidR="006E1D5F">
              <w:rPr>
                <w:rFonts w:eastAsia="Calibri"/>
                <w:snapToGrid w:val="0"/>
                <w:sz w:val="18"/>
                <w:szCs w:val="18"/>
                <w:lang w:eastAsia="fi-FI"/>
              </w:rPr>
              <w:t>i</w:t>
            </w:r>
            <w:r w:rsidR="00CA3E2D">
              <w:rPr>
                <w:rFonts w:eastAsia="Calibri"/>
                <w:snapToGrid w:val="0"/>
                <w:sz w:val="18"/>
                <w:szCs w:val="18"/>
                <w:lang w:eastAsia="fi-FI"/>
              </w:rPr>
              <w:t xml:space="preserve">s stated that the </w:t>
            </w:r>
            <w:r w:rsidR="006E1D5F">
              <w:rPr>
                <w:rFonts w:eastAsia="Calibri"/>
                <w:snapToGrid w:val="0"/>
                <w:sz w:val="18"/>
                <w:szCs w:val="18"/>
                <w:lang w:eastAsia="fi-FI"/>
              </w:rPr>
              <w:t xml:space="preserve">active </w:t>
            </w:r>
            <w:r w:rsidR="00CA3E2D">
              <w:rPr>
                <w:rFonts w:eastAsia="Calibri"/>
                <w:snapToGrid w:val="0"/>
                <w:sz w:val="18"/>
                <w:szCs w:val="18"/>
                <w:lang w:eastAsia="fi-FI"/>
              </w:rPr>
              <w:t>substance</w:t>
            </w:r>
            <w:r w:rsidR="006E1D5F">
              <w:rPr>
                <w:rFonts w:eastAsia="Calibri"/>
                <w:snapToGrid w:val="0"/>
                <w:sz w:val="18"/>
                <w:szCs w:val="18"/>
                <w:lang w:eastAsia="fi-FI"/>
              </w:rPr>
              <w:t>s</w:t>
            </w:r>
            <w:r w:rsidR="00CA3E2D">
              <w:rPr>
                <w:rFonts w:eastAsia="Calibri"/>
                <w:snapToGrid w:val="0"/>
                <w:sz w:val="18"/>
                <w:szCs w:val="18"/>
                <w:lang w:eastAsia="fi-FI"/>
              </w:rPr>
              <w:t xml:space="preserve"> </w:t>
            </w:r>
            <w:r w:rsidR="006E1D5F">
              <w:rPr>
                <w:rFonts w:eastAsia="Calibri"/>
                <w:snapToGrid w:val="0"/>
                <w:sz w:val="18"/>
                <w:szCs w:val="18"/>
                <w:lang w:eastAsia="fi-FI"/>
              </w:rPr>
              <w:t>are</w:t>
            </w:r>
            <w:r w:rsidR="00CA3E2D">
              <w:rPr>
                <w:rFonts w:eastAsia="Calibri"/>
                <w:snapToGrid w:val="0"/>
                <w:sz w:val="18"/>
                <w:szCs w:val="18"/>
                <w:lang w:eastAsia="fi-FI"/>
              </w:rPr>
              <w:t xml:space="preserve"> known for </w:t>
            </w:r>
            <w:r w:rsidR="006E1D5F">
              <w:rPr>
                <w:rFonts w:eastAsia="Calibri"/>
                <w:snapToGrid w:val="0"/>
                <w:sz w:val="18"/>
                <w:szCs w:val="18"/>
                <w:lang w:eastAsia="fi-FI"/>
              </w:rPr>
              <w:t>their</w:t>
            </w:r>
            <w:r w:rsidR="00CA3E2D">
              <w:rPr>
                <w:rFonts w:eastAsia="Calibri"/>
                <w:snapToGrid w:val="0"/>
                <w:sz w:val="18"/>
                <w:szCs w:val="18"/>
                <w:lang w:eastAsia="fi-FI"/>
              </w:rPr>
              <w:t xml:space="preserve"> flame retardant properties</w:t>
            </w:r>
            <w:r w:rsidR="006E1D5F">
              <w:rPr>
                <w:rFonts w:eastAsia="Calibri"/>
                <w:snapToGrid w:val="0"/>
                <w:sz w:val="18"/>
                <w:szCs w:val="18"/>
                <w:lang w:eastAsia="fi-FI"/>
              </w:rPr>
              <w:t xml:space="preserve"> and are not expected to have oxidising properties</w:t>
            </w:r>
            <w:r w:rsidR="00CA3E2D">
              <w:rPr>
                <w:rFonts w:eastAsia="Calibri"/>
                <w:snapToGrid w:val="0"/>
                <w:sz w:val="18"/>
                <w:szCs w:val="18"/>
                <w:lang w:eastAsia="fi-FI"/>
              </w:rPr>
              <w:t>.</w:t>
            </w:r>
          </w:p>
          <w:p w14:paraId="1DAEC6CD" w14:textId="26E6DC86" w:rsidR="00635F3E" w:rsidRPr="00B65D57" w:rsidRDefault="00431D23" w:rsidP="00635F3E">
            <w:pPr>
              <w:widowControl w:val="0"/>
              <w:rPr>
                <w:rFonts w:eastAsia="Calibri"/>
                <w:snapToGrid w:val="0"/>
                <w:sz w:val="18"/>
                <w:szCs w:val="18"/>
                <w:lang w:eastAsia="fi-FI"/>
              </w:rPr>
            </w:pPr>
            <w:r>
              <w:rPr>
                <w:rFonts w:eastAsia="Calibri"/>
                <w:snapToGrid w:val="0"/>
                <w:sz w:val="18"/>
                <w:szCs w:val="18"/>
                <w:lang w:eastAsia="fi-FI"/>
              </w:rPr>
              <w:t xml:space="preserve">(Reference: </w:t>
            </w:r>
            <w:r w:rsidR="006E1D5F">
              <w:rPr>
                <w:rFonts w:eastAsia="Calibri"/>
                <w:snapToGrid w:val="0"/>
                <w:sz w:val="18"/>
                <w:szCs w:val="18"/>
                <w:lang w:eastAsia="fi-FI"/>
              </w:rPr>
              <w:t>CAR (Boric acid, 2004) and CAR (Sodium tetraborate, 2005)</w:t>
            </w:r>
            <w:r>
              <w:rPr>
                <w:rFonts w:eastAsia="Calibri"/>
                <w:snapToGrid w:val="0"/>
                <w:sz w:val="18"/>
                <w:szCs w:val="18"/>
                <w:lang w:eastAsia="fi-FI"/>
              </w:rPr>
              <w:t>)</w:t>
            </w:r>
          </w:p>
        </w:tc>
      </w:tr>
      <w:tr w:rsidR="00635F3E" w:rsidRPr="00B65D57" w14:paraId="4BB2984C" w14:textId="77777777" w:rsidTr="00553245">
        <w:trPr>
          <w:trHeight w:val="243"/>
        </w:trPr>
        <w:tc>
          <w:tcPr>
            <w:tcW w:w="583" w:type="pct"/>
            <w:tcBorders>
              <w:top w:val="single" w:sz="4" w:space="0" w:color="auto"/>
              <w:left w:val="single" w:sz="4" w:space="0" w:color="auto"/>
              <w:bottom w:val="single" w:sz="4" w:space="0" w:color="auto"/>
              <w:right w:val="single" w:sz="4" w:space="0" w:color="auto"/>
            </w:tcBorders>
          </w:tcPr>
          <w:p w14:paraId="7DF29D6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4.15.</w:t>
            </w:r>
          </w:p>
        </w:tc>
        <w:tc>
          <w:tcPr>
            <w:tcW w:w="744" w:type="pct"/>
            <w:tcBorders>
              <w:top w:val="single" w:sz="4" w:space="0" w:color="auto"/>
              <w:left w:val="single" w:sz="4" w:space="0" w:color="auto"/>
              <w:bottom w:val="single" w:sz="4" w:space="0" w:color="auto"/>
              <w:right w:val="single" w:sz="4" w:space="0" w:color="auto"/>
            </w:tcBorders>
          </w:tcPr>
          <w:p w14:paraId="5F8E092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Organic peroxides</w:t>
            </w:r>
          </w:p>
        </w:tc>
        <w:tc>
          <w:tcPr>
            <w:tcW w:w="902" w:type="pct"/>
            <w:tcBorders>
              <w:top w:val="single" w:sz="4" w:space="0" w:color="auto"/>
              <w:left w:val="single" w:sz="4" w:space="0" w:color="auto"/>
              <w:bottom w:val="single" w:sz="4" w:space="0" w:color="auto"/>
              <w:right w:val="single" w:sz="4" w:space="0" w:color="auto"/>
            </w:tcBorders>
          </w:tcPr>
          <w:p w14:paraId="670223F6"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582A8BC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Borders>
              <w:top w:val="single" w:sz="4" w:space="0" w:color="auto"/>
              <w:left w:val="single" w:sz="4" w:space="0" w:color="auto"/>
              <w:bottom w:val="single" w:sz="4" w:space="0" w:color="auto"/>
              <w:right w:val="single" w:sz="4" w:space="0" w:color="auto"/>
            </w:tcBorders>
          </w:tcPr>
          <w:p w14:paraId="734225D7"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does not contain any organic peroxides.</w:t>
            </w:r>
          </w:p>
        </w:tc>
      </w:tr>
      <w:tr w:rsidR="00635F3E" w:rsidRPr="00B65D57" w14:paraId="71711C57" w14:textId="77777777" w:rsidTr="00553245">
        <w:trPr>
          <w:trHeight w:val="243"/>
        </w:trPr>
        <w:tc>
          <w:tcPr>
            <w:tcW w:w="583" w:type="pct"/>
          </w:tcPr>
          <w:p w14:paraId="1D898ABB"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4.16.</w:t>
            </w:r>
          </w:p>
        </w:tc>
        <w:tc>
          <w:tcPr>
            <w:tcW w:w="744" w:type="pct"/>
          </w:tcPr>
          <w:p w14:paraId="409BE9B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Corrosive to metals</w:t>
            </w:r>
          </w:p>
        </w:tc>
        <w:tc>
          <w:tcPr>
            <w:tcW w:w="902" w:type="pct"/>
          </w:tcPr>
          <w:p w14:paraId="3862241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Pr>
          <w:p w14:paraId="2810586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Pr>
          <w:p w14:paraId="161D6362" w14:textId="77777777" w:rsidR="00635F3E" w:rsidRPr="00B65D57" w:rsidRDefault="00635F3E" w:rsidP="00635F3E">
            <w:pPr>
              <w:autoSpaceDE w:val="0"/>
              <w:autoSpaceDN w:val="0"/>
              <w:adjustRightInd w:val="0"/>
              <w:rPr>
                <w:rFonts w:cs="Verdana"/>
                <w:color w:val="000000"/>
                <w:sz w:val="18"/>
                <w:szCs w:val="18"/>
                <w:lang w:eastAsia="en-US"/>
              </w:rPr>
            </w:pPr>
            <w:r w:rsidRPr="00B65D57">
              <w:rPr>
                <w:rFonts w:cs="Verdana"/>
                <w:color w:val="000000"/>
                <w:sz w:val="18"/>
                <w:szCs w:val="18"/>
                <w:lang w:eastAsia="en-US"/>
              </w:rPr>
              <w:t xml:space="preserve">Study not feasible to conduct since Jerbor is not a liquid. </w:t>
            </w:r>
          </w:p>
          <w:p w14:paraId="007A5DE7" w14:textId="77777777" w:rsidR="00635F3E" w:rsidRPr="00B65D57" w:rsidRDefault="00635F3E" w:rsidP="00635F3E">
            <w:pPr>
              <w:widowControl w:val="0"/>
              <w:rPr>
                <w:rFonts w:eastAsia="Calibri"/>
                <w:snapToGrid w:val="0"/>
                <w:sz w:val="18"/>
                <w:szCs w:val="18"/>
                <w:lang w:eastAsia="fi-FI"/>
              </w:rPr>
            </w:pPr>
          </w:p>
        </w:tc>
      </w:tr>
      <w:tr w:rsidR="00635F3E" w:rsidRPr="00B65D57" w14:paraId="54A6BEF3" w14:textId="77777777" w:rsidTr="00553245">
        <w:trPr>
          <w:trHeight w:val="243"/>
        </w:trPr>
        <w:tc>
          <w:tcPr>
            <w:tcW w:w="583" w:type="pct"/>
            <w:tcBorders>
              <w:top w:val="single" w:sz="4" w:space="0" w:color="auto"/>
              <w:left w:val="single" w:sz="4" w:space="0" w:color="auto"/>
              <w:bottom w:val="single" w:sz="4" w:space="0" w:color="auto"/>
              <w:right w:val="single" w:sz="4" w:space="0" w:color="auto"/>
            </w:tcBorders>
          </w:tcPr>
          <w:p w14:paraId="1B59230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4.17.1.</w:t>
            </w:r>
          </w:p>
        </w:tc>
        <w:tc>
          <w:tcPr>
            <w:tcW w:w="744" w:type="pct"/>
            <w:tcBorders>
              <w:top w:val="single" w:sz="4" w:space="0" w:color="auto"/>
              <w:left w:val="single" w:sz="4" w:space="0" w:color="auto"/>
              <w:bottom w:val="single" w:sz="4" w:space="0" w:color="auto"/>
              <w:right w:val="single" w:sz="4" w:space="0" w:color="auto"/>
            </w:tcBorders>
          </w:tcPr>
          <w:p w14:paraId="45A0A3DF"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Auto-ignition temperatures of products (liquids and gases)</w:t>
            </w:r>
          </w:p>
        </w:tc>
        <w:tc>
          <w:tcPr>
            <w:tcW w:w="902" w:type="pct"/>
            <w:tcBorders>
              <w:top w:val="single" w:sz="4" w:space="0" w:color="auto"/>
              <w:left w:val="single" w:sz="4" w:space="0" w:color="auto"/>
              <w:bottom w:val="single" w:sz="4" w:space="0" w:color="auto"/>
              <w:right w:val="single" w:sz="4" w:space="0" w:color="auto"/>
            </w:tcBorders>
          </w:tcPr>
          <w:p w14:paraId="3EBB78EE"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391B10E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Borders>
              <w:top w:val="single" w:sz="4" w:space="0" w:color="auto"/>
              <w:left w:val="single" w:sz="4" w:space="0" w:color="auto"/>
              <w:bottom w:val="single" w:sz="4" w:space="0" w:color="auto"/>
              <w:right w:val="single" w:sz="4" w:space="0" w:color="auto"/>
            </w:tcBorders>
          </w:tcPr>
          <w:p w14:paraId="5E649B4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is not a gas or liquid.</w:t>
            </w:r>
          </w:p>
        </w:tc>
      </w:tr>
      <w:tr w:rsidR="00635F3E" w:rsidRPr="00B65D57" w14:paraId="62FCDFE6" w14:textId="77777777" w:rsidTr="00553245">
        <w:trPr>
          <w:trHeight w:val="256"/>
        </w:trPr>
        <w:tc>
          <w:tcPr>
            <w:tcW w:w="583" w:type="pct"/>
            <w:tcBorders>
              <w:top w:val="single" w:sz="4" w:space="0" w:color="auto"/>
              <w:left w:val="single" w:sz="4" w:space="0" w:color="auto"/>
              <w:bottom w:val="single" w:sz="4" w:space="0" w:color="auto"/>
              <w:right w:val="single" w:sz="4" w:space="0" w:color="auto"/>
            </w:tcBorders>
          </w:tcPr>
          <w:p w14:paraId="1BF85249"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4.17.2.</w:t>
            </w:r>
          </w:p>
        </w:tc>
        <w:tc>
          <w:tcPr>
            <w:tcW w:w="744" w:type="pct"/>
            <w:tcBorders>
              <w:top w:val="single" w:sz="4" w:space="0" w:color="auto"/>
              <w:left w:val="single" w:sz="4" w:space="0" w:color="auto"/>
              <w:bottom w:val="single" w:sz="4" w:space="0" w:color="auto"/>
              <w:right w:val="single" w:sz="4" w:space="0" w:color="auto"/>
            </w:tcBorders>
          </w:tcPr>
          <w:p w14:paraId="2079847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Relative self-ignition temperature for solids</w:t>
            </w:r>
          </w:p>
        </w:tc>
        <w:tc>
          <w:tcPr>
            <w:tcW w:w="902" w:type="pct"/>
            <w:tcBorders>
              <w:top w:val="single" w:sz="4" w:space="0" w:color="auto"/>
              <w:left w:val="single" w:sz="4" w:space="0" w:color="auto"/>
              <w:bottom w:val="single" w:sz="4" w:space="0" w:color="auto"/>
              <w:right w:val="single" w:sz="4" w:space="0" w:color="auto"/>
            </w:tcBorders>
          </w:tcPr>
          <w:p w14:paraId="70DBFA82"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4226444A"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Jerbor (boric acid 53.7%, disodium tetraborate pentahydrate 46.3%)</w:t>
            </w:r>
          </w:p>
        </w:tc>
        <w:tc>
          <w:tcPr>
            <w:tcW w:w="2027" w:type="pct"/>
            <w:tcBorders>
              <w:top w:val="single" w:sz="4" w:space="0" w:color="auto"/>
              <w:left w:val="single" w:sz="4" w:space="0" w:color="auto"/>
              <w:bottom w:val="single" w:sz="4" w:space="0" w:color="auto"/>
              <w:right w:val="single" w:sz="4" w:space="0" w:color="auto"/>
            </w:tcBorders>
          </w:tcPr>
          <w:p w14:paraId="5116967C" w14:textId="5AC3D48C" w:rsidR="00635F3E" w:rsidRPr="00B65D57" w:rsidRDefault="00635F3E" w:rsidP="00635F3E">
            <w:pPr>
              <w:autoSpaceDE w:val="0"/>
              <w:autoSpaceDN w:val="0"/>
              <w:adjustRightInd w:val="0"/>
              <w:rPr>
                <w:rFonts w:cs="Verdana"/>
                <w:color w:val="000000"/>
                <w:sz w:val="18"/>
                <w:szCs w:val="18"/>
                <w:lang w:eastAsia="en-US"/>
              </w:rPr>
            </w:pPr>
            <w:r w:rsidRPr="00B65D57">
              <w:rPr>
                <w:rFonts w:cs="Verdana"/>
                <w:color w:val="000000"/>
                <w:sz w:val="18"/>
                <w:szCs w:val="18"/>
                <w:lang w:eastAsia="en-US"/>
              </w:rPr>
              <w:t xml:space="preserve">Jerbor does not have pyrophoric and self-heating properties and the </w:t>
            </w:r>
            <w:r w:rsidR="00EB460D" w:rsidRPr="00B65D57">
              <w:rPr>
                <w:rFonts w:cs="Verdana"/>
                <w:color w:val="000000"/>
                <w:sz w:val="18"/>
                <w:szCs w:val="18"/>
                <w:lang w:eastAsia="en-US"/>
              </w:rPr>
              <w:t xml:space="preserve">determination of the </w:t>
            </w:r>
            <w:r w:rsidRPr="00B65D57">
              <w:rPr>
                <w:rFonts w:cs="Verdana"/>
                <w:color w:val="000000"/>
                <w:sz w:val="18"/>
                <w:szCs w:val="18"/>
                <w:lang w:eastAsia="en-US"/>
              </w:rPr>
              <w:t>relative self-ignition temperature is therefore not re</w:t>
            </w:r>
            <w:r w:rsidR="00EB460D" w:rsidRPr="00B65D57">
              <w:rPr>
                <w:rFonts w:cs="Verdana"/>
                <w:color w:val="000000"/>
                <w:sz w:val="18"/>
                <w:szCs w:val="18"/>
                <w:lang w:eastAsia="en-US"/>
              </w:rPr>
              <w:t>levant</w:t>
            </w:r>
            <w:r w:rsidRPr="00B65D57">
              <w:rPr>
                <w:rFonts w:cs="Verdana"/>
                <w:color w:val="000000"/>
                <w:sz w:val="18"/>
                <w:szCs w:val="18"/>
                <w:lang w:eastAsia="en-US"/>
              </w:rPr>
              <w:t xml:space="preserve">. </w:t>
            </w:r>
          </w:p>
          <w:p w14:paraId="6A97F773" w14:textId="77777777" w:rsidR="00635F3E" w:rsidRPr="00B65D57" w:rsidRDefault="00635F3E" w:rsidP="00635F3E">
            <w:pPr>
              <w:widowControl w:val="0"/>
              <w:rPr>
                <w:rFonts w:eastAsia="Calibri"/>
                <w:snapToGrid w:val="0"/>
                <w:sz w:val="18"/>
                <w:szCs w:val="18"/>
                <w:lang w:eastAsia="fi-FI"/>
              </w:rPr>
            </w:pPr>
          </w:p>
        </w:tc>
      </w:tr>
      <w:tr w:rsidR="00635F3E" w:rsidRPr="00B65D57" w14:paraId="1EA2E730" w14:textId="77777777" w:rsidTr="00553245">
        <w:trPr>
          <w:trHeight w:val="256"/>
        </w:trPr>
        <w:tc>
          <w:tcPr>
            <w:tcW w:w="583" w:type="pct"/>
            <w:tcBorders>
              <w:top w:val="single" w:sz="4" w:space="0" w:color="auto"/>
              <w:left w:val="single" w:sz="4" w:space="0" w:color="auto"/>
              <w:bottom w:val="single" w:sz="4" w:space="0" w:color="auto"/>
              <w:right w:val="single" w:sz="4" w:space="0" w:color="auto"/>
            </w:tcBorders>
          </w:tcPr>
          <w:p w14:paraId="1A2674B1"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lastRenderedPageBreak/>
              <w:t>4.17.3.</w:t>
            </w:r>
          </w:p>
        </w:tc>
        <w:tc>
          <w:tcPr>
            <w:tcW w:w="744" w:type="pct"/>
            <w:tcBorders>
              <w:top w:val="single" w:sz="4" w:space="0" w:color="auto"/>
              <w:left w:val="single" w:sz="4" w:space="0" w:color="auto"/>
              <w:bottom w:val="single" w:sz="4" w:space="0" w:color="auto"/>
              <w:right w:val="single" w:sz="4" w:space="0" w:color="auto"/>
            </w:tcBorders>
          </w:tcPr>
          <w:p w14:paraId="505760A0"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Dust explosion hazard</w:t>
            </w:r>
          </w:p>
        </w:tc>
        <w:tc>
          <w:tcPr>
            <w:tcW w:w="902" w:type="pct"/>
            <w:tcBorders>
              <w:top w:val="single" w:sz="4" w:space="0" w:color="auto"/>
              <w:left w:val="single" w:sz="4" w:space="0" w:color="auto"/>
              <w:bottom w:val="single" w:sz="4" w:space="0" w:color="auto"/>
              <w:right w:val="single" w:sz="4" w:space="0" w:color="auto"/>
            </w:tcBorders>
          </w:tcPr>
          <w:p w14:paraId="4322A80D"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744" w:type="pct"/>
            <w:tcBorders>
              <w:top w:val="single" w:sz="4" w:space="0" w:color="auto"/>
              <w:left w:val="single" w:sz="4" w:space="0" w:color="auto"/>
              <w:bottom w:val="single" w:sz="4" w:space="0" w:color="auto"/>
              <w:right w:val="single" w:sz="4" w:space="0" w:color="auto"/>
            </w:tcBorders>
          </w:tcPr>
          <w:p w14:paraId="2395D0F8" w14:textId="77777777" w:rsidR="00635F3E" w:rsidRPr="00B65D57" w:rsidRDefault="00635F3E" w:rsidP="00635F3E">
            <w:pPr>
              <w:widowControl w:val="0"/>
              <w:rPr>
                <w:rFonts w:eastAsia="Calibri"/>
                <w:snapToGrid w:val="0"/>
                <w:sz w:val="18"/>
                <w:szCs w:val="18"/>
                <w:lang w:eastAsia="fi-FI"/>
              </w:rPr>
            </w:pPr>
            <w:r w:rsidRPr="00B65D57">
              <w:rPr>
                <w:rFonts w:eastAsia="Calibri"/>
                <w:snapToGrid w:val="0"/>
                <w:sz w:val="18"/>
                <w:szCs w:val="18"/>
                <w:lang w:eastAsia="fi-FI"/>
              </w:rPr>
              <w:t>-</w:t>
            </w:r>
          </w:p>
        </w:tc>
        <w:tc>
          <w:tcPr>
            <w:tcW w:w="2027" w:type="pct"/>
            <w:tcBorders>
              <w:top w:val="single" w:sz="4" w:space="0" w:color="auto"/>
              <w:left w:val="single" w:sz="4" w:space="0" w:color="auto"/>
              <w:bottom w:val="single" w:sz="4" w:space="0" w:color="auto"/>
              <w:right w:val="single" w:sz="4" w:space="0" w:color="auto"/>
            </w:tcBorders>
          </w:tcPr>
          <w:p w14:paraId="17399BC1" w14:textId="081760B1" w:rsidR="00364943" w:rsidRPr="00B65D57" w:rsidRDefault="00364943" w:rsidP="00364943">
            <w:pPr>
              <w:widowControl w:val="0"/>
              <w:rPr>
                <w:rFonts w:eastAsia="Calibri"/>
                <w:snapToGrid w:val="0"/>
                <w:sz w:val="18"/>
                <w:szCs w:val="18"/>
                <w:lang w:eastAsia="fi-FI"/>
              </w:rPr>
            </w:pPr>
            <w:r w:rsidRPr="00B65D57">
              <w:rPr>
                <w:rFonts w:eastAsia="Calibri"/>
                <w:snapToGrid w:val="0"/>
                <w:sz w:val="18"/>
                <w:szCs w:val="18"/>
                <w:lang w:eastAsia="fi-FI"/>
              </w:rPr>
              <w:t xml:space="preserve">Jerbor does not have </w:t>
            </w:r>
            <w:r>
              <w:rPr>
                <w:rFonts w:eastAsia="Calibri"/>
                <w:snapToGrid w:val="0"/>
                <w:sz w:val="18"/>
                <w:szCs w:val="18"/>
                <w:lang w:eastAsia="fi-FI"/>
              </w:rPr>
              <w:t xml:space="preserve">dust explosive properties </w:t>
            </w:r>
            <w:r w:rsidRPr="00B65D57">
              <w:rPr>
                <w:rFonts w:eastAsia="Calibri"/>
                <w:snapToGrid w:val="0"/>
                <w:sz w:val="18"/>
                <w:szCs w:val="18"/>
                <w:lang w:eastAsia="fi-FI"/>
              </w:rPr>
              <w:t xml:space="preserve">since it is only composed of boric acid and disodium tetraborate pentahydrate which </w:t>
            </w:r>
            <w:r>
              <w:rPr>
                <w:rFonts w:eastAsia="Calibri"/>
                <w:snapToGrid w:val="0"/>
                <w:sz w:val="18"/>
                <w:szCs w:val="18"/>
                <w:lang w:eastAsia="fi-FI"/>
              </w:rPr>
              <w:t xml:space="preserve">are not </w:t>
            </w:r>
            <w:r w:rsidR="000135AC">
              <w:rPr>
                <w:rFonts w:eastAsia="Calibri"/>
                <w:snapToGrid w:val="0"/>
                <w:sz w:val="18"/>
                <w:szCs w:val="18"/>
                <w:lang w:eastAsia="fi-FI"/>
              </w:rPr>
              <w:t>prone to oxidation. The oxidation state of boron in both compounds are +3 and boron will therefore not be further oxidised</w:t>
            </w:r>
            <w:r w:rsidRPr="00B65D57">
              <w:rPr>
                <w:rFonts w:eastAsia="Calibri"/>
                <w:snapToGrid w:val="0"/>
                <w:sz w:val="18"/>
                <w:szCs w:val="18"/>
                <w:lang w:eastAsia="fi-FI"/>
              </w:rPr>
              <w:t xml:space="preserve">. </w:t>
            </w:r>
          </w:p>
          <w:p w14:paraId="457E7031" w14:textId="303B409C" w:rsidR="00364943" w:rsidRPr="00B65D57" w:rsidRDefault="00364943" w:rsidP="00364943">
            <w:pPr>
              <w:widowControl w:val="0"/>
              <w:rPr>
                <w:rFonts w:eastAsia="Calibri"/>
                <w:snapToGrid w:val="0"/>
                <w:sz w:val="18"/>
                <w:szCs w:val="18"/>
                <w:lang w:eastAsia="fi-FI"/>
              </w:rPr>
            </w:pPr>
          </w:p>
        </w:tc>
      </w:tr>
    </w:tbl>
    <w:p w14:paraId="1204668D" w14:textId="1FA862AF"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t>Conclusion on physical hazards and respective characteristics</w:t>
      </w:r>
    </w:p>
    <w:tbl>
      <w:tblPr>
        <w:tblW w:w="37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918"/>
      </w:tblGrid>
      <w:tr w:rsidR="00635F3E" w:rsidRPr="00B65D57" w14:paraId="7D15C2E4" w14:textId="77777777" w:rsidTr="00073B7C">
        <w:tc>
          <w:tcPr>
            <w:tcW w:w="5000" w:type="pct"/>
            <w:tcBorders>
              <w:top w:val="single" w:sz="4" w:space="0" w:color="auto"/>
              <w:left w:val="single" w:sz="4" w:space="0" w:color="auto"/>
              <w:bottom w:val="single" w:sz="6" w:space="0" w:color="auto"/>
              <w:right w:val="single" w:sz="6" w:space="0" w:color="auto"/>
            </w:tcBorders>
            <w:shd w:val="clear" w:color="auto" w:fill="CCFFCC"/>
          </w:tcPr>
          <w:p w14:paraId="4DDEF2CF" w14:textId="77777777" w:rsidR="00635F3E" w:rsidRPr="00B65D57" w:rsidRDefault="00635F3E" w:rsidP="00635F3E">
            <w:pPr>
              <w:widowControl w:val="0"/>
              <w:rPr>
                <w:rFonts w:eastAsia="Calibri"/>
                <w:b/>
                <w:bCs/>
                <w:snapToGrid w:val="0"/>
                <w:sz w:val="18"/>
                <w:szCs w:val="16"/>
                <w:lang w:eastAsia="en-US"/>
              </w:rPr>
            </w:pPr>
            <w:r w:rsidRPr="00B65D57">
              <w:rPr>
                <w:rFonts w:eastAsia="Calibri"/>
                <w:b/>
                <w:bCs/>
                <w:snapToGrid w:val="0"/>
                <w:sz w:val="18"/>
                <w:szCs w:val="16"/>
                <w:lang w:eastAsia="en-US"/>
              </w:rPr>
              <w:t>Conclusion on physical hazards and respective characteristics</w:t>
            </w:r>
          </w:p>
        </w:tc>
      </w:tr>
      <w:tr w:rsidR="00635F3E" w:rsidRPr="00B65D57" w14:paraId="6976482B" w14:textId="77777777" w:rsidTr="00073B7C">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F43DCB0" w14:textId="7A0862E8" w:rsidR="00635F3E" w:rsidRPr="00B65D57" w:rsidRDefault="00635F3E" w:rsidP="00635F3E">
            <w:pPr>
              <w:widowControl w:val="0"/>
              <w:rPr>
                <w:rFonts w:eastAsia="Calibri"/>
                <w:snapToGrid w:val="0"/>
                <w:sz w:val="18"/>
                <w:szCs w:val="16"/>
                <w:lang w:eastAsia="en-US"/>
              </w:rPr>
            </w:pPr>
            <w:r w:rsidRPr="00B65D57">
              <w:rPr>
                <w:rFonts w:eastAsia="Calibri"/>
                <w:snapToGrid w:val="0"/>
                <w:sz w:val="18"/>
                <w:szCs w:val="16"/>
                <w:lang w:eastAsia="en-US"/>
              </w:rPr>
              <w:t xml:space="preserve">Jerbor is not classified for any physical hazards. </w:t>
            </w:r>
          </w:p>
        </w:tc>
      </w:tr>
    </w:tbl>
    <w:p w14:paraId="283ABCAD" w14:textId="5B43EB51" w:rsidR="00635F3E" w:rsidRPr="00B65D57" w:rsidRDefault="009A5C9B" w:rsidP="00223981">
      <w:pPr>
        <w:pStyle w:val="Rubrik3"/>
        <w:rPr>
          <w:snapToGrid w:val="0"/>
          <w:lang w:val="en-GB" w:eastAsia="fi-FI"/>
        </w:rPr>
      </w:pPr>
      <w:bookmarkStart w:id="1314" w:name="_Toc26187728"/>
      <w:bookmarkStart w:id="1315" w:name="_Toc26189392"/>
      <w:bookmarkStart w:id="1316" w:name="_Toc26191056"/>
      <w:bookmarkStart w:id="1317" w:name="_Toc26192726"/>
      <w:bookmarkStart w:id="1318" w:name="_Toc26194392"/>
      <w:bookmarkStart w:id="1319" w:name="_Toc38892730"/>
      <w:bookmarkStart w:id="1320" w:name="_Toc26187849"/>
      <w:bookmarkStart w:id="1321" w:name="_Toc26189513"/>
      <w:bookmarkStart w:id="1322" w:name="_Toc26191177"/>
      <w:bookmarkStart w:id="1323" w:name="_Toc26192847"/>
      <w:bookmarkStart w:id="1324" w:name="_Toc26194513"/>
      <w:bookmarkStart w:id="1325" w:name="_Toc26256011"/>
      <w:bookmarkStart w:id="1326" w:name="_Toc26256425"/>
      <w:bookmarkStart w:id="1327" w:name="_Toc26256532"/>
      <w:bookmarkStart w:id="1328" w:name="_Toc26256639"/>
      <w:bookmarkStart w:id="1329" w:name="_Toc26273548"/>
      <w:bookmarkStart w:id="1330" w:name="_Toc38892851"/>
      <w:bookmarkStart w:id="1331" w:name="_Toc26187852"/>
      <w:bookmarkStart w:id="1332" w:name="_Toc26189516"/>
      <w:bookmarkStart w:id="1333" w:name="_Toc26191180"/>
      <w:bookmarkStart w:id="1334" w:name="_Toc26192850"/>
      <w:bookmarkStart w:id="1335" w:name="_Toc26194516"/>
      <w:bookmarkStart w:id="1336" w:name="_Toc38892854"/>
      <w:bookmarkStart w:id="1337" w:name="_Toc21522647"/>
      <w:bookmarkStart w:id="1338" w:name="_Toc21522785"/>
      <w:bookmarkStart w:id="1339" w:name="_Toc21522996"/>
      <w:bookmarkStart w:id="1340" w:name="_Toc21523093"/>
      <w:bookmarkStart w:id="1341" w:name="_Toc21523164"/>
      <w:bookmarkStart w:id="1342" w:name="_Toc21523231"/>
      <w:bookmarkStart w:id="1343" w:name="_Toc21523442"/>
      <w:bookmarkStart w:id="1344" w:name="_Toc21524653"/>
      <w:bookmarkStart w:id="1345" w:name="_Toc21524723"/>
      <w:bookmarkStart w:id="1346" w:name="_Toc21525433"/>
      <w:bookmarkStart w:id="1347" w:name="_Toc21705266"/>
      <w:bookmarkStart w:id="1348" w:name="_Toc21705384"/>
      <w:bookmarkStart w:id="1349" w:name="_Toc21705461"/>
      <w:bookmarkStart w:id="1350" w:name="_Toc26187854"/>
      <w:bookmarkStart w:id="1351" w:name="_Toc26189518"/>
      <w:bookmarkStart w:id="1352" w:name="_Toc26191182"/>
      <w:bookmarkStart w:id="1353" w:name="_Toc26192852"/>
      <w:bookmarkStart w:id="1354" w:name="_Toc26194518"/>
      <w:bookmarkStart w:id="1355" w:name="_Toc26256012"/>
      <w:bookmarkStart w:id="1356" w:name="_Toc26256426"/>
      <w:bookmarkStart w:id="1357" w:name="_Toc26256533"/>
      <w:bookmarkStart w:id="1358" w:name="_Toc26256640"/>
      <w:bookmarkStart w:id="1359" w:name="_Toc26273549"/>
      <w:bookmarkStart w:id="1360" w:name="_Toc38892856"/>
      <w:bookmarkStart w:id="1361" w:name="_Toc25922553"/>
      <w:bookmarkStart w:id="1362" w:name="_Toc26256013"/>
      <w:bookmarkStart w:id="1363" w:name="_Toc40273842"/>
      <w:bookmarkStart w:id="1364" w:name="_Toc41555054"/>
      <w:bookmarkStart w:id="1365" w:name="_Toc41565175"/>
      <w:bookmarkStart w:id="1366" w:name="_Toc72846215"/>
      <w:bookmarkStart w:id="1367" w:name="_Toc129689586"/>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Pr="00B65D57">
        <w:rPr>
          <w:snapToGrid w:val="0"/>
          <w:lang w:val="en-GB" w:eastAsia="fi-FI"/>
        </w:rPr>
        <w:t xml:space="preserve">2.2.4 </w:t>
      </w:r>
      <w:r w:rsidR="00635F3E" w:rsidRPr="00B65D57">
        <w:rPr>
          <w:snapToGrid w:val="0"/>
          <w:lang w:val="en-GB" w:eastAsia="fi-FI"/>
        </w:rPr>
        <w:t>Methods for detection and identification</w:t>
      </w:r>
      <w:bookmarkEnd w:id="1361"/>
      <w:bookmarkEnd w:id="1362"/>
      <w:bookmarkEnd w:id="1363"/>
      <w:bookmarkEnd w:id="1364"/>
      <w:bookmarkEnd w:id="1365"/>
      <w:bookmarkEnd w:id="1366"/>
      <w:bookmarkEnd w:id="1367"/>
    </w:p>
    <w:p w14:paraId="7065117C" w14:textId="75D4D7A0" w:rsidR="00635F3E" w:rsidRPr="00B65D57" w:rsidRDefault="00635F3E" w:rsidP="008F4848">
      <w:pPr>
        <w:widowControl w:val="0"/>
        <w:rPr>
          <w:rFonts w:eastAsia="Calibri"/>
          <w:snapToGrid w:val="0"/>
          <w:lang w:eastAsia="en-US"/>
        </w:rPr>
      </w:pPr>
      <w:r w:rsidRPr="00B65D57">
        <w:rPr>
          <w:rFonts w:eastAsia="Calibri"/>
          <w:snapToGrid w:val="0"/>
          <w:lang w:eastAsia="en-US"/>
        </w:rPr>
        <w:t>There are no direct methods to determine the active substances as such in the formulation</w:t>
      </w:r>
      <w:r w:rsidR="00AE3685" w:rsidRPr="00B65D57">
        <w:rPr>
          <w:rFonts w:eastAsia="Calibri"/>
          <w:snapToGrid w:val="0"/>
          <w:lang w:eastAsia="en-US"/>
        </w:rPr>
        <w:t xml:space="preserve">, instead, </w:t>
      </w:r>
      <w:r w:rsidR="00CE7E9E">
        <w:rPr>
          <w:rFonts w:eastAsia="Calibri"/>
          <w:snapToGrid w:val="0"/>
          <w:lang w:eastAsia="en-US"/>
        </w:rPr>
        <w:t>a</w:t>
      </w:r>
      <w:r w:rsidR="00AE3685" w:rsidRPr="00B65D57">
        <w:rPr>
          <w:rFonts w:eastAsia="Calibri"/>
          <w:snapToGrid w:val="0"/>
          <w:lang w:eastAsia="en-US"/>
        </w:rPr>
        <w:t xml:space="preserve"> </w:t>
      </w:r>
      <w:r w:rsidR="00CE7E9E">
        <w:rPr>
          <w:rFonts w:eastAsia="Calibri"/>
          <w:snapToGrid w:val="0"/>
          <w:lang w:eastAsia="en-US"/>
        </w:rPr>
        <w:t xml:space="preserve">multi-element </w:t>
      </w:r>
      <w:r w:rsidR="00AE3685" w:rsidRPr="00B65D57">
        <w:rPr>
          <w:rFonts w:eastAsia="Calibri"/>
          <w:snapToGrid w:val="0"/>
          <w:lang w:eastAsia="en-US"/>
        </w:rPr>
        <w:t xml:space="preserve">determination of total boron (B) and sodium (Na) using ICP-SFMS technique is </w:t>
      </w:r>
      <w:r w:rsidR="00CE7E9E">
        <w:rPr>
          <w:rFonts w:eastAsia="Calibri"/>
          <w:snapToGrid w:val="0"/>
          <w:lang w:eastAsia="en-US"/>
        </w:rPr>
        <w:t>used</w:t>
      </w:r>
      <w:r w:rsidRPr="00B65D57">
        <w:rPr>
          <w:rFonts w:eastAsia="Calibri"/>
          <w:snapToGrid w:val="0"/>
          <w:lang w:eastAsia="en-US"/>
        </w:rPr>
        <w:t>. Th</w:t>
      </w:r>
      <w:r w:rsidR="00AE3685" w:rsidRPr="00B65D57">
        <w:rPr>
          <w:rFonts w:eastAsia="Calibri"/>
          <w:snapToGrid w:val="0"/>
          <w:lang w:eastAsia="en-US"/>
        </w:rPr>
        <w:t xml:space="preserve">e reason for this </w:t>
      </w:r>
      <w:r w:rsidRPr="00B65D57">
        <w:rPr>
          <w:rFonts w:eastAsia="Calibri"/>
          <w:snapToGrid w:val="0"/>
          <w:lang w:eastAsia="en-US"/>
        </w:rPr>
        <w:t xml:space="preserve">is explained in the CAR for both active substances. In aqueous solution, disodium tetraborate is converted into boric acid/borate while boric acid exists as undissociated boric acid and polynuclear boron complexes. The formation of the various boron species in an aqueous solution is dependent on the concentration of boron and the pH of the solution rather than </w:t>
      </w:r>
      <w:r w:rsidR="000C4CE8" w:rsidRPr="00B65D57">
        <w:rPr>
          <w:rFonts w:eastAsia="Calibri"/>
          <w:snapToGrid w:val="0"/>
          <w:lang w:eastAsia="en-US"/>
        </w:rPr>
        <w:t>the</w:t>
      </w:r>
      <w:r w:rsidRPr="00B65D57">
        <w:rPr>
          <w:rFonts w:eastAsia="Calibri"/>
          <w:snapToGrid w:val="0"/>
          <w:lang w:eastAsia="en-US"/>
        </w:rPr>
        <w:t xml:space="preserve"> boron substances </w:t>
      </w:r>
      <w:r w:rsidR="000C4CE8" w:rsidRPr="00B65D57">
        <w:rPr>
          <w:rFonts w:eastAsia="Calibri"/>
          <w:snapToGrid w:val="0"/>
          <w:lang w:eastAsia="en-US"/>
        </w:rPr>
        <w:t xml:space="preserve">that </w:t>
      </w:r>
      <w:r w:rsidRPr="00B65D57">
        <w:rPr>
          <w:rFonts w:eastAsia="Calibri"/>
          <w:snapToGrid w:val="0"/>
          <w:lang w:eastAsia="en-US"/>
        </w:rPr>
        <w:t xml:space="preserve">are added to the solution. </w:t>
      </w:r>
    </w:p>
    <w:p w14:paraId="705CBDAD" w14:textId="77777777" w:rsidR="00635F3E" w:rsidRPr="00B65D57" w:rsidRDefault="00635F3E" w:rsidP="00635F3E">
      <w:pPr>
        <w:widowControl w:val="0"/>
        <w:jc w:val="both"/>
        <w:rPr>
          <w:rFonts w:eastAsia="Calibri"/>
          <w:iCs/>
          <w:snapToGrid w:val="0"/>
          <w:szCs w:val="24"/>
          <w:lang w:eastAsia="en-US"/>
        </w:rPr>
      </w:pPr>
    </w:p>
    <w:p w14:paraId="30E58AF6" w14:textId="2CD8AF25"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t xml:space="preserve">Table </w:t>
      </w:r>
      <w:r w:rsidR="00D4149C" w:rsidRPr="00B65D57">
        <w:rPr>
          <w:b/>
          <w:bCs/>
          <w:snapToGrid w:val="0"/>
          <w:szCs w:val="18"/>
          <w:lang w:eastAsia="fi-FI"/>
        </w:rPr>
        <w:t>2.2.</w:t>
      </w:r>
      <w:r w:rsidR="009B5226" w:rsidRPr="00B65D57">
        <w:rPr>
          <w:b/>
          <w:bCs/>
          <w:snapToGrid w:val="0"/>
          <w:szCs w:val="18"/>
          <w:lang w:eastAsia="fi-FI"/>
        </w:rPr>
        <w:t>4</w:t>
      </w:r>
      <w:r w:rsidR="00D4149C" w:rsidRPr="00B65D57">
        <w:rPr>
          <w:b/>
          <w:bCs/>
          <w:snapToGrid w:val="0"/>
          <w:szCs w:val="18"/>
          <w:lang w:eastAsia="fi-FI"/>
        </w:rPr>
        <w:t>-1</w:t>
      </w:r>
      <w:r w:rsidRPr="00B65D57">
        <w:rPr>
          <w:b/>
          <w:bCs/>
          <w:snapToGrid w:val="0"/>
          <w:szCs w:val="18"/>
          <w:lang w:eastAsia="fi-FI"/>
        </w:rPr>
        <w:t xml:space="preserve"> Analytical methods for the analysis of the product as such including the active substance, impurities, and residues</w:t>
      </w:r>
    </w:p>
    <w:tbl>
      <w:tblPr>
        <w:tblW w:w="13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276"/>
        <w:gridCol w:w="992"/>
        <w:gridCol w:w="1418"/>
        <w:gridCol w:w="1559"/>
        <w:gridCol w:w="709"/>
        <w:gridCol w:w="1417"/>
        <w:gridCol w:w="851"/>
        <w:gridCol w:w="1417"/>
        <w:gridCol w:w="1299"/>
      </w:tblGrid>
      <w:tr w:rsidR="00635F3E" w:rsidRPr="00B65D57" w14:paraId="2DDF9E23" w14:textId="77777777" w:rsidTr="00553245">
        <w:trPr>
          <w:trHeight w:val="458"/>
        </w:trPr>
        <w:tc>
          <w:tcPr>
            <w:tcW w:w="13343" w:type="dxa"/>
            <w:gridSpan w:val="11"/>
            <w:shd w:val="clear" w:color="auto" w:fill="FFFFCC"/>
            <w:vAlign w:val="center"/>
          </w:tcPr>
          <w:p w14:paraId="7110D59B" w14:textId="77777777" w:rsidR="00635F3E" w:rsidRPr="00B65D57" w:rsidRDefault="00635F3E" w:rsidP="00635F3E">
            <w:pPr>
              <w:keepNext/>
              <w:widowControl w:val="0"/>
              <w:autoSpaceDE w:val="0"/>
              <w:autoSpaceDN w:val="0"/>
              <w:adjustRightInd w:val="0"/>
              <w:jc w:val="center"/>
              <w:rPr>
                <w:b/>
                <w:bCs/>
                <w:snapToGrid w:val="0"/>
                <w:sz w:val="18"/>
                <w:szCs w:val="18"/>
                <w:lang w:eastAsia="fi-FI"/>
              </w:rPr>
            </w:pPr>
            <w:r w:rsidRPr="00B65D57">
              <w:rPr>
                <w:rFonts w:eastAsia="Calibri"/>
                <w:b/>
                <w:snapToGrid w:val="0"/>
                <w:sz w:val="18"/>
                <w:szCs w:val="18"/>
                <w:lang w:eastAsia="fi-FI"/>
              </w:rPr>
              <w:t>Analytical methods for the analysis of the product as such including the active substance, impurities, and residues</w:t>
            </w:r>
          </w:p>
        </w:tc>
      </w:tr>
      <w:tr w:rsidR="00635F3E" w:rsidRPr="00B65D57" w14:paraId="73EFCBB5" w14:textId="77777777" w:rsidTr="00553245">
        <w:tc>
          <w:tcPr>
            <w:tcW w:w="13343" w:type="dxa"/>
            <w:gridSpan w:val="11"/>
          </w:tcPr>
          <w:p w14:paraId="76C25DE2" w14:textId="0CBF69A6" w:rsidR="00635F3E" w:rsidRPr="00B65D57" w:rsidRDefault="00635F3E" w:rsidP="00635F3E">
            <w:pPr>
              <w:widowControl w:val="0"/>
              <w:jc w:val="both"/>
              <w:rPr>
                <w:iCs/>
                <w:snapToGrid w:val="0"/>
                <w:sz w:val="18"/>
                <w:szCs w:val="18"/>
                <w:lang w:eastAsia="fi-FI"/>
              </w:rPr>
            </w:pPr>
            <w:r w:rsidRPr="00B65D57">
              <w:rPr>
                <w:rFonts w:eastAsia="Calibri"/>
                <w:snapToGrid w:val="0"/>
                <w:sz w:val="18"/>
                <w:szCs w:val="18"/>
                <w:u w:val="single"/>
                <w:lang w:eastAsia="en-US"/>
              </w:rPr>
              <w:t>Principle of the method</w:t>
            </w:r>
            <w:r w:rsidRPr="00B65D57">
              <w:rPr>
                <w:rFonts w:eastAsia="Calibri"/>
                <w:iCs/>
                <w:snapToGrid w:val="0"/>
                <w:sz w:val="18"/>
                <w:szCs w:val="18"/>
                <w:u w:val="single"/>
                <w:lang w:eastAsia="en-US"/>
              </w:rPr>
              <w:t xml:space="preserve"> [ICP-SFMS]</w:t>
            </w:r>
            <w:r w:rsidRPr="00B65D57">
              <w:rPr>
                <w:rFonts w:eastAsia="Calibri"/>
                <w:iCs/>
                <w:snapToGrid w:val="0"/>
                <w:sz w:val="18"/>
                <w:szCs w:val="18"/>
                <w:lang w:eastAsia="en-US"/>
              </w:rPr>
              <w:t xml:space="preserve">: Analysis performed according to </w:t>
            </w:r>
            <w:r w:rsidR="006228EB" w:rsidRPr="006228EB">
              <w:rPr>
                <w:rFonts w:eastAsia="Calibri"/>
                <w:iCs/>
                <w:snapToGrid w:val="0"/>
                <w:sz w:val="18"/>
                <w:szCs w:val="18"/>
                <w:lang w:eastAsia="en-US"/>
              </w:rPr>
              <w:t>ALS Scandinavia Method B-01 which is a modified version of the method EN ISO 17294-1.</w:t>
            </w:r>
            <w:r w:rsidRPr="00B65D57">
              <w:rPr>
                <w:rFonts w:eastAsia="Calibri"/>
                <w:iCs/>
                <w:snapToGrid w:val="0"/>
                <w:sz w:val="18"/>
                <w:szCs w:val="18"/>
                <w:lang w:eastAsia="en-US"/>
              </w:rPr>
              <w:t xml:space="preserve"> </w:t>
            </w:r>
            <w:r w:rsidR="0064247C">
              <w:rPr>
                <w:rFonts w:eastAsia="Calibri"/>
                <w:iCs/>
                <w:snapToGrid w:val="0"/>
                <w:sz w:val="18"/>
                <w:szCs w:val="18"/>
                <w:lang w:eastAsia="en-US"/>
              </w:rPr>
              <w:t xml:space="preserve">For </w:t>
            </w:r>
            <w:r w:rsidR="00422564">
              <w:rPr>
                <w:rFonts w:eastAsia="Calibri"/>
                <w:iCs/>
                <w:snapToGrid w:val="0"/>
                <w:sz w:val="18"/>
                <w:szCs w:val="18"/>
                <w:lang w:eastAsia="en-US"/>
              </w:rPr>
              <w:t>the determination</w:t>
            </w:r>
            <w:r w:rsidR="0064247C">
              <w:rPr>
                <w:rFonts w:eastAsia="Calibri"/>
                <w:iCs/>
                <w:snapToGrid w:val="0"/>
                <w:sz w:val="18"/>
                <w:szCs w:val="18"/>
                <w:lang w:eastAsia="en-US"/>
              </w:rPr>
              <w:t xml:space="preserve"> of total B and Na</w:t>
            </w:r>
            <w:r w:rsidR="00422564">
              <w:rPr>
                <w:rFonts w:eastAsia="Calibri"/>
                <w:iCs/>
                <w:snapToGrid w:val="0"/>
                <w:sz w:val="18"/>
                <w:szCs w:val="18"/>
                <w:lang w:eastAsia="en-US"/>
              </w:rPr>
              <w:t>,</w:t>
            </w:r>
            <w:r w:rsidR="0064247C">
              <w:rPr>
                <w:rFonts w:eastAsia="Calibri"/>
                <w:iCs/>
                <w:snapToGrid w:val="0"/>
                <w:sz w:val="18"/>
                <w:szCs w:val="18"/>
                <w:lang w:eastAsia="en-US"/>
              </w:rPr>
              <w:t xml:space="preserve"> the sample is </w:t>
            </w:r>
            <w:r w:rsidR="00422564">
              <w:rPr>
                <w:rFonts w:eastAsia="Calibri"/>
                <w:iCs/>
                <w:snapToGrid w:val="0"/>
                <w:sz w:val="18"/>
                <w:szCs w:val="18"/>
                <w:lang w:eastAsia="en-US"/>
              </w:rPr>
              <w:t xml:space="preserve">prepared by </w:t>
            </w:r>
            <w:r w:rsidR="0064247C">
              <w:rPr>
                <w:rFonts w:eastAsia="Calibri"/>
                <w:iCs/>
                <w:snapToGrid w:val="0"/>
                <w:sz w:val="18"/>
                <w:szCs w:val="18"/>
                <w:lang w:eastAsia="en-US"/>
              </w:rPr>
              <w:t>dissol</w:t>
            </w:r>
            <w:r w:rsidR="00422564">
              <w:rPr>
                <w:rFonts w:eastAsia="Calibri"/>
                <w:iCs/>
                <w:snapToGrid w:val="0"/>
                <w:sz w:val="18"/>
                <w:szCs w:val="18"/>
                <w:lang w:eastAsia="en-US"/>
              </w:rPr>
              <w:t>ution</w:t>
            </w:r>
            <w:r w:rsidR="0064247C">
              <w:rPr>
                <w:rFonts w:eastAsia="Calibri"/>
                <w:iCs/>
                <w:snapToGrid w:val="0"/>
                <w:sz w:val="18"/>
                <w:szCs w:val="18"/>
                <w:lang w:eastAsia="en-US"/>
              </w:rPr>
              <w:t xml:space="preserve"> </w:t>
            </w:r>
            <w:r w:rsidR="00336650">
              <w:rPr>
                <w:rFonts w:eastAsia="Calibri"/>
                <w:iCs/>
                <w:snapToGrid w:val="0"/>
                <w:sz w:val="18"/>
                <w:szCs w:val="18"/>
                <w:lang w:eastAsia="en-US"/>
              </w:rPr>
              <w:t>and</w:t>
            </w:r>
            <w:r w:rsidR="00422564">
              <w:rPr>
                <w:rFonts w:eastAsia="Calibri"/>
                <w:iCs/>
                <w:snapToGrid w:val="0"/>
                <w:sz w:val="18"/>
                <w:szCs w:val="18"/>
                <w:lang w:eastAsia="en-US"/>
              </w:rPr>
              <w:t xml:space="preserve"> dilution</w:t>
            </w:r>
            <w:r w:rsidR="00961384">
              <w:rPr>
                <w:rFonts w:eastAsia="Calibri"/>
                <w:iCs/>
                <w:snapToGrid w:val="0"/>
                <w:sz w:val="18"/>
                <w:szCs w:val="18"/>
                <w:lang w:eastAsia="en-US"/>
              </w:rPr>
              <w:t xml:space="preserve"> </w:t>
            </w:r>
            <w:r w:rsidR="00422564">
              <w:rPr>
                <w:rFonts w:eastAsia="Calibri"/>
                <w:iCs/>
                <w:snapToGrid w:val="0"/>
                <w:sz w:val="18"/>
                <w:szCs w:val="18"/>
                <w:lang w:eastAsia="en-US"/>
              </w:rPr>
              <w:t>with</w:t>
            </w:r>
            <w:r w:rsidR="0064247C">
              <w:rPr>
                <w:rFonts w:eastAsia="Calibri"/>
                <w:iCs/>
                <w:snapToGrid w:val="0"/>
                <w:sz w:val="18"/>
                <w:szCs w:val="18"/>
                <w:lang w:eastAsia="en-US"/>
              </w:rPr>
              <w:t xml:space="preserve"> water</w:t>
            </w:r>
            <w:r w:rsidR="00013F20">
              <w:rPr>
                <w:rFonts w:eastAsia="Calibri"/>
                <w:iCs/>
                <w:snapToGrid w:val="0"/>
                <w:sz w:val="18"/>
                <w:szCs w:val="18"/>
                <w:lang w:eastAsia="en-US"/>
              </w:rPr>
              <w:t xml:space="preserve"> </w:t>
            </w:r>
            <w:r w:rsidR="001F261C">
              <w:rPr>
                <w:rFonts w:eastAsia="Calibri"/>
                <w:iCs/>
                <w:snapToGrid w:val="0"/>
                <w:sz w:val="18"/>
                <w:szCs w:val="18"/>
                <w:lang w:eastAsia="en-US"/>
              </w:rPr>
              <w:t>followed by</w:t>
            </w:r>
            <w:r w:rsidR="0064247C">
              <w:rPr>
                <w:rFonts w:eastAsia="Calibri"/>
                <w:iCs/>
                <w:snapToGrid w:val="0"/>
                <w:sz w:val="18"/>
                <w:szCs w:val="18"/>
                <w:lang w:eastAsia="en-US"/>
              </w:rPr>
              <w:t xml:space="preserve"> </w:t>
            </w:r>
            <w:r w:rsidR="00422564">
              <w:rPr>
                <w:rFonts w:eastAsia="Calibri"/>
                <w:iCs/>
                <w:snapToGrid w:val="0"/>
                <w:sz w:val="18"/>
                <w:szCs w:val="18"/>
                <w:lang w:eastAsia="en-US"/>
              </w:rPr>
              <w:t xml:space="preserve">addition of </w:t>
            </w:r>
            <w:r w:rsidR="0064247C">
              <w:rPr>
                <w:rFonts w:eastAsia="Calibri"/>
                <w:iCs/>
                <w:snapToGrid w:val="0"/>
                <w:sz w:val="18"/>
                <w:szCs w:val="18"/>
                <w:lang w:eastAsia="en-US"/>
              </w:rPr>
              <w:t xml:space="preserve">nitric acid </w:t>
            </w:r>
            <w:r w:rsidR="00013F20">
              <w:rPr>
                <w:rFonts w:eastAsia="Calibri"/>
                <w:iCs/>
                <w:snapToGrid w:val="0"/>
                <w:sz w:val="18"/>
                <w:szCs w:val="18"/>
                <w:lang w:eastAsia="en-US"/>
              </w:rPr>
              <w:t>and internal standards</w:t>
            </w:r>
            <w:r w:rsidR="00961384">
              <w:rPr>
                <w:rFonts w:eastAsia="Calibri"/>
                <w:iCs/>
                <w:snapToGrid w:val="0"/>
                <w:sz w:val="18"/>
                <w:szCs w:val="18"/>
                <w:lang w:eastAsia="en-US"/>
              </w:rPr>
              <w:t xml:space="preserve"> (total dilution factor of 10000)</w:t>
            </w:r>
            <w:r w:rsidR="0064247C">
              <w:rPr>
                <w:rFonts w:eastAsia="Calibri"/>
                <w:iCs/>
                <w:snapToGrid w:val="0"/>
                <w:sz w:val="18"/>
                <w:szCs w:val="18"/>
                <w:lang w:eastAsia="en-US"/>
              </w:rPr>
              <w:t>.</w:t>
            </w:r>
          </w:p>
          <w:p w14:paraId="199897A6" w14:textId="77777777" w:rsidR="00635F3E" w:rsidRPr="00B65D57" w:rsidDel="00902F23" w:rsidRDefault="00635F3E" w:rsidP="00635F3E">
            <w:pPr>
              <w:keepNext/>
              <w:widowControl w:val="0"/>
              <w:autoSpaceDE w:val="0"/>
              <w:autoSpaceDN w:val="0"/>
              <w:adjustRightInd w:val="0"/>
              <w:jc w:val="center"/>
              <w:rPr>
                <w:b/>
                <w:bCs/>
                <w:snapToGrid w:val="0"/>
                <w:sz w:val="18"/>
                <w:szCs w:val="18"/>
                <w:lang w:eastAsia="fi-FI"/>
              </w:rPr>
            </w:pPr>
          </w:p>
          <w:p w14:paraId="0DFE6831" w14:textId="77777777" w:rsidR="00635F3E" w:rsidRPr="00B65D57" w:rsidRDefault="00635F3E" w:rsidP="00635F3E">
            <w:pPr>
              <w:widowControl w:val="0"/>
              <w:rPr>
                <w:rFonts w:eastAsia="Calibri"/>
                <w:snapToGrid w:val="0"/>
                <w:sz w:val="18"/>
                <w:szCs w:val="18"/>
                <w:lang w:eastAsia="en-US"/>
              </w:rPr>
            </w:pPr>
          </w:p>
        </w:tc>
      </w:tr>
      <w:tr w:rsidR="00635F3E" w:rsidRPr="00B65D57" w14:paraId="63D02022" w14:textId="77777777" w:rsidTr="00266197">
        <w:tc>
          <w:tcPr>
            <w:tcW w:w="1271" w:type="dxa"/>
            <w:vMerge w:val="restart"/>
            <w:vAlign w:val="center"/>
          </w:tcPr>
          <w:p w14:paraId="5166C987" w14:textId="77777777" w:rsidR="00635F3E" w:rsidRPr="00B65D57" w:rsidRDefault="00635F3E" w:rsidP="00635F3E">
            <w:pPr>
              <w:widowControl w:val="0"/>
              <w:jc w:val="center"/>
              <w:rPr>
                <w:rFonts w:eastAsia="Calibri"/>
                <w:b/>
                <w:snapToGrid w:val="0"/>
                <w:sz w:val="18"/>
                <w:szCs w:val="18"/>
                <w:lang w:eastAsia="en-US"/>
              </w:rPr>
            </w:pPr>
            <w:r w:rsidRPr="00B65D57">
              <w:rPr>
                <w:b/>
                <w:bCs/>
                <w:snapToGrid w:val="0"/>
                <w:sz w:val="18"/>
                <w:szCs w:val="18"/>
                <w:lang w:eastAsia="fi-FI"/>
              </w:rPr>
              <w:t xml:space="preserve">Analyte </w:t>
            </w:r>
          </w:p>
        </w:tc>
        <w:tc>
          <w:tcPr>
            <w:tcW w:w="1134" w:type="dxa"/>
            <w:vMerge w:val="restart"/>
            <w:vAlign w:val="center"/>
          </w:tcPr>
          <w:p w14:paraId="6F4E13BC" w14:textId="77777777" w:rsidR="00635F3E" w:rsidRPr="00B65D57" w:rsidRDefault="00635F3E" w:rsidP="00635F3E">
            <w:pPr>
              <w:widowControl w:val="0"/>
              <w:jc w:val="center"/>
              <w:rPr>
                <w:rFonts w:eastAsia="Calibri"/>
                <w:b/>
                <w:snapToGrid w:val="0"/>
                <w:sz w:val="18"/>
                <w:szCs w:val="18"/>
                <w:lang w:eastAsia="en-US"/>
              </w:rPr>
            </w:pPr>
            <w:r w:rsidRPr="00B65D57">
              <w:rPr>
                <w:b/>
                <w:bCs/>
                <w:snapToGrid w:val="0"/>
                <w:sz w:val="18"/>
                <w:szCs w:val="18"/>
                <w:lang w:eastAsia="fi-FI"/>
              </w:rPr>
              <w:t>Linearity</w:t>
            </w:r>
          </w:p>
        </w:tc>
        <w:tc>
          <w:tcPr>
            <w:tcW w:w="1276" w:type="dxa"/>
            <w:vMerge w:val="restart"/>
            <w:vAlign w:val="center"/>
          </w:tcPr>
          <w:p w14:paraId="21580F61" w14:textId="77777777" w:rsidR="00635F3E" w:rsidRPr="00B65D57" w:rsidRDefault="00635F3E" w:rsidP="00635F3E">
            <w:pPr>
              <w:keepNext/>
              <w:widowControl w:val="0"/>
              <w:autoSpaceDE w:val="0"/>
              <w:autoSpaceDN w:val="0"/>
              <w:adjustRightInd w:val="0"/>
              <w:jc w:val="center"/>
              <w:rPr>
                <w:rFonts w:eastAsia="Calibri"/>
                <w:b/>
                <w:snapToGrid w:val="0"/>
                <w:sz w:val="18"/>
                <w:szCs w:val="18"/>
                <w:lang w:eastAsia="en-US"/>
              </w:rPr>
            </w:pPr>
            <w:r w:rsidRPr="00B65D57">
              <w:rPr>
                <w:b/>
                <w:bCs/>
                <w:snapToGrid w:val="0"/>
                <w:sz w:val="18"/>
                <w:szCs w:val="18"/>
                <w:lang w:eastAsia="fi-FI"/>
              </w:rPr>
              <w:t>Specificity</w:t>
            </w:r>
          </w:p>
        </w:tc>
        <w:tc>
          <w:tcPr>
            <w:tcW w:w="2410" w:type="dxa"/>
            <w:gridSpan w:val="2"/>
            <w:vAlign w:val="center"/>
          </w:tcPr>
          <w:p w14:paraId="4A52CE49" w14:textId="50CEFDB5" w:rsidR="00635F3E" w:rsidRPr="00B65D57" w:rsidRDefault="00635F3E" w:rsidP="00635F3E">
            <w:pPr>
              <w:widowControl w:val="0"/>
              <w:jc w:val="center"/>
              <w:rPr>
                <w:rFonts w:eastAsia="Calibri"/>
                <w:b/>
                <w:snapToGrid w:val="0"/>
                <w:sz w:val="18"/>
                <w:szCs w:val="18"/>
                <w:lang w:eastAsia="en-US"/>
              </w:rPr>
            </w:pPr>
            <w:r w:rsidRPr="00B65D57">
              <w:rPr>
                <w:b/>
                <w:bCs/>
                <w:snapToGrid w:val="0"/>
                <w:sz w:val="18"/>
                <w:szCs w:val="18"/>
                <w:lang w:eastAsia="fi-FI"/>
              </w:rPr>
              <w:t xml:space="preserve">Fortification range, level and number of </w:t>
            </w:r>
            <w:r w:rsidR="00BE356A" w:rsidRPr="00B65D57">
              <w:rPr>
                <w:b/>
                <w:bCs/>
                <w:snapToGrid w:val="0"/>
                <w:sz w:val="18"/>
                <w:szCs w:val="18"/>
                <w:lang w:eastAsia="fi-FI"/>
              </w:rPr>
              <w:t>measurements for</w:t>
            </w:r>
            <w:r w:rsidRPr="00B65D57">
              <w:rPr>
                <w:b/>
                <w:bCs/>
                <w:snapToGrid w:val="0"/>
                <w:sz w:val="18"/>
                <w:szCs w:val="18"/>
                <w:lang w:eastAsia="fi-FI"/>
              </w:rPr>
              <w:t xml:space="preserve"> each level</w:t>
            </w:r>
          </w:p>
        </w:tc>
        <w:tc>
          <w:tcPr>
            <w:tcW w:w="2268" w:type="dxa"/>
            <w:gridSpan w:val="2"/>
            <w:vAlign w:val="center"/>
          </w:tcPr>
          <w:p w14:paraId="65C09C63" w14:textId="77777777" w:rsidR="00635F3E" w:rsidRPr="00B65D57" w:rsidRDefault="00635F3E" w:rsidP="00635F3E">
            <w:pPr>
              <w:keepNext/>
              <w:widowControl w:val="0"/>
              <w:autoSpaceDE w:val="0"/>
              <w:autoSpaceDN w:val="0"/>
              <w:adjustRightInd w:val="0"/>
              <w:jc w:val="center"/>
              <w:rPr>
                <w:b/>
                <w:bCs/>
                <w:snapToGrid w:val="0"/>
                <w:sz w:val="18"/>
                <w:szCs w:val="18"/>
                <w:lang w:eastAsia="fi-FI"/>
              </w:rPr>
            </w:pPr>
            <w:r w:rsidRPr="00B65D57">
              <w:rPr>
                <w:b/>
                <w:bCs/>
                <w:snapToGrid w:val="0"/>
                <w:sz w:val="18"/>
                <w:szCs w:val="18"/>
                <w:lang w:eastAsia="fi-FI"/>
              </w:rPr>
              <w:t>Recovery rate (%)</w:t>
            </w:r>
          </w:p>
        </w:tc>
        <w:tc>
          <w:tcPr>
            <w:tcW w:w="2268" w:type="dxa"/>
            <w:gridSpan w:val="2"/>
            <w:vAlign w:val="center"/>
          </w:tcPr>
          <w:p w14:paraId="293C61F3" w14:textId="77777777" w:rsidR="00635F3E" w:rsidRPr="00B65D57" w:rsidRDefault="00635F3E" w:rsidP="00635F3E">
            <w:pPr>
              <w:keepNext/>
              <w:widowControl w:val="0"/>
              <w:autoSpaceDE w:val="0"/>
              <w:autoSpaceDN w:val="0"/>
              <w:adjustRightInd w:val="0"/>
              <w:jc w:val="center"/>
              <w:rPr>
                <w:rFonts w:eastAsia="Calibri"/>
                <w:b/>
                <w:snapToGrid w:val="0"/>
                <w:sz w:val="18"/>
                <w:szCs w:val="18"/>
                <w:lang w:eastAsia="en-US"/>
              </w:rPr>
            </w:pPr>
            <w:r w:rsidRPr="00B65D57">
              <w:rPr>
                <w:b/>
                <w:bCs/>
                <w:snapToGrid w:val="0"/>
                <w:sz w:val="18"/>
                <w:szCs w:val="18"/>
                <w:lang w:eastAsia="fi-FI"/>
              </w:rPr>
              <w:t>Precision (%)</w:t>
            </w:r>
          </w:p>
        </w:tc>
        <w:tc>
          <w:tcPr>
            <w:tcW w:w="1417" w:type="dxa"/>
            <w:vMerge w:val="restart"/>
            <w:vAlign w:val="center"/>
          </w:tcPr>
          <w:p w14:paraId="0C8674E8" w14:textId="77777777" w:rsidR="00635F3E" w:rsidRPr="00266197" w:rsidRDefault="00635F3E" w:rsidP="00635F3E">
            <w:pPr>
              <w:keepNext/>
              <w:widowControl w:val="0"/>
              <w:autoSpaceDE w:val="0"/>
              <w:autoSpaceDN w:val="0"/>
              <w:adjustRightInd w:val="0"/>
              <w:jc w:val="center"/>
              <w:rPr>
                <w:b/>
                <w:bCs/>
                <w:snapToGrid w:val="0"/>
                <w:sz w:val="16"/>
                <w:szCs w:val="16"/>
                <w:lang w:eastAsia="fi-FI"/>
              </w:rPr>
            </w:pPr>
            <w:r w:rsidRPr="00B65D57">
              <w:rPr>
                <w:b/>
                <w:bCs/>
                <w:snapToGrid w:val="0"/>
                <w:sz w:val="18"/>
                <w:szCs w:val="18"/>
                <w:lang w:eastAsia="fi-FI"/>
              </w:rPr>
              <w:t xml:space="preserve">Limit of Quantification LOQ </w:t>
            </w:r>
            <w:r w:rsidRPr="00B65D57">
              <w:rPr>
                <w:bCs/>
                <w:i/>
                <w:snapToGrid w:val="0"/>
                <w:sz w:val="18"/>
                <w:szCs w:val="18"/>
                <w:lang w:eastAsia="fi-FI"/>
              </w:rPr>
              <w:t xml:space="preserve">– </w:t>
            </w:r>
            <w:r w:rsidRPr="00266197">
              <w:rPr>
                <w:bCs/>
                <w:i/>
                <w:snapToGrid w:val="0"/>
                <w:sz w:val="16"/>
                <w:szCs w:val="16"/>
                <w:lang w:eastAsia="fi-FI"/>
              </w:rPr>
              <w:t>only for impurit(y/ies)</w:t>
            </w:r>
          </w:p>
          <w:p w14:paraId="1D3FA2A7" w14:textId="77777777" w:rsidR="00635F3E" w:rsidRPr="00B65D57" w:rsidRDefault="00635F3E" w:rsidP="00635F3E">
            <w:pPr>
              <w:widowControl w:val="0"/>
              <w:jc w:val="center"/>
              <w:rPr>
                <w:rFonts w:eastAsia="Calibri"/>
                <w:b/>
                <w:snapToGrid w:val="0"/>
                <w:sz w:val="18"/>
                <w:szCs w:val="18"/>
                <w:lang w:eastAsia="en-US"/>
              </w:rPr>
            </w:pPr>
          </w:p>
        </w:tc>
        <w:tc>
          <w:tcPr>
            <w:tcW w:w="1299" w:type="dxa"/>
            <w:vMerge w:val="restart"/>
            <w:vAlign w:val="center"/>
          </w:tcPr>
          <w:p w14:paraId="2D4FA740" w14:textId="77777777" w:rsidR="00635F3E" w:rsidRPr="00B65D57" w:rsidRDefault="00635F3E" w:rsidP="00635F3E">
            <w:pPr>
              <w:keepNext/>
              <w:widowControl w:val="0"/>
              <w:autoSpaceDE w:val="0"/>
              <w:autoSpaceDN w:val="0"/>
              <w:adjustRightInd w:val="0"/>
              <w:jc w:val="center"/>
              <w:rPr>
                <w:rFonts w:eastAsia="Calibri"/>
                <w:b/>
                <w:snapToGrid w:val="0"/>
                <w:sz w:val="18"/>
                <w:szCs w:val="18"/>
                <w:lang w:eastAsia="en-US"/>
              </w:rPr>
            </w:pPr>
            <w:r w:rsidRPr="00B65D57">
              <w:rPr>
                <w:b/>
                <w:bCs/>
                <w:snapToGrid w:val="0"/>
                <w:sz w:val="18"/>
                <w:szCs w:val="18"/>
                <w:lang w:eastAsia="fi-FI"/>
              </w:rPr>
              <w:t>Reference</w:t>
            </w:r>
          </w:p>
        </w:tc>
      </w:tr>
      <w:tr w:rsidR="00555367" w:rsidRPr="00B65D57" w14:paraId="259550A1" w14:textId="77777777" w:rsidTr="00F81E82">
        <w:tc>
          <w:tcPr>
            <w:tcW w:w="1271" w:type="dxa"/>
            <w:vMerge/>
            <w:vAlign w:val="center"/>
          </w:tcPr>
          <w:p w14:paraId="426DA90B" w14:textId="77777777" w:rsidR="00555367" w:rsidRPr="00B65D57" w:rsidRDefault="00555367" w:rsidP="00635F3E">
            <w:pPr>
              <w:widowControl w:val="0"/>
              <w:jc w:val="center"/>
              <w:rPr>
                <w:rFonts w:eastAsia="Calibri"/>
                <w:snapToGrid w:val="0"/>
                <w:sz w:val="18"/>
                <w:szCs w:val="18"/>
                <w:lang w:eastAsia="en-US"/>
              </w:rPr>
            </w:pPr>
          </w:p>
        </w:tc>
        <w:tc>
          <w:tcPr>
            <w:tcW w:w="1134" w:type="dxa"/>
            <w:vMerge/>
            <w:vAlign w:val="center"/>
          </w:tcPr>
          <w:p w14:paraId="03FAEC08" w14:textId="77777777" w:rsidR="00555367" w:rsidRPr="00B65D57" w:rsidRDefault="00555367" w:rsidP="00635F3E">
            <w:pPr>
              <w:widowControl w:val="0"/>
              <w:jc w:val="center"/>
              <w:rPr>
                <w:rFonts w:eastAsia="Calibri"/>
                <w:snapToGrid w:val="0"/>
                <w:sz w:val="18"/>
                <w:szCs w:val="18"/>
                <w:lang w:eastAsia="en-US"/>
              </w:rPr>
            </w:pPr>
          </w:p>
        </w:tc>
        <w:tc>
          <w:tcPr>
            <w:tcW w:w="1276" w:type="dxa"/>
            <w:vMerge/>
            <w:vAlign w:val="center"/>
          </w:tcPr>
          <w:p w14:paraId="4C3DAB00" w14:textId="77777777" w:rsidR="00555367" w:rsidRPr="00B65D57" w:rsidRDefault="00555367" w:rsidP="00635F3E">
            <w:pPr>
              <w:widowControl w:val="0"/>
              <w:jc w:val="center"/>
              <w:rPr>
                <w:rFonts w:eastAsia="Calibri"/>
                <w:snapToGrid w:val="0"/>
                <w:sz w:val="18"/>
                <w:szCs w:val="18"/>
                <w:lang w:eastAsia="en-US"/>
              </w:rPr>
            </w:pPr>
          </w:p>
        </w:tc>
        <w:tc>
          <w:tcPr>
            <w:tcW w:w="992" w:type="dxa"/>
            <w:vAlign w:val="center"/>
          </w:tcPr>
          <w:p w14:paraId="74D5EC66" w14:textId="77777777" w:rsidR="00555367" w:rsidRPr="00B65D57" w:rsidRDefault="00555367" w:rsidP="00635F3E">
            <w:pPr>
              <w:widowControl w:val="0"/>
              <w:jc w:val="center"/>
              <w:rPr>
                <w:rFonts w:eastAsia="Calibri"/>
                <w:snapToGrid w:val="0"/>
                <w:sz w:val="16"/>
                <w:szCs w:val="18"/>
                <w:lang w:eastAsia="en-US"/>
              </w:rPr>
            </w:pPr>
            <w:r w:rsidRPr="00B65D57">
              <w:rPr>
                <w:rFonts w:eastAsia="Calibri"/>
                <w:snapToGrid w:val="0"/>
                <w:sz w:val="16"/>
                <w:szCs w:val="18"/>
                <w:lang w:eastAsia="en-US"/>
              </w:rPr>
              <w:t>Level</w:t>
            </w:r>
          </w:p>
        </w:tc>
        <w:tc>
          <w:tcPr>
            <w:tcW w:w="1418" w:type="dxa"/>
            <w:vAlign w:val="center"/>
          </w:tcPr>
          <w:p w14:paraId="4DDAF73F" w14:textId="77777777" w:rsidR="00555367" w:rsidRPr="00B65D57" w:rsidRDefault="00555367" w:rsidP="00635F3E">
            <w:pPr>
              <w:widowControl w:val="0"/>
              <w:jc w:val="center"/>
              <w:rPr>
                <w:rFonts w:eastAsia="Calibri"/>
                <w:snapToGrid w:val="0"/>
                <w:sz w:val="16"/>
                <w:szCs w:val="18"/>
                <w:lang w:eastAsia="en-US"/>
              </w:rPr>
            </w:pPr>
            <w:r w:rsidRPr="00B65D57">
              <w:rPr>
                <w:snapToGrid w:val="0"/>
                <w:color w:val="000000"/>
                <w:sz w:val="16"/>
                <w:szCs w:val="18"/>
                <w:lang w:eastAsia="fi-FI"/>
              </w:rPr>
              <w:t>Number of measurements</w:t>
            </w:r>
          </w:p>
        </w:tc>
        <w:tc>
          <w:tcPr>
            <w:tcW w:w="1559" w:type="dxa"/>
            <w:vAlign w:val="center"/>
          </w:tcPr>
          <w:p w14:paraId="527C0E24" w14:textId="77777777" w:rsidR="00555367" w:rsidRPr="00B65D57" w:rsidRDefault="00555367" w:rsidP="00635F3E">
            <w:pPr>
              <w:widowControl w:val="0"/>
              <w:jc w:val="center"/>
              <w:rPr>
                <w:rFonts w:eastAsia="Calibri"/>
                <w:snapToGrid w:val="0"/>
                <w:sz w:val="16"/>
                <w:szCs w:val="18"/>
                <w:lang w:eastAsia="en-US"/>
              </w:rPr>
            </w:pPr>
            <w:r w:rsidRPr="00B65D57">
              <w:rPr>
                <w:rFonts w:eastAsia="Calibri"/>
                <w:snapToGrid w:val="0"/>
                <w:sz w:val="16"/>
                <w:szCs w:val="18"/>
                <w:lang w:eastAsia="en-US"/>
              </w:rPr>
              <w:t>Mean</w:t>
            </w:r>
          </w:p>
        </w:tc>
        <w:tc>
          <w:tcPr>
            <w:tcW w:w="709" w:type="dxa"/>
            <w:vAlign w:val="center"/>
          </w:tcPr>
          <w:p w14:paraId="7C374FF8" w14:textId="77777777" w:rsidR="00555367" w:rsidRPr="00B65D57" w:rsidRDefault="00555367" w:rsidP="00635F3E">
            <w:pPr>
              <w:widowControl w:val="0"/>
              <w:jc w:val="center"/>
              <w:rPr>
                <w:rFonts w:eastAsia="Calibri"/>
                <w:snapToGrid w:val="0"/>
                <w:sz w:val="16"/>
                <w:szCs w:val="18"/>
                <w:lang w:eastAsia="en-US"/>
              </w:rPr>
            </w:pPr>
            <w:r w:rsidRPr="00B65D57">
              <w:rPr>
                <w:rFonts w:eastAsia="Calibri"/>
                <w:snapToGrid w:val="0"/>
                <w:sz w:val="16"/>
                <w:szCs w:val="18"/>
                <w:lang w:eastAsia="en-US"/>
              </w:rPr>
              <w:t>RSD</w:t>
            </w:r>
          </w:p>
        </w:tc>
        <w:tc>
          <w:tcPr>
            <w:tcW w:w="1417" w:type="dxa"/>
            <w:vAlign w:val="center"/>
          </w:tcPr>
          <w:p w14:paraId="7103D593" w14:textId="1A18E9F6" w:rsidR="00555367" w:rsidRPr="00B65D57" w:rsidRDefault="00555367" w:rsidP="00635F3E">
            <w:pPr>
              <w:widowControl w:val="0"/>
              <w:jc w:val="center"/>
              <w:rPr>
                <w:rFonts w:eastAsia="Calibri"/>
                <w:snapToGrid w:val="0"/>
                <w:sz w:val="16"/>
                <w:szCs w:val="18"/>
                <w:lang w:eastAsia="en-US"/>
              </w:rPr>
            </w:pPr>
            <w:r w:rsidRPr="00B65D57">
              <w:rPr>
                <w:snapToGrid w:val="0"/>
                <w:sz w:val="16"/>
                <w:szCs w:val="18"/>
                <w:lang w:eastAsia="fi-FI"/>
              </w:rPr>
              <w:t>Conc</w:t>
            </w:r>
            <w:r w:rsidR="00266197">
              <w:rPr>
                <w:snapToGrid w:val="0"/>
                <w:sz w:val="16"/>
                <w:szCs w:val="18"/>
                <w:lang w:eastAsia="fi-FI"/>
              </w:rPr>
              <w:t>.</w:t>
            </w:r>
            <w:r w:rsidRPr="00B65D57">
              <w:rPr>
                <w:snapToGrid w:val="0"/>
                <w:sz w:val="16"/>
                <w:szCs w:val="18"/>
                <w:lang w:eastAsia="fi-FI"/>
              </w:rPr>
              <w:t xml:space="preserve"> tested</w:t>
            </w:r>
          </w:p>
        </w:tc>
        <w:tc>
          <w:tcPr>
            <w:tcW w:w="851" w:type="dxa"/>
            <w:vAlign w:val="center"/>
          </w:tcPr>
          <w:p w14:paraId="3B256B9A" w14:textId="1B27D5AA" w:rsidR="00555367" w:rsidRPr="00B65D57" w:rsidRDefault="00555367" w:rsidP="00635F3E">
            <w:pPr>
              <w:widowControl w:val="0"/>
              <w:jc w:val="center"/>
              <w:rPr>
                <w:rFonts w:eastAsia="Calibri"/>
                <w:snapToGrid w:val="0"/>
                <w:sz w:val="16"/>
                <w:szCs w:val="18"/>
                <w:lang w:eastAsia="en-US"/>
              </w:rPr>
            </w:pPr>
            <w:r w:rsidRPr="00B65D57">
              <w:rPr>
                <w:snapToGrid w:val="0"/>
                <w:sz w:val="16"/>
                <w:szCs w:val="18"/>
                <w:lang w:eastAsia="fi-FI"/>
              </w:rPr>
              <w:t>N</w:t>
            </w:r>
            <w:r w:rsidR="00F81E82">
              <w:rPr>
                <w:snapToGrid w:val="0"/>
                <w:sz w:val="16"/>
                <w:szCs w:val="18"/>
                <w:lang w:eastAsia="fi-FI"/>
              </w:rPr>
              <w:t>o.</w:t>
            </w:r>
            <w:r w:rsidRPr="00B65D57">
              <w:rPr>
                <w:snapToGrid w:val="0"/>
                <w:sz w:val="16"/>
                <w:szCs w:val="18"/>
                <w:lang w:eastAsia="fi-FI"/>
              </w:rPr>
              <w:t xml:space="preserve"> of replicat</w:t>
            </w:r>
            <w:r w:rsidRPr="00B65D57">
              <w:rPr>
                <w:snapToGrid w:val="0"/>
                <w:sz w:val="16"/>
                <w:szCs w:val="18"/>
                <w:lang w:eastAsia="fi-FI"/>
              </w:rPr>
              <w:lastRenderedPageBreak/>
              <w:t>es</w:t>
            </w:r>
          </w:p>
        </w:tc>
        <w:tc>
          <w:tcPr>
            <w:tcW w:w="1417" w:type="dxa"/>
            <w:vMerge/>
            <w:vAlign w:val="center"/>
          </w:tcPr>
          <w:p w14:paraId="259DCEE2" w14:textId="77777777" w:rsidR="00555367" w:rsidRPr="00B65D57" w:rsidRDefault="00555367" w:rsidP="00635F3E">
            <w:pPr>
              <w:widowControl w:val="0"/>
              <w:jc w:val="center"/>
              <w:rPr>
                <w:rFonts w:eastAsia="Calibri"/>
                <w:snapToGrid w:val="0"/>
                <w:sz w:val="18"/>
                <w:szCs w:val="18"/>
                <w:lang w:eastAsia="en-US"/>
              </w:rPr>
            </w:pPr>
          </w:p>
        </w:tc>
        <w:tc>
          <w:tcPr>
            <w:tcW w:w="1299" w:type="dxa"/>
            <w:vMerge/>
            <w:vAlign w:val="center"/>
          </w:tcPr>
          <w:p w14:paraId="32168912" w14:textId="77777777" w:rsidR="00555367" w:rsidRPr="00B65D57" w:rsidRDefault="00555367" w:rsidP="00635F3E">
            <w:pPr>
              <w:widowControl w:val="0"/>
              <w:jc w:val="center"/>
              <w:rPr>
                <w:rFonts w:eastAsia="Calibri"/>
                <w:snapToGrid w:val="0"/>
                <w:sz w:val="18"/>
                <w:szCs w:val="18"/>
                <w:lang w:eastAsia="en-US"/>
              </w:rPr>
            </w:pPr>
          </w:p>
        </w:tc>
      </w:tr>
      <w:tr w:rsidR="00555367" w:rsidRPr="00325E28" w14:paraId="19E52359" w14:textId="77777777" w:rsidTr="00F81E82">
        <w:tc>
          <w:tcPr>
            <w:tcW w:w="1271" w:type="dxa"/>
          </w:tcPr>
          <w:p w14:paraId="6C430933" w14:textId="77777777" w:rsidR="00555367" w:rsidRPr="00B65D57" w:rsidRDefault="00555367" w:rsidP="006228EB">
            <w:pPr>
              <w:widowControl w:val="0"/>
              <w:rPr>
                <w:rFonts w:eastAsia="Calibri"/>
                <w:snapToGrid w:val="0"/>
                <w:sz w:val="18"/>
                <w:szCs w:val="18"/>
                <w:lang w:eastAsia="en-US"/>
              </w:rPr>
            </w:pPr>
            <w:r w:rsidRPr="00B65D57">
              <w:rPr>
                <w:rFonts w:eastAsia="Calibri"/>
                <w:snapToGrid w:val="0"/>
                <w:sz w:val="18"/>
                <w:szCs w:val="18"/>
                <w:lang w:eastAsia="en-US"/>
              </w:rPr>
              <w:t>Boric acid and disodium tetraborate pentahydrate (as total boron)</w:t>
            </w:r>
          </w:p>
        </w:tc>
        <w:tc>
          <w:tcPr>
            <w:tcW w:w="1134" w:type="dxa"/>
          </w:tcPr>
          <w:p w14:paraId="381BB30D" w14:textId="5EB69BF8" w:rsidR="00555367" w:rsidRPr="007E6B84" w:rsidRDefault="00555367" w:rsidP="006228EB">
            <w:pPr>
              <w:widowControl w:val="0"/>
              <w:rPr>
                <w:bCs/>
                <w:iCs/>
                <w:snapToGrid w:val="0"/>
                <w:sz w:val="18"/>
                <w:szCs w:val="18"/>
                <w:highlight w:val="black"/>
                <w:lang w:eastAsia="fi-FI"/>
              </w:rPr>
            </w:pPr>
            <w:r w:rsidRPr="007E6B84">
              <w:rPr>
                <w:bCs/>
                <w:i/>
                <w:snapToGrid w:val="0"/>
                <w:sz w:val="18"/>
                <w:szCs w:val="18"/>
                <w:highlight w:val="black"/>
                <w:lang w:eastAsia="fi-FI"/>
              </w:rPr>
              <w:t>r</w:t>
            </w:r>
            <w:r w:rsidRPr="007E6B84">
              <w:rPr>
                <w:bCs/>
                <w:i/>
                <w:snapToGrid w:val="0"/>
                <w:sz w:val="18"/>
                <w:szCs w:val="18"/>
                <w:highlight w:val="black"/>
                <w:vertAlign w:val="superscript"/>
                <w:lang w:eastAsia="fi-FI"/>
              </w:rPr>
              <w:t>2</w:t>
            </w:r>
            <w:r w:rsidRPr="007E6B84">
              <w:rPr>
                <w:bCs/>
                <w:iCs/>
                <w:snapToGrid w:val="0"/>
                <w:sz w:val="18"/>
                <w:szCs w:val="18"/>
                <w:highlight w:val="black"/>
                <w:lang w:eastAsia="fi-FI"/>
              </w:rPr>
              <w:t xml:space="preserve"> (</w:t>
            </w:r>
            <w:r w:rsidRPr="007E6B84">
              <w:rPr>
                <w:bCs/>
                <w:iCs/>
                <w:snapToGrid w:val="0"/>
                <w:sz w:val="18"/>
                <w:szCs w:val="18"/>
                <w:highlight w:val="black"/>
                <w:vertAlign w:val="superscript"/>
                <w:lang w:eastAsia="fi-FI"/>
              </w:rPr>
              <w:t>10</w:t>
            </w:r>
            <w:r w:rsidRPr="007E6B84">
              <w:rPr>
                <w:bCs/>
                <w:iCs/>
                <w:snapToGrid w:val="0"/>
                <w:sz w:val="18"/>
                <w:szCs w:val="18"/>
                <w:highlight w:val="black"/>
                <w:lang w:eastAsia="fi-FI"/>
              </w:rPr>
              <w:t>B) = 0.9958</w:t>
            </w:r>
          </w:p>
          <w:p w14:paraId="1E8A5243" w14:textId="064F59C4" w:rsidR="00555367" w:rsidRPr="007E6B84" w:rsidRDefault="00555367" w:rsidP="006228EB">
            <w:pPr>
              <w:widowControl w:val="0"/>
              <w:rPr>
                <w:bCs/>
                <w:iCs/>
                <w:snapToGrid w:val="0"/>
                <w:sz w:val="18"/>
                <w:szCs w:val="18"/>
                <w:highlight w:val="black"/>
                <w:lang w:eastAsia="fi-FI"/>
              </w:rPr>
            </w:pPr>
            <w:r w:rsidRPr="007E6B84">
              <w:rPr>
                <w:bCs/>
                <w:iCs/>
                <w:snapToGrid w:val="0"/>
                <w:sz w:val="18"/>
                <w:szCs w:val="18"/>
                <w:highlight w:val="black"/>
                <w:lang w:eastAsia="fi-FI"/>
              </w:rPr>
              <w:t>slope 1.0973</w:t>
            </w:r>
          </w:p>
          <w:p w14:paraId="2D3365A8" w14:textId="07A13872" w:rsidR="00555367" w:rsidRPr="007E6B84" w:rsidRDefault="00555367" w:rsidP="006228EB">
            <w:pPr>
              <w:widowControl w:val="0"/>
              <w:rPr>
                <w:bCs/>
                <w:iCs/>
                <w:snapToGrid w:val="0"/>
                <w:sz w:val="18"/>
                <w:szCs w:val="18"/>
                <w:highlight w:val="black"/>
                <w:lang w:eastAsia="fi-FI"/>
              </w:rPr>
            </w:pPr>
            <w:r w:rsidRPr="007E6B84">
              <w:rPr>
                <w:bCs/>
                <w:iCs/>
                <w:snapToGrid w:val="0"/>
                <w:sz w:val="18"/>
                <w:szCs w:val="18"/>
                <w:highlight w:val="black"/>
                <w:lang w:eastAsia="fi-FI"/>
              </w:rPr>
              <w:t>Intercept</w:t>
            </w:r>
          </w:p>
          <w:p w14:paraId="4EFF34AC" w14:textId="6150A749" w:rsidR="00555367" w:rsidRPr="007E6B84" w:rsidRDefault="00555367" w:rsidP="006228EB">
            <w:pPr>
              <w:widowControl w:val="0"/>
              <w:rPr>
                <w:bCs/>
                <w:iCs/>
                <w:snapToGrid w:val="0"/>
                <w:sz w:val="18"/>
                <w:szCs w:val="18"/>
                <w:highlight w:val="black"/>
                <w:lang w:eastAsia="fi-FI"/>
              </w:rPr>
            </w:pPr>
            <w:r w:rsidRPr="007E6B84">
              <w:rPr>
                <w:bCs/>
                <w:iCs/>
                <w:snapToGrid w:val="0"/>
                <w:sz w:val="18"/>
                <w:szCs w:val="18"/>
                <w:highlight w:val="black"/>
                <w:lang w:eastAsia="fi-FI"/>
              </w:rPr>
              <w:t>-3339</w:t>
            </w:r>
          </w:p>
          <w:p w14:paraId="6E2E8FCE" w14:textId="77777777" w:rsidR="00555367" w:rsidRPr="007E6B84" w:rsidRDefault="00555367" w:rsidP="006228EB">
            <w:pPr>
              <w:widowControl w:val="0"/>
              <w:rPr>
                <w:bCs/>
                <w:iCs/>
                <w:snapToGrid w:val="0"/>
                <w:sz w:val="18"/>
                <w:szCs w:val="18"/>
                <w:highlight w:val="black"/>
                <w:lang w:eastAsia="fi-FI"/>
              </w:rPr>
            </w:pPr>
          </w:p>
          <w:p w14:paraId="19B0B8BD" w14:textId="1E13B991" w:rsidR="00555367" w:rsidRPr="007E6B84" w:rsidRDefault="00555367" w:rsidP="006228EB">
            <w:pPr>
              <w:widowControl w:val="0"/>
              <w:rPr>
                <w:bCs/>
                <w:i/>
                <w:snapToGrid w:val="0"/>
                <w:sz w:val="18"/>
                <w:szCs w:val="18"/>
                <w:highlight w:val="black"/>
                <w:lang w:eastAsia="fi-FI"/>
              </w:rPr>
            </w:pPr>
            <w:r w:rsidRPr="007E6B84">
              <w:rPr>
                <w:bCs/>
                <w:i/>
                <w:snapToGrid w:val="0"/>
                <w:sz w:val="18"/>
                <w:szCs w:val="18"/>
                <w:highlight w:val="black"/>
                <w:lang w:eastAsia="fi-FI"/>
              </w:rPr>
              <w:t>r</w:t>
            </w:r>
            <w:r w:rsidRPr="007E6B84">
              <w:rPr>
                <w:bCs/>
                <w:i/>
                <w:snapToGrid w:val="0"/>
                <w:sz w:val="18"/>
                <w:szCs w:val="18"/>
                <w:highlight w:val="black"/>
                <w:vertAlign w:val="superscript"/>
                <w:lang w:eastAsia="fi-FI"/>
              </w:rPr>
              <w:t>2</w:t>
            </w:r>
            <w:r w:rsidRPr="007E6B84">
              <w:rPr>
                <w:bCs/>
                <w:iCs/>
                <w:snapToGrid w:val="0"/>
                <w:sz w:val="18"/>
                <w:szCs w:val="18"/>
                <w:highlight w:val="black"/>
                <w:lang w:eastAsia="fi-FI"/>
              </w:rPr>
              <w:t xml:space="preserve"> (</w:t>
            </w:r>
            <w:r w:rsidRPr="007E6B84">
              <w:rPr>
                <w:bCs/>
                <w:iCs/>
                <w:snapToGrid w:val="0"/>
                <w:sz w:val="18"/>
                <w:szCs w:val="18"/>
                <w:highlight w:val="black"/>
                <w:vertAlign w:val="superscript"/>
                <w:lang w:eastAsia="fi-FI"/>
              </w:rPr>
              <w:t>11</w:t>
            </w:r>
            <w:r w:rsidRPr="007E6B84">
              <w:rPr>
                <w:bCs/>
                <w:iCs/>
                <w:snapToGrid w:val="0"/>
                <w:sz w:val="18"/>
                <w:szCs w:val="18"/>
                <w:highlight w:val="black"/>
                <w:lang w:eastAsia="fi-FI"/>
              </w:rPr>
              <w:t>B) = 0.9993</w:t>
            </w:r>
          </w:p>
          <w:p w14:paraId="510985F4" w14:textId="4207571C" w:rsidR="00555367" w:rsidRPr="007E6B84" w:rsidRDefault="00555367" w:rsidP="00A55C6F">
            <w:pPr>
              <w:widowControl w:val="0"/>
              <w:rPr>
                <w:bCs/>
                <w:iCs/>
                <w:snapToGrid w:val="0"/>
                <w:sz w:val="18"/>
                <w:szCs w:val="18"/>
                <w:highlight w:val="black"/>
                <w:lang w:eastAsia="fi-FI"/>
              </w:rPr>
            </w:pPr>
            <w:r w:rsidRPr="007E6B84">
              <w:rPr>
                <w:bCs/>
                <w:iCs/>
                <w:snapToGrid w:val="0"/>
                <w:sz w:val="18"/>
                <w:szCs w:val="18"/>
                <w:highlight w:val="black"/>
                <w:lang w:eastAsia="fi-FI"/>
              </w:rPr>
              <w:t>slope 1.0018</w:t>
            </w:r>
          </w:p>
          <w:p w14:paraId="7564BD5A" w14:textId="77777777" w:rsidR="00555367" w:rsidRPr="007E6B84" w:rsidRDefault="00555367" w:rsidP="00A55C6F">
            <w:pPr>
              <w:widowControl w:val="0"/>
              <w:rPr>
                <w:bCs/>
                <w:iCs/>
                <w:snapToGrid w:val="0"/>
                <w:sz w:val="18"/>
                <w:szCs w:val="18"/>
                <w:highlight w:val="black"/>
                <w:lang w:eastAsia="fi-FI"/>
              </w:rPr>
            </w:pPr>
            <w:r w:rsidRPr="007E6B84">
              <w:rPr>
                <w:bCs/>
                <w:iCs/>
                <w:snapToGrid w:val="0"/>
                <w:sz w:val="18"/>
                <w:szCs w:val="18"/>
                <w:highlight w:val="black"/>
                <w:lang w:eastAsia="fi-FI"/>
              </w:rPr>
              <w:t>Intercept</w:t>
            </w:r>
          </w:p>
          <w:p w14:paraId="34C10C20" w14:textId="47BB6F30" w:rsidR="00555367" w:rsidRPr="007E6B84" w:rsidRDefault="00555367" w:rsidP="00A55C6F">
            <w:pPr>
              <w:widowControl w:val="0"/>
              <w:rPr>
                <w:bCs/>
                <w:iCs/>
                <w:snapToGrid w:val="0"/>
                <w:sz w:val="18"/>
                <w:szCs w:val="18"/>
                <w:highlight w:val="black"/>
                <w:lang w:eastAsia="fi-FI"/>
              </w:rPr>
            </w:pPr>
            <w:r w:rsidRPr="007E6B84">
              <w:rPr>
                <w:bCs/>
                <w:iCs/>
                <w:snapToGrid w:val="0"/>
                <w:sz w:val="18"/>
                <w:szCs w:val="18"/>
                <w:highlight w:val="black"/>
                <w:lang w:eastAsia="fi-FI"/>
              </w:rPr>
              <w:t>1140</w:t>
            </w:r>
          </w:p>
          <w:p w14:paraId="644D7B59" w14:textId="77777777" w:rsidR="00555367" w:rsidRPr="007E6B84" w:rsidRDefault="00555367" w:rsidP="006228EB">
            <w:pPr>
              <w:widowControl w:val="0"/>
              <w:rPr>
                <w:rFonts w:eastAsia="Calibri"/>
                <w:iCs/>
                <w:snapToGrid w:val="0"/>
                <w:sz w:val="18"/>
                <w:szCs w:val="18"/>
                <w:highlight w:val="black"/>
                <w:lang w:eastAsia="en-US"/>
              </w:rPr>
            </w:pPr>
          </w:p>
          <w:p w14:paraId="15543C13" w14:textId="7CA56C49" w:rsidR="00555367" w:rsidRPr="007E6B84" w:rsidRDefault="00555367" w:rsidP="006228EB">
            <w:pPr>
              <w:widowControl w:val="0"/>
              <w:rPr>
                <w:rFonts w:eastAsia="Calibri"/>
                <w:iCs/>
                <w:snapToGrid w:val="0"/>
                <w:sz w:val="18"/>
                <w:szCs w:val="18"/>
                <w:highlight w:val="black"/>
                <w:lang w:eastAsia="en-US"/>
              </w:rPr>
            </w:pPr>
          </w:p>
        </w:tc>
        <w:tc>
          <w:tcPr>
            <w:tcW w:w="1276" w:type="dxa"/>
          </w:tcPr>
          <w:p w14:paraId="423C9E36" w14:textId="1CD508F7" w:rsidR="00555367" w:rsidRPr="007E6B84" w:rsidRDefault="00555367" w:rsidP="006228EB">
            <w:pPr>
              <w:widowControl w:val="0"/>
              <w:rPr>
                <w:rFonts w:eastAsia="Calibri"/>
                <w:iCs/>
                <w:snapToGrid w:val="0"/>
                <w:sz w:val="18"/>
                <w:szCs w:val="18"/>
                <w:highlight w:val="black"/>
                <w:lang w:eastAsia="en-US"/>
              </w:rPr>
            </w:pPr>
            <w:r w:rsidRPr="007E6B84">
              <w:rPr>
                <w:rFonts w:eastAsia="Calibri"/>
                <w:iCs/>
                <w:snapToGrid w:val="0"/>
                <w:sz w:val="18"/>
                <w:szCs w:val="18"/>
                <w:highlight w:val="black"/>
                <w:lang w:eastAsia="en-US"/>
              </w:rPr>
              <w:t xml:space="preserve">Conc. difference between </w:t>
            </w:r>
            <w:r w:rsidRPr="007E6B84">
              <w:rPr>
                <w:rFonts w:eastAsia="Calibri"/>
                <w:iCs/>
                <w:snapToGrid w:val="0"/>
                <w:sz w:val="18"/>
                <w:szCs w:val="18"/>
                <w:highlight w:val="black"/>
                <w:vertAlign w:val="superscript"/>
                <w:lang w:eastAsia="en-US"/>
              </w:rPr>
              <w:t>10</w:t>
            </w:r>
            <w:r w:rsidRPr="007E6B84">
              <w:rPr>
                <w:rFonts w:eastAsia="Calibri"/>
                <w:iCs/>
                <w:snapToGrid w:val="0"/>
                <w:sz w:val="18"/>
                <w:szCs w:val="18"/>
                <w:highlight w:val="black"/>
                <w:lang w:eastAsia="en-US"/>
              </w:rPr>
              <w:t xml:space="preserve">B and </w:t>
            </w:r>
            <w:r w:rsidRPr="007E6B84">
              <w:rPr>
                <w:rFonts w:eastAsia="Calibri"/>
                <w:iCs/>
                <w:snapToGrid w:val="0"/>
                <w:sz w:val="18"/>
                <w:szCs w:val="18"/>
                <w:highlight w:val="black"/>
                <w:vertAlign w:val="superscript"/>
                <w:lang w:eastAsia="en-US"/>
              </w:rPr>
              <w:t>11</w:t>
            </w:r>
            <w:r w:rsidRPr="007E6B84">
              <w:rPr>
                <w:rFonts w:eastAsia="Calibri"/>
                <w:iCs/>
                <w:snapToGrid w:val="0"/>
                <w:sz w:val="18"/>
                <w:szCs w:val="18"/>
                <w:highlight w:val="black"/>
                <w:lang w:eastAsia="en-US"/>
              </w:rPr>
              <w:t xml:space="preserve">B  </w:t>
            </w:r>
          </w:p>
          <w:p w14:paraId="157D6232" w14:textId="43C67465" w:rsidR="00555367" w:rsidRPr="007E6B84" w:rsidRDefault="00555367" w:rsidP="006228EB">
            <w:pPr>
              <w:widowControl w:val="0"/>
              <w:rPr>
                <w:rFonts w:eastAsia="Calibri"/>
                <w:iCs/>
                <w:snapToGrid w:val="0"/>
                <w:sz w:val="18"/>
                <w:szCs w:val="18"/>
                <w:highlight w:val="black"/>
                <w:lang w:eastAsia="en-US"/>
              </w:rPr>
            </w:pPr>
            <w:r w:rsidRPr="007E6B84">
              <w:rPr>
                <w:rFonts w:eastAsia="Calibri"/>
                <w:iCs/>
                <w:snapToGrid w:val="0"/>
                <w:sz w:val="18"/>
                <w:szCs w:val="18"/>
                <w:highlight w:val="black"/>
                <w:lang w:eastAsia="en-US"/>
              </w:rPr>
              <w:t xml:space="preserve">n = 6 mean 0.2 % </w:t>
            </w:r>
          </w:p>
          <w:p w14:paraId="7FE6403D" w14:textId="77777777" w:rsidR="00555367" w:rsidRPr="007E6B84" w:rsidRDefault="00555367" w:rsidP="006228EB">
            <w:pPr>
              <w:widowControl w:val="0"/>
              <w:rPr>
                <w:rFonts w:eastAsia="Calibri"/>
                <w:iCs/>
                <w:snapToGrid w:val="0"/>
                <w:sz w:val="18"/>
                <w:szCs w:val="18"/>
                <w:highlight w:val="black"/>
                <w:lang w:eastAsia="en-US"/>
              </w:rPr>
            </w:pPr>
          </w:p>
          <w:p w14:paraId="0EB52451" w14:textId="7B13EB76" w:rsidR="00555367" w:rsidRPr="007E6B84" w:rsidRDefault="00555367" w:rsidP="006228EB">
            <w:pPr>
              <w:widowControl w:val="0"/>
              <w:rPr>
                <w:rFonts w:eastAsia="Calibri"/>
                <w:iCs/>
                <w:snapToGrid w:val="0"/>
                <w:sz w:val="18"/>
                <w:szCs w:val="18"/>
                <w:highlight w:val="black"/>
                <w:lang w:eastAsia="en-US"/>
              </w:rPr>
            </w:pPr>
            <w:r w:rsidRPr="007E6B84">
              <w:rPr>
                <w:rFonts w:eastAsia="Calibri"/>
                <w:iCs/>
                <w:snapToGrid w:val="0"/>
                <w:sz w:val="18"/>
                <w:szCs w:val="18"/>
                <w:highlight w:val="black"/>
                <w:lang w:eastAsia="en-US"/>
              </w:rPr>
              <w:t>Matrix-effect minimized by:</w:t>
            </w:r>
          </w:p>
          <w:p w14:paraId="37152835" w14:textId="77777777" w:rsidR="00555367" w:rsidRPr="007E6B84" w:rsidRDefault="00555367" w:rsidP="004B6DF6">
            <w:pPr>
              <w:widowControl w:val="0"/>
              <w:rPr>
                <w:rFonts w:eastAsia="Calibri"/>
                <w:iCs/>
                <w:snapToGrid w:val="0"/>
                <w:sz w:val="18"/>
                <w:szCs w:val="18"/>
                <w:highlight w:val="black"/>
                <w:lang w:eastAsia="en-US"/>
              </w:rPr>
            </w:pPr>
            <w:r w:rsidRPr="007E6B84">
              <w:rPr>
                <w:rFonts w:eastAsia="Calibri"/>
                <w:iCs/>
                <w:snapToGrid w:val="0"/>
                <w:sz w:val="18"/>
                <w:szCs w:val="18"/>
                <w:highlight w:val="black"/>
                <w:lang w:eastAsia="en-US"/>
              </w:rPr>
              <w:t>- matrix matching of calibration and test sample solutions.</w:t>
            </w:r>
          </w:p>
          <w:p w14:paraId="5B9154A1" w14:textId="227D2800" w:rsidR="00555367" w:rsidRPr="007E6B84" w:rsidRDefault="00555367" w:rsidP="004B6DF6">
            <w:pPr>
              <w:widowControl w:val="0"/>
              <w:rPr>
                <w:rFonts w:eastAsia="Calibri"/>
                <w:iCs/>
                <w:snapToGrid w:val="0"/>
                <w:sz w:val="18"/>
                <w:szCs w:val="18"/>
                <w:highlight w:val="black"/>
                <w:lang w:eastAsia="en-US"/>
              </w:rPr>
            </w:pPr>
            <w:r w:rsidRPr="007E6B84">
              <w:rPr>
                <w:rFonts w:eastAsia="Calibri"/>
                <w:iCs/>
                <w:snapToGrid w:val="0"/>
                <w:sz w:val="18"/>
                <w:szCs w:val="18"/>
                <w:highlight w:val="black"/>
                <w:lang w:eastAsia="en-US"/>
              </w:rPr>
              <w:t>- use of certified reference material as internal standard.</w:t>
            </w:r>
          </w:p>
        </w:tc>
        <w:tc>
          <w:tcPr>
            <w:tcW w:w="992" w:type="dxa"/>
          </w:tcPr>
          <w:p w14:paraId="71689960" w14:textId="0A5D3FF8" w:rsidR="00555367" w:rsidRPr="007E6B84" w:rsidRDefault="00555367" w:rsidP="006228EB">
            <w:pPr>
              <w:widowControl w:val="0"/>
              <w:spacing w:before="60" w:after="60" w:line="259" w:lineRule="auto"/>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100 % Jerbor and a sample fortified to 120 % </w:t>
            </w:r>
          </w:p>
        </w:tc>
        <w:tc>
          <w:tcPr>
            <w:tcW w:w="1418" w:type="dxa"/>
          </w:tcPr>
          <w:p w14:paraId="54D0DF80" w14:textId="0E38FB43" w:rsidR="00555367" w:rsidRPr="007E6B84" w:rsidRDefault="00555367" w:rsidP="00FB780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n = 3 at each level</w:t>
            </w:r>
          </w:p>
        </w:tc>
        <w:tc>
          <w:tcPr>
            <w:tcW w:w="1559" w:type="dxa"/>
          </w:tcPr>
          <w:p w14:paraId="49ACAAF2" w14:textId="0122EA7D" w:rsidR="00555367" w:rsidRPr="007E6B84" w:rsidRDefault="00555367"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Level 100%: </w:t>
            </w:r>
          </w:p>
          <w:p w14:paraId="357F4864" w14:textId="0E396DB7" w:rsidR="00555367" w:rsidRPr="007E6B84" w:rsidRDefault="00555367"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101.5 (</w:t>
            </w:r>
            <w:r w:rsidRPr="007E6B84">
              <w:rPr>
                <w:rFonts w:eastAsia="Calibri"/>
                <w:snapToGrid w:val="0"/>
                <w:sz w:val="18"/>
                <w:szCs w:val="18"/>
                <w:highlight w:val="black"/>
                <w:vertAlign w:val="superscript"/>
                <w:lang w:eastAsia="en-US"/>
              </w:rPr>
              <w:t>10</w:t>
            </w:r>
            <w:r w:rsidRPr="007E6B84">
              <w:rPr>
                <w:rFonts w:eastAsia="Calibri"/>
                <w:snapToGrid w:val="0"/>
                <w:sz w:val="18"/>
                <w:szCs w:val="18"/>
                <w:highlight w:val="black"/>
                <w:lang w:eastAsia="en-US"/>
              </w:rPr>
              <w:t>B)</w:t>
            </w:r>
          </w:p>
          <w:p w14:paraId="51BF6016" w14:textId="1CE39A49" w:rsidR="00555367" w:rsidRPr="007E6B84" w:rsidRDefault="00555367"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101.6 (</w:t>
            </w:r>
            <w:r w:rsidRPr="007E6B84">
              <w:rPr>
                <w:rFonts w:eastAsia="Calibri"/>
                <w:snapToGrid w:val="0"/>
                <w:sz w:val="18"/>
                <w:szCs w:val="18"/>
                <w:highlight w:val="black"/>
                <w:vertAlign w:val="superscript"/>
                <w:lang w:eastAsia="en-US"/>
              </w:rPr>
              <w:t>11</w:t>
            </w:r>
            <w:r w:rsidRPr="007E6B84">
              <w:rPr>
                <w:rFonts w:eastAsia="Calibri"/>
                <w:snapToGrid w:val="0"/>
                <w:sz w:val="18"/>
                <w:szCs w:val="18"/>
                <w:highlight w:val="black"/>
                <w:lang w:eastAsia="en-US"/>
              </w:rPr>
              <w:t>B)</w:t>
            </w:r>
          </w:p>
          <w:p w14:paraId="35D60E39" w14:textId="22F08968" w:rsidR="00555367" w:rsidRPr="007E6B84" w:rsidRDefault="00555367" w:rsidP="006228EB">
            <w:pPr>
              <w:widowControl w:val="0"/>
              <w:rPr>
                <w:rFonts w:eastAsia="Calibri"/>
                <w:snapToGrid w:val="0"/>
                <w:sz w:val="18"/>
                <w:szCs w:val="18"/>
                <w:highlight w:val="black"/>
                <w:lang w:eastAsia="en-US"/>
              </w:rPr>
            </w:pPr>
          </w:p>
          <w:p w14:paraId="6410F62E" w14:textId="5051F6A2" w:rsidR="00555367" w:rsidRPr="007E6B84" w:rsidRDefault="00555367" w:rsidP="000F7798">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Level 120%: </w:t>
            </w:r>
          </w:p>
          <w:p w14:paraId="79C1228B" w14:textId="6DF9D030" w:rsidR="00555367" w:rsidRPr="007E6B84" w:rsidRDefault="00555367" w:rsidP="000F7798">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98.6 (</w:t>
            </w:r>
            <w:r w:rsidRPr="007E6B84">
              <w:rPr>
                <w:rFonts w:eastAsia="Calibri"/>
                <w:snapToGrid w:val="0"/>
                <w:sz w:val="18"/>
                <w:szCs w:val="18"/>
                <w:highlight w:val="black"/>
                <w:vertAlign w:val="superscript"/>
                <w:lang w:eastAsia="en-US"/>
              </w:rPr>
              <w:t>10</w:t>
            </w:r>
            <w:r w:rsidRPr="007E6B84">
              <w:rPr>
                <w:rFonts w:eastAsia="Calibri"/>
                <w:snapToGrid w:val="0"/>
                <w:sz w:val="18"/>
                <w:szCs w:val="18"/>
                <w:highlight w:val="black"/>
                <w:lang w:eastAsia="en-US"/>
              </w:rPr>
              <w:t>B)</w:t>
            </w:r>
          </w:p>
          <w:p w14:paraId="01572004" w14:textId="08FF593D" w:rsidR="00555367" w:rsidRPr="007E6B84" w:rsidRDefault="00555367" w:rsidP="000F7798">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97.8 (</w:t>
            </w:r>
            <w:r w:rsidRPr="007E6B84">
              <w:rPr>
                <w:rFonts w:eastAsia="Calibri"/>
                <w:snapToGrid w:val="0"/>
                <w:sz w:val="18"/>
                <w:szCs w:val="18"/>
                <w:highlight w:val="black"/>
                <w:vertAlign w:val="superscript"/>
                <w:lang w:eastAsia="en-US"/>
              </w:rPr>
              <w:t>11</w:t>
            </w:r>
            <w:r w:rsidRPr="007E6B84">
              <w:rPr>
                <w:rFonts w:eastAsia="Calibri"/>
                <w:snapToGrid w:val="0"/>
                <w:sz w:val="18"/>
                <w:szCs w:val="18"/>
                <w:highlight w:val="black"/>
                <w:lang w:eastAsia="en-US"/>
              </w:rPr>
              <w:t>B)</w:t>
            </w:r>
          </w:p>
          <w:p w14:paraId="00D41AB3" w14:textId="77777777" w:rsidR="00555367" w:rsidRPr="007E6B84" w:rsidRDefault="00555367" w:rsidP="006228EB">
            <w:pPr>
              <w:widowControl w:val="0"/>
              <w:rPr>
                <w:rFonts w:eastAsia="Calibri"/>
                <w:snapToGrid w:val="0"/>
                <w:sz w:val="18"/>
                <w:szCs w:val="18"/>
                <w:highlight w:val="black"/>
                <w:lang w:eastAsia="en-US"/>
              </w:rPr>
            </w:pPr>
          </w:p>
          <w:p w14:paraId="0AD3443D" w14:textId="77777777" w:rsidR="00555367" w:rsidRPr="007E6B84" w:rsidRDefault="00555367" w:rsidP="006228EB">
            <w:pPr>
              <w:widowControl w:val="0"/>
              <w:rPr>
                <w:rFonts w:eastAsia="Calibri"/>
                <w:snapToGrid w:val="0"/>
                <w:sz w:val="18"/>
                <w:szCs w:val="18"/>
                <w:highlight w:val="black"/>
                <w:lang w:eastAsia="en-US"/>
              </w:rPr>
            </w:pPr>
          </w:p>
          <w:p w14:paraId="65C54C4F" w14:textId="62A2B35E" w:rsidR="00555367" w:rsidRPr="007E6B84" w:rsidRDefault="00555367" w:rsidP="006228EB">
            <w:pPr>
              <w:widowControl w:val="0"/>
              <w:rPr>
                <w:rFonts w:eastAsia="Calibri"/>
                <w:snapToGrid w:val="0"/>
                <w:sz w:val="18"/>
                <w:szCs w:val="18"/>
                <w:highlight w:val="black"/>
                <w:lang w:eastAsia="en-US"/>
              </w:rPr>
            </w:pPr>
          </w:p>
        </w:tc>
        <w:tc>
          <w:tcPr>
            <w:tcW w:w="709" w:type="dxa"/>
          </w:tcPr>
          <w:p w14:paraId="647D449C" w14:textId="77777777" w:rsidR="00555367" w:rsidRPr="007E6B84" w:rsidRDefault="00555367"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2.6</w:t>
            </w:r>
          </w:p>
          <w:p w14:paraId="78C1033D" w14:textId="77777777" w:rsidR="00555367" w:rsidRPr="007E6B84" w:rsidRDefault="00555367" w:rsidP="006228EB">
            <w:pPr>
              <w:widowControl w:val="0"/>
              <w:rPr>
                <w:rFonts w:eastAsia="Calibri"/>
                <w:snapToGrid w:val="0"/>
                <w:sz w:val="18"/>
                <w:szCs w:val="18"/>
                <w:highlight w:val="black"/>
                <w:lang w:eastAsia="en-US"/>
              </w:rPr>
            </w:pPr>
          </w:p>
          <w:p w14:paraId="43D657D9" w14:textId="77777777" w:rsidR="00555367" w:rsidRPr="007E6B84" w:rsidRDefault="00555367" w:rsidP="006228EB">
            <w:pPr>
              <w:widowControl w:val="0"/>
              <w:rPr>
                <w:rFonts w:eastAsia="Calibri"/>
                <w:snapToGrid w:val="0"/>
                <w:sz w:val="18"/>
                <w:szCs w:val="18"/>
                <w:highlight w:val="black"/>
                <w:lang w:eastAsia="en-US"/>
              </w:rPr>
            </w:pPr>
          </w:p>
          <w:p w14:paraId="201B38AB" w14:textId="77777777" w:rsidR="00555367" w:rsidRPr="007E6B84" w:rsidRDefault="00555367" w:rsidP="006228EB">
            <w:pPr>
              <w:widowControl w:val="0"/>
              <w:rPr>
                <w:rFonts w:eastAsia="Calibri"/>
                <w:snapToGrid w:val="0"/>
                <w:sz w:val="18"/>
                <w:szCs w:val="18"/>
                <w:highlight w:val="black"/>
                <w:lang w:eastAsia="en-US"/>
              </w:rPr>
            </w:pPr>
          </w:p>
          <w:p w14:paraId="5D0D5B86" w14:textId="2CD41FE3" w:rsidR="00555367" w:rsidRPr="007E6B84" w:rsidRDefault="00555367" w:rsidP="006228EB">
            <w:pPr>
              <w:widowControl w:val="0"/>
              <w:rPr>
                <w:rFonts w:eastAsia="Calibri"/>
                <w:snapToGrid w:val="0"/>
                <w:sz w:val="18"/>
                <w:szCs w:val="18"/>
                <w:highlight w:val="black"/>
                <w:lang w:eastAsia="en-US"/>
              </w:rPr>
            </w:pPr>
          </w:p>
        </w:tc>
        <w:tc>
          <w:tcPr>
            <w:tcW w:w="1417" w:type="dxa"/>
          </w:tcPr>
          <w:p w14:paraId="0791769D" w14:textId="4922143A" w:rsidR="00266197" w:rsidRPr="007E6B84" w:rsidRDefault="00555367" w:rsidP="00266197">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700 µg</w:t>
            </w:r>
            <w:r w:rsidR="00266197" w:rsidRPr="007E6B84">
              <w:rPr>
                <w:rFonts w:eastAsia="Calibri"/>
                <w:snapToGrid w:val="0"/>
                <w:sz w:val="18"/>
                <w:szCs w:val="18"/>
                <w:highlight w:val="black"/>
                <w:lang w:eastAsia="en-US"/>
              </w:rPr>
              <w:t xml:space="preserve"> B</w:t>
            </w:r>
            <w:r w:rsidRPr="007E6B84">
              <w:rPr>
                <w:rFonts w:eastAsia="Calibri"/>
                <w:snapToGrid w:val="0"/>
                <w:sz w:val="18"/>
                <w:szCs w:val="18"/>
                <w:highlight w:val="black"/>
                <w:lang w:eastAsia="en-US"/>
              </w:rPr>
              <w:t xml:space="preserve">/l  </w:t>
            </w:r>
          </w:p>
          <w:p w14:paraId="4749A09C" w14:textId="77777777" w:rsidR="00EE4FD4" w:rsidRPr="007E6B84" w:rsidRDefault="00EE4FD4" w:rsidP="006228EB">
            <w:pPr>
              <w:widowControl w:val="0"/>
              <w:rPr>
                <w:rFonts w:eastAsia="Calibri"/>
                <w:snapToGrid w:val="0"/>
                <w:sz w:val="18"/>
                <w:szCs w:val="18"/>
                <w:highlight w:val="black"/>
                <w:lang w:eastAsia="en-US"/>
              </w:rPr>
            </w:pPr>
          </w:p>
          <w:p w14:paraId="72800B8C" w14:textId="03FF9FC2" w:rsidR="00555367" w:rsidRPr="007E6B84" w:rsidRDefault="00555367"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Horrat value </w:t>
            </w:r>
            <w:r w:rsidR="00F81E82" w:rsidRPr="007E6B84">
              <w:rPr>
                <w:rFonts w:eastAsia="Calibri"/>
                <w:snapToGrid w:val="0"/>
                <w:sz w:val="18"/>
                <w:szCs w:val="18"/>
                <w:highlight w:val="black"/>
                <w:lang w:eastAsia="en-US"/>
              </w:rPr>
              <w:t>(H</w:t>
            </w:r>
            <w:r w:rsidR="00F81E82" w:rsidRPr="007E6B84">
              <w:rPr>
                <w:rFonts w:eastAsia="Calibri"/>
                <w:snapToGrid w:val="0"/>
                <w:sz w:val="18"/>
                <w:szCs w:val="18"/>
                <w:highlight w:val="black"/>
                <w:vertAlign w:val="subscript"/>
                <w:lang w:eastAsia="en-US"/>
              </w:rPr>
              <w:t>r</w:t>
            </w:r>
            <w:r w:rsidR="00F81E82" w:rsidRPr="007E6B84">
              <w:rPr>
                <w:rFonts w:eastAsia="Calibri"/>
                <w:snapToGrid w:val="0"/>
                <w:sz w:val="18"/>
                <w:szCs w:val="18"/>
                <w:highlight w:val="black"/>
                <w:lang w:eastAsia="en-US"/>
              </w:rPr>
              <w:t xml:space="preserve">) </w:t>
            </w:r>
            <w:r w:rsidRPr="007E6B84">
              <w:rPr>
                <w:rFonts w:eastAsia="Calibri"/>
                <w:snapToGrid w:val="0"/>
                <w:sz w:val="18"/>
                <w:szCs w:val="18"/>
                <w:highlight w:val="black"/>
                <w:lang w:eastAsia="en-US"/>
              </w:rPr>
              <w:t>1</w:t>
            </w:r>
            <w:r w:rsidR="00EE4FD4" w:rsidRPr="007E6B84">
              <w:rPr>
                <w:rFonts w:eastAsia="Calibri"/>
                <w:snapToGrid w:val="0"/>
                <w:sz w:val="18"/>
                <w:szCs w:val="18"/>
                <w:highlight w:val="black"/>
                <w:lang w:eastAsia="en-US"/>
              </w:rPr>
              <w:t>.47</w:t>
            </w:r>
          </w:p>
          <w:p w14:paraId="3547E1A3" w14:textId="2A3931D8" w:rsidR="00555367" w:rsidRPr="007E6B84" w:rsidRDefault="00555367" w:rsidP="006228EB">
            <w:pPr>
              <w:widowControl w:val="0"/>
              <w:rPr>
                <w:rFonts w:eastAsia="Calibri"/>
                <w:snapToGrid w:val="0"/>
                <w:sz w:val="18"/>
                <w:szCs w:val="18"/>
                <w:highlight w:val="black"/>
                <w:lang w:eastAsia="en-US"/>
              </w:rPr>
            </w:pPr>
          </w:p>
          <w:p w14:paraId="167841C9" w14:textId="77777777" w:rsidR="00F81E82" w:rsidRPr="007E6B84" w:rsidRDefault="00F81E82"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Justification for H</w:t>
            </w:r>
            <w:r w:rsidRPr="007E6B84">
              <w:rPr>
                <w:rFonts w:eastAsia="Calibri"/>
                <w:snapToGrid w:val="0"/>
                <w:sz w:val="18"/>
                <w:szCs w:val="18"/>
                <w:highlight w:val="black"/>
                <w:vertAlign w:val="subscript"/>
                <w:lang w:eastAsia="en-US"/>
              </w:rPr>
              <w:t>r</w:t>
            </w:r>
            <w:r w:rsidR="003F275F" w:rsidRPr="007E6B84">
              <w:rPr>
                <w:rFonts w:eastAsia="Calibri"/>
                <w:snapToGrid w:val="0"/>
                <w:sz w:val="18"/>
                <w:szCs w:val="18"/>
                <w:highlight w:val="black"/>
                <w:lang w:eastAsia="en-US"/>
              </w:rPr>
              <w:t xml:space="preserve"> &gt; 1</w:t>
            </w:r>
            <w:r w:rsidRPr="007E6B84">
              <w:rPr>
                <w:rFonts w:eastAsia="Calibri"/>
                <w:snapToGrid w:val="0"/>
                <w:sz w:val="18"/>
                <w:szCs w:val="18"/>
                <w:highlight w:val="black"/>
                <w:lang w:eastAsia="en-US"/>
              </w:rPr>
              <w:t>:</w:t>
            </w:r>
            <w:r w:rsidR="003F275F" w:rsidRPr="007E6B84">
              <w:rPr>
                <w:rFonts w:eastAsia="Calibri"/>
                <w:snapToGrid w:val="0"/>
                <w:sz w:val="18"/>
                <w:szCs w:val="18"/>
                <w:highlight w:val="black"/>
                <w:lang w:eastAsia="en-US"/>
              </w:rPr>
              <w:t xml:space="preserve"> </w:t>
            </w:r>
          </w:p>
          <w:p w14:paraId="1410A623" w14:textId="234EA980" w:rsidR="00F81E82" w:rsidRPr="007E6B84" w:rsidRDefault="00F81E82"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 </w:t>
            </w:r>
            <w:r w:rsidR="003F275F" w:rsidRPr="007E6B84">
              <w:rPr>
                <w:rFonts w:eastAsia="Calibri"/>
                <w:snapToGrid w:val="0"/>
                <w:sz w:val="18"/>
                <w:szCs w:val="18"/>
                <w:highlight w:val="black"/>
                <w:lang w:eastAsia="en-US"/>
              </w:rPr>
              <w:t>difficulties in</w:t>
            </w:r>
            <w:r w:rsidRPr="007E6B84">
              <w:rPr>
                <w:rFonts w:eastAsia="Calibri"/>
                <w:snapToGrid w:val="0"/>
                <w:sz w:val="18"/>
                <w:szCs w:val="18"/>
                <w:highlight w:val="black"/>
                <w:lang w:eastAsia="en-US"/>
              </w:rPr>
              <w:t xml:space="preserve"> </w:t>
            </w:r>
            <w:r w:rsidR="003F275F" w:rsidRPr="007E6B84">
              <w:rPr>
                <w:rFonts w:eastAsia="Calibri"/>
                <w:snapToGrid w:val="0"/>
                <w:sz w:val="18"/>
                <w:szCs w:val="18"/>
                <w:highlight w:val="black"/>
                <w:lang w:eastAsia="en-US"/>
              </w:rPr>
              <w:t>sampl</w:t>
            </w:r>
            <w:r w:rsidR="00961384" w:rsidRPr="007E6B84">
              <w:rPr>
                <w:rFonts w:eastAsia="Calibri"/>
                <w:snapToGrid w:val="0"/>
                <w:sz w:val="18"/>
                <w:szCs w:val="18"/>
                <w:highlight w:val="black"/>
                <w:lang w:eastAsia="en-US"/>
              </w:rPr>
              <w:t>ing</w:t>
            </w:r>
            <w:r w:rsidRPr="007E6B84">
              <w:rPr>
                <w:rFonts w:eastAsia="Calibri"/>
                <w:snapToGrid w:val="0"/>
                <w:sz w:val="18"/>
                <w:szCs w:val="18"/>
                <w:highlight w:val="black"/>
                <w:lang w:eastAsia="en-US"/>
              </w:rPr>
              <w:t xml:space="preserve"> </w:t>
            </w:r>
            <w:r w:rsidR="00961384" w:rsidRPr="007E6B84">
              <w:rPr>
                <w:rFonts w:eastAsia="Calibri"/>
                <w:snapToGrid w:val="0"/>
                <w:sz w:val="18"/>
                <w:szCs w:val="18"/>
                <w:highlight w:val="black"/>
                <w:lang w:eastAsia="en-US"/>
              </w:rPr>
              <w:t>because</w:t>
            </w:r>
            <w:r w:rsidRPr="007E6B84">
              <w:rPr>
                <w:rFonts w:eastAsia="Calibri"/>
                <w:snapToGrid w:val="0"/>
                <w:sz w:val="18"/>
                <w:szCs w:val="18"/>
                <w:highlight w:val="black"/>
                <w:lang w:eastAsia="en-US"/>
              </w:rPr>
              <w:t xml:space="preserve"> Jerbor</w:t>
            </w:r>
            <w:r w:rsidR="003F275F" w:rsidRPr="007E6B84">
              <w:rPr>
                <w:rFonts w:eastAsia="Calibri"/>
                <w:snapToGrid w:val="0"/>
                <w:sz w:val="18"/>
                <w:szCs w:val="18"/>
                <w:highlight w:val="black"/>
                <w:lang w:eastAsia="en-US"/>
              </w:rPr>
              <w:t xml:space="preserve"> </w:t>
            </w:r>
            <w:r w:rsidRPr="007E6B84">
              <w:rPr>
                <w:rFonts w:eastAsia="Calibri"/>
                <w:snapToGrid w:val="0"/>
                <w:sz w:val="18"/>
                <w:szCs w:val="18"/>
                <w:highlight w:val="black"/>
                <w:lang w:eastAsia="en-US"/>
              </w:rPr>
              <w:t xml:space="preserve">consists of a mixture of </w:t>
            </w:r>
            <w:r w:rsidR="00961384" w:rsidRPr="007E6B84">
              <w:rPr>
                <w:rFonts w:eastAsia="Calibri"/>
                <w:snapToGrid w:val="0"/>
                <w:sz w:val="18"/>
                <w:szCs w:val="18"/>
                <w:highlight w:val="black"/>
                <w:lang w:eastAsia="en-US"/>
              </w:rPr>
              <w:t xml:space="preserve">2 </w:t>
            </w:r>
            <w:r w:rsidRPr="007E6B84">
              <w:rPr>
                <w:rFonts w:eastAsia="Calibri"/>
                <w:snapToGrid w:val="0"/>
                <w:sz w:val="18"/>
                <w:szCs w:val="18"/>
                <w:highlight w:val="black"/>
                <w:lang w:eastAsia="en-US"/>
              </w:rPr>
              <w:t>granul</w:t>
            </w:r>
            <w:r w:rsidR="00961384" w:rsidRPr="007E6B84">
              <w:rPr>
                <w:rFonts w:eastAsia="Calibri"/>
                <w:snapToGrid w:val="0"/>
                <w:sz w:val="18"/>
                <w:szCs w:val="18"/>
                <w:highlight w:val="black"/>
                <w:lang w:eastAsia="en-US"/>
              </w:rPr>
              <w:t>ar components</w:t>
            </w:r>
            <w:r w:rsidRPr="007E6B84">
              <w:rPr>
                <w:rFonts w:eastAsia="Calibri"/>
                <w:snapToGrid w:val="0"/>
                <w:sz w:val="18"/>
                <w:szCs w:val="18"/>
                <w:highlight w:val="black"/>
                <w:lang w:eastAsia="en-US"/>
              </w:rPr>
              <w:t xml:space="preserve">. </w:t>
            </w:r>
          </w:p>
          <w:p w14:paraId="6F39E1F0" w14:textId="54F79AFE" w:rsidR="003F275F" w:rsidRPr="007E6B84" w:rsidRDefault="00F81E82"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w:t>
            </w:r>
            <w:r w:rsidR="003F275F" w:rsidRPr="007E6B84">
              <w:rPr>
                <w:rFonts w:eastAsia="Calibri"/>
                <w:snapToGrid w:val="0"/>
                <w:sz w:val="18"/>
                <w:szCs w:val="18"/>
                <w:highlight w:val="black"/>
                <w:lang w:eastAsia="en-US"/>
              </w:rPr>
              <w:t xml:space="preserve"> </w:t>
            </w:r>
            <w:r w:rsidRPr="007E6B84">
              <w:rPr>
                <w:rFonts w:eastAsia="Calibri"/>
                <w:snapToGrid w:val="0"/>
                <w:sz w:val="18"/>
                <w:szCs w:val="18"/>
                <w:highlight w:val="black"/>
                <w:lang w:eastAsia="en-US"/>
              </w:rPr>
              <w:t xml:space="preserve">difficulties with </w:t>
            </w:r>
            <w:r w:rsidR="003F275F" w:rsidRPr="007E6B84">
              <w:rPr>
                <w:rFonts w:eastAsia="Calibri"/>
                <w:snapToGrid w:val="0"/>
                <w:sz w:val="18"/>
                <w:szCs w:val="18"/>
                <w:highlight w:val="black"/>
                <w:lang w:eastAsia="en-US"/>
              </w:rPr>
              <w:t xml:space="preserve">analysing highly concentrated samples </w:t>
            </w:r>
            <w:r w:rsidR="004725E5" w:rsidRPr="007E6B84">
              <w:rPr>
                <w:rFonts w:eastAsia="Calibri"/>
                <w:snapToGrid w:val="0"/>
                <w:sz w:val="18"/>
                <w:szCs w:val="18"/>
                <w:highlight w:val="black"/>
                <w:lang w:eastAsia="en-US"/>
              </w:rPr>
              <w:t>(</w:t>
            </w:r>
            <w:r w:rsidR="00961384" w:rsidRPr="007E6B84">
              <w:rPr>
                <w:rFonts w:eastAsia="Calibri"/>
                <w:snapToGrid w:val="0"/>
                <w:sz w:val="18"/>
                <w:szCs w:val="18"/>
                <w:highlight w:val="black"/>
                <w:lang w:eastAsia="en-US"/>
              </w:rPr>
              <w:t xml:space="preserve">even after </w:t>
            </w:r>
            <w:r w:rsidR="004725E5" w:rsidRPr="007E6B84">
              <w:rPr>
                <w:rFonts w:eastAsia="Calibri"/>
                <w:snapToGrid w:val="0"/>
                <w:sz w:val="18"/>
                <w:szCs w:val="18"/>
                <w:highlight w:val="black"/>
                <w:lang w:eastAsia="en-US"/>
              </w:rPr>
              <w:t xml:space="preserve">10000-fold </w:t>
            </w:r>
            <w:r w:rsidR="00961384" w:rsidRPr="007E6B84">
              <w:rPr>
                <w:rFonts w:eastAsia="Calibri"/>
                <w:snapToGrid w:val="0"/>
                <w:sz w:val="18"/>
                <w:szCs w:val="18"/>
                <w:highlight w:val="black"/>
                <w:lang w:eastAsia="en-US"/>
              </w:rPr>
              <w:t>dilution</w:t>
            </w:r>
            <w:r w:rsidR="00CE1E8B" w:rsidRPr="007E6B84">
              <w:rPr>
                <w:rFonts w:eastAsia="Calibri"/>
                <w:snapToGrid w:val="0"/>
                <w:sz w:val="18"/>
                <w:szCs w:val="18"/>
                <w:highlight w:val="black"/>
                <w:lang w:eastAsia="en-US"/>
              </w:rPr>
              <w:t>)</w:t>
            </w:r>
            <w:r w:rsidR="003F275F" w:rsidRPr="007E6B84">
              <w:rPr>
                <w:rFonts w:eastAsia="Calibri"/>
                <w:snapToGrid w:val="0"/>
                <w:sz w:val="18"/>
                <w:szCs w:val="18"/>
                <w:highlight w:val="black"/>
                <w:lang w:eastAsia="en-US"/>
              </w:rPr>
              <w:t xml:space="preserve">. </w:t>
            </w:r>
          </w:p>
          <w:p w14:paraId="647D01F0" w14:textId="6EA35FE7" w:rsidR="00555367" w:rsidRPr="007E6B84" w:rsidRDefault="00555367" w:rsidP="006228EB">
            <w:pPr>
              <w:widowControl w:val="0"/>
              <w:rPr>
                <w:rFonts w:eastAsia="Calibri"/>
                <w:snapToGrid w:val="0"/>
                <w:sz w:val="18"/>
                <w:szCs w:val="18"/>
                <w:highlight w:val="black"/>
                <w:lang w:eastAsia="en-US"/>
              </w:rPr>
            </w:pPr>
          </w:p>
        </w:tc>
        <w:tc>
          <w:tcPr>
            <w:tcW w:w="851" w:type="dxa"/>
          </w:tcPr>
          <w:p w14:paraId="2AC0415C" w14:textId="1B959CA8" w:rsidR="00555367" w:rsidRPr="007E6B84" w:rsidRDefault="00555367"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n = 6</w:t>
            </w:r>
          </w:p>
        </w:tc>
        <w:tc>
          <w:tcPr>
            <w:tcW w:w="1417" w:type="dxa"/>
          </w:tcPr>
          <w:p w14:paraId="2C9832DA" w14:textId="3AC9AD39" w:rsidR="00555367" w:rsidRPr="007E6B84" w:rsidRDefault="00555367" w:rsidP="006228E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N/A</w:t>
            </w:r>
          </w:p>
        </w:tc>
        <w:tc>
          <w:tcPr>
            <w:tcW w:w="1299" w:type="dxa"/>
          </w:tcPr>
          <w:p w14:paraId="7437C09C" w14:textId="67AE89A5" w:rsidR="00555367" w:rsidRPr="00325E28" w:rsidRDefault="00C644D2" w:rsidP="006228EB">
            <w:pPr>
              <w:widowControl w:val="0"/>
              <w:rPr>
                <w:rFonts w:eastAsia="Calibri"/>
                <w:snapToGrid w:val="0"/>
                <w:sz w:val="18"/>
                <w:szCs w:val="18"/>
                <w:lang w:val="fi-FI" w:eastAsia="en-US"/>
              </w:rPr>
            </w:pPr>
            <w:r w:rsidRPr="00BC5D62">
              <w:rPr>
                <w:rFonts w:eastAsia="Calibri"/>
                <w:snapToGrid w:val="0"/>
                <w:sz w:val="18"/>
                <w:szCs w:val="18"/>
                <w:lang w:val="sv-SE" w:eastAsia="en-US"/>
              </w:rPr>
              <w:t xml:space="preserve">Genberg, U. </w:t>
            </w:r>
            <w:r w:rsidR="00E059C6" w:rsidRPr="00BC5D62">
              <w:rPr>
                <w:rFonts w:eastAsia="Calibri"/>
                <w:snapToGrid w:val="0"/>
                <w:sz w:val="18"/>
                <w:szCs w:val="18"/>
                <w:lang w:val="sv-SE" w:eastAsia="en-US"/>
              </w:rPr>
              <w:t xml:space="preserve">and Engström, E. </w:t>
            </w:r>
            <w:r w:rsidRPr="00BC5D62">
              <w:rPr>
                <w:rFonts w:eastAsia="Calibri"/>
                <w:snapToGrid w:val="0"/>
                <w:sz w:val="18"/>
                <w:szCs w:val="18"/>
                <w:lang w:val="sv-SE" w:eastAsia="en-US"/>
              </w:rPr>
              <w:t>(2022)</w:t>
            </w:r>
            <w:r w:rsidR="002C6F43" w:rsidRPr="00BC5D62">
              <w:rPr>
                <w:rFonts w:eastAsia="Calibri"/>
                <w:snapToGrid w:val="0"/>
                <w:sz w:val="18"/>
                <w:szCs w:val="18"/>
                <w:lang w:val="sv-SE" w:eastAsia="en-US"/>
              </w:rPr>
              <w:t xml:space="preserve"> Report no. </w:t>
            </w:r>
            <w:r w:rsidR="002C6F43">
              <w:rPr>
                <w:rFonts w:eastAsia="Calibri"/>
                <w:snapToGrid w:val="0"/>
                <w:sz w:val="18"/>
                <w:szCs w:val="18"/>
                <w:lang w:eastAsia="en-US"/>
              </w:rPr>
              <w:t>VB01</w:t>
            </w:r>
          </w:p>
        </w:tc>
      </w:tr>
      <w:tr w:rsidR="001D642B" w:rsidRPr="00325E28" w14:paraId="27FF81D2" w14:textId="77777777" w:rsidTr="00F81E82">
        <w:tc>
          <w:tcPr>
            <w:tcW w:w="1271" w:type="dxa"/>
          </w:tcPr>
          <w:p w14:paraId="0689DEC8" w14:textId="77777777" w:rsidR="001D642B" w:rsidRPr="00B65D57" w:rsidRDefault="001D642B" w:rsidP="003977F4">
            <w:pPr>
              <w:widowControl w:val="0"/>
              <w:rPr>
                <w:rFonts w:eastAsia="Calibri"/>
                <w:snapToGrid w:val="0"/>
                <w:sz w:val="18"/>
                <w:szCs w:val="18"/>
                <w:lang w:eastAsia="en-US"/>
              </w:rPr>
            </w:pPr>
            <w:r w:rsidRPr="00B65D57">
              <w:rPr>
                <w:rFonts w:eastAsia="Calibri"/>
                <w:snapToGrid w:val="0"/>
                <w:sz w:val="18"/>
                <w:szCs w:val="18"/>
                <w:lang w:eastAsia="en-US"/>
              </w:rPr>
              <w:t>Boric acid and disodium tetraborate pentahydrate (as total sodium)</w:t>
            </w:r>
          </w:p>
        </w:tc>
        <w:tc>
          <w:tcPr>
            <w:tcW w:w="1134" w:type="dxa"/>
          </w:tcPr>
          <w:p w14:paraId="4671C33E" w14:textId="4723C4C3" w:rsidR="001D642B" w:rsidRPr="007E6B84" w:rsidRDefault="001D642B" w:rsidP="003977F4">
            <w:pPr>
              <w:widowControl w:val="0"/>
              <w:rPr>
                <w:bCs/>
                <w:i/>
                <w:snapToGrid w:val="0"/>
                <w:sz w:val="18"/>
                <w:szCs w:val="18"/>
                <w:highlight w:val="black"/>
                <w:lang w:eastAsia="fi-FI"/>
              </w:rPr>
            </w:pPr>
            <w:r w:rsidRPr="007E6B84">
              <w:rPr>
                <w:bCs/>
                <w:i/>
                <w:snapToGrid w:val="0"/>
                <w:sz w:val="18"/>
                <w:szCs w:val="18"/>
                <w:highlight w:val="black"/>
                <w:lang w:eastAsia="fi-FI"/>
              </w:rPr>
              <w:t>r</w:t>
            </w:r>
            <w:r w:rsidRPr="007E6B84">
              <w:rPr>
                <w:bCs/>
                <w:i/>
                <w:snapToGrid w:val="0"/>
                <w:sz w:val="18"/>
                <w:szCs w:val="18"/>
                <w:highlight w:val="black"/>
                <w:vertAlign w:val="superscript"/>
                <w:lang w:eastAsia="fi-FI"/>
              </w:rPr>
              <w:t>2</w:t>
            </w:r>
            <w:r w:rsidRPr="007E6B84">
              <w:rPr>
                <w:bCs/>
                <w:iCs/>
                <w:snapToGrid w:val="0"/>
                <w:sz w:val="18"/>
                <w:szCs w:val="18"/>
                <w:highlight w:val="black"/>
                <w:lang w:eastAsia="fi-FI"/>
              </w:rPr>
              <w:t xml:space="preserve"> = 0.9986</w:t>
            </w:r>
          </w:p>
          <w:p w14:paraId="155C05C8" w14:textId="452B1046" w:rsidR="001D642B" w:rsidRPr="007E6B84" w:rsidRDefault="001D642B" w:rsidP="003977F4">
            <w:pPr>
              <w:widowControl w:val="0"/>
              <w:rPr>
                <w:bCs/>
                <w:iCs/>
                <w:snapToGrid w:val="0"/>
                <w:sz w:val="18"/>
                <w:szCs w:val="18"/>
                <w:highlight w:val="black"/>
                <w:lang w:eastAsia="fi-FI"/>
              </w:rPr>
            </w:pPr>
            <w:r w:rsidRPr="007E6B84">
              <w:rPr>
                <w:bCs/>
                <w:iCs/>
                <w:snapToGrid w:val="0"/>
                <w:sz w:val="18"/>
                <w:szCs w:val="18"/>
                <w:highlight w:val="black"/>
                <w:lang w:eastAsia="fi-FI"/>
              </w:rPr>
              <w:t>slope 0.9982</w:t>
            </w:r>
          </w:p>
          <w:p w14:paraId="06567E7C" w14:textId="77777777" w:rsidR="001D642B" w:rsidRPr="007E6B84" w:rsidRDefault="001D642B" w:rsidP="003977F4">
            <w:pPr>
              <w:widowControl w:val="0"/>
              <w:rPr>
                <w:bCs/>
                <w:iCs/>
                <w:snapToGrid w:val="0"/>
                <w:sz w:val="18"/>
                <w:szCs w:val="18"/>
                <w:highlight w:val="black"/>
                <w:lang w:eastAsia="fi-FI"/>
              </w:rPr>
            </w:pPr>
            <w:r w:rsidRPr="007E6B84">
              <w:rPr>
                <w:bCs/>
                <w:iCs/>
                <w:snapToGrid w:val="0"/>
                <w:sz w:val="18"/>
                <w:szCs w:val="18"/>
                <w:highlight w:val="black"/>
                <w:lang w:eastAsia="fi-FI"/>
              </w:rPr>
              <w:t>Intercept</w:t>
            </w:r>
          </w:p>
          <w:p w14:paraId="3F3F10B2" w14:textId="330210CB" w:rsidR="001D642B" w:rsidRPr="007E6B84" w:rsidRDefault="001D642B" w:rsidP="003977F4">
            <w:pPr>
              <w:widowControl w:val="0"/>
              <w:rPr>
                <w:bCs/>
                <w:iCs/>
                <w:snapToGrid w:val="0"/>
                <w:sz w:val="18"/>
                <w:szCs w:val="18"/>
                <w:highlight w:val="black"/>
                <w:lang w:eastAsia="fi-FI"/>
              </w:rPr>
            </w:pPr>
            <w:r w:rsidRPr="007E6B84">
              <w:rPr>
                <w:bCs/>
                <w:iCs/>
                <w:snapToGrid w:val="0"/>
                <w:sz w:val="18"/>
                <w:szCs w:val="18"/>
                <w:highlight w:val="black"/>
                <w:lang w:eastAsia="fi-FI"/>
              </w:rPr>
              <w:t>756</w:t>
            </w:r>
          </w:p>
          <w:p w14:paraId="72346323" w14:textId="3E39B216" w:rsidR="001D642B" w:rsidRPr="007E6B84" w:rsidRDefault="001D642B" w:rsidP="003977F4">
            <w:pPr>
              <w:widowControl w:val="0"/>
              <w:rPr>
                <w:rFonts w:eastAsia="Calibri"/>
                <w:snapToGrid w:val="0"/>
                <w:sz w:val="18"/>
                <w:szCs w:val="18"/>
                <w:highlight w:val="black"/>
                <w:lang w:eastAsia="en-US"/>
              </w:rPr>
            </w:pPr>
          </w:p>
        </w:tc>
        <w:tc>
          <w:tcPr>
            <w:tcW w:w="1276" w:type="dxa"/>
          </w:tcPr>
          <w:p w14:paraId="5ECC36AA" w14:textId="0E918942" w:rsidR="001D642B" w:rsidRPr="007E6B84" w:rsidRDefault="001D642B" w:rsidP="003977F4">
            <w:pPr>
              <w:widowControl w:val="0"/>
              <w:rPr>
                <w:rFonts w:eastAsia="Calibri"/>
                <w:snapToGrid w:val="0"/>
                <w:sz w:val="18"/>
                <w:szCs w:val="18"/>
                <w:highlight w:val="black"/>
                <w:lang w:eastAsia="en-US"/>
              </w:rPr>
            </w:pPr>
            <w:r w:rsidRPr="007E6B84">
              <w:rPr>
                <w:rFonts w:eastAsia="Calibri"/>
                <w:iCs/>
                <w:snapToGrid w:val="0"/>
                <w:sz w:val="18"/>
                <w:szCs w:val="18"/>
                <w:highlight w:val="black"/>
                <w:lang w:eastAsia="en-US"/>
              </w:rPr>
              <w:t>High resolution mass spectra for calibration blank (water/nitric acid/IS) and test sample (Jerbor) showed no spectral interferences.</w:t>
            </w:r>
          </w:p>
        </w:tc>
        <w:tc>
          <w:tcPr>
            <w:tcW w:w="992" w:type="dxa"/>
          </w:tcPr>
          <w:p w14:paraId="5B5A08D3" w14:textId="03E7693F" w:rsidR="001D642B" w:rsidRPr="007E6B84" w:rsidRDefault="001D642B" w:rsidP="003977F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100 % Jerbor and a sample fortified to 120 %</w:t>
            </w:r>
          </w:p>
        </w:tc>
        <w:tc>
          <w:tcPr>
            <w:tcW w:w="1418" w:type="dxa"/>
          </w:tcPr>
          <w:p w14:paraId="2811642A" w14:textId="356B18B4" w:rsidR="001D642B" w:rsidRPr="007E6B84" w:rsidRDefault="001D642B" w:rsidP="003977F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n = 3 at each level</w:t>
            </w:r>
          </w:p>
        </w:tc>
        <w:tc>
          <w:tcPr>
            <w:tcW w:w="1559" w:type="dxa"/>
          </w:tcPr>
          <w:p w14:paraId="5E5957F5" w14:textId="77777777" w:rsidR="001D642B" w:rsidRPr="007E6B84" w:rsidRDefault="001D642B" w:rsidP="001D642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Level 100%: </w:t>
            </w:r>
          </w:p>
          <w:p w14:paraId="24903AAE" w14:textId="3DFC42C8" w:rsidR="001D642B" w:rsidRPr="007E6B84" w:rsidRDefault="001D642B" w:rsidP="001D642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101.5</w:t>
            </w:r>
          </w:p>
          <w:p w14:paraId="340357D2" w14:textId="77777777" w:rsidR="001D642B" w:rsidRPr="007E6B84" w:rsidRDefault="001D642B" w:rsidP="001D642B">
            <w:pPr>
              <w:widowControl w:val="0"/>
              <w:rPr>
                <w:rFonts w:eastAsia="Calibri"/>
                <w:snapToGrid w:val="0"/>
                <w:sz w:val="18"/>
                <w:szCs w:val="18"/>
                <w:highlight w:val="black"/>
                <w:lang w:eastAsia="en-US"/>
              </w:rPr>
            </w:pPr>
          </w:p>
          <w:p w14:paraId="7F4CDEF7" w14:textId="77777777" w:rsidR="001D642B" w:rsidRPr="007E6B84" w:rsidRDefault="001D642B" w:rsidP="001D642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Level 120%: </w:t>
            </w:r>
          </w:p>
          <w:p w14:paraId="4312951A" w14:textId="4A2C98E0" w:rsidR="001D642B" w:rsidRPr="007E6B84" w:rsidRDefault="001D642B" w:rsidP="001D642B">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93.2</w:t>
            </w:r>
          </w:p>
          <w:p w14:paraId="2EBE874D" w14:textId="77777777" w:rsidR="001D642B" w:rsidRPr="007E6B84" w:rsidRDefault="001D642B" w:rsidP="003977F4">
            <w:pPr>
              <w:widowControl w:val="0"/>
              <w:rPr>
                <w:rFonts w:eastAsia="Calibri"/>
                <w:snapToGrid w:val="0"/>
                <w:sz w:val="18"/>
                <w:szCs w:val="18"/>
                <w:highlight w:val="black"/>
                <w:lang w:eastAsia="en-US"/>
              </w:rPr>
            </w:pPr>
          </w:p>
          <w:p w14:paraId="2F329A73" w14:textId="2BF194C1" w:rsidR="001D642B" w:rsidRPr="007E6B84" w:rsidRDefault="001D642B" w:rsidP="003977F4">
            <w:pPr>
              <w:widowControl w:val="0"/>
              <w:rPr>
                <w:rFonts w:eastAsia="Calibri"/>
                <w:snapToGrid w:val="0"/>
                <w:sz w:val="18"/>
                <w:szCs w:val="18"/>
                <w:highlight w:val="black"/>
                <w:lang w:eastAsia="en-US"/>
              </w:rPr>
            </w:pPr>
          </w:p>
        </w:tc>
        <w:tc>
          <w:tcPr>
            <w:tcW w:w="709" w:type="dxa"/>
          </w:tcPr>
          <w:p w14:paraId="435BE7FF" w14:textId="64635175" w:rsidR="001D642B" w:rsidRPr="007E6B84" w:rsidRDefault="001D642B" w:rsidP="003977F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3.5</w:t>
            </w:r>
          </w:p>
        </w:tc>
        <w:tc>
          <w:tcPr>
            <w:tcW w:w="1417" w:type="dxa"/>
          </w:tcPr>
          <w:p w14:paraId="20B9446E" w14:textId="11CC33E4" w:rsidR="00EE4FD4" w:rsidRPr="007E6B84" w:rsidRDefault="001D642B" w:rsidP="003977F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300 µg</w:t>
            </w:r>
            <w:r w:rsidR="00866E43" w:rsidRPr="007E6B84">
              <w:rPr>
                <w:rFonts w:eastAsia="Calibri"/>
                <w:snapToGrid w:val="0"/>
                <w:sz w:val="18"/>
                <w:szCs w:val="18"/>
                <w:highlight w:val="black"/>
                <w:lang w:eastAsia="en-US"/>
              </w:rPr>
              <w:t xml:space="preserve"> </w:t>
            </w:r>
            <w:r w:rsidR="00266197" w:rsidRPr="007E6B84">
              <w:rPr>
                <w:rFonts w:eastAsia="Calibri"/>
                <w:snapToGrid w:val="0"/>
                <w:sz w:val="18"/>
                <w:szCs w:val="18"/>
                <w:highlight w:val="black"/>
                <w:lang w:eastAsia="en-US"/>
              </w:rPr>
              <w:t>Na</w:t>
            </w:r>
            <w:r w:rsidRPr="007E6B84">
              <w:rPr>
                <w:rFonts w:eastAsia="Calibri"/>
                <w:snapToGrid w:val="0"/>
                <w:sz w:val="18"/>
                <w:szCs w:val="18"/>
                <w:highlight w:val="black"/>
                <w:lang w:eastAsia="en-US"/>
              </w:rPr>
              <w:t xml:space="preserve">/l </w:t>
            </w:r>
          </w:p>
          <w:p w14:paraId="605B5051" w14:textId="77777777" w:rsidR="00EE4FD4" w:rsidRPr="007E6B84" w:rsidRDefault="00EE4FD4" w:rsidP="003977F4">
            <w:pPr>
              <w:widowControl w:val="0"/>
              <w:rPr>
                <w:rFonts w:eastAsia="Calibri"/>
                <w:snapToGrid w:val="0"/>
                <w:sz w:val="18"/>
                <w:szCs w:val="18"/>
                <w:highlight w:val="black"/>
                <w:lang w:eastAsia="en-US"/>
              </w:rPr>
            </w:pPr>
          </w:p>
          <w:p w14:paraId="3E9DA5A3" w14:textId="77777777" w:rsidR="001D642B" w:rsidRPr="007E6B84" w:rsidRDefault="001D642B" w:rsidP="003977F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Horrat value 1</w:t>
            </w:r>
            <w:r w:rsidR="00EE4FD4" w:rsidRPr="007E6B84">
              <w:rPr>
                <w:rFonts w:eastAsia="Calibri"/>
                <w:snapToGrid w:val="0"/>
                <w:sz w:val="18"/>
                <w:szCs w:val="18"/>
                <w:highlight w:val="black"/>
                <w:lang w:eastAsia="en-US"/>
              </w:rPr>
              <w:t>.76</w:t>
            </w:r>
          </w:p>
          <w:p w14:paraId="265F7268" w14:textId="77777777" w:rsidR="007866C4" w:rsidRPr="007E6B84" w:rsidRDefault="007866C4" w:rsidP="003977F4">
            <w:pPr>
              <w:widowControl w:val="0"/>
              <w:rPr>
                <w:rFonts w:eastAsia="Calibri"/>
                <w:snapToGrid w:val="0"/>
                <w:sz w:val="18"/>
                <w:szCs w:val="18"/>
                <w:highlight w:val="black"/>
                <w:lang w:eastAsia="en-US"/>
              </w:rPr>
            </w:pPr>
          </w:p>
          <w:p w14:paraId="36B4D919" w14:textId="77777777" w:rsidR="007866C4" w:rsidRPr="007E6B84" w:rsidRDefault="007866C4" w:rsidP="007866C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Justification for H</w:t>
            </w:r>
            <w:r w:rsidRPr="007E6B84">
              <w:rPr>
                <w:rFonts w:eastAsia="Calibri"/>
                <w:snapToGrid w:val="0"/>
                <w:sz w:val="18"/>
                <w:szCs w:val="18"/>
                <w:highlight w:val="black"/>
                <w:vertAlign w:val="subscript"/>
                <w:lang w:eastAsia="en-US"/>
              </w:rPr>
              <w:t>r</w:t>
            </w:r>
            <w:r w:rsidRPr="007E6B84">
              <w:rPr>
                <w:rFonts w:eastAsia="Calibri"/>
                <w:snapToGrid w:val="0"/>
                <w:sz w:val="18"/>
                <w:szCs w:val="18"/>
                <w:highlight w:val="black"/>
                <w:lang w:eastAsia="en-US"/>
              </w:rPr>
              <w:t xml:space="preserve"> &gt; 1: </w:t>
            </w:r>
          </w:p>
          <w:p w14:paraId="52F95B57" w14:textId="77777777" w:rsidR="007866C4" w:rsidRPr="007E6B84" w:rsidRDefault="007866C4" w:rsidP="007866C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 difficulties in sampling because Jerbor consists of a mixture of 2 granular components. </w:t>
            </w:r>
          </w:p>
          <w:p w14:paraId="37E000A6" w14:textId="3A01DFC9" w:rsidR="007866C4" w:rsidRPr="007E6B84" w:rsidRDefault="007866C4" w:rsidP="007866C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 xml:space="preserve">- difficulties </w:t>
            </w:r>
            <w:r w:rsidRPr="007E6B84">
              <w:rPr>
                <w:rFonts w:eastAsia="Calibri"/>
                <w:snapToGrid w:val="0"/>
                <w:sz w:val="18"/>
                <w:szCs w:val="18"/>
                <w:highlight w:val="black"/>
                <w:lang w:eastAsia="en-US"/>
              </w:rPr>
              <w:lastRenderedPageBreak/>
              <w:t>with analysing highly concentrated samples (even after 10000-fold dilution</w:t>
            </w:r>
            <w:r w:rsidR="00CE1E8B" w:rsidRPr="007E6B84">
              <w:rPr>
                <w:rFonts w:eastAsia="Calibri"/>
                <w:snapToGrid w:val="0"/>
                <w:sz w:val="18"/>
                <w:szCs w:val="18"/>
                <w:highlight w:val="black"/>
                <w:lang w:eastAsia="en-US"/>
              </w:rPr>
              <w:t>)</w:t>
            </w:r>
            <w:r w:rsidRPr="007E6B84">
              <w:rPr>
                <w:rFonts w:eastAsia="Calibri"/>
                <w:snapToGrid w:val="0"/>
                <w:sz w:val="18"/>
                <w:szCs w:val="18"/>
                <w:highlight w:val="black"/>
                <w:lang w:eastAsia="en-US"/>
              </w:rPr>
              <w:t>.</w:t>
            </w:r>
          </w:p>
        </w:tc>
        <w:tc>
          <w:tcPr>
            <w:tcW w:w="851" w:type="dxa"/>
          </w:tcPr>
          <w:p w14:paraId="2785A012" w14:textId="501BC716" w:rsidR="001D642B" w:rsidRPr="007E6B84" w:rsidRDefault="005528DA" w:rsidP="003977F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lastRenderedPageBreak/>
              <w:t xml:space="preserve">n = </w:t>
            </w:r>
            <w:r w:rsidR="001D642B" w:rsidRPr="007E6B84">
              <w:rPr>
                <w:rFonts w:eastAsia="Calibri"/>
                <w:snapToGrid w:val="0"/>
                <w:sz w:val="18"/>
                <w:szCs w:val="18"/>
                <w:highlight w:val="black"/>
                <w:lang w:eastAsia="en-US"/>
              </w:rPr>
              <w:t>6</w:t>
            </w:r>
          </w:p>
        </w:tc>
        <w:tc>
          <w:tcPr>
            <w:tcW w:w="1417" w:type="dxa"/>
          </w:tcPr>
          <w:p w14:paraId="4C5A9C1E" w14:textId="5921F05E" w:rsidR="001D642B" w:rsidRPr="007E6B84" w:rsidRDefault="00866E43" w:rsidP="003977F4">
            <w:pPr>
              <w:widowControl w:val="0"/>
              <w:rPr>
                <w:rFonts w:eastAsia="Calibri"/>
                <w:snapToGrid w:val="0"/>
                <w:sz w:val="18"/>
                <w:szCs w:val="18"/>
                <w:highlight w:val="black"/>
                <w:lang w:eastAsia="en-US"/>
              </w:rPr>
            </w:pPr>
            <w:r w:rsidRPr="007E6B84">
              <w:rPr>
                <w:rFonts w:eastAsia="Calibri"/>
                <w:snapToGrid w:val="0"/>
                <w:sz w:val="18"/>
                <w:szCs w:val="18"/>
                <w:highlight w:val="black"/>
                <w:lang w:eastAsia="en-US"/>
              </w:rPr>
              <w:t>N/A</w:t>
            </w:r>
          </w:p>
        </w:tc>
        <w:tc>
          <w:tcPr>
            <w:tcW w:w="1299" w:type="dxa"/>
          </w:tcPr>
          <w:p w14:paraId="7EE1657E" w14:textId="07B75807" w:rsidR="001D642B" w:rsidRPr="00325E28" w:rsidRDefault="002C6F43" w:rsidP="003977F4">
            <w:pPr>
              <w:widowControl w:val="0"/>
              <w:rPr>
                <w:rFonts w:eastAsia="Calibri"/>
                <w:snapToGrid w:val="0"/>
                <w:sz w:val="18"/>
                <w:szCs w:val="18"/>
                <w:lang w:val="fi-FI" w:eastAsia="en-US"/>
              </w:rPr>
            </w:pPr>
            <w:r w:rsidRPr="00E059C6">
              <w:rPr>
                <w:rFonts w:eastAsia="Calibri"/>
                <w:snapToGrid w:val="0"/>
                <w:sz w:val="18"/>
                <w:szCs w:val="18"/>
                <w:lang w:val="sv-SE" w:eastAsia="en-US"/>
              </w:rPr>
              <w:t xml:space="preserve">Genberg, U. </w:t>
            </w:r>
            <w:r w:rsidR="00E059C6" w:rsidRPr="00E059C6">
              <w:rPr>
                <w:rFonts w:eastAsia="Calibri"/>
                <w:snapToGrid w:val="0"/>
                <w:sz w:val="18"/>
                <w:szCs w:val="18"/>
                <w:lang w:val="sv-SE" w:eastAsia="en-US"/>
              </w:rPr>
              <w:t xml:space="preserve">and Engström, E. </w:t>
            </w:r>
            <w:r w:rsidRPr="00E059C6">
              <w:rPr>
                <w:rFonts w:eastAsia="Calibri"/>
                <w:snapToGrid w:val="0"/>
                <w:sz w:val="18"/>
                <w:szCs w:val="18"/>
                <w:lang w:val="sv-SE" w:eastAsia="en-US"/>
              </w:rPr>
              <w:t xml:space="preserve">(2022) Report no. </w:t>
            </w:r>
            <w:r>
              <w:rPr>
                <w:rFonts w:eastAsia="Calibri"/>
                <w:snapToGrid w:val="0"/>
                <w:sz w:val="18"/>
                <w:szCs w:val="18"/>
                <w:lang w:eastAsia="en-US"/>
              </w:rPr>
              <w:t>VB01</w:t>
            </w:r>
          </w:p>
        </w:tc>
      </w:tr>
    </w:tbl>
    <w:p w14:paraId="10241043" w14:textId="77777777" w:rsidR="00635F3E" w:rsidRPr="00325E28" w:rsidRDefault="00635F3E" w:rsidP="00635F3E">
      <w:pPr>
        <w:spacing w:after="200"/>
        <w:rPr>
          <w:rFonts w:eastAsia="Calibri"/>
          <w:iCs/>
          <w:snapToGrid w:val="0"/>
          <w:lang w:val="fi-FI" w:eastAsia="fi-FI"/>
        </w:rPr>
      </w:pPr>
      <w:bookmarkStart w:id="1368" w:name="_Toc52892251"/>
    </w:p>
    <w:bookmarkEnd w:id="1368"/>
    <w:p w14:paraId="52908BF1" w14:textId="478E97E0"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t xml:space="preserve">Table </w:t>
      </w:r>
      <w:r w:rsidR="00D4149C" w:rsidRPr="00B65D57">
        <w:rPr>
          <w:b/>
          <w:bCs/>
          <w:snapToGrid w:val="0"/>
          <w:szCs w:val="18"/>
          <w:lang w:eastAsia="fi-FI"/>
        </w:rPr>
        <w:t>2.2.</w:t>
      </w:r>
      <w:r w:rsidR="009B5226" w:rsidRPr="00B65D57">
        <w:rPr>
          <w:b/>
          <w:bCs/>
          <w:snapToGrid w:val="0"/>
          <w:szCs w:val="18"/>
          <w:lang w:eastAsia="fi-FI"/>
        </w:rPr>
        <w:t>4</w:t>
      </w:r>
      <w:r w:rsidR="00D4149C" w:rsidRPr="00B65D57">
        <w:rPr>
          <w:b/>
          <w:bCs/>
          <w:snapToGrid w:val="0"/>
          <w:szCs w:val="18"/>
          <w:lang w:eastAsia="fi-FI"/>
        </w:rPr>
        <w:t>-2</w:t>
      </w:r>
      <w:r w:rsidRPr="00B65D57">
        <w:rPr>
          <w:b/>
          <w:bCs/>
          <w:snapToGrid w:val="0"/>
          <w:szCs w:val="18"/>
          <w:lang w:eastAsia="fi-FI"/>
        </w:rPr>
        <w:t xml:space="preserve"> Analytical methods for soil</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16"/>
        <w:gridCol w:w="1096"/>
        <w:gridCol w:w="1395"/>
        <w:gridCol w:w="2279"/>
        <w:gridCol w:w="680"/>
        <w:gridCol w:w="570"/>
        <w:gridCol w:w="486"/>
        <w:gridCol w:w="1328"/>
        <w:gridCol w:w="1019"/>
        <w:gridCol w:w="1900"/>
        <w:gridCol w:w="1272"/>
      </w:tblGrid>
      <w:tr w:rsidR="00635F3E" w:rsidRPr="00B65D57" w14:paraId="0115DBB6" w14:textId="77777777" w:rsidTr="00553245">
        <w:trPr>
          <w:cantSplit/>
          <w:trHeight w:val="439"/>
        </w:trPr>
        <w:tc>
          <w:tcPr>
            <w:tcW w:w="13341" w:type="dxa"/>
            <w:gridSpan w:val="11"/>
            <w:shd w:val="clear" w:color="auto" w:fill="FFFFCC"/>
            <w:vAlign w:val="center"/>
          </w:tcPr>
          <w:p w14:paraId="0E557FD6"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rFonts w:eastAsia="Calibri"/>
                <w:b/>
                <w:snapToGrid w:val="0"/>
                <w:sz w:val="18"/>
                <w:szCs w:val="18"/>
                <w:lang w:eastAsia="fi-FI"/>
              </w:rPr>
              <w:t>Analytical methods for soil</w:t>
            </w:r>
          </w:p>
        </w:tc>
      </w:tr>
      <w:tr w:rsidR="00635F3E" w:rsidRPr="00B65D57" w14:paraId="4D2BFB04" w14:textId="77777777" w:rsidTr="00553245">
        <w:trPr>
          <w:cantSplit/>
          <w:trHeight w:val="352"/>
        </w:trPr>
        <w:tc>
          <w:tcPr>
            <w:tcW w:w="0" w:type="auto"/>
            <w:vMerge w:val="restart"/>
            <w:shd w:val="clear" w:color="auto" w:fill="FFFFFF"/>
          </w:tcPr>
          <w:p w14:paraId="3E9A739D" w14:textId="114C1D42" w:rsidR="00635F3E" w:rsidRPr="00B65D57" w:rsidRDefault="00635F3E" w:rsidP="00635F3E">
            <w:pPr>
              <w:keepNext/>
              <w:widowControl w:val="0"/>
              <w:autoSpaceDE w:val="0"/>
              <w:autoSpaceDN w:val="0"/>
              <w:adjustRightInd w:val="0"/>
              <w:spacing w:before="60" w:after="60"/>
              <w:jc w:val="center"/>
              <w:rPr>
                <w:bCs/>
                <w:snapToGrid w:val="0"/>
                <w:sz w:val="18"/>
                <w:szCs w:val="18"/>
                <w:lang w:eastAsia="fi-FI"/>
              </w:rPr>
            </w:pPr>
            <w:r w:rsidRPr="00B65D57">
              <w:rPr>
                <w:b/>
                <w:bCs/>
                <w:snapToGrid w:val="0"/>
                <w:sz w:val="18"/>
                <w:szCs w:val="18"/>
                <w:lang w:eastAsia="fi-FI"/>
              </w:rPr>
              <w:t xml:space="preserve">Analyte </w:t>
            </w:r>
            <w:r w:rsidRPr="00B65D57">
              <w:rPr>
                <w:bCs/>
                <w:snapToGrid w:val="0"/>
                <w:sz w:val="18"/>
                <w:szCs w:val="18"/>
                <w:lang w:eastAsia="fi-FI"/>
              </w:rPr>
              <w:t>(active substance)</w:t>
            </w:r>
          </w:p>
          <w:p w14:paraId="4652251A"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Analytical method</w:t>
            </w:r>
          </w:p>
        </w:tc>
        <w:tc>
          <w:tcPr>
            <w:tcW w:w="0" w:type="auto"/>
            <w:vMerge w:val="restart"/>
            <w:shd w:val="clear" w:color="auto" w:fill="FFFFFF"/>
          </w:tcPr>
          <w:p w14:paraId="58663E4B"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Linearity</w:t>
            </w:r>
          </w:p>
        </w:tc>
        <w:tc>
          <w:tcPr>
            <w:tcW w:w="0" w:type="auto"/>
            <w:vMerge w:val="restart"/>
            <w:shd w:val="clear" w:color="auto" w:fill="FFFFFF"/>
          </w:tcPr>
          <w:p w14:paraId="6570BA01"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Specificity</w:t>
            </w:r>
          </w:p>
        </w:tc>
        <w:tc>
          <w:tcPr>
            <w:tcW w:w="0" w:type="auto"/>
            <w:vMerge w:val="restart"/>
            <w:shd w:val="clear" w:color="auto" w:fill="FFFFFF"/>
          </w:tcPr>
          <w:p w14:paraId="309CB4BF"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Fortification range, level and number of measurements</w:t>
            </w:r>
            <w:r w:rsidRPr="00B65D57" w:rsidDel="00C74C3A">
              <w:rPr>
                <w:b/>
                <w:bCs/>
                <w:snapToGrid w:val="0"/>
                <w:sz w:val="18"/>
                <w:szCs w:val="18"/>
                <w:lang w:eastAsia="fi-FI"/>
              </w:rPr>
              <w:t xml:space="preserve"> </w:t>
            </w:r>
            <w:r w:rsidRPr="00B65D57">
              <w:rPr>
                <w:b/>
                <w:bCs/>
                <w:snapToGrid w:val="0"/>
                <w:sz w:val="18"/>
                <w:szCs w:val="18"/>
                <w:lang w:eastAsia="fi-FI"/>
              </w:rPr>
              <w:t>at each level</w:t>
            </w:r>
          </w:p>
        </w:tc>
        <w:tc>
          <w:tcPr>
            <w:tcW w:w="0" w:type="auto"/>
            <w:gridSpan w:val="3"/>
            <w:shd w:val="clear" w:color="auto" w:fill="FFFFFF"/>
          </w:tcPr>
          <w:p w14:paraId="06CECAF2"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Recovery rate (%)</w:t>
            </w:r>
          </w:p>
        </w:tc>
        <w:tc>
          <w:tcPr>
            <w:tcW w:w="0" w:type="auto"/>
            <w:gridSpan w:val="2"/>
            <w:shd w:val="clear" w:color="auto" w:fill="FFFFFF"/>
          </w:tcPr>
          <w:p w14:paraId="464C6B4C"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Precision (%)</w:t>
            </w:r>
          </w:p>
        </w:tc>
        <w:tc>
          <w:tcPr>
            <w:tcW w:w="0" w:type="auto"/>
            <w:vMerge w:val="restart"/>
            <w:shd w:val="clear" w:color="auto" w:fill="FFFFFF"/>
          </w:tcPr>
          <w:p w14:paraId="7CBD2416" w14:textId="77777777" w:rsidR="00635F3E" w:rsidRPr="00B65D57" w:rsidRDefault="00635F3E" w:rsidP="00635F3E">
            <w:pPr>
              <w:widowControl w:val="0"/>
              <w:spacing w:before="60" w:after="60"/>
              <w:jc w:val="center"/>
              <w:rPr>
                <w:b/>
                <w:bCs/>
                <w:snapToGrid w:val="0"/>
                <w:sz w:val="18"/>
                <w:szCs w:val="18"/>
                <w:lang w:eastAsia="fi-FI"/>
              </w:rPr>
            </w:pPr>
            <w:r w:rsidRPr="00B65D57">
              <w:rPr>
                <w:b/>
                <w:bCs/>
                <w:snapToGrid w:val="0"/>
                <w:sz w:val="18"/>
                <w:szCs w:val="18"/>
                <w:lang w:eastAsia="fi-FI"/>
              </w:rPr>
              <w:t>Limit of quantification (LOQ) or other limits</w:t>
            </w:r>
          </w:p>
        </w:tc>
        <w:tc>
          <w:tcPr>
            <w:tcW w:w="0" w:type="auto"/>
            <w:vMerge w:val="restart"/>
            <w:shd w:val="clear" w:color="auto" w:fill="FFFFFF"/>
          </w:tcPr>
          <w:p w14:paraId="7F1E6C41"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Reference</w:t>
            </w:r>
          </w:p>
        </w:tc>
      </w:tr>
      <w:tr w:rsidR="00635F3E" w:rsidRPr="00B65D57" w14:paraId="3C3F3BB9" w14:textId="77777777" w:rsidTr="00553245">
        <w:tc>
          <w:tcPr>
            <w:tcW w:w="0" w:type="auto"/>
            <w:vMerge/>
          </w:tcPr>
          <w:p w14:paraId="2B49969B"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41237D18"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0982D1D2"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7AB81F6E" w14:textId="77777777" w:rsidR="00635F3E" w:rsidRPr="00B65D57" w:rsidRDefault="00635F3E" w:rsidP="00635F3E">
            <w:pPr>
              <w:widowControl w:val="0"/>
              <w:spacing w:before="60" w:after="60"/>
              <w:rPr>
                <w:snapToGrid w:val="0"/>
                <w:color w:val="000000"/>
                <w:sz w:val="18"/>
                <w:szCs w:val="18"/>
                <w:lang w:eastAsia="fi-FI"/>
              </w:rPr>
            </w:pPr>
          </w:p>
        </w:tc>
        <w:tc>
          <w:tcPr>
            <w:tcW w:w="0" w:type="auto"/>
          </w:tcPr>
          <w:p w14:paraId="049ABD5E"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Range</w:t>
            </w:r>
          </w:p>
        </w:tc>
        <w:tc>
          <w:tcPr>
            <w:tcW w:w="0" w:type="auto"/>
          </w:tcPr>
          <w:p w14:paraId="3F5F831C"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Mean</w:t>
            </w:r>
          </w:p>
        </w:tc>
        <w:tc>
          <w:tcPr>
            <w:tcW w:w="0" w:type="auto"/>
          </w:tcPr>
          <w:p w14:paraId="4E359958"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RSD</w:t>
            </w:r>
          </w:p>
        </w:tc>
        <w:tc>
          <w:tcPr>
            <w:tcW w:w="0" w:type="auto"/>
            <w:shd w:val="clear" w:color="auto" w:fill="FFFFFF"/>
            <w:vAlign w:val="center"/>
          </w:tcPr>
          <w:p w14:paraId="7948AC71"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Concentration tested</w:t>
            </w:r>
          </w:p>
        </w:tc>
        <w:tc>
          <w:tcPr>
            <w:tcW w:w="0" w:type="auto"/>
            <w:shd w:val="clear" w:color="auto" w:fill="FFFFFF"/>
            <w:vAlign w:val="center"/>
          </w:tcPr>
          <w:p w14:paraId="740C6555"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Number of replicates</w:t>
            </w:r>
          </w:p>
        </w:tc>
        <w:tc>
          <w:tcPr>
            <w:tcW w:w="0" w:type="auto"/>
            <w:vMerge/>
          </w:tcPr>
          <w:p w14:paraId="1A985881"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6188129F" w14:textId="77777777" w:rsidR="00635F3E" w:rsidRPr="00B65D57" w:rsidRDefault="00635F3E" w:rsidP="00635F3E">
            <w:pPr>
              <w:widowControl w:val="0"/>
              <w:spacing w:before="60" w:after="60"/>
              <w:rPr>
                <w:snapToGrid w:val="0"/>
                <w:color w:val="000000"/>
                <w:sz w:val="18"/>
                <w:szCs w:val="18"/>
                <w:lang w:eastAsia="fi-FI"/>
              </w:rPr>
            </w:pPr>
          </w:p>
        </w:tc>
      </w:tr>
      <w:tr w:rsidR="00635F3E" w:rsidRPr="00B65D57" w14:paraId="43C6851B" w14:textId="77777777" w:rsidTr="00553245">
        <w:tc>
          <w:tcPr>
            <w:tcW w:w="0" w:type="auto"/>
          </w:tcPr>
          <w:p w14:paraId="60E2F981"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Boron</w:t>
            </w:r>
          </w:p>
          <w:p w14:paraId="7E8AA6C5"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ICP-AES</w:t>
            </w:r>
          </w:p>
        </w:tc>
        <w:tc>
          <w:tcPr>
            <w:tcW w:w="0" w:type="auto"/>
          </w:tcPr>
          <w:p w14:paraId="282CDCC3"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400  – 10</w:t>
            </w:r>
            <w:r w:rsidRPr="00B65D57">
              <w:rPr>
                <w:snapToGrid w:val="0"/>
                <w:color w:val="000000"/>
                <w:sz w:val="18"/>
                <w:szCs w:val="18"/>
                <w:vertAlign w:val="superscript"/>
                <w:lang w:eastAsia="fi-FI"/>
              </w:rPr>
              <w:t>6</w:t>
            </w:r>
            <w:r w:rsidRPr="00B65D57">
              <w:rPr>
                <w:snapToGrid w:val="0"/>
                <w:color w:val="000000"/>
                <w:sz w:val="18"/>
                <w:szCs w:val="18"/>
                <w:lang w:eastAsia="fi-FI"/>
              </w:rPr>
              <w:t xml:space="preserve"> ppm</w:t>
            </w:r>
          </w:p>
        </w:tc>
        <w:tc>
          <w:tcPr>
            <w:tcW w:w="0" w:type="auto"/>
          </w:tcPr>
          <w:p w14:paraId="5C1DEECB"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No interferants at 249.678 nm</w:t>
            </w:r>
          </w:p>
        </w:tc>
        <w:tc>
          <w:tcPr>
            <w:tcW w:w="0" w:type="auto"/>
          </w:tcPr>
          <w:p w14:paraId="035EC64E"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100 mg/kg</w:t>
            </w:r>
          </w:p>
          <w:p w14:paraId="65EA48AB"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400 mg/kg</w:t>
            </w:r>
          </w:p>
        </w:tc>
        <w:tc>
          <w:tcPr>
            <w:tcW w:w="0" w:type="auto"/>
          </w:tcPr>
          <w:p w14:paraId="67F2BA03"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93 - 100</w:t>
            </w:r>
          </w:p>
        </w:tc>
        <w:tc>
          <w:tcPr>
            <w:tcW w:w="0" w:type="auto"/>
          </w:tcPr>
          <w:p w14:paraId="65D6E286"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96</w:t>
            </w:r>
          </w:p>
        </w:tc>
        <w:tc>
          <w:tcPr>
            <w:tcW w:w="0" w:type="auto"/>
          </w:tcPr>
          <w:p w14:paraId="7FBD1BEC"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2.5</w:t>
            </w:r>
          </w:p>
        </w:tc>
        <w:tc>
          <w:tcPr>
            <w:tcW w:w="0" w:type="auto"/>
            <w:shd w:val="clear" w:color="auto" w:fill="FFFFFF"/>
          </w:tcPr>
          <w:p w14:paraId="14E5267F"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20.4 mg/kg</w:t>
            </w:r>
          </w:p>
        </w:tc>
        <w:tc>
          <w:tcPr>
            <w:tcW w:w="0" w:type="auto"/>
            <w:shd w:val="clear" w:color="auto" w:fill="FFFFFF"/>
          </w:tcPr>
          <w:p w14:paraId="3602900F"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w:t>
            </w:r>
          </w:p>
        </w:tc>
        <w:tc>
          <w:tcPr>
            <w:tcW w:w="0" w:type="auto"/>
          </w:tcPr>
          <w:p w14:paraId="1B5D5296"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w:t>
            </w:r>
          </w:p>
        </w:tc>
        <w:tc>
          <w:tcPr>
            <w:tcW w:w="0" w:type="auto"/>
          </w:tcPr>
          <w:p w14:paraId="663614BD" w14:textId="77777777" w:rsidR="00635F3E" w:rsidRPr="00B65D57" w:rsidRDefault="00635F3E" w:rsidP="00635F3E">
            <w:pPr>
              <w:widowControl w:val="0"/>
              <w:spacing w:before="60" w:after="60"/>
              <w:rPr>
                <w:snapToGrid w:val="0"/>
                <w:color w:val="000000"/>
                <w:sz w:val="18"/>
                <w:szCs w:val="18"/>
                <w:lang w:eastAsia="fi-FI"/>
              </w:rPr>
            </w:pPr>
            <w:r w:rsidRPr="00B65D57">
              <w:rPr>
                <w:snapToGrid w:val="0"/>
                <w:color w:val="000000"/>
                <w:sz w:val="18"/>
                <w:szCs w:val="18"/>
                <w:lang w:eastAsia="fi-FI"/>
              </w:rPr>
              <w:t>US EPA Method 200.7</w:t>
            </w:r>
          </w:p>
        </w:tc>
      </w:tr>
    </w:tbl>
    <w:p w14:paraId="31ED2C9C" w14:textId="77777777" w:rsidR="00635F3E" w:rsidRPr="00B65D57" w:rsidRDefault="00635F3E" w:rsidP="00635F3E">
      <w:pPr>
        <w:widowControl w:val="0"/>
        <w:rPr>
          <w:rFonts w:eastAsia="Calibri"/>
          <w:b/>
          <w:snapToGrid w:val="0"/>
          <w:lang w:eastAsia="en-US"/>
        </w:rPr>
      </w:pPr>
      <w:bookmarkStart w:id="1369" w:name="_Toc52892252"/>
    </w:p>
    <w:bookmarkEnd w:id="1369"/>
    <w:p w14:paraId="72D5214E" w14:textId="098D8B11"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t xml:space="preserve">Table </w:t>
      </w:r>
      <w:r w:rsidR="00D4149C" w:rsidRPr="00B65D57">
        <w:rPr>
          <w:b/>
          <w:bCs/>
          <w:snapToGrid w:val="0"/>
          <w:szCs w:val="18"/>
          <w:lang w:eastAsia="fi-FI"/>
        </w:rPr>
        <w:t>2.2.</w:t>
      </w:r>
      <w:r w:rsidR="009B5226" w:rsidRPr="00B65D57">
        <w:rPr>
          <w:b/>
          <w:bCs/>
          <w:snapToGrid w:val="0"/>
          <w:szCs w:val="18"/>
          <w:lang w:eastAsia="fi-FI"/>
        </w:rPr>
        <w:t>4</w:t>
      </w:r>
      <w:r w:rsidR="00D4149C" w:rsidRPr="00B65D57">
        <w:rPr>
          <w:b/>
          <w:bCs/>
          <w:snapToGrid w:val="0"/>
          <w:szCs w:val="18"/>
          <w:lang w:eastAsia="fi-FI"/>
        </w:rPr>
        <w:t>-3</w:t>
      </w:r>
      <w:r w:rsidRPr="00B65D57">
        <w:rPr>
          <w:b/>
          <w:bCs/>
          <w:snapToGrid w:val="0"/>
          <w:szCs w:val="18"/>
          <w:lang w:eastAsia="fi-FI"/>
        </w:rPr>
        <w:t xml:space="preserve"> Analytical methods for air</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4"/>
        <w:gridCol w:w="1035"/>
        <w:gridCol w:w="1185"/>
        <w:gridCol w:w="2462"/>
        <w:gridCol w:w="663"/>
        <w:gridCol w:w="585"/>
        <w:gridCol w:w="498"/>
        <w:gridCol w:w="1346"/>
        <w:gridCol w:w="1048"/>
        <w:gridCol w:w="1996"/>
        <w:gridCol w:w="1159"/>
      </w:tblGrid>
      <w:tr w:rsidR="00635F3E" w:rsidRPr="00B65D57" w14:paraId="3B6101BF" w14:textId="77777777" w:rsidTr="00553245">
        <w:trPr>
          <w:cantSplit/>
          <w:trHeight w:val="439"/>
        </w:trPr>
        <w:tc>
          <w:tcPr>
            <w:tcW w:w="13341" w:type="dxa"/>
            <w:gridSpan w:val="11"/>
            <w:shd w:val="clear" w:color="auto" w:fill="FFFFCC"/>
            <w:vAlign w:val="center"/>
          </w:tcPr>
          <w:p w14:paraId="756B95DC" w14:textId="77777777" w:rsidR="00635F3E" w:rsidRPr="00B65D57" w:rsidRDefault="00635F3E" w:rsidP="00635F3E">
            <w:pPr>
              <w:widowControl w:val="0"/>
              <w:jc w:val="center"/>
              <w:rPr>
                <w:b/>
                <w:bCs/>
                <w:snapToGrid w:val="0"/>
                <w:sz w:val="18"/>
                <w:szCs w:val="18"/>
                <w:lang w:eastAsia="fi-FI"/>
              </w:rPr>
            </w:pPr>
            <w:r w:rsidRPr="00B65D57">
              <w:rPr>
                <w:rFonts w:eastAsia="Calibri"/>
                <w:b/>
                <w:snapToGrid w:val="0"/>
                <w:sz w:val="18"/>
                <w:szCs w:val="18"/>
                <w:lang w:eastAsia="fi-FI"/>
              </w:rPr>
              <w:t>Analytical methods for air</w:t>
            </w:r>
          </w:p>
        </w:tc>
      </w:tr>
      <w:tr w:rsidR="00635F3E" w:rsidRPr="00B65D57" w14:paraId="0A974B86" w14:textId="77777777" w:rsidTr="00553245">
        <w:trPr>
          <w:cantSplit/>
          <w:trHeight w:val="352"/>
        </w:trPr>
        <w:tc>
          <w:tcPr>
            <w:tcW w:w="0" w:type="auto"/>
            <w:vMerge w:val="restart"/>
            <w:shd w:val="clear" w:color="auto" w:fill="FFFFFF"/>
          </w:tcPr>
          <w:p w14:paraId="138CDAB9" w14:textId="1AFA5E66" w:rsidR="00635F3E" w:rsidRPr="00B65D57" w:rsidRDefault="00635F3E" w:rsidP="00635F3E">
            <w:pPr>
              <w:keepNext/>
              <w:widowControl w:val="0"/>
              <w:autoSpaceDE w:val="0"/>
              <w:autoSpaceDN w:val="0"/>
              <w:adjustRightInd w:val="0"/>
              <w:spacing w:before="60" w:after="60"/>
              <w:jc w:val="center"/>
              <w:rPr>
                <w:bCs/>
                <w:snapToGrid w:val="0"/>
                <w:sz w:val="18"/>
                <w:szCs w:val="18"/>
                <w:lang w:eastAsia="fi-FI"/>
              </w:rPr>
            </w:pPr>
            <w:r w:rsidRPr="00B65D57">
              <w:rPr>
                <w:b/>
                <w:bCs/>
                <w:snapToGrid w:val="0"/>
                <w:sz w:val="18"/>
                <w:szCs w:val="18"/>
                <w:lang w:eastAsia="fi-FI"/>
              </w:rPr>
              <w:t xml:space="preserve">Analyte </w:t>
            </w:r>
            <w:r w:rsidRPr="00B65D57">
              <w:rPr>
                <w:bCs/>
                <w:snapToGrid w:val="0"/>
                <w:sz w:val="18"/>
                <w:szCs w:val="18"/>
                <w:lang w:eastAsia="fi-FI"/>
              </w:rPr>
              <w:t>(active substance)</w:t>
            </w:r>
          </w:p>
          <w:p w14:paraId="1DAFB8FC"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Analytical method</w:t>
            </w:r>
          </w:p>
        </w:tc>
        <w:tc>
          <w:tcPr>
            <w:tcW w:w="0" w:type="auto"/>
            <w:vMerge w:val="restart"/>
            <w:shd w:val="clear" w:color="auto" w:fill="FFFFFF"/>
          </w:tcPr>
          <w:p w14:paraId="795863D9"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Linearity</w:t>
            </w:r>
          </w:p>
        </w:tc>
        <w:tc>
          <w:tcPr>
            <w:tcW w:w="0" w:type="auto"/>
            <w:vMerge w:val="restart"/>
            <w:shd w:val="clear" w:color="auto" w:fill="FFFFFF"/>
          </w:tcPr>
          <w:p w14:paraId="4EFB86E6"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Specificity</w:t>
            </w:r>
          </w:p>
        </w:tc>
        <w:tc>
          <w:tcPr>
            <w:tcW w:w="0" w:type="auto"/>
            <w:vMerge w:val="restart"/>
            <w:shd w:val="clear" w:color="auto" w:fill="FFFFFF"/>
          </w:tcPr>
          <w:p w14:paraId="22730431"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Fortification range, level, and number of measurements</w:t>
            </w:r>
            <w:r w:rsidRPr="00B65D57" w:rsidDel="00C74C3A">
              <w:rPr>
                <w:b/>
                <w:bCs/>
                <w:snapToGrid w:val="0"/>
                <w:sz w:val="18"/>
                <w:szCs w:val="18"/>
                <w:lang w:eastAsia="fi-FI"/>
              </w:rPr>
              <w:t xml:space="preserve"> </w:t>
            </w:r>
            <w:r w:rsidRPr="00B65D57">
              <w:rPr>
                <w:b/>
                <w:bCs/>
                <w:snapToGrid w:val="0"/>
                <w:sz w:val="18"/>
                <w:szCs w:val="18"/>
                <w:lang w:eastAsia="fi-FI"/>
              </w:rPr>
              <w:t>at each level</w:t>
            </w:r>
          </w:p>
        </w:tc>
        <w:tc>
          <w:tcPr>
            <w:tcW w:w="0" w:type="auto"/>
            <w:gridSpan w:val="3"/>
            <w:shd w:val="clear" w:color="auto" w:fill="FFFFFF"/>
          </w:tcPr>
          <w:p w14:paraId="31748F16"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Recovery rate (%)</w:t>
            </w:r>
          </w:p>
        </w:tc>
        <w:tc>
          <w:tcPr>
            <w:tcW w:w="0" w:type="auto"/>
            <w:gridSpan w:val="2"/>
            <w:shd w:val="clear" w:color="auto" w:fill="FFFFFF"/>
          </w:tcPr>
          <w:p w14:paraId="5FA21D2D"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Precision (%)</w:t>
            </w:r>
          </w:p>
        </w:tc>
        <w:tc>
          <w:tcPr>
            <w:tcW w:w="0" w:type="auto"/>
            <w:vMerge w:val="restart"/>
            <w:shd w:val="clear" w:color="auto" w:fill="FFFFFF"/>
          </w:tcPr>
          <w:p w14:paraId="69462D8C" w14:textId="77777777" w:rsidR="00635F3E" w:rsidRPr="00B65D57" w:rsidRDefault="00635F3E" w:rsidP="00635F3E">
            <w:pPr>
              <w:widowControl w:val="0"/>
              <w:spacing w:before="60" w:after="60"/>
              <w:jc w:val="center"/>
              <w:rPr>
                <w:b/>
                <w:bCs/>
                <w:snapToGrid w:val="0"/>
                <w:sz w:val="18"/>
                <w:szCs w:val="18"/>
                <w:lang w:eastAsia="fi-FI"/>
              </w:rPr>
            </w:pPr>
            <w:r w:rsidRPr="00B65D57">
              <w:rPr>
                <w:b/>
                <w:bCs/>
                <w:snapToGrid w:val="0"/>
                <w:sz w:val="18"/>
                <w:szCs w:val="18"/>
                <w:lang w:eastAsia="fi-FI"/>
              </w:rPr>
              <w:t>Limit of quantification (LOQ) or other limits</w:t>
            </w:r>
          </w:p>
        </w:tc>
        <w:tc>
          <w:tcPr>
            <w:tcW w:w="0" w:type="auto"/>
            <w:vMerge w:val="restart"/>
            <w:shd w:val="clear" w:color="auto" w:fill="FFFFFF"/>
          </w:tcPr>
          <w:p w14:paraId="444E4AC5"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b/>
                <w:bCs/>
                <w:snapToGrid w:val="0"/>
                <w:sz w:val="18"/>
                <w:szCs w:val="18"/>
                <w:lang w:eastAsia="fi-FI"/>
              </w:rPr>
              <w:t>Reference</w:t>
            </w:r>
          </w:p>
        </w:tc>
      </w:tr>
      <w:tr w:rsidR="00635F3E" w:rsidRPr="00B65D57" w14:paraId="1A5E0443" w14:textId="77777777" w:rsidTr="00553245">
        <w:tc>
          <w:tcPr>
            <w:tcW w:w="0" w:type="auto"/>
            <w:vMerge/>
          </w:tcPr>
          <w:p w14:paraId="693912FE"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4D9A86C5"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3C310E01"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40F31F6B" w14:textId="77777777" w:rsidR="00635F3E" w:rsidRPr="00B65D57" w:rsidRDefault="00635F3E" w:rsidP="00635F3E">
            <w:pPr>
              <w:widowControl w:val="0"/>
              <w:spacing w:before="60" w:after="60"/>
              <w:rPr>
                <w:snapToGrid w:val="0"/>
                <w:color w:val="000000"/>
                <w:sz w:val="18"/>
                <w:szCs w:val="18"/>
                <w:lang w:eastAsia="fi-FI"/>
              </w:rPr>
            </w:pPr>
          </w:p>
        </w:tc>
        <w:tc>
          <w:tcPr>
            <w:tcW w:w="0" w:type="auto"/>
          </w:tcPr>
          <w:p w14:paraId="4A092AA8"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Range</w:t>
            </w:r>
          </w:p>
        </w:tc>
        <w:tc>
          <w:tcPr>
            <w:tcW w:w="0" w:type="auto"/>
          </w:tcPr>
          <w:p w14:paraId="5CB64041"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Mean</w:t>
            </w:r>
          </w:p>
        </w:tc>
        <w:tc>
          <w:tcPr>
            <w:tcW w:w="0" w:type="auto"/>
          </w:tcPr>
          <w:p w14:paraId="56CBD38E"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RSD</w:t>
            </w:r>
          </w:p>
        </w:tc>
        <w:tc>
          <w:tcPr>
            <w:tcW w:w="0" w:type="auto"/>
            <w:shd w:val="clear" w:color="auto" w:fill="FFFFFF"/>
            <w:vAlign w:val="center"/>
          </w:tcPr>
          <w:p w14:paraId="647FD589"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Concentration tested</w:t>
            </w:r>
          </w:p>
        </w:tc>
        <w:tc>
          <w:tcPr>
            <w:tcW w:w="0" w:type="auto"/>
            <w:shd w:val="clear" w:color="auto" w:fill="FFFFFF"/>
            <w:vAlign w:val="center"/>
          </w:tcPr>
          <w:p w14:paraId="172FD8A4"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Number of replicates</w:t>
            </w:r>
          </w:p>
        </w:tc>
        <w:tc>
          <w:tcPr>
            <w:tcW w:w="0" w:type="auto"/>
            <w:vMerge/>
          </w:tcPr>
          <w:p w14:paraId="2196C653"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30432137" w14:textId="77777777" w:rsidR="00635F3E" w:rsidRPr="00B65D57" w:rsidRDefault="00635F3E" w:rsidP="00635F3E">
            <w:pPr>
              <w:widowControl w:val="0"/>
              <w:spacing w:before="60" w:after="60"/>
              <w:rPr>
                <w:snapToGrid w:val="0"/>
                <w:color w:val="000000"/>
                <w:sz w:val="18"/>
                <w:szCs w:val="18"/>
                <w:lang w:eastAsia="fi-FI"/>
              </w:rPr>
            </w:pPr>
          </w:p>
        </w:tc>
      </w:tr>
      <w:tr w:rsidR="00635F3E" w:rsidRPr="00B65D57" w14:paraId="6EF685EB" w14:textId="77777777" w:rsidTr="00553245">
        <w:tc>
          <w:tcPr>
            <w:tcW w:w="0" w:type="auto"/>
            <w:gridSpan w:val="11"/>
          </w:tcPr>
          <w:p w14:paraId="23D64A8B" w14:textId="77777777" w:rsidR="00635F3E" w:rsidRPr="00B65D57" w:rsidRDefault="00635F3E" w:rsidP="00635F3E">
            <w:pPr>
              <w:widowControl w:val="0"/>
              <w:spacing w:before="60" w:after="60"/>
              <w:rPr>
                <w:snapToGrid w:val="0"/>
                <w:color w:val="000000"/>
                <w:sz w:val="18"/>
                <w:szCs w:val="18"/>
                <w:lang w:eastAsia="fi-FI"/>
              </w:rPr>
            </w:pPr>
            <w:r w:rsidRPr="00B65D57">
              <w:rPr>
                <w:rFonts w:eastAsia="Calibri"/>
                <w:snapToGrid w:val="0"/>
                <w:sz w:val="18"/>
                <w:szCs w:val="18"/>
                <w:lang w:eastAsia="en-US"/>
              </w:rPr>
              <w:t>Method for detection in air is not required due to lack of volatility and the intended use.</w:t>
            </w:r>
          </w:p>
        </w:tc>
      </w:tr>
    </w:tbl>
    <w:p w14:paraId="027C76E5" w14:textId="77777777" w:rsidR="00635F3E" w:rsidRPr="00B65D57" w:rsidRDefault="00635F3E" w:rsidP="00635F3E">
      <w:pPr>
        <w:widowControl w:val="0"/>
        <w:rPr>
          <w:rFonts w:eastAsia="Calibri"/>
          <w:snapToGrid w:val="0"/>
          <w:lang w:eastAsia="en-US"/>
        </w:rPr>
      </w:pPr>
    </w:p>
    <w:p w14:paraId="7BE9DFAB" w14:textId="74945A2A" w:rsidR="00635F3E" w:rsidRPr="00B65D57" w:rsidRDefault="00635F3E" w:rsidP="00635F3E">
      <w:pPr>
        <w:widowControl w:val="0"/>
        <w:spacing w:before="120" w:after="120"/>
        <w:rPr>
          <w:b/>
          <w:bCs/>
          <w:snapToGrid w:val="0"/>
          <w:szCs w:val="18"/>
          <w:lang w:eastAsia="fi-FI"/>
        </w:rPr>
      </w:pPr>
      <w:r w:rsidRPr="00B65D57">
        <w:rPr>
          <w:b/>
          <w:bCs/>
          <w:snapToGrid w:val="0"/>
          <w:szCs w:val="18"/>
          <w:lang w:eastAsia="fi-FI"/>
        </w:rPr>
        <w:t xml:space="preserve">Table </w:t>
      </w:r>
      <w:r w:rsidR="00D4149C" w:rsidRPr="00B65D57">
        <w:rPr>
          <w:b/>
          <w:bCs/>
          <w:snapToGrid w:val="0"/>
          <w:szCs w:val="18"/>
          <w:lang w:eastAsia="fi-FI"/>
        </w:rPr>
        <w:t>2.2.</w:t>
      </w:r>
      <w:r w:rsidR="009B5226" w:rsidRPr="00B65D57">
        <w:rPr>
          <w:b/>
          <w:bCs/>
          <w:snapToGrid w:val="0"/>
          <w:szCs w:val="18"/>
          <w:lang w:eastAsia="fi-FI"/>
        </w:rPr>
        <w:t>4</w:t>
      </w:r>
      <w:r w:rsidR="00D4149C" w:rsidRPr="00B65D57">
        <w:rPr>
          <w:b/>
          <w:bCs/>
          <w:snapToGrid w:val="0"/>
          <w:szCs w:val="18"/>
          <w:lang w:eastAsia="fi-FI"/>
        </w:rPr>
        <w:t>.4</w:t>
      </w:r>
      <w:r w:rsidRPr="00B65D57">
        <w:rPr>
          <w:b/>
          <w:bCs/>
          <w:snapToGrid w:val="0"/>
          <w:szCs w:val="18"/>
          <w:lang w:eastAsia="fi-FI"/>
        </w:rPr>
        <w:t xml:space="preserve"> Analytical methods for water</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65"/>
        <w:gridCol w:w="1138"/>
        <w:gridCol w:w="1368"/>
        <w:gridCol w:w="1869"/>
        <w:gridCol w:w="771"/>
        <w:gridCol w:w="676"/>
        <w:gridCol w:w="571"/>
        <w:gridCol w:w="1551"/>
        <w:gridCol w:w="1117"/>
        <w:gridCol w:w="1735"/>
        <w:gridCol w:w="1280"/>
      </w:tblGrid>
      <w:tr w:rsidR="00635F3E" w:rsidRPr="00B65D57" w14:paraId="06644F97" w14:textId="77777777" w:rsidTr="00553245">
        <w:trPr>
          <w:cantSplit/>
          <w:trHeight w:val="439"/>
        </w:trPr>
        <w:tc>
          <w:tcPr>
            <w:tcW w:w="13341" w:type="dxa"/>
            <w:gridSpan w:val="11"/>
            <w:shd w:val="clear" w:color="auto" w:fill="FFFFCC"/>
            <w:vAlign w:val="center"/>
          </w:tcPr>
          <w:p w14:paraId="563690F8" w14:textId="77777777" w:rsidR="00635F3E" w:rsidRPr="00B65D57" w:rsidRDefault="00635F3E" w:rsidP="00635F3E">
            <w:pPr>
              <w:widowControl w:val="0"/>
              <w:rPr>
                <w:b/>
                <w:bCs/>
                <w:snapToGrid w:val="0"/>
                <w:lang w:eastAsia="fi-FI"/>
              </w:rPr>
            </w:pPr>
            <w:r w:rsidRPr="00B65D57">
              <w:rPr>
                <w:b/>
                <w:snapToGrid w:val="0"/>
                <w:lang w:eastAsia="fi-FI"/>
              </w:rPr>
              <w:lastRenderedPageBreak/>
              <w:t>Analytical methods for water</w:t>
            </w:r>
          </w:p>
        </w:tc>
      </w:tr>
      <w:tr w:rsidR="00635F3E" w:rsidRPr="00B65D57" w14:paraId="3B6822C5" w14:textId="77777777" w:rsidTr="00553245">
        <w:trPr>
          <w:cantSplit/>
          <w:trHeight w:val="352"/>
        </w:trPr>
        <w:tc>
          <w:tcPr>
            <w:tcW w:w="0" w:type="auto"/>
            <w:vMerge w:val="restart"/>
            <w:shd w:val="clear" w:color="auto" w:fill="FFFFFF"/>
          </w:tcPr>
          <w:p w14:paraId="514E10FF" w14:textId="34DAB37A" w:rsidR="00635F3E" w:rsidRPr="00B65D57" w:rsidRDefault="00635F3E" w:rsidP="00635F3E">
            <w:pPr>
              <w:widowControl w:val="0"/>
              <w:rPr>
                <w:b/>
                <w:bCs/>
                <w:snapToGrid w:val="0"/>
                <w:lang w:eastAsia="fi-FI"/>
              </w:rPr>
            </w:pPr>
            <w:r w:rsidRPr="00B65D57">
              <w:rPr>
                <w:b/>
                <w:bCs/>
                <w:snapToGrid w:val="0"/>
                <w:lang w:eastAsia="fi-FI"/>
              </w:rPr>
              <w:t xml:space="preserve">Analyte </w:t>
            </w:r>
            <w:r w:rsidRPr="00B65D57">
              <w:rPr>
                <w:bCs/>
                <w:snapToGrid w:val="0"/>
                <w:lang w:eastAsia="fi-FI"/>
              </w:rPr>
              <w:t>(active substance)</w:t>
            </w:r>
            <w:r w:rsidRPr="00B65D57">
              <w:rPr>
                <w:b/>
                <w:bCs/>
                <w:snapToGrid w:val="0"/>
                <w:lang w:eastAsia="fi-FI"/>
              </w:rPr>
              <w:t xml:space="preserve"> </w:t>
            </w:r>
          </w:p>
          <w:p w14:paraId="3AEEE8DE" w14:textId="77777777" w:rsidR="00635F3E" w:rsidRPr="00B65D57" w:rsidRDefault="00635F3E" w:rsidP="00635F3E">
            <w:pPr>
              <w:widowControl w:val="0"/>
              <w:rPr>
                <w:b/>
                <w:bCs/>
                <w:snapToGrid w:val="0"/>
                <w:lang w:eastAsia="fi-FI"/>
              </w:rPr>
            </w:pPr>
            <w:r w:rsidRPr="00B65D57">
              <w:rPr>
                <w:b/>
                <w:bCs/>
                <w:snapToGrid w:val="0"/>
                <w:lang w:eastAsia="fi-FI"/>
              </w:rPr>
              <w:t>Analytical method</w:t>
            </w:r>
          </w:p>
        </w:tc>
        <w:tc>
          <w:tcPr>
            <w:tcW w:w="0" w:type="auto"/>
            <w:vMerge w:val="restart"/>
            <w:shd w:val="clear" w:color="auto" w:fill="FFFFFF"/>
          </w:tcPr>
          <w:p w14:paraId="7A686B81" w14:textId="77777777" w:rsidR="00635F3E" w:rsidRPr="00B65D57" w:rsidRDefault="00635F3E" w:rsidP="00635F3E">
            <w:pPr>
              <w:widowControl w:val="0"/>
              <w:rPr>
                <w:b/>
                <w:bCs/>
                <w:snapToGrid w:val="0"/>
                <w:lang w:eastAsia="fi-FI"/>
              </w:rPr>
            </w:pPr>
            <w:r w:rsidRPr="00B65D57">
              <w:rPr>
                <w:b/>
                <w:bCs/>
                <w:snapToGrid w:val="0"/>
                <w:lang w:eastAsia="fi-FI"/>
              </w:rPr>
              <w:t>Linearity</w:t>
            </w:r>
            <w:r w:rsidRPr="00B65D57" w:rsidDel="00C74C3A">
              <w:rPr>
                <w:b/>
                <w:bCs/>
                <w:snapToGrid w:val="0"/>
                <w:lang w:eastAsia="fi-FI"/>
              </w:rPr>
              <w:t xml:space="preserve"> </w:t>
            </w:r>
          </w:p>
        </w:tc>
        <w:tc>
          <w:tcPr>
            <w:tcW w:w="0" w:type="auto"/>
            <w:vMerge w:val="restart"/>
            <w:shd w:val="clear" w:color="auto" w:fill="FFFFFF"/>
          </w:tcPr>
          <w:p w14:paraId="12F1326C" w14:textId="77777777" w:rsidR="00635F3E" w:rsidRPr="00B65D57" w:rsidRDefault="00635F3E" w:rsidP="00635F3E">
            <w:pPr>
              <w:widowControl w:val="0"/>
              <w:rPr>
                <w:b/>
                <w:bCs/>
                <w:snapToGrid w:val="0"/>
                <w:lang w:eastAsia="fi-FI"/>
              </w:rPr>
            </w:pPr>
            <w:r w:rsidRPr="00B65D57">
              <w:rPr>
                <w:b/>
                <w:bCs/>
                <w:snapToGrid w:val="0"/>
                <w:lang w:eastAsia="fi-FI"/>
              </w:rPr>
              <w:t>Specificity</w:t>
            </w:r>
            <w:r w:rsidRPr="00B65D57" w:rsidDel="00C74C3A">
              <w:rPr>
                <w:b/>
                <w:bCs/>
                <w:snapToGrid w:val="0"/>
                <w:lang w:eastAsia="fi-FI"/>
              </w:rPr>
              <w:t xml:space="preserve"> </w:t>
            </w:r>
          </w:p>
        </w:tc>
        <w:tc>
          <w:tcPr>
            <w:tcW w:w="0" w:type="auto"/>
            <w:vMerge w:val="restart"/>
            <w:shd w:val="clear" w:color="auto" w:fill="FFFFFF"/>
          </w:tcPr>
          <w:p w14:paraId="4A2804C4" w14:textId="77777777" w:rsidR="00635F3E" w:rsidRPr="00B65D57" w:rsidRDefault="00635F3E" w:rsidP="00635F3E">
            <w:pPr>
              <w:widowControl w:val="0"/>
              <w:rPr>
                <w:b/>
                <w:bCs/>
                <w:snapToGrid w:val="0"/>
                <w:lang w:eastAsia="fi-FI"/>
              </w:rPr>
            </w:pPr>
            <w:r w:rsidRPr="00B65D57">
              <w:rPr>
                <w:b/>
                <w:bCs/>
                <w:snapToGrid w:val="0"/>
                <w:lang w:eastAsia="fi-FI"/>
              </w:rPr>
              <w:t>Fortification range, level, and number of measurements</w:t>
            </w:r>
            <w:r w:rsidRPr="00B65D57" w:rsidDel="00C74C3A">
              <w:rPr>
                <w:b/>
                <w:bCs/>
                <w:snapToGrid w:val="0"/>
                <w:lang w:eastAsia="fi-FI"/>
              </w:rPr>
              <w:t xml:space="preserve"> </w:t>
            </w:r>
            <w:r w:rsidRPr="00B65D57">
              <w:rPr>
                <w:b/>
                <w:bCs/>
                <w:snapToGrid w:val="0"/>
                <w:lang w:eastAsia="fi-FI"/>
              </w:rPr>
              <w:t>at each level</w:t>
            </w:r>
          </w:p>
        </w:tc>
        <w:tc>
          <w:tcPr>
            <w:tcW w:w="0" w:type="auto"/>
            <w:gridSpan w:val="3"/>
            <w:shd w:val="clear" w:color="auto" w:fill="FFFFFF"/>
          </w:tcPr>
          <w:p w14:paraId="7C4BC17F" w14:textId="77777777" w:rsidR="00635F3E" w:rsidRPr="00B65D57" w:rsidRDefault="00635F3E" w:rsidP="00635F3E">
            <w:pPr>
              <w:widowControl w:val="0"/>
              <w:rPr>
                <w:b/>
                <w:bCs/>
                <w:snapToGrid w:val="0"/>
                <w:lang w:eastAsia="fi-FI"/>
              </w:rPr>
            </w:pPr>
            <w:r w:rsidRPr="00B65D57">
              <w:rPr>
                <w:b/>
                <w:bCs/>
                <w:snapToGrid w:val="0"/>
                <w:lang w:eastAsia="fi-FI"/>
              </w:rPr>
              <w:t>Recovery rate (%)</w:t>
            </w:r>
          </w:p>
        </w:tc>
        <w:tc>
          <w:tcPr>
            <w:tcW w:w="0" w:type="auto"/>
            <w:gridSpan w:val="2"/>
            <w:shd w:val="clear" w:color="auto" w:fill="FFFFFF"/>
          </w:tcPr>
          <w:p w14:paraId="014B0D5E" w14:textId="77777777" w:rsidR="00635F3E" w:rsidRPr="00B65D57" w:rsidRDefault="00635F3E" w:rsidP="00635F3E">
            <w:pPr>
              <w:widowControl w:val="0"/>
              <w:rPr>
                <w:b/>
                <w:bCs/>
                <w:snapToGrid w:val="0"/>
                <w:lang w:eastAsia="fi-FI"/>
              </w:rPr>
            </w:pPr>
            <w:r w:rsidRPr="00B65D57">
              <w:rPr>
                <w:b/>
                <w:bCs/>
                <w:snapToGrid w:val="0"/>
                <w:lang w:eastAsia="fi-FI"/>
              </w:rPr>
              <w:t>Precision (%)</w:t>
            </w:r>
          </w:p>
        </w:tc>
        <w:tc>
          <w:tcPr>
            <w:tcW w:w="0" w:type="auto"/>
            <w:vMerge w:val="restart"/>
            <w:shd w:val="clear" w:color="auto" w:fill="FFFFFF"/>
          </w:tcPr>
          <w:p w14:paraId="374C75BD" w14:textId="77777777" w:rsidR="00635F3E" w:rsidRPr="00B65D57" w:rsidRDefault="00635F3E" w:rsidP="00635F3E">
            <w:pPr>
              <w:widowControl w:val="0"/>
              <w:rPr>
                <w:b/>
                <w:bCs/>
                <w:snapToGrid w:val="0"/>
                <w:lang w:eastAsia="fi-FI"/>
              </w:rPr>
            </w:pPr>
            <w:r w:rsidRPr="00B65D57">
              <w:rPr>
                <w:b/>
                <w:bCs/>
                <w:snapToGrid w:val="0"/>
                <w:lang w:eastAsia="fi-FI"/>
              </w:rPr>
              <w:t>Limit of quantification (LOQ) or other limits</w:t>
            </w:r>
            <w:r w:rsidRPr="00B65D57" w:rsidDel="00C74C3A">
              <w:rPr>
                <w:b/>
                <w:bCs/>
                <w:snapToGrid w:val="0"/>
                <w:lang w:eastAsia="fi-FI"/>
              </w:rPr>
              <w:t xml:space="preserve"> </w:t>
            </w:r>
          </w:p>
        </w:tc>
        <w:tc>
          <w:tcPr>
            <w:tcW w:w="0" w:type="auto"/>
            <w:vMerge w:val="restart"/>
            <w:shd w:val="clear" w:color="auto" w:fill="FFFFFF"/>
          </w:tcPr>
          <w:p w14:paraId="0B4D9C0C" w14:textId="77777777" w:rsidR="00635F3E" w:rsidRPr="00B65D57" w:rsidRDefault="00635F3E" w:rsidP="00635F3E">
            <w:pPr>
              <w:widowControl w:val="0"/>
              <w:rPr>
                <w:b/>
                <w:bCs/>
                <w:snapToGrid w:val="0"/>
                <w:lang w:eastAsia="fi-FI"/>
              </w:rPr>
            </w:pPr>
            <w:r w:rsidRPr="00B65D57">
              <w:rPr>
                <w:b/>
                <w:bCs/>
                <w:snapToGrid w:val="0"/>
                <w:lang w:eastAsia="fi-FI"/>
              </w:rPr>
              <w:t>Reference</w:t>
            </w:r>
          </w:p>
        </w:tc>
      </w:tr>
      <w:tr w:rsidR="00635F3E" w:rsidRPr="00B65D57" w14:paraId="5DD19022" w14:textId="77777777" w:rsidTr="00553245">
        <w:tc>
          <w:tcPr>
            <w:tcW w:w="0" w:type="auto"/>
            <w:vMerge/>
          </w:tcPr>
          <w:p w14:paraId="250AB210" w14:textId="77777777" w:rsidR="00635F3E" w:rsidRPr="00B65D57" w:rsidRDefault="00635F3E" w:rsidP="00635F3E">
            <w:pPr>
              <w:widowControl w:val="0"/>
              <w:rPr>
                <w:snapToGrid w:val="0"/>
                <w:lang w:eastAsia="fi-FI"/>
              </w:rPr>
            </w:pPr>
          </w:p>
        </w:tc>
        <w:tc>
          <w:tcPr>
            <w:tcW w:w="0" w:type="auto"/>
            <w:vMerge/>
          </w:tcPr>
          <w:p w14:paraId="265DE921" w14:textId="77777777" w:rsidR="00635F3E" w:rsidRPr="00B65D57" w:rsidRDefault="00635F3E" w:rsidP="00635F3E">
            <w:pPr>
              <w:widowControl w:val="0"/>
              <w:rPr>
                <w:snapToGrid w:val="0"/>
                <w:lang w:eastAsia="fi-FI"/>
              </w:rPr>
            </w:pPr>
          </w:p>
        </w:tc>
        <w:tc>
          <w:tcPr>
            <w:tcW w:w="0" w:type="auto"/>
            <w:vMerge/>
          </w:tcPr>
          <w:p w14:paraId="7BC55E3E" w14:textId="77777777" w:rsidR="00635F3E" w:rsidRPr="00B65D57" w:rsidRDefault="00635F3E" w:rsidP="00635F3E">
            <w:pPr>
              <w:widowControl w:val="0"/>
              <w:rPr>
                <w:snapToGrid w:val="0"/>
                <w:lang w:eastAsia="fi-FI"/>
              </w:rPr>
            </w:pPr>
          </w:p>
        </w:tc>
        <w:tc>
          <w:tcPr>
            <w:tcW w:w="0" w:type="auto"/>
            <w:vMerge/>
          </w:tcPr>
          <w:p w14:paraId="5DBD66C2" w14:textId="77777777" w:rsidR="00635F3E" w:rsidRPr="00B65D57" w:rsidRDefault="00635F3E" w:rsidP="00635F3E">
            <w:pPr>
              <w:widowControl w:val="0"/>
              <w:rPr>
                <w:snapToGrid w:val="0"/>
                <w:lang w:eastAsia="fi-FI"/>
              </w:rPr>
            </w:pPr>
          </w:p>
        </w:tc>
        <w:tc>
          <w:tcPr>
            <w:tcW w:w="0" w:type="auto"/>
          </w:tcPr>
          <w:p w14:paraId="461C1298" w14:textId="77777777" w:rsidR="00635F3E" w:rsidRPr="00B65D57" w:rsidRDefault="00635F3E" w:rsidP="00635F3E">
            <w:pPr>
              <w:widowControl w:val="0"/>
              <w:rPr>
                <w:snapToGrid w:val="0"/>
                <w:lang w:eastAsia="fi-FI"/>
              </w:rPr>
            </w:pPr>
            <w:r w:rsidRPr="00B65D57">
              <w:rPr>
                <w:snapToGrid w:val="0"/>
                <w:lang w:eastAsia="fi-FI"/>
              </w:rPr>
              <w:t>Range</w:t>
            </w:r>
          </w:p>
        </w:tc>
        <w:tc>
          <w:tcPr>
            <w:tcW w:w="0" w:type="auto"/>
          </w:tcPr>
          <w:p w14:paraId="3E021D32" w14:textId="77777777" w:rsidR="00635F3E" w:rsidRPr="00B65D57" w:rsidRDefault="00635F3E" w:rsidP="00635F3E">
            <w:pPr>
              <w:widowControl w:val="0"/>
              <w:rPr>
                <w:snapToGrid w:val="0"/>
                <w:lang w:eastAsia="fi-FI"/>
              </w:rPr>
            </w:pPr>
            <w:r w:rsidRPr="00B65D57">
              <w:rPr>
                <w:snapToGrid w:val="0"/>
                <w:lang w:eastAsia="fi-FI"/>
              </w:rPr>
              <w:t>Mean</w:t>
            </w:r>
          </w:p>
        </w:tc>
        <w:tc>
          <w:tcPr>
            <w:tcW w:w="0" w:type="auto"/>
          </w:tcPr>
          <w:p w14:paraId="7226E80B" w14:textId="77777777" w:rsidR="00635F3E" w:rsidRPr="00B65D57" w:rsidRDefault="00635F3E" w:rsidP="00635F3E">
            <w:pPr>
              <w:widowControl w:val="0"/>
              <w:rPr>
                <w:snapToGrid w:val="0"/>
                <w:lang w:eastAsia="fi-FI"/>
              </w:rPr>
            </w:pPr>
            <w:r w:rsidRPr="00B65D57">
              <w:rPr>
                <w:snapToGrid w:val="0"/>
                <w:lang w:eastAsia="fi-FI"/>
              </w:rPr>
              <w:t>RSD</w:t>
            </w:r>
          </w:p>
        </w:tc>
        <w:tc>
          <w:tcPr>
            <w:tcW w:w="0" w:type="auto"/>
            <w:shd w:val="clear" w:color="auto" w:fill="FFFFFF"/>
            <w:vAlign w:val="center"/>
          </w:tcPr>
          <w:p w14:paraId="59A0E8E1" w14:textId="77777777" w:rsidR="00635F3E" w:rsidRPr="00B65D57" w:rsidRDefault="00635F3E" w:rsidP="00635F3E">
            <w:pPr>
              <w:widowControl w:val="0"/>
              <w:rPr>
                <w:snapToGrid w:val="0"/>
                <w:lang w:eastAsia="fi-FI"/>
              </w:rPr>
            </w:pPr>
            <w:r w:rsidRPr="00B65D57">
              <w:rPr>
                <w:snapToGrid w:val="0"/>
                <w:lang w:eastAsia="fi-FI"/>
              </w:rPr>
              <w:t>Concentration tested</w:t>
            </w:r>
          </w:p>
        </w:tc>
        <w:tc>
          <w:tcPr>
            <w:tcW w:w="0" w:type="auto"/>
            <w:shd w:val="clear" w:color="auto" w:fill="FFFFFF"/>
            <w:vAlign w:val="center"/>
          </w:tcPr>
          <w:p w14:paraId="0D12D562" w14:textId="77777777" w:rsidR="00635F3E" w:rsidRPr="00B65D57" w:rsidRDefault="00635F3E" w:rsidP="00635F3E">
            <w:pPr>
              <w:widowControl w:val="0"/>
              <w:rPr>
                <w:snapToGrid w:val="0"/>
                <w:lang w:eastAsia="fi-FI"/>
              </w:rPr>
            </w:pPr>
            <w:r w:rsidRPr="00B65D57">
              <w:rPr>
                <w:snapToGrid w:val="0"/>
                <w:lang w:eastAsia="fi-FI"/>
              </w:rPr>
              <w:t>Number of replicates</w:t>
            </w:r>
          </w:p>
        </w:tc>
        <w:tc>
          <w:tcPr>
            <w:tcW w:w="0" w:type="auto"/>
            <w:vMerge/>
          </w:tcPr>
          <w:p w14:paraId="2690DBAE" w14:textId="77777777" w:rsidR="00635F3E" w:rsidRPr="00B65D57" w:rsidRDefault="00635F3E" w:rsidP="00635F3E">
            <w:pPr>
              <w:widowControl w:val="0"/>
              <w:rPr>
                <w:snapToGrid w:val="0"/>
                <w:lang w:eastAsia="fi-FI"/>
              </w:rPr>
            </w:pPr>
          </w:p>
        </w:tc>
        <w:tc>
          <w:tcPr>
            <w:tcW w:w="0" w:type="auto"/>
            <w:vMerge/>
          </w:tcPr>
          <w:p w14:paraId="1E487C34" w14:textId="77777777" w:rsidR="00635F3E" w:rsidRPr="00B65D57" w:rsidRDefault="00635F3E" w:rsidP="00635F3E">
            <w:pPr>
              <w:widowControl w:val="0"/>
              <w:rPr>
                <w:snapToGrid w:val="0"/>
                <w:lang w:eastAsia="fi-FI"/>
              </w:rPr>
            </w:pPr>
          </w:p>
        </w:tc>
      </w:tr>
      <w:tr w:rsidR="00635F3E" w:rsidRPr="00B65D57" w14:paraId="3B455D58" w14:textId="77777777" w:rsidTr="00553245">
        <w:tc>
          <w:tcPr>
            <w:tcW w:w="0" w:type="auto"/>
          </w:tcPr>
          <w:p w14:paraId="4B935FDD"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Boron</w:t>
            </w:r>
          </w:p>
          <w:p w14:paraId="6FD17042"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ICP-AES</w:t>
            </w:r>
          </w:p>
        </w:tc>
        <w:tc>
          <w:tcPr>
            <w:tcW w:w="0" w:type="auto"/>
          </w:tcPr>
          <w:p w14:paraId="50CC7F0C" w14:textId="71CF4624" w:rsidR="00635F3E" w:rsidRPr="00B65D57" w:rsidRDefault="00BE356A"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400 –</w:t>
            </w:r>
            <w:r w:rsidR="00635F3E" w:rsidRPr="00B65D57">
              <w:rPr>
                <w:rFonts w:eastAsia="Calibri"/>
                <w:snapToGrid w:val="0"/>
                <w:sz w:val="18"/>
                <w:szCs w:val="18"/>
                <w:lang w:eastAsia="en-US"/>
              </w:rPr>
              <w:t xml:space="preserve"> 106 ppm</w:t>
            </w:r>
          </w:p>
        </w:tc>
        <w:tc>
          <w:tcPr>
            <w:tcW w:w="0" w:type="auto"/>
          </w:tcPr>
          <w:p w14:paraId="5032DEED"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Minor Fe and Cr interferants at 182.52 and 249.773 nm. No interferants at 249.678nm</w:t>
            </w:r>
          </w:p>
        </w:tc>
        <w:tc>
          <w:tcPr>
            <w:tcW w:w="0" w:type="auto"/>
          </w:tcPr>
          <w:p w14:paraId="4A9F15B2"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0.1 mg/L</w:t>
            </w:r>
          </w:p>
          <w:p w14:paraId="54102135"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0.4 mg/L</w:t>
            </w:r>
          </w:p>
        </w:tc>
        <w:tc>
          <w:tcPr>
            <w:tcW w:w="0" w:type="auto"/>
          </w:tcPr>
          <w:p w14:paraId="09D6DC67"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97-111</w:t>
            </w:r>
          </w:p>
        </w:tc>
        <w:tc>
          <w:tcPr>
            <w:tcW w:w="0" w:type="auto"/>
          </w:tcPr>
          <w:p w14:paraId="12D20F59"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w:t>
            </w:r>
          </w:p>
        </w:tc>
        <w:tc>
          <w:tcPr>
            <w:tcW w:w="0" w:type="auto"/>
          </w:tcPr>
          <w:p w14:paraId="1FA37817"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w:t>
            </w:r>
          </w:p>
        </w:tc>
        <w:tc>
          <w:tcPr>
            <w:tcW w:w="0" w:type="auto"/>
            <w:shd w:val="clear" w:color="auto" w:fill="FFFFFF"/>
          </w:tcPr>
          <w:p w14:paraId="5D42CB04"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0.023 mg/L</w:t>
            </w:r>
          </w:p>
          <w:p w14:paraId="66734F4A"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0.034 mg/L</w:t>
            </w:r>
          </w:p>
          <w:p w14:paraId="70B5A6DE"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0.063 mg/L</w:t>
            </w:r>
          </w:p>
        </w:tc>
        <w:tc>
          <w:tcPr>
            <w:tcW w:w="0" w:type="auto"/>
            <w:shd w:val="clear" w:color="auto" w:fill="FFFFFF"/>
          </w:tcPr>
          <w:p w14:paraId="03CF7C74"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w:t>
            </w:r>
          </w:p>
        </w:tc>
        <w:tc>
          <w:tcPr>
            <w:tcW w:w="0" w:type="auto"/>
          </w:tcPr>
          <w:p w14:paraId="49E60D89" w14:textId="77777777" w:rsidR="00635F3E" w:rsidRPr="00B65D57" w:rsidRDefault="00635F3E" w:rsidP="00635F3E">
            <w:pPr>
              <w:widowControl w:val="0"/>
              <w:spacing w:before="60" w:after="60" w:line="259" w:lineRule="auto"/>
              <w:rPr>
                <w:rFonts w:eastAsia="Calibri"/>
                <w:snapToGrid w:val="0"/>
                <w:sz w:val="18"/>
                <w:szCs w:val="18"/>
                <w:lang w:eastAsia="en-US"/>
              </w:rPr>
            </w:pPr>
            <w:r w:rsidRPr="00B65D57">
              <w:rPr>
                <w:rFonts w:eastAsia="Calibri"/>
                <w:snapToGrid w:val="0"/>
                <w:sz w:val="18"/>
                <w:szCs w:val="18"/>
                <w:lang w:eastAsia="en-US"/>
              </w:rPr>
              <w:t>0.005 mg/l</w:t>
            </w:r>
          </w:p>
          <w:p w14:paraId="19A21EBB" w14:textId="77777777" w:rsidR="00635F3E" w:rsidRPr="00B65D57" w:rsidRDefault="00635F3E" w:rsidP="00635F3E">
            <w:pPr>
              <w:widowControl w:val="0"/>
              <w:spacing w:before="60" w:after="60"/>
              <w:rPr>
                <w:rFonts w:eastAsia="Calibri"/>
                <w:snapToGrid w:val="0"/>
                <w:sz w:val="18"/>
                <w:szCs w:val="18"/>
                <w:lang w:eastAsia="en-US"/>
              </w:rPr>
            </w:pPr>
          </w:p>
        </w:tc>
        <w:tc>
          <w:tcPr>
            <w:tcW w:w="0" w:type="auto"/>
          </w:tcPr>
          <w:p w14:paraId="7B81BD3A" w14:textId="77777777"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US EPA Method 200.7</w:t>
            </w:r>
          </w:p>
        </w:tc>
      </w:tr>
    </w:tbl>
    <w:p w14:paraId="6F1ADBCC" w14:textId="77777777" w:rsidR="00635F3E" w:rsidRPr="00B65D57" w:rsidRDefault="00635F3E" w:rsidP="00635F3E">
      <w:pPr>
        <w:widowControl w:val="0"/>
        <w:rPr>
          <w:snapToGrid w:val="0"/>
          <w:lang w:eastAsia="fi-FI"/>
        </w:rPr>
      </w:pPr>
    </w:p>
    <w:p w14:paraId="746F1159" w14:textId="7FF00899" w:rsidR="00635F3E" w:rsidRPr="00B65D57" w:rsidRDefault="00635F3E" w:rsidP="00635F3E">
      <w:pPr>
        <w:keepNext/>
        <w:widowControl w:val="0"/>
        <w:spacing w:before="120" w:after="120"/>
        <w:rPr>
          <w:snapToGrid w:val="0"/>
          <w:szCs w:val="18"/>
          <w:lang w:eastAsia="fi-FI"/>
        </w:rPr>
      </w:pPr>
      <w:r w:rsidRPr="00B65D57">
        <w:rPr>
          <w:b/>
          <w:bCs/>
          <w:snapToGrid w:val="0"/>
          <w:szCs w:val="18"/>
          <w:lang w:eastAsia="fi-FI"/>
        </w:rPr>
        <w:t xml:space="preserve">Table </w:t>
      </w:r>
      <w:r w:rsidR="00D4149C" w:rsidRPr="00B65D57">
        <w:rPr>
          <w:b/>
          <w:bCs/>
          <w:snapToGrid w:val="0"/>
          <w:szCs w:val="18"/>
          <w:lang w:eastAsia="fi-FI"/>
        </w:rPr>
        <w:t>2.2.</w:t>
      </w:r>
      <w:r w:rsidR="009B5226" w:rsidRPr="00B65D57">
        <w:rPr>
          <w:b/>
          <w:bCs/>
          <w:snapToGrid w:val="0"/>
          <w:szCs w:val="18"/>
          <w:lang w:eastAsia="fi-FI"/>
        </w:rPr>
        <w:t>4</w:t>
      </w:r>
      <w:r w:rsidR="00D4149C" w:rsidRPr="00B65D57">
        <w:rPr>
          <w:b/>
          <w:bCs/>
          <w:snapToGrid w:val="0"/>
          <w:szCs w:val="18"/>
          <w:lang w:eastAsia="fi-FI"/>
        </w:rPr>
        <w:t>-5</w:t>
      </w:r>
      <w:r w:rsidRPr="00B65D57">
        <w:rPr>
          <w:b/>
          <w:bCs/>
          <w:snapToGrid w:val="0"/>
          <w:szCs w:val="18"/>
          <w:lang w:eastAsia="fi-FI"/>
        </w:rPr>
        <w:t xml:space="preserve"> Analytical methods for animal and human body fluids and tissues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4"/>
        <w:gridCol w:w="1068"/>
        <w:gridCol w:w="1222"/>
        <w:gridCol w:w="2345"/>
        <w:gridCol w:w="679"/>
        <w:gridCol w:w="599"/>
        <w:gridCol w:w="510"/>
        <w:gridCol w:w="1368"/>
        <w:gridCol w:w="1049"/>
        <w:gridCol w:w="1952"/>
        <w:gridCol w:w="1195"/>
      </w:tblGrid>
      <w:tr w:rsidR="00635F3E" w:rsidRPr="00B65D57" w14:paraId="76CD69CA" w14:textId="77777777" w:rsidTr="00553245">
        <w:trPr>
          <w:cantSplit/>
          <w:trHeight w:val="439"/>
        </w:trPr>
        <w:tc>
          <w:tcPr>
            <w:tcW w:w="13341" w:type="dxa"/>
            <w:gridSpan w:val="11"/>
            <w:shd w:val="clear" w:color="auto" w:fill="FFFFCC"/>
            <w:vAlign w:val="center"/>
          </w:tcPr>
          <w:p w14:paraId="63F9876E"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rFonts w:eastAsia="Calibri"/>
                <w:b/>
                <w:snapToGrid w:val="0"/>
                <w:sz w:val="18"/>
                <w:szCs w:val="18"/>
                <w:lang w:eastAsia="fi-FI"/>
              </w:rPr>
              <w:t>Analytical methods for animal and human body fluids and tissues</w:t>
            </w:r>
          </w:p>
        </w:tc>
      </w:tr>
      <w:tr w:rsidR="00635F3E" w:rsidRPr="00B65D57" w14:paraId="22982A33" w14:textId="77777777" w:rsidTr="00553245">
        <w:trPr>
          <w:cantSplit/>
          <w:trHeight w:val="352"/>
        </w:trPr>
        <w:tc>
          <w:tcPr>
            <w:tcW w:w="0" w:type="auto"/>
            <w:vMerge w:val="restart"/>
            <w:shd w:val="clear" w:color="auto" w:fill="FFFFFF"/>
          </w:tcPr>
          <w:p w14:paraId="41605AA0" w14:textId="61FFFEB1"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 xml:space="preserve">Analyte </w:t>
            </w:r>
            <w:r w:rsidRPr="005D6BB7">
              <w:rPr>
                <w:snapToGrid w:val="0"/>
                <w:sz w:val="18"/>
                <w:szCs w:val="18"/>
                <w:lang w:eastAsia="fi-FI"/>
              </w:rPr>
              <w:t>(</w:t>
            </w:r>
            <w:r w:rsidRPr="00B65D57">
              <w:rPr>
                <w:bCs/>
                <w:snapToGrid w:val="0"/>
                <w:sz w:val="18"/>
                <w:szCs w:val="18"/>
                <w:lang w:eastAsia="fi-FI"/>
              </w:rPr>
              <w:t>active substance)</w:t>
            </w:r>
            <w:r w:rsidRPr="00B65D57">
              <w:rPr>
                <w:b/>
                <w:bCs/>
                <w:snapToGrid w:val="0"/>
                <w:sz w:val="18"/>
                <w:szCs w:val="18"/>
                <w:lang w:eastAsia="fi-FI"/>
              </w:rPr>
              <w:t xml:space="preserve"> </w:t>
            </w:r>
          </w:p>
          <w:p w14:paraId="288189DD"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Analytical method</w:t>
            </w:r>
          </w:p>
        </w:tc>
        <w:tc>
          <w:tcPr>
            <w:tcW w:w="0" w:type="auto"/>
            <w:vMerge w:val="restart"/>
            <w:shd w:val="clear" w:color="auto" w:fill="FFFFFF"/>
          </w:tcPr>
          <w:p w14:paraId="0C929FAE"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Linearity</w:t>
            </w:r>
            <w:r w:rsidRPr="00B65D57" w:rsidDel="00C74C3A">
              <w:rPr>
                <w:b/>
                <w:bCs/>
                <w:snapToGrid w:val="0"/>
                <w:sz w:val="18"/>
                <w:szCs w:val="18"/>
                <w:lang w:eastAsia="fi-FI"/>
              </w:rPr>
              <w:t xml:space="preserve"> </w:t>
            </w:r>
          </w:p>
        </w:tc>
        <w:tc>
          <w:tcPr>
            <w:tcW w:w="0" w:type="auto"/>
            <w:vMerge w:val="restart"/>
            <w:shd w:val="clear" w:color="auto" w:fill="FFFFFF"/>
          </w:tcPr>
          <w:p w14:paraId="7004991F"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Specificity</w:t>
            </w:r>
            <w:r w:rsidRPr="00B65D57" w:rsidDel="00C74C3A">
              <w:rPr>
                <w:b/>
                <w:bCs/>
                <w:snapToGrid w:val="0"/>
                <w:sz w:val="18"/>
                <w:szCs w:val="18"/>
                <w:lang w:eastAsia="fi-FI"/>
              </w:rPr>
              <w:t xml:space="preserve"> </w:t>
            </w:r>
          </w:p>
        </w:tc>
        <w:tc>
          <w:tcPr>
            <w:tcW w:w="0" w:type="auto"/>
            <w:vMerge w:val="restart"/>
            <w:shd w:val="clear" w:color="auto" w:fill="FFFFFF"/>
          </w:tcPr>
          <w:p w14:paraId="7B731BF7"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Fortification range, level, and number of measurements</w:t>
            </w:r>
            <w:r w:rsidRPr="00B65D57" w:rsidDel="00C74C3A">
              <w:rPr>
                <w:b/>
                <w:bCs/>
                <w:snapToGrid w:val="0"/>
                <w:sz w:val="18"/>
                <w:szCs w:val="18"/>
                <w:lang w:eastAsia="fi-FI"/>
              </w:rPr>
              <w:t xml:space="preserve"> </w:t>
            </w:r>
            <w:r w:rsidRPr="00B65D57">
              <w:rPr>
                <w:b/>
                <w:bCs/>
                <w:snapToGrid w:val="0"/>
                <w:sz w:val="18"/>
                <w:szCs w:val="18"/>
                <w:lang w:eastAsia="fi-FI"/>
              </w:rPr>
              <w:t>at each level</w:t>
            </w:r>
          </w:p>
        </w:tc>
        <w:tc>
          <w:tcPr>
            <w:tcW w:w="0" w:type="auto"/>
            <w:gridSpan w:val="3"/>
            <w:shd w:val="clear" w:color="auto" w:fill="FFFFFF"/>
          </w:tcPr>
          <w:p w14:paraId="0A04CD8B"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Recovery rate (%)</w:t>
            </w:r>
          </w:p>
        </w:tc>
        <w:tc>
          <w:tcPr>
            <w:tcW w:w="0" w:type="auto"/>
            <w:gridSpan w:val="2"/>
            <w:shd w:val="clear" w:color="auto" w:fill="FFFFFF"/>
          </w:tcPr>
          <w:p w14:paraId="754DF5E1"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Precision (%)</w:t>
            </w:r>
          </w:p>
        </w:tc>
        <w:tc>
          <w:tcPr>
            <w:tcW w:w="0" w:type="auto"/>
            <w:vMerge w:val="restart"/>
            <w:shd w:val="clear" w:color="auto" w:fill="FFFFFF"/>
          </w:tcPr>
          <w:p w14:paraId="4ADEB545" w14:textId="77777777" w:rsidR="00635F3E" w:rsidRPr="00B65D57" w:rsidRDefault="00635F3E" w:rsidP="00635F3E">
            <w:pPr>
              <w:widowControl w:val="0"/>
              <w:spacing w:before="60" w:after="60"/>
              <w:rPr>
                <w:b/>
                <w:bCs/>
                <w:snapToGrid w:val="0"/>
                <w:sz w:val="18"/>
                <w:szCs w:val="18"/>
                <w:lang w:eastAsia="fi-FI"/>
              </w:rPr>
            </w:pPr>
            <w:r w:rsidRPr="00B65D57">
              <w:rPr>
                <w:b/>
                <w:bCs/>
                <w:snapToGrid w:val="0"/>
                <w:sz w:val="18"/>
                <w:szCs w:val="18"/>
                <w:lang w:eastAsia="fi-FI"/>
              </w:rPr>
              <w:t>Limit of quantification (LOQ) or other limits</w:t>
            </w:r>
            <w:r w:rsidRPr="00B65D57" w:rsidDel="00C74C3A">
              <w:rPr>
                <w:b/>
                <w:bCs/>
                <w:snapToGrid w:val="0"/>
                <w:sz w:val="18"/>
                <w:szCs w:val="18"/>
                <w:lang w:eastAsia="fi-FI"/>
              </w:rPr>
              <w:t xml:space="preserve"> </w:t>
            </w:r>
          </w:p>
        </w:tc>
        <w:tc>
          <w:tcPr>
            <w:tcW w:w="0" w:type="auto"/>
            <w:vMerge w:val="restart"/>
            <w:shd w:val="clear" w:color="auto" w:fill="FFFFFF"/>
          </w:tcPr>
          <w:p w14:paraId="5CDCEDB5"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Reference</w:t>
            </w:r>
          </w:p>
        </w:tc>
      </w:tr>
      <w:tr w:rsidR="00635F3E" w:rsidRPr="00B65D57" w14:paraId="1A9F3B22" w14:textId="77777777" w:rsidTr="00553245">
        <w:tc>
          <w:tcPr>
            <w:tcW w:w="0" w:type="auto"/>
            <w:vMerge/>
          </w:tcPr>
          <w:p w14:paraId="42979A27"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4D01A9C7"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53DB0870"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14DFA607" w14:textId="77777777" w:rsidR="00635F3E" w:rsidRPr="00B65D57" w:rsidRDefault="00635F3E" w:rsidP="00635F3E">
            <w:pPr>
              <w:widowControl w:val="0"/>
              <w:spacing w:before="60" w:after="60"/>
              <w:rPr>
                <w:snapToGrid w:val="0"/>
                <w:color w:val="000000"/>
                <w:sz w:val="18"/>
                <w:szCs w:val="18"/>
                <w:lang w:eastAsia="fi-FI"/>
              </w:rPr>
            </w:pPr>
          </w:p>
        </w:tc>
        <w:tc>
          <w:tcPr>
            <w:tcW w:w="0" w:type="auto"/>
          </w:tcPr>
          <w:p w14:paraId="62F11F40"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Range</w:t>
            </w:r>
          </w:p>
        </w:tc>
        <w:tc>
          <w:tcPr>
            <w:tcW w:w="0" w:type="auto"/>
          </w:tcPr>
          <w:p w14:paraId="5748C9BE"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Mean</w:t>
            </w:r>
          </w:p>
        </w:tc>
        <w:tc>
          <w:tcPr>
            <w:tcW w:w="0" w:type="auto"/>
          </w:tcPr>
          <w:p w14:paraId="1E7062A8"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RSD</w:t>
            </w:r>
          </w:p>
        </w:tc>
        <w:tc>
          <w:tcPr>
            <w:tcW w:w="0" w:type="auto"/>
            <w:shd w:val="clear" w:color="auto" w:fill="FFFFFF"/>
            <w:vAlign w:val="center"/>
          </w:tcPr>
          <w:p w14:paraId="58857855"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Concentration tested</w:t>
            </w:r>
          </w:p>
        </w:tc>
        <w:tc>
          <w:tcPr>
            <w:tcW w:w="0" w:type="auto"/>
            <w:shd w:val="clear" w:color="auto" w:fill="FFFFFF"/>
            <w:vAlign w:val="center"/>
          </w:tcPr>
          <w:p w14:paraId="136642A7"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Number of replicates</w:t>
            </w:r>
          </w:p>
        </w:tc>
        <w:tc>
          <w:tcPr>
            <w:tcW w:w="0" w:type="auto"/>
            <w:vMerge/>
          </w:tcPr>
          <w:p w14:paraId="5517B81D"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09FF1A43" w14:textId="77777777" w:rsidR="00635F3E" w:rsidRPr="00B65D57" w:rsidRDefault="00635F3E" w:rsidP="00635F3E">
            <w:pPr>
              <w:widowControl w:val="0"/>
              <w:spacing w:before="60" w:after="60"/>
              <w:rPr>
                <w:snapToGrid w:val="0"/>
                <w:color w:val="000000"/>
                <w:sz w:val="18"/>
                <w:szCs w:val="18"/>
                <w:lang w:eastAsia="fi-FI"/>
              </w:rPr>
            </w:pPr>
          </w:p>
        </w:tc>
      </w:tr>
      <w:tr w:rsidR="00635F3E" w:rsidRPr="00B65D57" w14:paraId="5FEAC14C" w14:textId="77777777" w:rsidTr="00553245">
        <w:tc>
          <w:tcPr>
            <w:tcW w:w="0" w:type="auto"/>
            <w:gridSpan w:val="11"/>
          </w:tcPr>
          <w:p w14:paraId="69AC4311" w14:textId="5D356A55" w:rsidR="00635F3E" w:rsidRPr="00B65D57" w:rsidRDefault="00635F3E" w:rsidP="00635F3E">
            <w:pPr>
              <w:widowControl w:val="0"/>
              <w:spacing w:before="60" w:after="60"/>
              <w:rPr>
                <w:rFonts w:eastAsia="Calibri"/>
                <w:snapToGrid w:val="0"/>
                <w:sz w:val="18"/>
                <w:szCs w:val="18"/>
                <w:lang w:eastAsia="en-US"/>
              </w:rPr>
            </w:pPr>
            <w:r w:rsidRPr="00B65D57">
              <w:rPr>
                <w:rFonts w:eastAsia="Calibri"/>
                <w:snapToGrid w:val="0"/>
                <w:sz w:val="18"/>
                <w:szCs w:val="18"/>
                <w:lang w:eastAsia="en-US"/>
              </w:rPr>
              <w:t xml:space="preserve">Analytical methods for animal and human body fluids and tissues </w:t>
            </w:r>
            <w:r w:rsidR="00BE356A" w:rsidRPr="00B65D57">
              <w:rPr>
                <w:rFonts w:eastAsia="Calibri"/>
                <w:snapToGrid w:val="0"/>
                <w:sz w:val="18"/>
                <w:szCs w:val="18"/>
                <w:lang w:eastAsia="en-US"/>
              </w:rPr>
              <w:t>are</w:t>
            </w:r>
            <w:r w:rsidRPr="00B65D57">
              <w:rPr>
                <w:rFonts w:eastAsia="Calibri"/>
                <w:snapToGrid w:val="0"/>
                <w:sz w:val="18"/>
                <w:szCs w:val="18"/>
                <w:lang w:eastAsia="en-US"/>
              </w:rPr>
              <w:t xml:space="preserve"> not required. Studies show that injected Eurobor (slurry of Jerbor) remains within the treatment area and is not to a large extent transported/dispersed from this area (Vickman and Danielsson (2011) and Bandh (2020)). Furthermore, Jerbor is only for professional users with appropriate PPE which limits the exposure. </w:t>
            </w:r>
          </w:p>
          <w:p w14:paraId="1095DA77" w14:textId="77777777" w:rsidR="00635F3E" w:rsidRPr="00B65D57" w:rsidRDefault="00635F3E" w:rsidP="00635F3E">
            <w:pPr>
              <w:widowControl w:val="0"/>
              <w:spacing w:before="60" w:after="60"/>
              <w:rPr>
                <w:snapToGrid w:val="0"/>
                <w:color w:val="000000"/>
                <w:sz w:val="18"/>
                <w:szCs w:val="18"/>
                <w:lang w:eastAsia="fi-FI"/>
              </w:rPr>
            </w:pPr>
            <w:r w:rsidRPr="00B65D57">
              <w:rPr>
                <w:rFonts w:eastAsia="Calibri"/>
                <w:snapToGrid w:val="0"/>
                <w:sz w:val="18"/>
                <w:szCs w:val="18"/>
                <w:lang w:eastAsia="en-US"/>
              </w:rPr>
              <w:t>In the CAR, it is stated that the same method as for soil can be used.</w:t>
            </w:r>
          </w:p>
        </w:tc>
      </w:tr>
    </w:tbl>
    <w:p w14:paraId="4C06780B" w14:textId="77777777" w:rsidR="00635F3E" w:rsidRPr="00B65D57" w:rsidRDefault="00635F3E" w:rsidP="00635F3E">
      <w:pPr>
        <w:widowControl w:val="0"/>
        <w:rPr>
          <w:rFonts w:eastAsia="Calibri"/>
          <w:snapToGrid w:val="0"/>
          <w:lang w:eastAsia="en-US"/>
        </w:rPr>
      </w:pPr>
    </w:p>
    <w:p w14:paraId="2F382C5E" w14:textId="0298D998"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lastRenderedPageBreak/>
        <w:t xml:space="preserve">Table </w:t>
      </w:r>
      <w:r w:rsidR="00D4149C" w:rsidRPr="00B65D57">
        <w:rPr>
          <w:b/>
          <w:bCs/>
          <w:snapToGrid w:val="0"/>
          <w:szCs w:val="18"/>
          <w:lang w:eastAsia="fi-FI"/>
        </w:rPr>
        <w:t>2.2.</w:t>
      </w:r>
      <w:r w:rsidR="009B5226" w:rsidRPr="00B65D57">
        <w:rPr>
          <w:b/>
          <w:bCs/>
          <w:snapToGrid w:val="0"/>
          <w:szCs w:val="18"/>
          <w:lang w:eastAsia="fi-FI"/>
        </w:rPr>
        <w:t>4</w:t>
      </w:r>
      <w:r w:rsidR="00D4149C" w:rsidRPr="00B65D57">
        <w:rPr>
          <w:b/>
          <w:bCs/>
          <w:snapToGrid w:val="0"/>
          <w:szCs w:val="18"/>
          <w:lang w:eastAsia="fi-FI"/>
        </w:rPr>
        <w:t>-6</w:t>
      </w:r>
      <w:r w:rsidRPr="00B65D57">
        <w:rPr>
          <w:b/>
          <w:bCs/>
          <w:snapToGrid w:val="0"/>
          <w:szCs w:val="18"/>
          <w:lang w:eastAsia="fi-FI"/>
        </w:rPr>
        <w:t xml:space="preserve"> Analytical methods for monitoring of active substances and residues in food and feeding stuff</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4"/>
        <w:gridCol w:w="1035"/>
        <w:gridCol w:w="1185"/>
        <w:gridCol w:w="2462"/>
        <w:gridCol w:w="663"/>
        <w:gridCol w:w="585"/>
        <w:gridCol w:w="498"/>
        <w:gridCol w:w="1346"/>
        <w:gridCol w:w="1048"/>
        <w:gridCol w:w="1996"/>
        <w:gridCol w:w="1159"/>
      </w:tblGrid>
      <w:tr w:rsidR="00635F3E" w:rsidRPr="00B65D57" w14:paraId="507F97F0" w14:textId="77777777" w:rsidTr="00553245">
        <w:trPr>
          <w:cantSplit/>
          <w:trHeight w:val="439"/>
        </w:trPr>
        <w:tc>
          <w:tcPr>
            <w:tcW w:w="13341" w:type="dxa"/>
            <w:gridSpan w:val="11"/>
            <w:shd w:val="clear" w:color="auto" w:fill="FFFFCC"/>
            <w:vAlign w:val="center"/>
          </w:tcPr>
          <w:p w14:paraId="190ADAFB" w14:textId="77777777" w:rsidR="00635F3E" w:rsidRPr="00B65D57" w:rsidRDefault="00635F3E" w:rsidP="00635F3E">
            <w:pPr>
              <w:keepNext/>
              <w:widowControl w:val="0"/>
              <w:autoSpaceDE w:val="0"/>
              <w:autoSpaceDN w:val="0"/>
              <w:adjustRightInd w:val="0"/>
              <w:spacing w:before="60" w:after="60"/>
              <w:jc w:val="center"/>
              <w:rPr>
                <w:b/>
                <w:bCs/>
                <w:snapToGrid w:val="0"/>
                <w:sz w:val="18"/>
                <w:szCs w:val="18"/>
                <w:lang w:eastAsia="fi-FI"/>
              </w:rPr>
            </w:pPr>
            <w:r w:rsidRPr="00B65D57">
              <w:rPr>
                <w:rFonts w:eastAsia="Calibri"/>
                <w:b/>
                <w:snapToGrid w:val="0"/>
                <w:sz w:val="18"/>
                <w:szCs w:val="18"/>
                <w:lang w:eastAsia="fi-FI"/>
              </w:rPr>
              <w:t>Analytical methods for monitoring of active substances and residues in food and feeding stuff</w:t>
            </w:r>
          </w:p>
        </w:tc>
      </w:tr>
      <w:tr w:rsidR="00635F3E" w:rsidRPr="00B65D57" w14:paraId="3ECEF8E3" w14:textId="77777777" w:rsidTr="00553245">
        <w:trPr>
          <w:cantSplit/>
          <w:trHeight w:val="352"/>
        </w:trPr>
        <w:tc>
          <w:tcPr>
            <w:tcW w:w="0" w:type="auto"/>
            <w:vMerge w:val="restart"/>
            <w:shd w:val="clear" w:color="auto" w:fill="FFFFFF"/>
          </w:tcPr>
          <w:p w14:paraId="49F4BA56" w14:textId="48A6366C"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 xml:space="preserve">Analyte </w:t>
            </w:r>
            <w:r w:rsidRPr="00B65D57">
              <w:rPr>
                <w:bCs/>
                <w:snapToGrid w:val="0"/>
                <w:sz w:val="18"/>
                <w:szCs w:val="18"/>
                <w:lang w:eastAsia="fi-FI"/>
              </w:rPr>
              <w:t>(active substance)</w:t>
            </w:r>
            <w:r w:rsidRPr="00B65D57">
              <w:rPr>
                <w:b/>
                <w:bCs/>
                <w:snapToGrid w:val="0"/>
                <w:sz w:val="18"/>
                <w:szCs w:val="18"/>
                <w:lang w:eastAsia="fi-FI"/>
              </w:rPr>
              <w:t xml:space="preserve"> </w:t>
            </w:r>
          </w:p>
          <w:p w14:paraId="4C9D6183"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Analytical method</w:t>
            </w:r>
          </w:p>
        </w:tc>
        <w:tc>
          <w:tcPr>
            <w:tcW w:w="0" w:type="auto"/>
            <w:vMerge w:val="restart"/>
            <w:shd w:val="clear" w:color="auto" w:fill="FFFFFF"/>
          </w:tcPr>
          <w:p w14:paraId="4CB2CA7C"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Linearity</w:t>
            </w:r>
            <w:r w:rsidRPr="00B65D57" w:rsidDel="00C74C3A">
              <w:rPr>
                <w:b/>
                <w:bCs/>
                <w:snapToGrid w:val="0"/>
                <w:sz w:val="18"/>
                <w:szCs w:val="18"/>
                <w:lang w:eastAsia="fi-FI"/>
              </w:rPr>
              <w:t xml:space="preserve"> </w:t>
            </w:r>
          </w:p>
        </w:tc>
        <w:tc>
          <w:tcPr>
            <w:tcW w:w="0" w:type="auto"/>
            <w:vMerge w:val="restart"/>
            <w:shd w:val="clear" w:color="auto" w:fill="FFFFFF"/>
          </w:tcPr>
          <w:p w14:paraId="020EE678"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Specificity</w:t>
            </w:r>
            <w:r w:rsidRPr="00B65D57" w:rsidDel="00C74C3A">
              <w:rPr>
                <w:b/>
                <w:bCs/>
                <w:snapToGrid w:val="0"/>
                <w:sz w:val="18"/>
                <w:szCs w:val="18"/>
                <w:lang w:eastAsia="fi-FI"/>
              </w:rPr>
              <w:t xml:space="preserve"> </w:t>
            </w:r>
          </w:p>
        </w:tc>
        <w:tc>
          <w:tcPr>
            <w:tcW w:w="0" w:type="auto"/>
            <w:vMerge w:val="restart"/>
            <w:shd w:val="clear" w:color="auto" w:fill="FFFFFF"/>
          </w:tcPr>
          <w:p w14:paraId="10AC40E5"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Fortification range, level, and number of measurements</w:t>
            </w:r>
            <w:r w:rsidRPr="00B65D57" w:rsidDel="00C74C3A">
              <w:rPr>
                <w:b/>
                <w:bCs/>
                <w:snapToGrid w:val="0"/>
                <w:sz w:val="18"/>
                <w:szCs w:val="18"/>
                <w:lang w:eastAsia="fi-FI"/>
              </w:rPr>
              <w:t xml:space="preserve"> </w:t>
            </w:r>
            <w:r w:rsidRPr="00B65D57">
              <w:rPr>
                <w:b/>
                <w:bCs/>
                <w:snapToGrid w:val="0"/>
                <w:sz w:val="18"/>
                <w:szCs w:val="18"/>
                <w:lang w:eastAsia="fi-FI"/>
              </w:rPr>
              <w:t>at each level</w:t>
            </w:r>
          </w:p>
        </w:tc>
        <w:tc>
          <w:tcPr>
            <w:tcW w:w="0" w:type="auto"/>
            <w:gridSpan w:val="3"/>
            <w:shd w:val="clear" w:color="auto" w:fill="FFFFFF"/>
          </w:tcPr>
          <w:p w14:paraId="3B42469E"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Recovery rate (%)</w:t>
            </w:r>
          </w:p>
        </w:tc>
        <w:tc>
          <w:tcPr>
            <w:tcW w:w="0" w:type="auto"/>
            <w:gridSpan w:val="2"/>
            <w:shd w:val="clear" w:color="auto" w:fill="FFFFFF"/>
          </w:tcPr>
          <w:p w14:paraId="789BF96E"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Precision (%)</w:t>
            </w:r>
          </w:p>
        </w:tc>
        <w:tc>
          <w:tcPr>
            <w:tcW w:w="0" w:type="auto"/>
            <w:vMerge w:val="restart"/>
            <w:shd w:val="clear" w:color="auto" w:fill="FFFFFF"/>
          </w:tcPr>
          <w:p w14:paraId="12BCEF98" w14:textId="77777777" w:rsidR="00635F3E" w:rsidRPr="00B65D57" w:rsidRDefault="00635F3E" w:rsidP="00635F3E">
            <w:pPr>
              <w:widowControl w:val="0"/>
              <w:spacing w:before="60" w:after="60"/>
              <w:rPr>
                <w:b/>
                <w:bCs/>
                <w:snapToGrid w:val="0"/>
                <w:sz w:val="18"/>
                <w:szCs w:val="18"/>
                <w:lang w:eastAsia="fi-FI"/>
              </w:rPr>
            </w:pPr>
            <w:r w:rsidRPr="00B65D57">
              <w:rPr>
                <w:b/>
                <w:bCs/>
                <w:snapToGrid w:val="0"/>
                <w:sz w:val="18"/>
                <w:szCs w:val="18"/>
                <w:lang w:eastAsia="fi-FI"/>
              </w:rPr>
              <w:t>Limit of quantification (LOQ) or other limits</w:t>
            </w:r>
            <w:r w:rsidRPr="00B65D57" w:rsidDel="00C74C3A">
              <w:rPr>
                <w:b/>
                <w:bCs/>
                <w:snapToGrid w:val="0"/>
                <w:sz w:val="18"/>
                <w:szCs w:val="18"/>
                <w:lang w:eastAsia="fi-FI"/>
              </w:rPr>
              <w:t xml:space="preserve"> </w:t>
            </w:r>
          </w:p>
        </w:tc>
        <w:tc>
          <w:tcPr>
            <w:tcW w:w="0" w:type="auto"/>
            <w:vMerge w:val="restart"/>
            <w:shd w:val="clear" w:color="auto" w:fill="FFFFFF"/>
          </w:tcPr>
          <w:p w14:paraId="75404CCB" w14:textId="77777777" w:rsidR="00635F3E" w:rsidRPr="00B65D57" w:rsidRDefault="00635F3E" w:rsidP="00635F3E">
            <w:pPr>
              <w:keepNext/>
              <w:widowControl w:val="0"/>
              <w:autoSpaceDE w:val="0"/>
              <w:autoSpaceDN w:val="0"/>
              <w:adjustRightInd w:val="0"/>
              <w:spacing w:before="60" w:after="60"/>
              <w:rPr>
                <w:b/>
                <w:bCs/>
                <w:snapToGrid w:val="0"/>
                <w:sz w:val="18"/>
                <w:szCs w:val="18"/>
                <w:lang w:eastAsia="fi-FI"/>
              </w:rPr>
            </w:pPr>
            <w:r w:rsidRPr="00B65D57">
              <w:rPr>
                <w:b/>
                <w:bCs/>
                <w:snapToGrid w:val="0"/>
                <w:sz w:val="18"/>
                <w:szCs w:val="18"/>
                <w:lang w:eastAsia="fi-FI"/>
              </w:rPr>
              <w:t>Reference</w:t>
            </w:r>
          </w:p>
        </w:tc>
      </w:tr>
      <w:tr w:rsidR="00635F3E" w:rsidRPr="00B65D57" w14:paraId="7F05144F" w14:textId="77777777" w:rsidTr="00553245">
        <w:tc>
          <w:tcPr>
            <w:tcW w:w="0" w:type="auto"/>
            <w:vMerge/>
          </w:tcPr>
          <w:p w14:paraId="252F0118"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1749CD63"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05591660"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45BC1852" w14:textId="77777777" w:rsidR="00635F3E" w:rsidRPr="00B65D57" w:rsidRDefault="00635F3E" w:rsidP="00635F3E">
            <w:pPr>
              <w:widowControl w:val="0"/>
              <w:spacing w:before="60" w:after="60"/>
              <w:rPr>
                <w:snapToGrid w:val="0"/>
                <w:color w:val="000000"/>
                <w:sz w:val="18"/>
                <w:szCs w:val="18"/>
                <w:lang w:eastAsia="fi-FI"/>
              </w:rPr>
            </w:pPr>
          </w:p>
        </w:tc>
        <w:tc>
          <w:tcPr>
            <w:tcW w:w="0" w:type="auto"/>
          </w:tcPr>
          <w:p w14:paraId="5BFDEB83"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Range</w:t>
            </w:r>
          </w:p>
        </w:tc>
        <w:tc>
          <w:tcPr>
            <w:tcW w:w="0" w:type="auto"/>
          </w:tcPr>
          <w:p w14:paraId="3740E5BE"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Mean</w:t>
            </w:r>
          </w:p>
        </w:tc>
        <w:tc>
          <w:tcPr>
            <w:tcW w:w="0" w:type="auto"/>
          </w:tcPr>
          <w:p w14:paraId="4FBA8C1B"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color w:val="000000"/>
                <w:sz w:val="16"/>
                <w:szCs w:val="18"/>
                <w:lang w:eastAsia="fi-FI"/>
              </w:rPr>
              <w:t>RSD</w:t>
            </w:r>
          </w:p>
        </w:tc>
        <w:tc>
          <w:tcPr>
            <w:tcW w:w="0" w:type="auto"/>
            <w:shd w:val="clear" w:color="auto" w:fill="FFFFFF"/>
            <w:vAlign w:val="center"/>
          </w:tcPr>
          <w:p w14:paraId="429DB8BB"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Concentration tested</w:t>
            </w:r>
          </w:p>
        </w:tc>
        <w:tc>
          <w:tcPr>
            <w:tcW w:w="0" w:type="auto"/>
            <w:shd w:val="clear" w:color="auto" w:fill="FFFFFF"/>
            <w:vAlign w:val="center"/>
          </w:tcPr>
          <w:p w14:paraId="37C4BE5E" w14:textId="77777777" w:rsidR="00635F3E" w:rsidRPr="00B65D57" w:rsidRDefault="00635F3E" w:rsidP="00635F3E">
            <w:pPr>
              <w:widowControl w:val="0"/>
              <w:spacing w:before="60" w:after="60"/>
              <w:jc w:val="center"/>
              <w:rPr>
                <w:snapToGrid w:val="0"/>
                <w:color w:val="000000"/>
                <w:sz w:val="16"/>
                <w:szCs w:val="18"/>
                <w:lang w:eastAsia="fi-FI"/>
              </w:rPr>
            </w:pPr>
            <w:r w:rsidRPr="00B65D57">
              <w:rPr>
                <w:snapToGrid w:val="0"/>
                <w:sz w:val="16"/>
                <w:szCs w:val="18"/>
                <w:lang w:eastAsia="fi-FI"/>
              </w:rPr>
              <w:t>Number of replicates</w:t>
            </w:r>
          </w:p>
        </w:tc>
        <w:tc>
          <w:tcPr>
            <w:tcW w:w="0" w:type="auto"/>
            <w:vMerge/>
          </w:tcPr>
          <w:p w14:paraId="11C7ED39" w14:textId="77777777" w:rsidR="00635F3E" w:rsidRPr="00B65D57" w:rsidRDefault="00635F3E" w:rsidP="00635F3E">
            <w:pPr>
              <w:widowControl w:val="0"/>
              <w:spacing w:before="60" w:after="60"/>
              <w:rPr>
                <w:snapToGrid w:val="0"/>
                <w:color w:val="000000"/>
                <w:sz w:val="18"/>
                <w:szCs w:val="18"/>
                <w:lang w:eastAsia="fi-FI"/>
              </w:rPr>
            </w:pPr>
          </w:p>
        </w:tc>
        <w:tc>
          <w:tcPr>
            <w:tcW w:w="0" w:type="auto"/>
            <w:vMerge/>
          </w:tcPr>
          <w:p w14:paraId="3DE46BB7" w14:textId="77777777" w:rsidR="00635F3E" w:rsidRPr="00B65D57" w:rsidRDefault="00635F3E" w:rsidP="00635F3E">
            <w:pPr>
              <w:widowControl w:val="0"/>
              <w:spacing w:before="60" w:after="60"/>
              <w:rPr>
                <w:snapToGrid w:val="0"/>
                <w:color w:val="000000"/>
                <w:sz w:val="18"/>
                <w:szCs w:val="18"/>
                <w:lang w:eastAsia="fi-FI"/>
              </w:rPr>
            </w:pPr>
          </w:p>
        </w:tc>
      </w:tr>
      <w:tr w:rsidR="00635F3E" w:rsidRPr="00B65D57" w14:paraId="072A7F28" w14:textId="77777777" w:rsidTr="00553245">
        <w:tc>
          <w:tcPr>
            <w:tcW w:w="0" w:type="auto"/>
            <w:gridSpan w:val="11"/>
          </w:tcPr>
          <w:p w14:paraId="00E909D2" w14:textId="77777777" w:rsidR="00635F3E" w:rsidRPr="00B65D57" w:rsidRDefault="00635F3E" w:rsidP="00635F3E">
            <w:pPr>
              <w:widowControl w:val="0"/>
              <w:spacing w:before="60" w:after="60"/>
              <w:rPr>
                <w:snapToGrid w:val="0"/>
                <w:color w:val="000000"/>
                <w:sz w:val="18"/>
                <w:szCs w:val="18"/>
                <w:lang w:eastAsia="fi-FI"/>
              </w:rPr>
            </w:pPr>
            <w:r w:rsidRPr="00B65D57">
              <w:rPr>
                <w:rFonts w:eastAsia="Calibri"/>
                <w:snapToGrid w:val="0"/>
                <w:sz w:val="18"/>
                <w:szCs w:val="18"/>
                <w:lang w:eastAsia="en-US"/>
              </w:rPr>
              <w:t>The product is not intended to be used on surface in contact with food/feed of plant and animal origin; therefore, analytical method for the determination of active substance in food/feed of plant and animal origin is not required.</w:t>
            </w:r>
          </w:p>
        </w:tc>
      </w:tr>
    </w:tbl>
    <w:p w14:paraId="045CC80D" w14:textId="77777777" w:rsidR="00635F3E" w:rsidRPr="00B65D57" w:rsidRDefault="00635F3E" w:rsidP="00635F3E">
      <w:pPr>
        <w:keepNext/>
        <w:widowControl w:val="0"/>
        <w:spacing w:before="120" w:after="120"/>
        <w:rPr>
          <w:b/>
          <w:bCs/>
          <w:snapToGrid w:val="0"/>
          <w:szCs w:val="18"/>
          <w:lang w:eastAsia="fi-FI"/>
        </w:rPr>
        <w:sectPr w:rsidR="00635F3E" w:rsidRPr="00B65D57" w:rsidSect="00674CD5">
          <w:headerReference w:type="default" r:id="rId16"/>
          <w:pgSz w:w="16838" w:h="11906" w:orient="landscape"/>
          <w:pgMar w:top="1446" w:right="1474" w:bottom="1247" w:left="2013" w:header="850" w:footer="850" w:gutter="0"/>
          <w:cols w:space="720"/>
          <w:docGrid w:linePitch="272"/>
        </w:sectPr>
      </w:pPr>
    </w:p>
    <w:p w14:paraId="76734145" w14:textId="04CAC081" w:rsidR="00635F3E" w:rsidRPr="00B65D57" w:rsidRDefault="00635F3E" w:rsidP="00635F3E">
      <w:pPr>
        <w:keepNext/>
        <w:widowControl w:val="0"/>
        <w:spacing w:before="120" w:after="120"/>
        <w:rPr>
          <w:b/>
          <w:bCs/>
          <w:snapToGrid w:val="0"/>
          <w:szCs w:val="18"/>
          <w:lang w:eastAsia="fi-FI"/>
        </w:rPr>
      </w:pPr>
      <w:r w:rsidRPr="00B65D57">
        <w:rPr>
          <w:b/>
          <w:bCs/>
          <w:snapToGrid w:val="0"/>
          <w:szCs w:val="18"/>
          <w:lang w:eastAsia="fi-FI"/>
        </w:rPr>
        <w:lastRenderedPageBreak/>
        <w:t>Conclusion on methods for detection and identification</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635F3E" w:rsidRPr="00B65D57" w14:paraId="7FB33FD0" w14:textId="77777777" w:rsidTr="00553245">
        <w:tc>
          <w:tcPr>
            <w:tcW w:w="5000" w:type="pct"/>
            <w:tcBorders>
              <w:top w:val="single" w:sz="4" w:space="0" w:color="auto"/>
              <w:left w:val="single" w:sz="4" w:space="0" w:color="auto"/>
              <w:bottom w:val="single" w:sz="6" w:space="0" w:color="auto"/>
              <w:right w:val="single" w:sz="6" w:space="0" w:color="auto"/>
            </w:tcBorders>
            <w:shd w:val="clear" w:color="auto" w:fill="CCFFCC"/>
          </w:tcPr>
          <w:p w14:paraId="3E9BF282" w14:textId="77777777" w:rsidR="00635F3E" w:rsidRPr="00B65D57" w:rsidRDefault="00635F3E" w:rsidP="00635F3E">
            <w:pPr>
              <w:widowControl w:val="0"/>
              <w:rPr>
                <w:rFonts w:eastAsia="Calibri"/>
                <w:b/>
                <w:bCs/>
                <w:snapToGrid w:val="0"/>
                <w:sz w:val="18"/>
                <w:szCs w:val="18"/>
                <w:lang w:eastAsia="en-US"/>
              </w:rPr>
            </w:pPr>
            <w:r w:rsidRPr="00B65D57">
              <w:rPr>
                <w:rFonts w:eastAsia="Calibri"/>
                <w:b/>
                <w:bCs/>
                <w:snapToGrid w:val="0"/>
                <w:sz w:val="18"/>
                <w:szCs w:val="18"/>
                <w:lang w:eastAsia="en-US"/>
              </w:rPr>
              <w:t xml:space="preserve">Conclusion on methods for detection and identification </w:t>
            </w:r>
          </w:p>
        </w:tc>
      </w:tr>
      <w:tr w:rsidR="00635F3E" w:rsidRPr="00B65D57" w14:paraId="66368273" w14:textId="77777777" w:rsidTr="0055324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AA3FF8F" w14:textId="1E2F4517" w:rsidR="00635F3E" w:rsidRDefault="00635F3E" w:rsidP="00F43B77">
            <w:pPr>
              <w:widowControl w:val="0"/>
              <w:rPr>
                <w:rFonts w:eastAsia="Calibri"/>
                <w:snapToGrid w:val="0"/>
                <w:sz w:val="18"/>
                <w:szCs w:val="18"/>
                <w:lang w:eastAsia="en-US"/>
              </w:rPr>
            </w:pPr>
            <w:r w:rsidRPr="00B65D57">
              <w:rPr>
                <w:rFonts w:eastAsia="Calibri"/>
                <w:snapToGrid w:val="0"/>
                <w:sz w:val="18"/>
                <w:szCs w:val="18"/>
                <w:lang w:eastAsia="en-US"/>
              </w:rPr>
              <w:t xml:space="preserve">An </w:t>
            </w:r>
            <w:r w:rsidR="00F43B77">
              <w:rPr>
                <w:rFonts w:eastAsia="Calibri"/>
                <w:snapToGrid w:val="0"/>
                <w:sz w:val="18"/>
                <w:szCs w:val="18"/>
                <w:lang w:eastAsia="en-US"/>
              </w:rPr>
              <w:t>a</w:t>
            </w:r>
            <w:r w:rsidRPr="00B65D57">
              <w:rPr>
                <w:rFonts w:eastAsia="Calibri"/>
                <w:snapToGrid w:val="0"/>
                <w:sz w:val="18"/>
                <w:szCs w:val="18"/>
                <w:lang w:eastAsia="en-US"/>
              </w:rPr>
              <w:t>nalytical method</w:t>
            </w:r>
            <w:r w:rsidR="00F43B77">
              <w:rPr>
                <w:rFonts w:eastAsia="Calibri"/>
                <w:snapToGrid w:val="0"/>
                <w:sz w:val="18"/>
                <w:szCs w:val="18"/>
                <w:lang w:eastAsia="en-US"/>
              </w:rPr>
              <w:t xml:space="preserve"> (Genberg, M. (2022)) </w:t>
            </w:r>
            <w:r w:rsidRPr="00B65D57">
              <w:rPr>
                <w:rFonts w:eastAsia="Calibri"/>
                <w:snapToGrid w:val="0"/>
                <w:sz w:val="18"/>
                <w:szCs w:val="18"/>
                <w:lang w:eastAsia="en-US"/>
              </w:rPr>
              <w:t xml:space="preserve">for the determination of </w:t>
            </w:r>
            <w:r w:rsidR="00F43B77">
              <w:rPr>
                <w:rFonts w:eastAsia="Calibri"/>
                <w:snapToGrid w:val="0"/>
                <w:sz w:val="18"/>
                <w:szCs w:val="18"/>
                <w:lang w:eastAsia="en-US"/>
              </w:rPr>
              <w:t>total boron and sodium</w:t>
            </w:r>
            <w:r w:rsidRPr="00B65D57">
              <w:rPr>
                <w:rFonts w:eastAsia="Calibri"/>
                <w:snapToGrid w:val="0"/>
                <w:sz w:val="18"/>
                <w:szCs w:val="18"/>
                <w:lang w:eastAsia="en-US"/>
              </w:rPr>
              <w:t xml:space="preserve"> in the biocidal product</w:t>
            </w:r>
            <w:r w:rsidR="00F43B77">
              <w:rPr>
                <w:rFonts w:eastAsia="Calibri"/>
                <w:snapToGrid w:val="0"/>
                <w:sz w:val="18"/>
                <w:szCs w:val="18"/>
                <w:lang w:eastAsia="en-US"/>
              </w:rPr>
              <w:t xml:space="preserve"> is</w:t>
            </w:r>
            <w:r w:rsidRPr="00B65D57">
              <w:rPr>
                <w:rFonts w:eastAsia="Calibri"/>
                <w:snapToGrid w:val="0"/>
                <w:sz w:val="18"/>
                <w:szCs w:val="18"/>
                <w:lang w:eastAsia="en-US"/>
              </w:rPr>
              <w:t xml:space="preserve"> available. Specificity, linearity, accuracy and precision were checked and found acceptable.</w:t>
            </w:r>
            <w:r w:rsidR="00F43B77">
              <w:rPr>
                <w:rFonts w:eastAsia="Calibri"/>
                <w:snapToGrid w:val="0"/>
                <w:sz w:val="18"/>
                <w:szCs w:val="18"/>
                <w:lang w:eastAsia="en-US"/>
              </w:rPr>
              <w:t xml:space="preserve"> For the precision, the Horrat value</w:t>
            </w:r>
            <w:r w:rsidR="0090318D">
              <w:rPr>
                <w:rFonts w:eastAsia="Calibri"/>
                <w:snapToGrid w:val="0"/>
                <w:sz w:val="18"/>
                <w:szCs w:val="18"/>
                <w:lang w:eastAsia="en-US"/>
              </w:rPr>
              <w:t>s</w:t>
            </w:r>
            <w:r w:rsidR="00F43B77">
              <w:rPr>
                <w:rFonts w:eastAsia="Calibri"/>
                <w:snapToGrid w:val="0"/>
                <w:sz w:val="18"/>
                <w:szCs w:val="18"/>
                <w:lang w:eastAsia="en-US"/>
              </w:rPr>
              <w:t xml:space="preserve"> (Hr) were &gt;1 for both boron and sodium. The is considered acceptable with the justification that there are difficulties in sampling because Jerbor consists of a mixture of 2 granular components and difficulties with analysing highly concentrated samples (even after 10000-fold dilution).</w:t>
            </w:r>
          </w:p>
          <w:p w14:paraId="114AB62A" w14:textId="7A3B33A9" w:rsidR="00E57032" w:rsidRDefault="00E57032" w:rsidP="00635F3E">
            <w:pPr>
              <w:widowControl w:val="0"/>
              <w:jc w:val="both"/>
              <w:rPr>
                <w:rFonts w:eastAsia="Calibri"/>
                <w:snapToGrid w:val="0"/>
                <w:sz w:val="18"/>
                <w:szCs w:val="18"/>
                <w:lang w:eastAsia="en-US"/>
              </w:rPr>
            </w:pPr>
          </w:p>
          <w:p w14:paraId="44F30C44" w14:textId="20A3CF5B" w:rsidR="00635F3E" w:rsidRPr="00B65D57" w:rsidRDefault="00635F3E" w:rsidP="00635F3E">
            <w:pPr>
              <w:widowControl w:val="0"/>
              <w:jc w:val="both"/>
              <w:rPr>
                <w:rFonts w:eastAsia="Calibri"/>
                <w:snapToGrid w:val="0"/>
                <w:sz w:val="18"/>
                <w:szCs w:val="18"/>
                <w:lang w:eastAsia="en-US"/>
              </w:rPr>
            </w:pPr>
            <w:r w:rsidRPr="00B65D57">
              <w:rPr>
                <w:rFonts w:eastAsia="Calibri"/>
                <w:snapToGrid w:val="0"/>
                <w:sz w:val="18"/>
                <w:szCs w:val="18"/>
                <w:lang w:eastAsia="en-US"/>
              </w:rPr>
              <w:t xml:space="preserve">Methods for the determination of total boron in boric acid and disodium tetraborate pentahydrate in soil and water were provided and deemed acceptable at EU level. The applicant has also submitted methods for </w:t>
            </w:r>
            <w:r w:rsidR="00285127" w:rsidRPr="00B65D57">
              <w:rPr>
                <w:rFonts w:eastAsia="Calibri"/>
                <w:snapToGrid w:val="0"/>
                <w:sz w:val="18"/>
                <w:szCs w:val="18"/>
                <w:lang w:eastAsia="en-US"/>
              </w:rPr>
              <w:t xml:space="preserve">the </w:t>
            </w:r>
            <w:r w:rsidRPr="00B65D57">
              <w:rPr>
                <w:rFonts w:eastAsia="Calibri"/>
                <w:snapToGrid w:val="0"/>
                <w:sz w:val="18"/>
                <w:szCs w:val="18"/>
                <w:lang w:eastAsia="en-US"/>
              </w:rPr>
              <w:t xml:space="preserve">analysis of total boron in soil and water. Method for detection in air </w:t>
            </w:r>
            <w:r w:rsidR="00285127" w:rsidRPr="00B65D57">
              <w:rPr>
                <w:rFonts w:eastAsia="Calibri"/>
                <w:snapToGrid w:val="0"/>
                <w:sz w:val="18"/>
                <w:szCs w:val="18"/>
                <w:lang w:eastAsia="en-US"/>
              </w:rPr>
              <w:t>i</w:t>
            </w:r>
            <w:r w:rsidRPr="00B65D57">
              <w:rPr>
                <w:rFonts w:eastAsia="Calibri"/>
                <w:snapToGrid w:val="0"/>
                <w:sz w:val="18"/>
                <w:szCs w:val="18"/>
                <w:lang w:eastAsia="en-US"/>
              </w:rPr>
              <w:t>s not required due to lack of volatility and the intended use. In the CAR, it is stated that the same method as for soil can be used for analysis in animal and human body fluids and tissues. The product is not intended to be used on surface in contact with food/feed of plant and animal origin; therefore, analytical method for the determination of active substance in food/feed of plant and animal origin is not required. No other data is required.</w:t>
            </w:r>
          </w:p>
          <w:p w14:paraId="3B2A70CF" w14:textId="77777777" w:rsidR="00635F3E" w:rsidRPr="00B65D57" w:rsidRDefault="00635F3E" w:rsidP="00635F3E">
            <w:pPr>
              <w:widowControl w:val="0"/>
              <w:jc w:val="both"/>
              <w:rPr>
                <w:rFonts w:eastAsia="Calibri"/>
                <w:snapToGrid w:val="0"/>
                <w:sz w:val="18"/>
                <w:szCs w:val="18"/>
                <w:lang w:eastAsia="en-US"/>
              </w:rPr>
            </w:pPr>
          </w:p>
        </w:tc>
      </w:tr>
    </w:tbl>
    <w:p w14:paraId="47BEFD9C" w14:textId="77777777" w:rsidR="00635F3E" w:rsidRPr="00B65D57" w:rsidRDefault="00635F3E" w:rsidP="00635F3E">
      <w:pPr>
        <w:pStyle w:val="Absatz"/>
        <w:ind w:left="0"/>
      </w:pPr>
    </w:p>
    <w:p w14:paraId="20E09AB8" w14:textId="77777777" w:rsidR="004F7548" w:rsidRPr="00B65D57" w:rsidRDefault="004F7548" w:rsidP="00D4149C">
      <w:pPr>
        <w:spacing w:line="260" w:lineRule="atLeast"/>
        <w:contextualSpacing/>
        <w:rPr>
          <w:rFonts w:eastAsia="Calibri"/>
          <w:lang w:eastAsia="sv-SE"/>
        </w:rPr>
      </w:pPr>
    </w:p>
    <w:p w14:paraId="3BAA411D" w14:textId="0EDE2041" w:rsidR="00BC346E" w:rsidRPr="00B65D57" w:rsidRDefault="004F7548" w:rsidP="00BC346E">
      <w:pPr>
        <w:rPr>
          <w:rFonts w:eastAsia="Calibri"/>
          <w:lang w:eastAsia="sv-SE"/>
        </w:rPr>
      </w:pPr>
      <w:r w:rsidRPr="00B65D57">
        <w:rPr>
          <w:rFonts w:eastAsia="Calibri"/>
          <w:lang w:eastAsia="sv-SE"/>
        </w:rPr>
        <w:br w:type="page"/>
      </w:r>
      <w:bookmarkStart w:id="1370" w:name="_Toc389726185"/>
      <w:bookmarkStart w:id="1371" w:name="_Toc389727237"/>
      <w:bookmarkStart w:id="1372" w:name="_Toc389727595"/>
      <w:bookmarkStart w:id="1373" w:name="_Toc389727954"/>
      <w:bookmarkStart w:id="1374" w:name="_Toc389728313"/>
      <w:bookmarkStart w:id="1375" w:name="_Toc389728673"/>
      <w:bookmarkStart w:id="1376" w:name="_Toc389729031"/>
      <w:bookmarkStart w:id="1377" w:name="_Toc389729032"/>
      <w:bookmarkStart w:id="1378" w:name="_Toc403472743"/>
      <w:bookmarkStart w:id="1379" w:name="_Toc403566564"/>
      <w:bookmarkStart w:id="1380" w:name="_Toc389729188"/>
      <w:bookmarkStart w:id="1381" w:name="_Toc403472826"/>
      <w:bookmarkEnd w:id="1370"/>
      <w:bookmarkEnd w:id="1371"/>
      <w:bookmarkEnd w:id="1372"/>
      <w:bookmarkEnd w:id="1373"/>
      <w:bookmarkEnd w:id="1374"/>
      <w:bookmarkEnd w:id="1375"/>
      <w:bookmarkEnd w:id="1376"/>
    </w:p>
    <w:p w14:paraId="3CD38FCF" w14:textId="77777777" w:rsidR="00FA305C" w:rsidRPr="00B65D57" w:rsidRDefault="00FA305C" w:rsidP="00BC346E">
      <w:pPr>
        <w:rPr>
          <w:rFonts w:eastAsia="Calibri"/>
          <w:lang w:eastAsia="en-US"/>
        </w:rPr>
        <w:sectPr w:rsidR="00FA305C" w:rsidRPr="00B65D57" w:rsidSect="00635F3E">
          <w:endnotePr>
            <w:numFmt w:val="decimal"/>
          </w:endnotePr>
          <w:pgSz w:w="11907" w:h="16840" w:code="9"/>
          <w:pgMar w:top="1474" w:right="1247" w:bottom="2013" w:left="1446" w:header="850" w:footer="850" w:gutter="0"/>
          <w:cols w:space="720"/>
          <w:docGrid w:linePitch="272"/>
        </w:sectPr>
      </w:pPr>
    </w:p>
    <w:p w14:paraId="4296257C" w14:textId="33AA4145" w:rsidR="00FD2055" w:rsidRPr="00B65D57" w:rsidRDefault="009A5C9B" w:rsidP="00223981">
      <w:pPr>
        <w:pStyle w:val="Rubrik3"/>
        <w:rPr>
          <w:lang w:val="en-GB"/>
        </w:rPr>
      </w:pPr>
      <w:bookmarkStart w:id="1382" w:name="_Toc129689587"/>
      <w:r w:rsidRPr="00B65D57">
        <w:rPr>
          <w:lang w:val="en-GB"/>
        </w:rPr>
        <w:lastRenderedPageBreak/>
        <w:t xml:space="preserve">2.2.5 </w:t>
      </w:r>
      <w:r w:rsidR="00FD2055" w:rsidRPr="00B65D57">
        <w:rPr>
          <w:lang w:val="en-GB"/>
        </w:rPr>
        <w:t>Efficacy against target organisms</w:t>
      </w:r>
      <w:bookmarkStart w:id="1383" w:name="_Toc377649023"/>
      <w:bookmarkStart w:id="1384" w:name="_Toc377650876"/>
      <w:bookmarkStart w:id="1385" w:name="_Toc377651003"/>
      <w:bookmarkStart w:id="1386" w:name="_Toc377653272"/>
      <w:bookmarkStart w:id="1387" w:name="_Toc378351576"/>
      <w:bookmarkStart w:id="1388" w:name="_Toc378681325"/>
      <w:bookmarkStart w:id="1389" w:name="_Toc378682245"/>
      <w:bookmarkStart w:id="1390" w:name="_Toc378683692"/>
      <w:bookmarkStart w:id="1391" w:name="_Toc378685380"/>
      <w:bookmarkStart w:id="1392" w:name="_Toc378685516"/>
      <w:bookmarkStart w:id="1393" w:name="_Toc378691725"/>
      <w:bookmarkStart w:id="1394" w:name="_Toc378692182"/>
      <w:bookmarkStart w:id="1395" w:name="_Toc378692319"/>
      <w:bookmarkStart w:id="1396" w:name="_Toc378692456"/>
      <w:bookmarkStart w:id="1397" w:name="_Toc378761159"/>
      <w:bookmarkStart w:id="1398" w:name="_Toc378761302"/>
      <w:bookmarkStart w:id="1399" w:name="_Toc378761445"/>
      <w:bookmarkStart w:id="1400" w:name="_Toc378761588"/>
      <w:bookmarkStart w:id="1401" w:name="_Toc378761901"/>
      <w:bookmarkStart w:id="1402" w:name="_Toc378762041"/>
      <w:bookmarkStart w:id="1403" w:name="_Toc378762179"/>
      <w:bookmarkStart w:id="1404" w:name="_Toc378765656"/>
      <w:bookmarkStart w:id="1405" w:name="_Toc378767404"/>
      <w:bookmarkStart w:id="1406" w:name="_Toc378774999"/>
      <w:bookmarkStart w:id="1407" w:name="_Toc378776193"/>
      <w:bookmarkStart w:id="1408" w:name="_Toc378841273"/>
      <w:bookmarkStart w:id="1409" w:name="_Toc378858872"/>
      <w:bookmarkStart w:id="1410" w:name="_Toc378859100"/>
      <w:bookmarkStart w:id="1411" w:name="_Toc378351577"/>
      <w:bookmarkStart w:id="1412" w:name="_Toc378681326"/>
      <w:bookmarkStart w:id="1413" w:name="_Toc378682246"/>
      <w:bookmarkStart w:id="1414" w:name="_Toc378683693"/>
      <w:bookmarkStart w:id="1415" w:name="_Toc378685381"/>
      <w:bookmarkStart w:id="1416" w:name="_Toc378685517"/>
      <w:bookmarkStart w:id="1417" w:name="_Toc378691726"/>
      <w:bookmarkStart w:id="1418" w:name="_Toc378692183"/>
      <w:bookmarkStart w:id="1419" w:name="_Toc378692320"/>
      <w:bookmarkStart w:id="1420" w:name="_Toc378692457"/>
      <w:bookmarkStart w:id="1421" w:name="_Toc378761160"/>
      <w:bookmarkStart w:id="1422" w:name="_Toc378761303"/>
      <w:bookmarkStart w:id="1423" w:name="_Toc378761446"/>
      <w:bookmarkStart w:id="1424" w:name="_Toc378761589"/>
      <w:bookmarkStart w:id="1425" w:name="_Toc378761902"/>
      <w:bookmarkStart w:id="1426" w:name="_Toc378762042"/>
      <w:bookmarkStart w:id="1427" w:name="_Toc378762180"/>
      <w:bookmarkStart w:id="1428" w:name="_Toc378765657"/>
      <w:bookmarkStart w:id="1429" w:name="_Toc378767405"/>
      <w:bookmarkStart w:id="1430" w:name="_Toc378775000"/>
      <w:bookmarkStart w:id="1431" w:name="_Toc378776194"/>
      <w:bookmarkStart w:id="1432" w:name="_Toc378841274"/>
      <w:bookmarkStart w:id="1433" w:name="_Toc378858873"/>
      <w:bookmarkStart w:id="1434" w:name="_Toc378859101"/>
      <w:bookmarkEnd w:id="1377"/>
      <w:bookmarkEnd w:id="1378"/>
      <w:bookmarkEnd w:id="1379"/>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382"/>
    </w:p>
    <w:p w14:paraId="0B1C5D80" w14:textId="3208E2AC" w:rsidR="00A67DB3" w:rsidRPr="00B65D57" w:rsidRDefault="009A5C9B" w:rsidP="00065CC0">
      <w:pPr>
        <w:pStyle w:val="Rubrik4"/>
      </w:pPr>
      <w:bookmarkStart w:id="1435" w:name="_Toc388285279"/>
      <w:bookmarkStart w:id="1436" w:name="_Toc389726187"/>
      <w:bookmarkStart w:id="1437" w:name="_Toc389727239"/>
      <w:bookmarkStart w:id="1438" w:name="_Toc389727597"/>
      <w:bookmarkStart w:id="1439" w:name="_Toc389727956"/>
      <w:bookmarkStart w:id="1440" w:name="_Toc389728315"/>
      <w:bookmarkStart w:id="1441" w:name="_Toc389728675"/>
      <w:bookmarkStart w:id="1442" w:name="_Toc389729033"/>
      <w:bookmarkStart w:id="1443" w:name="_Toc388281577"/>
      <w:bookmarkStart w:id="1444" w:name="_Toc388282033"/>
      <w:bookmarkStart w:id="1445" w:name="_Toc388282515"/>
      <w:bookmarkStart w:id="1446" w:name="_Toc388282963"/>
      <w:bookmarkStart w:id="1447" w:name="_Toc388281578"/>
      <w:bookmarkStart w:id="1448" w:name="_Toc388282034"/>
      <w:bookmarkStart w:id="1449" w:name="_Toc388282516"/>
      <w:bookmarkStart w:id="1450" w:name="_Toc388282964"/>
      <w:bookmarkStart w:id="1451" w:name="_Toc388281579"/>
      <w:bookmarkStart w:id="1452" w:name="_Toc388282035"/>
      <w:bookmarkStart w:id="1453" w:name="_Toc388282517"/>
      <w:bookmarkStart w:id="1454" w:name="_Toc388282965"/>
      <w:bookmarkStart w:id="1455" w:name="_Toc388281580"/>
      <w:bookmarkStart w:id="1456" w:name="_Toc388282036"/>
      <w:bookmarkStart w:id="1457" w:name="_Toc388282518"/>
      <w:bookmarkStart w:id="1458" w:name="_Toc388282966"/>
      <w:bookmarkStart w:id="1459" w:name="_Toc33905207"/>
      <w:bookmarkStart w:id="1460" w:name="_Toc129689588"/>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sidRPr="00B65D57">
        <w:t xml:space="preserve">2.2.5.1 </w:t>
      </w:r>
      <w:r w:rsidR="00A67DB3" w:rsidRPr="00B65D57">
        <w:t>The proposed label claims for the product</w:t>
      </w:r>
      <w:bookmarkEnd w:id="1459"/>
      <w:bookmarkEnd w:id="1460"/>
    </w:p>
    <w:p w14:paraId="5A3BB9BC" w14:textId="77777777" w:rsidR="00A67DB3" w:rsidRPr="00B65D57" w:rsidRDefault="00A67DB3" w:rsidP="008F4848">
      <w:pPr>
        <w:spacing w:after="120"/>
        <w:rPr>
          <w:rFonts w:eastAsia="Calibri"/>
          <w:lang w:eastAsia="en-US"/>
        </w:rPr>
      </w:pPr>
      <w:r w:rsidRPr="00B65D57">
        <w:rPr>
          <w:rFonts w:eastAsia="Calibri"/>
          <w:lang w:eastAsia="en-US"/>
        </w:rPr>
        <w:t xml:space="preserve">The proposed label claims for Jerbor are: </w:t>
      </w:r>
    </w:p>
    <w:p w14:paraId="40515104" w14:textId="77777777" w:rsidR="00A67DB3" w:rsidRPr="00B65D57" w:rsidRDefault="00A67DB3" w:rsidP="008F4848">
      <w:pPr>
        <w:rPr>
          <w:rFonts w:eastAsia="Calibri"/>
          <w:lang w:eastAsia="en-US"/>
        </w:rPr>
      </w:pPr>
      <w:r w:rsidRPr="00B65D57">
        <w:rPr>
          <w:rFonts w:eastAsia="Calibri"/>
          <w:lang w:eastAsia="en-US"/>
        </w:rPr>
        <w:t xml:space="preserve">Fungicide for curative control of confirmed fungal decay in wooden piles and grillages in investigated foundations located in dense clay soils (Product Type 8). </w:t>
      </w:r>
    </w:p>
    <w:p w14:paraId="0A9DD9A1" w14:textId="77777777" w:rsidR="00A67DB3" w:rsidRPr="00B65D57" w:rsidRDefault="00A67DB3" w:rsidP="008F4848">
      <w:pPr>
        <w:rPr>
          <w:rFonts w:eastAsia="Calibri"/>
          <w:lang w:eastAsia="en-US"/>
        </w:rPr>
      </w:pPr>
      <w:r w:rsidRPr="00B65D57">
        <w:t xml:space="preserve">The use of Jerbor can be regarded to belong to use class 4a (situation in which the wood or wood-based product is in contact with the ground), even though the use deviates in several aspects from the “traditional” use in this use class (UC). </w:t>
      </w:r>
    </w:p>
    <w:p w14:paraId="64B29A6D" w14:textId="06B90486" w:rsidR="00A67DB3" w:rsidRPr="00B65D57" w:rsidRDefault="00A67DB3" w:rsidP="008F4848">
      <w:pPr>
        <w:rPr>
          <w:rFonts w:eastAsia="Calibri"/>
          <w:lang w:eastAsia="en-US"/>
        </w:rPr>
      </w:pPr>
      <w:r w:rsidRPr="00B65D57">
        <w:rPr>
          <w:rFonts w:eastAsia="Calibri"/>
          <w:lang w:eastAsia="en-US"/>
        </w:rPr>
        <w:t>The use of Jerbor according to the Manual Euroborbehandling (Bandh 2022) is to control decay by wood</w:t>
      </w:r>
      <w:r w:rsidR="00262777" w:rsidRPr="00B65D57">
        <w:rPr>
          <w:rFonts w:eastAsia="Calibri"/>
          <w:lang w:eastAsia="en-US"/>
        </w:rPr>
        <w:t>-</w:t>
      </w:r>
      <w:r w:rsidRPr="00B65D57">
        <w:rPr>
          <w:rFonts w:eastAsia="Calibri"/>
          <w:lang w:eastAsia="en-US"/>
        </w:rPr>
        <w:t xml:space="preserve">rotting fungi in foundation wood for &gt; 5 years. </w:t>
      </w:r>
    </w:p>
    <w:p w14:paraId="32DB367E" w14:textId="77777777" w:rsidR="00A67DB3" w:rsidRPr="00B65D57" w:rsidRDefault="00A67DB3" w:rsidP="008F4848">
      <w:pPr>
        <w:rPr>
          <w:rFonts w:eastAsia="Calibri"/>
          <w:lang w:eastAsia="en-US"/>
        </w:rPr>
      </w:pPr>
    </w:p>
    <w:p w14:paraId="1EC65305" w14:textId="71F7E412" w:rsidR="00A67DB3" w:rsidRPr="00B65D57" w:rsidRDefault="009A5C9B" w:rsidP="00065CC0">
      <w:pPr>
        <w:pStyle w:val="Rubrik4"/>
      </w:pPr>
      <w:bookmarkStart w:id="1461" w:name="_Toc389729034"/>
      <w:bookmarkStart w:id="1462" w:name="_Toc403472744"/>
      <w:bookmarkStart w:id="1463" w:name="_Toc403566565"/>
      <w:bookmarkStart w:id="1464" w:name="_Toc9253810"/>
      <w:bookmarkStart w:id="1465" w:name="_Toc33905208"/>
      <w:bookmarkStart w:id="1466" w:name="_Toc129689589"/>
      <w:r w:rsidRPr="00B65D57">
        <w:t xml:space="preserve">2.2.5.2 </w:t>
      </w:r>
      <w:r w:rsidR="00A67DB3" w:rsidRPr="00B65D57">
        <w:t>Function and field of use</w:t>
      </w:r>
      <w:bookmarkEnd w:id="1461"/>
      <w:bookmarkEnd w:id="1462"/>
      <w:bookmarkEnd w:id="1463"/>
      <w:bookmarkEnd w:id="1464"/>
      <w:bookmarkEnd w:id="1465"/>
      <w:bookmarkEnd w:id="1466"/>
    </w:p>
    <w:p w14:paraId="396BB917" w14:textId="53CA1C86" w:rsidR="00A67DB3" w:rsidRPr="00B65D57" w:rsidRDefault="00A67DB3" w:rsidP="008F4848">
      <w:pPr>
        <w:spacing w:line="260" w:lineRule="atLeast"/>
        <w:rPr>
          <w:rFonts w:eastAsia="Calibri"/>
          <w:lang w:eastAsia="en-US"/>
        </w:rPr>
      </w:pPr>
      <w:r w:rsidRPr="00B65D57">
        <w:rPr>
          <w:rFonts w:eastAsia="Calibri"/>
          <w:lang w:eastAsia="en-US"/>
        </w:rPr>
        <w:t xml:space="preserve">Jerbor is used </w:t>
      </w:r>
      <w:r w:rsidR="003C6A3E" w:rsidRPr="00B65D57">
        <w:rPr>
          <w:rFonts w:eastAsia="Calibri"/>
          <w:lang w:eastAsia="en-US"/>
        </w:rPr>
        <w:t xml:space="preserve">in-situ </w:t>
      </w:r>
      <w:r w:rsidRPr="00B65D57">
        <w:rPr>
          <w:rFonts w:eastAsia="Calibri"/>
          <w:lang w:eastAsia="en-US"/>
        </w:rPr>
        <w:t xml:space="preserve">for wood protection (PT8) and with function as a fungicide to stop foundation wood rot damages by degradation fungi </w:t>
      </w:r>
      <w:bookmarkStart w:id="1467" w:name="_Hlk33733238"/>
      <w:r w:rsidRPr="00B65D57">
        <w:rPr>
          <w:rFonts w:eastAsia="Calibri"/>
          <w:lang w:eastAsia="en-US"/>
        </w:rPr>
        <w:t>(brown rot G.10, white rot G.11 and soft rot G.12)</w:t>
      </w:r>
      <w:bookmarkEnd w:id="1467"/>
      <w:r w:rsidRPr="00B65D57">
        <w:rPr>
          <w:rFonts w:eastAsia="Calibri"/>
          <w:lang w:eastAsia="en-US"/>
        </w:rPr>
        <w:t xml:space="preserve">. The wood to be protected is explicitly foundation wood, i.e. piles and grillages (solid wood C.10, softwood B10) below buildings situated in areas with dense soft clay soils (UC 4a). The location of areas with dense soft clay soils are in direct contact or vicinity to rivers running out into marine estuaries. These soils have a thickness of clay in the magnitude </w:t>
      </w:r>
      <w:r w:rsidR="00662719" w:rsidRPr="00B65D57">
        <w:rPr>
          <w:rFonts w:eastAsia="Calibri"/>
          <w:lang w:eastAsia="en-US"/>
        </w:rPr>
        <w:t xml:space="preserve">of </w:t>
      </w:r>
      <w:r w:rsidRPr="00B65D57">
        <w:rPr>
          <w:rFonts w:eastAsia="Calibri"/>
          <w:lang w:eastAsia="en-US"/>
        </w:rPr>
        <w:t xml:space="preserve">2-100 meters and they have </w:t>
      </w:r>
      <w:r w:rsidR="003C6A3E" w:rsidRPr="00B65D57">
        <w:rPr>
          <w:rFonts w:eastAsia="Calibri"/>
          <w:lang w:eastAsia="en-US"/>
        </w:rPr>
        <w:t xml:space="preserve">poor </w:t>
      </w:r>
      <w:r w:rsidRPr="00B65D57">
        <w:rPr>
          <w:rFonts w:eastAsia="Calibri"/>
          <w:lang w:eastAsia="en-US"/>
        </w:rPr>
        <w:t xml:space="preserve">geotechnical quality for bearing loads from buildings. </w:t>
      </w:r>
    </w:p>
    <w:p w14:paraId="74A86BC3" w14:textId="77777777" w:rsidR="00A67DB3" w:rsidRPr="00B65D57" w:rsidRDefault="00A67DB3" w:rsidP="008F4848">
      <w:pPr>
        <w:spacing w:line="260" w:lineRule="atLeast"/>
        <w:rPr>
          <w:rFonts w:eastAsia="Calibri"/>
          <w:lang w:eastAsia="en-US"/>
        </w:rPr>
      </w:pPr>
    </w:p>
    <w:p w14:paraId="7C3B11D2" w14:textId="255343BD" w:rsidR="00A67DB3" w:rsidRPr="00B65D57" w:rsidRDefault="00A67DB3" w:rsidP="008F4848">
      <w:pPr>
        <w:spacing w:line="260" w:lineRule="atLeast"/>
        <w:rPr>
          <w:rFonts w:eastAsia="Calibri"/>
          <w:lang w:eastAsia="en-US"/>
        </w:rPr>
      </w:pPr>
      <w:r w:rsidRPr="00B65D57">
        <w:rPr>
          <w:rFonts w:eastAsia="Calibri"/>
          <w:lang w:eastAsia="en-US"/>
        </w:rPr>
        <w:t xml:space="preserve">The buildings subject to </w:t>
      </w:r>
      <w:r w:rsidR="003C6A3E" w:rsidRPr="00B65D57">
        <w:rPr>
          <w:rFonts w:eastAsia="Calibri"/>
          <w:lang w:eastAsia="en-US"/>
        </w:rPr>
        <w:t>the</w:t>
      </w:r>
      <w:r w:rsidRPr="00B65D57">
        <w:rPr>
          <w:rFonts w:eastAsia="Calibri"/>
          <w:lang w:eastAsia="en-US"/>
        </w:rPr>
        <w:t xml:space="preserve"> treatment are often of high value in historic, environmental, social and economic aspects. The most common type of building subject </w:t>
      </w:r>
      <w:r w:rsidR="003C6A3E" w:rsidRPr="00B65D57">
        <w:rPr>
          <w:rFonts w:eastAsia="Calibri"/>
          <w:lang w:eastAsia="en-US"/>
        </w:rPr>
        <w:t xml:space="preserve">to </w:t>
      </w:r>
      <w:r w:rsidRPr="00B65D57">
        <w:rPr>
          <w:rFonts w:eastAsia="Calibri"/>
          <w:lang w:eastAsia="en-US"/>
        </w:rPr>
        <w:t>treatment is heavy brick wall or concrete buildings with deep basement foundations lowered in dense clay of marine origin.</w:t>
      </w:r>
    </w:p>
    <w:p w14:paraId="01279A68" w14:textId="77777777" w:rsidR="00A67DB3" w:rsidRPr="00B65D57" w:rsidRDefault="00A67DB3" w:rsidP="008F4848">
      <w:pPr>
        <w:spacing w:line="260" w:lineRule="atLeast"/>
        <w:rPr>
          <w:rFonts w:eastAsia="Calibri"/>
          <w:lang w:eastAsia="en-US"/>
        </w:rPr>
      </w:pPr>
    </w:p>
    <w:p w14:paraId="675B37A9" w14:textId="4FBD9695" w:rsidR="00A67DB3" w:rsidRPr="00B65D57" w:rsidRDefault="00A67DB3" w:rsidP="008F4848">
      <w:pPr>
        <w:spacing w:line="260" w:lineRule="atLeast"/>
        <w:rPr>
          <w:rFonts w:eastAsia="Calibri"/>
          <w:lang w:eastAsia="en-US"/>
        </w:rPr>
      </w:pPr>
      <w:r w:rsidRPr="00B65D57">
        <w:rPr>
          <w:rFonts w:eastAsia="Calibri"/>
          <w:lang w:eastAsia="en-US"/>
        </w:rPr>
        <w:t xml:space="preserve">Techniques to enhance the clay soils load bearing capacity have been used for centuries and in older buildings the foundation often consists of a drywall on horizontal layer of wood (grillage) which in turn rests on wooden piles. Buildings of a later date (1900-1970) often have a foundation of concrete wall and footings resting on wooden piles with </w:t>
      </w:r>
      <w:r w:rsidR="003C6A3E" w:rsidRPr="00B65D57">
        <w:rPr>
          <w:rFonts w:eastAsia="Calibri"/>
          <w:lang w:eastAsia="en-US"/>
        </w:rPr>
        <w:t xml:space="preserve">the </w:t>
      </w:r>
      <w:r w:rsidRPr="00B65D57">
        <w:rPr>
          <w:rFonts w:eastAsia="Calibri"/>
          <w:lang w:eastAsia="en-US"/>
        </w:rPr>
        <w:t xml:space="preserve">top of </w:t>
      </w:r>
      <w:r w:rsidR="003C6A3E" w:rsidRPr="00B65D57">
        <w:rPr>
          <w:rFonts w:eastAsia="Calibri"/>
          <w:lang w:eastAsia="en-US"/>
        </w:rPr>
        <w:t xml:space="preserve">a </w:t>
      </w:r>
      <w:r w:rsidRPr="00B65D57">
        <w:rPr>
          <w:rFonts w:eastAsia="Calibri"/>
          <w:lang w:eastAsia="en-US"/>
        </w:rPr>
        <w:t xml:space="preserve">pile casted in </w:t>
      </w:r>
      <w:r w:rsidR="003C6A3E" w:rsidRPr="00B65D57">
        <w:rPr>
          <w:rFonts w:eastAsia="Calibri"/>
          <w:lang w:eastAsia="en-US"/>
        </w:rPr>
        <w:t xml:space="preserve">the </w:t>
      </w:r>
      <w:r w:rsidRPr="00B65D57">
        <w:rPr>
          <w:rFonts w:eastAsia="Calibri"/>
          <w:lang w:eastAsia="en-US"/>
        </w:rPr>
        <w:t xml:space="preserve">bottom of the footing. The foundation wood of concern is always installed in a foundation trench into the dense clay soil (often 2 - 4 m below the ground surface) with the purpose of having constant groundwater cover of the wood. Originally the other part of the buildings and </w:t>
      </w:r>
      <w:r w:rsidR="003C6A3E" w:rsidRPr="00B65D57">
        <w:rPr>
          <w:rFonts w:eastAsia="Calibri"/>
          <w:lang w:eastAsia="en-US"/>
        </w:rPr>
        <w:t xml:space="preserve">the </w:t>
      </w:r>
      <w:r w:rsidRPr="00B65D57">
        <w:rPr>
          <w:rFonts w:eastAsia="Calibri"/>
          <w:lang w:eastAsia="en-US"/>
        </w:rPr>
        <w:t xml:space="preserve">surrounding land use did not disturb the foundation trench and the groundwater level was kept above the wood. However, from the 1950s to </w:t>
      </w:r>
      <w:r w:rsidR="003C6A3E" w:rsidRPr="00B65D57">
        <w:rPr>
          <w:rFonts w:eastAsia="Calibri"/>
          <w:lang w:eastAsia="en-US"/>
        </w:rPr>
        <w:t xml:space="preserve">the </w:t>
      </w:r>
      <w:r w:rsidRPr="00B65D57">
        <w:rPr>
          <w:rFonts w:eastAsia="Calibri"/>
          <w:lang w:eastAsia="en-US"/>
        </w:rPr>
        <w:t>present day, interferences on the building’s foundation trench have been made by installation of new sewage tubes</w:t>
      </w:r>
      <w:r w:rsidR="003C6A3E" w:rsidRPr="00B65D57">
        <w:rPr>
          <w:rFonts w:eastAsia="Calibri"/>
          <w:lang w:eastAsia="en-US"/>
        </w:rPr>
        <w:t>,</w:t>
      </w:r>
      <w:r w:rsidRPr="00B65D57">
        <w:rPr>
          <w:rFonts w:eastAsia="Calibri"/>
          <w:lang w:eastAsia="en-US"/>
        </w:rPr>
        <w:t xml:space="preserve"> cables</w:t>
      </w:r>
      <w:r w:rsidR="003C6A3E" w:rsidRPr="00B65D57">
        <w:rPr>
          <w:rFonts w:eastAsia="Calibri"/>
          <w:lang w:eastAsia="en-US"/>
        </w:rPr>
        <w:t>,</w:t>
      </w:r>
      <w:r w:rsidRPr="00B65D57">
        <w:rPr>
          <w:rFonts w:eastAsia="Calibri"/>
          <w:lang w:eastAsia="en-US"/>
        </w:rPr>
        <w:t xml:space="preserve"> draining etc. Consequently, the groundwater level has been decreasing below the upper part of the foundation wood. The foundation wood will eventually be exposed to air and oxygen in levels that are sufficient for decay fungi to colonize the wood. </w:t>
      </w:r>
    </w:p>
    <w:p w14:paraId="31732ADC" w14:textId="77777777" w:rsidR="00A67DB3" w:rsidRPr="00B65D57" w:rsidRDefault="00A67DB3" w:rsidP="008F4848">
      <w:pPr>
        <w:spacing w:line="260" w:lineRule="atLeast"/>
        <w:rPr>
          <w:rFonts w:eastAsia="Calibri"/>
          <w:lang w:eastAsia="en-US"/>
        </w:rPr>
      </w:pPr>
    </w:p>
    <w:p w14:paraId="740FB65E" w14:textId="722921C0" w:rsidR="00A67DB3" w:rsidRPr="00B65D57" w:rsidRDefault="00A67DB3" w:rsidP="008F4848">
      <w:pPr>
        <w:spacing w:after="240" w:line="260" w:lineRule="atLeast"/>
        <w:rPr>
          <w:rFonts w:eastAsia="Calibri"/>
          <w:lang w:eastAsia="en-US"/>
        </w:rPr>
      </w:pPr>
      <w:r w:rsidRPr="00B65D57">
        <w:rPr>
          <w:rFonts w:eastAsia="Calibri"/>
          <w:lang w:eastAsia="en-US"/>
        </w:rPr>
        <w:t>The efficacy of Jerbor can be regarded to depend on the fulfilment of three prerequisites:</w:t>
      </w:r>
    </w:p>
    <w:p w14:paraId="19D42525" w14:textId="77777777" w:rsidR="00A67DB3" w:rsidRPr="00B65D57" w:rsidRDefault="00A67DB3" w:rsidP="008F4848">
      <w:pPr>
        <w:spacing w:line="260" w:lineRule="atLeast"/>
        <w:ind w:left="360"/>
        <w:rPr>
          <w:rFonts w:eastAsia="Calibri"/>
          <w:lang w:eastAsia="en-US"/>
        </w:rPr>
      </w:pPr>
      <w:r w:rsidRPr="00B65D57">
        <w:rPr>
          <w:rFonts w:eastAsia="Calibri"/>
          <w:lang w:eastAsia="en-US"/>
        </w:rPr>
        <w:t xml:space="preserve">That the active substances boric acid and disodium tetraborate decahydrate are effective against the target organisms. </w:t>
      </w:r>
    </w:p>
    <w:p w14:paraId="7AA1AC9E" w14:textId="77777777" w:rsidR="00A67DB3" w:rsidRPr="00B65D57" w:rsidRDefault="00A67DB3" w:rsidP="008F4848">
      <w:pPr>
        <w:spacing w:line="260" w:lineRule="atLeast"/>
        <w:ind w:left="360"/>
        <w:rPr>
          <w:rFonts w:eastAsia="Calibri"/>
          <w:lang w:eastAsia="en-US"/>
        </w:rPr>
      </w:pPr>
      <w:r w:rsidRPr="00B65D57">
        <w:rPr>
          <w:rFonts w:eastAsia="Calibri"/>
          <w:lang w:eastAsia="en-US"/>
        </w:rPr>
        <w:t xml:space="preserve">That the active substances actually reach the sites of the decaying fungus in the wood. </w:t>
      </w:r>
    </w:p>
    <w:p w14:paraId="276821BC" w14:textId="77777777" w:rsidR="00A67DB3" w:rsidRPr="00B65D57" w:rsidRDefault="00A67DB3" w:rsidP="008F4848">
      <w:pPr>
        <w:spacing w:line="260" w:lineRule="atLeast"/>
        <w:ind w:left="360"/>
        <w:rPr>
          <w:rFonts w:eastAsia="Calibri"/>
          <w:lang w:eastAsia="en-US"/>
        </w:rPr>
      </w:pPr>
      <w:r w:rsidRPr="00B65D57">
        <w:rPr>
          <w:rFonts w:eastAsia="Calibri"/>
          <w:lang w:eastAsia="en-US"/>
        </w:rPr>
        <w:lastRenderedPageBreak/>
        <w:t>That the dose then obtained is adequate in order to reach the toxic threshold levels.</w:t>
      </w:r>
    </w:p>
    <w:p w14:paraId="60E2F858" w14:textId="77777777" w:rsidR="00A67DB3" w:rsidRPr="00B65D57" w:rsidRDefault="00A67DB3" w:rsidP="008F4848">
      <w:pPr>
        <w:spacing w:line="260" w:lineRule="atLeast"/>
        <w:ind w:left="360"/>
        <w:rPr>
          <w:rFonts w:eastAsia="Calibri"/>
          <w:lang w:eastAsia="en-US"/>
        </w:rPr>
      </w:pPr>
    </w:p>
    <w:p w14:paraId="7E5E3A02" w14:textId="35E616BD" w:rsidR="00A67DB3" w:rsidRPr="00B65D57" w:rsidRDefault="00A67DB3" w:rsidP="008F4848">
      <w:pPr>
        <w:spacing w:line="260" w:lineRule="atLeast"/>
        <w:rPr>
          <w:rFonts w:eastAsia="Calibri"/>
          <w:lang w:eastAsia="en-US"/>
        </w:rPr>
      </w:pPr>
      <w:r w:rsidRPr="00B65D57">
        <w:rPr>
          <w:rFonts w:eastAsia="Calibri"/>
          <w:lang w:eastAsia="en-US"/>
        </w:rPr>
        <w:t>The total success of a treatment with Jerbor is also dependant on several other, more technical requirements being fulfilled such as</w:t>
      </w:r>
      <w:r w:rsidR="00B96161" w:rsidRPr="00B65D57">
        <w:rPr>
          <w:rFonts w:eastAsia="Calibri"/>
          <w:lang w:eastAsia="en-US"/>
        </w:rPr>
        <w:t>:</w:t>
      </w:r>
      <w:r w:rsidRPr="00B65D57">
        <w:rPr>
          <w:rFonts w:eastAsia="Calibri"/>
          <w:lang w:eastAsia="en-US"/>
        </w:rPr>
        <w:t xml:space="preserve"> that a successful injection technique is being used, that a correct assessment of the strength of the wood and degree of decay can be made, that the geological prerequisites are fulfilled and that these can be properly estimated, etc. </w:t>
      </w:r>
    </w:p>
    <w:p w14:paraId="7FE44A18" w14:textId="77777777" w:rsidR="00A67DB3" w:rsidRPr="00B65D57" w:rsidRDefault="00A67DB3" w:rsidP="008F4848">
      <w:pPr>
        <w:spacing w:line="260" w:lineRule="atLeast"/>
        <w:rPr>
          <w:rFonts w:eastAsia="Calibri"/>
          <w:lang w:eastAsia="en-US"/>
        </w:rPr>
      </w:pPr>
      <w:r w:rsidRPr="00B65D57">
        <w:rPr>
          <w:rFonts w:eastAsia="Calibri"/>
          <w:lang w:eastAsia="en-US"/>
        </w:rPr>
        <w:t xml:space="preserve"> </w:t>
      </w:r>
    </w:p>
    <w:p w14:paraId="73FB8628" w14:textId="77777777" w:rsidR="00A67DB3" w:rsidRPr="00B65D57" w:rsidRDefault="00A67DB3" w:rsidP="008F4848">
      <w:pPr>
        <w:spacing w:after="60" w:line="260" w:lineRule="atLeast"/>
        <w:rPr>
          <w:rFonts w:eastAsia="Calibri"/>
          <w:lang w:eastAsia="en-US"/>
        </w:rPr>
      </w:pPr>
      <w:r w:rsidRPr="00B65D57">
        <w:rPr>
          <w:rFonts w:eastAsia="Calibri"/>
          <w:lang w:eastAsia="en-US"/>
        </w:rPr>
        <w:t>The function of Jerbor against fungal decay:</w:t>
      </w:r>
    </w:p>
    <w:p w14:paraId="1356AE16" w14:textId="77777777" w:rsidR="00A67DB3" w:rsidRPr="00B65D57" w:rsidRDefault="00A67DB3" w:rsidP="008F4848">
      <w:pPr>
        <w:spacing w:before="240" w:after="60" w:line="260" w:lineRule="atLeast"/>
        <w:ind w:left="357"/>
        <w:rPr>
          <w:rFonts w:eastAsia="Calibri"/>
          <w:lang w:eastAsia="en-US"/>
        </w:rPr>
      </w:pPr>
      <w:r w:rsidRPr="00B65D57">
        <w:rPr>
          <w:rFonts w:eastAsia="Calibri"/>
          <w:lang w:eastAsia="en-US"/>
        </w:rPr>
        <w:t>Application is made, with sodium bentonite mixed with Jerbor water solution into a slurry, with low pressure swelling properties and thus filling out voids in the foundation and the decay zone.</w:t>
      </w:r>
    </w:p>
    <w:p w14:paraId="7F6137B6" w14:textId="77777777" w:rsidR="00A67DB3" w:rsidRPr="00B65D57" w:rsidRDefault="00A67DB3" w:rsidP="008F4848">
      <w:pPr>
        <w:spacing w:after="60" w:line="260" w:lineRule="atLeast"/>
        <w:ind w:left="357"/>
        <w:rPr>
          <w:rFonts w:eastAsia="Calibri"/>
          <w:lang w:eastAsia="en-US"/>
        </w:rPr>
      </w:pPr>
      <w:r w:rsidRPr="00B65D57">
        <w:rPr>
          <w:rFonts w:eastAsia="Calibri"/>
          <w:lang w:eastAsia="en-US"/>
        </w:rPr>
        <w:t xml:space="preserve">Circulation of groundwater will decrease when the voids are filled and minimizing availability and mobility for oxygen, nutrients, trace elements and other components that the biological degradation of foundation wood is dependent on </w:t>
      </w:r>
    </w:p>
    <w:p w14:paraId="4FA34A63" w14:textId="33DDE6A4" w:rsidR="00A67DB3" w:rsidRPr="00B65D57" w:rsidRDefault="00A67DB3" w:rsidP="008F4848">
      <w:pPr>
        <w:spacing w:after="60" w:line="260" w:lineRule="atLeast"/>
        <w:ind w:left="357"/>
        <w:rPr>
          <w:rFonts w:eastAsia="Calibri"/>
          <w:lang w:eastAsia="en-US"/>
        </w:rPr>
      </w:pPr>
      <w:r w:rsidRPr="00B65D57">
        <w:rPr>
          <w:rFonts w:eastAsia="Calibri"/>
          <w:lang w:eastAsia="en-US"/>
        </w:rPr>
        <w:t xml:space="preserve">After application the active substances (BAE) </w:t>
      </w:r>
      <w:r w:rsidR="00A04FE1" w:rsidRPr="00B65D57">
        <w:rPr>
          <w:rFonts w:eastAsia="Calibri"/>
          <w:lang w:eastAsia="en-US"/>
        </w:rPr>
        <w:t xml:space="preserve">are </w:t>
      </w:r>
      <w:r w:rsidRPr="00B65D57">
        <w:rPr>
          <w:rFonts w:eastAsia="Calibri"/>
          <w:lang w:eastAsia="en-US"/>
        </w:rPr>
        <w:t>located in a depot outside the foundation wood and enclosed within the foundation trench and the treatment zone</w:t>
      </w:r>
    </w:p>
    <w:p w14:paraId="466988D0" w14:textId="36360788" w:rsidR="00A67DB3" w:rsidRPr="00B65D57" w:rsidRDefault="00A67DB3" w:rsidP="008F4848">
      <w:pPr>
        <w:spacing w:after="60" w:line="260" w:lineRule="atLeast"/>
        <w:ind w:left="357"/>
        <w:rPr>
          <w:rFonts w:eastAsia="Calibri"/>
          <w:lang w:eastAsia="en-US"/>
        </w:rPr>
      </w:pPr>
      <w:r w:rsidRPr="00B65D57">
        <w:rPr>
          <w:rFonts w:eastAsia="Calibri"/>
          <w:lang w:eastAsia="en-US"/>
        </w:rPr>
        <w:t xml:space="preserve">The depot of </w:t>
      </w:r>
      <w:r w:rsidR="00A04FE1" w:rsidRPr="00B65D57">
        <w:rPr>
          <w:rFonts w:eastAsia="Calibri"/>
          <w:lang w:eastAsia="en-US"/>
        </w:rPr>
        <w:t xml:space="preserve">the </w:t>
      </w:r>
      <w:r w:rsidRPr="00B65D57">
        <w:rPr>
          <w:rFonts w:eastAsia="Calibri"/>
          <w:lang w:eastAsia="en-US"/>
        </w:rPr>
        <w:t xml:space="preserve">active substances will be present and available for diffusion into wood for a long time since leaching of the active substances from the depot is strictly limited by the surrounding geological barrier of dense clay soils and the mixture with sodium bentonite </w:t>
      </w:r>
      <w:r w:rsidR="00A04FE1" w:rsidRPr="00B65D57">
        <w:rPr>
          <w:rFonts w:eastAsia="Calibri"/>
          <w:lang w:eastAsia="en-US"/>
        </w:rPr>
        <w:t xml:space="preserve">that </w:t>
      </w:r>
      <w:r w:rsidRPr="00B65D57">
        <w:rPr>
          <w:rFonts w:eastAsia="Calibri"/>
          <w:lang w:eastAsia="en-US"/>
        </w:rPr>
        <w:t>is limiting transport in and out of the treatment zone</w:t>
      </w:r>
    </w:p>
    <w:p w14:paraId="59B26D07" w14:textId="4E1D0261" w:rsidR="00A67DB3" w:rsidRPr="00B65D57" w:rsidRDefault="00A67DB3" w:rsidP="008F4848">
      <w:pPr>
        <w:spacing w:after="60" w:line="260" w:lineRule="atLeast"/>
        <w:ind w:left="360"/>
        <w:rPr>
          <w:rFonts w:eastAsia="Calibri"/>
          <w:lang w:eastAsia="en-US"/>
        </w:rPr>
      </w:pPr>
      <w:r w:rsidRPr="00B65D57">
        <w:rPr>
          <w:rFonts w:eastAsia="Calibri"/>
          <w:lang w:eastAsia="en-US"/>
        </w:rPr>
        <w:t>Transport of the active substances from the depot and into the foundation wood will be made by diffusion of active substances due to a concentration gradient. The high moisture content of the wood (MC) enables a quick and extensive diffusion of the active substances</w:t>
      </w:r>
      <w:r w:rsidR="009B3615" w:rsidRPr="00B65D57">
        <w:rPr>
          <w:rFonts w:eastAsia="Calibri"/>
          <w:lang w:eastAsia="en-US"/>
        </w:rPr>
        <w:t>.</w:t>
      </w:r>
    </w:p>
    <w:p w14:paraId="2D0D7ABD" w14:textId="77777777" w:rsidR="00A67DB3" w:rsidRPr="00B65D57" w:rsidRDefault="00A67DB3" w:rsidP="008F4848">
      <w:pPr>
        <w:spacing w:after="60" w:line="260" w:lineRule="atLeast"/>
        <w:ind w:left="360"/>
        <w:rPr>
          <w:rFonts w:eastAsia="Calibri"/>
          <w:lang w:eastAsia="en-US"/>
        </w:rPr>
      </w:pPr>
      <w:r w:rsidRPr="00B65D57">
        <w:rPr>
          <w:rFonts w:eastAsia="Calibri"/>
          <w:lang w:eastAsia="en-US"/>
        </w:rPr>
        <w:t>Fungicidal effect (i. e. concentration &gt;2 kg BAE/m</w:t>
      </w:r>
      <w:r w:rsidRPr="00B65D57">
        <w:rPr>
          <w:rFonts w:eastAsia="Calibri"/>
          <w:vertAlign w:val="superscript"/>
          <w:lang w:eastAsia="en-US"/>
        </w:rPr>
        <w:t xml:space="preserve">3 </w:t>
      </w:r>
      <w:r w:rsidRPr="00B65D57">
        <w:rPr>
          <w:rFonts w:eastAsia="Calibri"/>
          <w:lang w:eastAsia="en-US"/>
        </w:rPr>
        <w:t>wood) will occur gradually deeper in the sapwood when concentration increases over time, as the depot releases borates. Over longer time (years) the fungicidal effect (i.e. concentration &gt;1 kg BAE/m</w:t>
      </w:r>
      <w:r w:rsidRPr="00B65D57">
        <w:rPr>
          <w:rFonts w:eastAsia="Calibri"/>
          <w:vertAlign w:val="superscript"/>
          <w:lang w:eastAsia="en-US"/>
        </w:rPr>
        <w:t>3</w:t>
      </w:r>
      <w:r w:rsidRPr="00B65D57">
        <w:rPr>
          <w:rFonts w:eastAsia="Calibri"/>
          <w:lang w:eastAsia="en-US"/>
        </w:rPr>
        <w:t xml:space="preserve"> wood) will stop the fungal degradation, by a concentration at this level over the whole fungal decay zone and beyond.</w:t>
      </w:r>
    </w:p>
    <w:p w14:paraId="792A6C4A" w14:textId="38C3928B" w:rsidR="00A67DB3" w:rsidRPr="00B65D57" w:rsidRDefault="00A67DB3" w:rsidP="008F4848">
      <w:pPr>
        <w:spacing w:line="260" w:lineRule="atLeast"/>
        <w:ind w:left="360"/>
        <w:rPr>
          <w:rFonts w:eastAsia="Calibri"/>
          <w:lang w:eastAsia="en-US"/>
        </w:rPr>
      </w:pPr>
      <w:r w:rsidRPr="00B65D57">
        <w:rPr>
          <w:rFonts w:eastAsia="Calibri"/>
          <w:lang w:eastAsia="en-US"/>
        </w:rPr>
        <w:t>The level of pH is stable at 7</w:t>
      </w:r>
      <w:r w:rsidR="00A04FE1" w:rsidRPr="00B65D57">
        <w:rPr>
          <w:rFonts w:eastAsia="Calibri"/>
          <w:lang w:eastAsia="en-US"/>
        </w:rPr>
        <w:t>.</w:t>
      </w:r>
      <w:r w:rsidRPr="00B65D57">
        <w:rPr>
          <w:rFonts w:eastAsia="Calibri"/>
          <w:lang w:eastAsia="en-US"/>
        </w:rPr>
        <w:t>5 in the slurry with a high alkalinity i. e. buffer capacity which has a secondary effect on decreasing fungal activity, which is pH dependent in the range below pH = 6</w:t>
      </w:r>
      <w:r w:rsidR="00A04FE1" w:rsidRPr="00B65D57">
        <w:rPr>
          <w:rFonts w:eastAsia="Calibri"/>
          <w:lang w:eastAsia="en-US"/>
        </w:rPr>
        <w:t>.</w:t>
      </w:r>
      <w:r w:rsidRPr="00B65D57">
        <w:rPr>
          <w:rFonts w:eastAsia="Calibri"/>
          <w:lang w:eastAsia="en-US"/>
        </w:rPr>
        <w:t>5 in the decay zone inside the wood</w:t>
      </w:r>
      <w:r w:rsidR="00A04FE1" w:rsidRPr="00B65D57">
        <w:rPr>
          <w:rFonts w:eastAsia="Calibri"/>
          <w:lang w:eastAsia="en-US"/>
        </w:rPr>
        <w:t>.</w:t>
      </w:r>
    </w:p>
    <w:p w14:paraId="6B894598" w14:textId="77777777" w:rsidR="00A67DB3" w:rsidRPr="00B65D57" w:rsidRDefault="00A67DB3" w:rsidP="008F4848">
      <w:pPr>
        <w:spacing w:before="80" w:line="260" w:lineRule="atLeast"/>
        <w:rPr>
          <w:rFonts w:eastAsia="Calibri"/>
          <w:lang w:eastAsia="en-US"/>
        </w:rPr>
      </w:pPr>
    </w:p>
    <w:p w14:paraId="0C3FDC05" w14:textId="2F884A71" w:rsidR="00A67DB3" w:rsidRPr="00B65D57" w:rsidRDefault="00A67DB3" w:rsidP="008F4848">
      <w:pPr>
        <w:spacing w:before="80" w:line="260" w:lineRule="atLeast"/>
        <w:rPr>
          <w:rFonts w:eastAsia="Calibri"/>
          <w:lang w:eastAsia="en-US"/>
        </w:rPr>
      </w:pPr>
      <w:r w:rsidRPr="00B65D57">
        <w:rPr>
          <w:rFonts w:eastAsia="Calibri"/>
          <w:lang w:eastAsia="en-US"/>
        </w:rPr>
        <w:t xml:space="preserve">The active substances form a complex mixture of boric acid-polyborate-borate depending on the concentration of each boron species, pH and temperature </w:t>
      </w:r>
      <w:r w:rsidR="00A04FE1" w:rsidRPr="00B65D57">
        <w:rPr>
          <w:rFonts w:eastAsia="Calibri"/>
          <w:lang w:eastAsia="en-US"/>
        </w:rPr>
        <w:t>(</w:t>
      </w:r>
      <w:r w:rsidRPr="00B65D57">
        <w:rPr>
          <w:rFonts w:eastAsia="Calibri"/>
          <w:lang w:eastAsia="en-US"/>
        </w:rPr>
        <w:t>see Figure 2.2.5.2-1</w:t>
      </w:r>
      <w:r w:rsidR="00A04FE1" w:rsidRPr="00B65D57">
        <w:rPr>
          <w:rFonts w:eastAsia="Calibri"/>
          <w:lang w:eastAsia="en-US"/>
        </w:rPr>
        <w:t>)</w:t>
      </w:r>
      <w:r w:rsidRPr="00B65D57">
        <w:rPr>
          <w:rFonts w:eastAsia="Calibri"/>
          <w:lang w:eastAsia="en-US"/>
        </w:rPr>
        <w:t xml:space="preserve"> even though the chemistry is not fully understood (Koc</w:t>
      </w:r>
      <w:r w:rsidR="001B253C" w:rsidRPr="00B65D57">
        <w:rPr>
          <w:rFonts w:eastAsia="Calibri"/>
          <w:lang w:eastAsia="en-US"/>
        </w:rPr>
        <w:t>h</w:t>
      </w:r>
      <w:r w:rsidRPr="00B65D57">
        <w:rPr>
          <w:rFonts w:eastAsia="Calibri"/>
          <w:lang w:eastAsia="en-US"/>
        </w:rPr>
        <w:t>kodan et al 2015). All boron species are converted into boric acid/borate upon dissolution in water. In acid solution at pH&lt;5, boron is mainly present as B(OH)</w:t>
      </w:r>
      <w:r w:rsidRPr="00B65D57">
        <w:rPr>
          <w:rFonts w:eastAsia="Calibri"/>
          <w:vertAlign w:val="subscript"/>
          <w:lang w:eastAsia="en-US"/>
        </w:rPr>
        <w:t>3</w:t>
      </w:r>
      <w:r w:rsidRPr="00B65D57">
        <w:rPr>
          <w:rFonts w:eastAsia="Calibri"/>
          <w:lang w:eastAsia="en-US"/>
        </w:rPr>
        <w:t xml:space="preserve"> and in alkaline solution at pH&gt;12.5, boron is mainly present as B(OH)</w:t>
      </w:r>
      <w:r w:rsidRPr="00B65D57">
        <w:rPr>
          <w:rFonts w:eastAsia="Calibri"/>
          <w:vertAlign w:val="subscript"/>
          <w:lang w:eastAsia="en-US"/>
        </w:rPr>
        <w:t>4</w:t>
      </w:r>
      <w:r w:rsidRPr="00B65D57">
        <w:rPr>
          <w:rFonts w:eastAsia="Calibri"/>
          <w:vertAlign w:val="superscript"/>
          <w:lang w:eastAsia="en-US"/>
        </w:rPr>
        <w:t>-</w:t>
      </w:r>
      <w:r w:rsidRPr="00B65D57">
        <w:rPr>
          <w:rFonts w:eastAsia="Calibri"/>
          <w:lang w:eastAsia="en-US"/>
        </w:rPr>
        <w:t>. At in-between values (pH 5-12) polynuclear anions are found as well as B(OH)</w:t>
      </w:r>
      <w:r w:rsidRPr="00B65D57">
        <w:rPr>
          <w:rFonts w:eastAsia="Calibri"/>
          <w:vertAlign w:val="subscript"/>
          <w:lang w:eastAsia="en-US"/>
        </w:rPr>
        <w:t>3</w:t>
      </w:r>
      <w:r w:rsidRPr="00B65D57">
        <w:rPr>
          <w:rFonts w:eastAsia="Calibri"/>
          <w:lang w:eastAsia="en-US"/>
        </w:rPr>
        <w:t xml:space="preserve"> and B(OH)</w:t>
      </w:r>
      <w:r w:rsidRPr="00B65D57">
        <w:rPr>
          <w:rFonts w:eastAsia="Calibri"/>
          <w:vertAlign w:val="subscript"/>
          <w:lang w:eastAsia="en-US"/>
        </w:rPr>
        <w:t>4</w:t>
      </w:r>
      <w:r w:rsidRPr="00B65D57">
        <w:rPr>
          <w:rFonts w:eastAsia="Calibri"/>
          <w:vertAlign w:val="superscript"/>
          <w:lang w:eastAsia="en-US"/>
        </w:rPr>
        <w:t>-</w:t>
      </w:r>
      <w:r w:rsidRPr="00B65D57">
        <w:rPr>
          <w:rFonts w:eastAsia="Calibri"/>
          <w:lang w:eastAsia="en-US"/>
        </w:rPr>
        <w:t xml:space="preserve">. </w:t>
      </w:r>
    </w:p>
    <w:p w14:paraId="08E872C7" w14:textId="77777777" w:rsidR="00A67DB3" w:rsidRPr="00B65D57" w:rsidRDefault="00A67DB3" w:rsidP="008F4848">
      <w:pPr>
        <w:spacing w:before="80" w:line="260" w:lineRule="atLeast"/>
        <w:rPr>
          <w:rFonts w:eastAsia="Calibri"/>
          <w:lang w:eastAsia="en-US"/>
        </w:rPr>
      </w:pPr>
    </w:p>
    <w:p w14:paraId="5887F04B" w14:textId="77777777" w:rsidR="00A67DB3" w:rsidRPr="00B65D57" w:rsidRDefault="00A67DB3" w:rsidP="008F4848">
      <w:pPr>
        <w:keepNext/>
        <w:spacing w:line="260" w:lineRule="atLeast"/>
        <w:jc w:val="center"/>
      </w:pPr>
      <w:r w:rsidRPr="00B65D57">
        <w:rPr>
          <w:noProof/>
        </w:rPr>
        <w:lastRenderedPageBreak/>
        <w:drawing>
          <wp:inline distT="0" distB="0" distL="0" distR="0" wp14:anchorId="5B5864FE" wp14:editId="69274202">
            <wp:extent cx="3695700" cy="3200400"/>
            <wp:effectExtent l="95250" t="95250" r="95250"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3200400"/>
                    </a:xfrm>
                    <a:prstGeom prst="rect">
                      <a:avLst/>
                    </a:prstGeom>
                    <a:noFill/>
                    <a:ln>
                      <a:noFill/>
                    </a:ln>
                  </pic:spPr>
                </pic:pic>
              </a:graphicData>
            </a:graphic>
          </wp:inline>
        </w:drawing>
      </w:r>
    </w:p>
    <w:p w14:paraId="721A4955" w14:textId="5B60FC7C" w:rsidR="00A67DB3" w:rsidRPr="00B65D57" w:rsidRDefault="00A67DB3" w:rsidP="008F4848">
      <w:pPr>
        <w:pStyle w:val="Beskrivning"/>
        <w:spacing w:after="120"/>
        <w:ind w:firstLine="0"/>
        <w:rPr>
          <w:rFonts w:eastAsia="Calibri"/>
          <w:lang w:eastAsia="en-US"/>
        </w:rPr>
      </w:pPr>
      <w:bookmarkStart w:id="1468" w:name="_Ref33615202"/>
      <w:r w:rsidRPr="00B65D57">
        <w:t xml:space="preserve">Figure </w:t>
      </w:r>
      <w:bookmarkEnd w:id="1468"/>
      <w:r w:rsidRPr="00B65D57">
        <w:t>2.2.5.2-1 Distribution of boric acid, borate and polyborate species as a function of pH in 0.4 M boric acid solution in water (from Koc</w:t>
      </w:r>
      <w:r w:rsidR="001B253C" w:rsidRPr="00B65D57">
        <w:t>h</w:t>
      </w:r>
      <w:r w:rsidRPr="00B65D57">
        <w:t>kodan et al 2015)</w:t>
      </w:r>
    </w:p>
    <w:p w14:paraId="757C24C8" w14:textId="77777777" w:rsidR="00A67DB3" w:rsidRPr="00B65D57" w:rsidRDefault="00A67DB3" w:rsidP="008F4848">
      <w:pPr>
        <w:spacing w:line="260" w:lineRule="atLeast"/>
        <w:rPr>
          <w:rFonts w:eastAsia="Calibri"/>
          <w:lang w:eastAsia="en-US"/>
        </w:rPr>
      </w:pPr>
    </w:p>
    <w:p w14:paraId="369C03DE" w14:textId="77777777" w:rsidR="00A67DB3" w:rsidRPr="00B65D57" w:rsidRDefault="00A67DB3" w:rsidP="008F4848">
      <w:pPr>
        <w:spacing w:line="260" w:lineRule="atLeast"/>
        <w:rPr>
          <w:rFonts w:eastAsia="Calibri"/>
          <w:lang w:eastAsia="en-US"/>
        </w:rPr>
      </w:pPr>
      <w:r w:rsidRPr="00B65D57">
        <w:rPr>
          <w:rFonts w:eastAsia="Calibri"/>
          <w:lang w:eastAsia="en-US"/>
        </w:rPr>
        <w:t xml:space="preserve">Boric acid forms complex with different polyols, such as monosaccharides, which are known degradation products from wood decay by fungi. Complex forming between boric acid and chemical species of polyol type can be seen in 2.2.5.2-2. </w:t>
      </w:r>
    </w:p>
    <w:p w14:paraId="1A4D3531" w14:textId="77777777" w:rsidR="00A67DB3" w:rsidRPr="00B65D57" w:rsidRDefault="00A67DB3" w:rsidP="008F4848">
      <w:pPr>
        <w:keepNext/>
        <w:spacing w:line="260" w:lineRule="atLeast"/>
        <w:jc w:val="center"/>
      </w:pPr>
      <w:r w:rsidRPr="00B65D57">
        <w:rPr>
          <w:noProof/>
        </w:rPr>
        <w:drawing>
          <wp:inline distT="0" distB="0" distL="0" distR="0" wp14:anchorId="221C297C" wp14:editId="2D703CF6">
            <wp:extent cx="4667250" cy="1276350"/>
            <wp:effectExtent l="0" t="0" r="0" b="0"/>
            <wp:docPr id="23" name="Picture 23" descr="En bild som visar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n bild som visar klocka&#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1276350"/>
                    </a:xfrm>
                    <a:prstGeom prst="rect">
                      <a:avLst/>
                    </a:prstGeom>
                    <a:noFill/>
                    <a:ln>
                      <a:noFill/>
                    </a:ln>
                  </pic:spPr>
                </pic:pic>
              </a:graphicData>
            </a:graphic>
          </wp:inline>
        </w:drawing>
      </w:r>
    </w:p>
    <w:p w14:paraId="1EFE4E9A" w14:textId="22228839" w:rsidR="00A67DB3" w:rsidRPr="00B65D57" w:rsidRDefault="00A67DB3" w:rsidP="008F4848">
      <w:pPr>
        <w:pStyle w:val="Beskrivning"/>
        <w:ind w:left="0" w:firstLine="0"/>
        <w:jc w:val="center"/>
        <w:rPr>
          <w:rFonts w:eastAsia="Calibri"/>
          <w:lang w:eastAsia="en-US"/>
        </w:rPr>
      </w:pPr>
      <w:bookmarkStart w:id="1469" w:name="_Ref33615964"/>
      <w:r w:rsidRPr="00B65D57">
        <w:t xml:space="preserve">Figure </w:t>
      </w:r>
      <w:bookmarkEnd w:id="1469"/>
      <w:r w:rsidRPr="00B65D57">
        <w:t>2.2.5.2-2. Chemical structure of mono- and bisborate complexes with polyol species (from Koc</w:t>
      </w:r>
      <w:r w:rsidR="001B253C" w:rsidRPr="00B65D57">
        <w:t>h</w:t>
      </w:r>
      <w:r w:rsidRPr="00B65D57">
        <w:t>kodan et al 2015)</w:t>
      </w:r>
    </w:p>
    <w:p w14:paraId="1D1A2D75" w14:textId="77777777" w:rsidR="00A67DB3" w:rsidRPr="00B65D57" w:rsidRDefault="00A67DB3" w:rsidP="008F4848">
      <w:pPr>
        <w:spacing w:line="260" w:lineRule="atLeast"/>
        <w:rPr>
          <w:rFonts w:eastAsia="Calibri"/>
          <w:lang w:eastAsia="en-US"/>
        </w:rPr>
      </w:pPr>
      <w:r w:rsidRPr="00B65D57">
        <w:rPr>
          <w:rFonts w:eastAsia="Calibri"/>
          <w:lang w:eastAsia="en-US"/>
        </w:rPr>
        <w:t>Boric acid can also form complex with other organic substances such as salicylic acid, salicylic alcohol, malic acid and their derivatives as well as humic substances, see Figure 2.2.5.2-3 (</w:t>
      </w:r>
      <w:r w:rsidRPr="00B65D57">
        <w:t>Kockkodan et al 2015</w:t>
      </w:r>
      <w:r w:rsidRPr="00B65D57">
        <w:rPr>
          <w:rFonts w:eastAsia="Calibri"/>
          <w:lang w:eastAsia="en-US"/>
        </w:rPr>
        <w:t xml:space="preserve">). </w:t>
      </w:r>
      <w:bookmarkStart w:id="1470" w:name="_Hlk33731619"/>
      <w:r w:rsidRPr="00B65D57">
        <w:rPr>
          <w:rFonts w:eastAsia="Calibri"/>
          <w:lang w:eastAsia="en-US"/>
        </w:rPr>
        <w:t xml:space="preserve">Complex bonding </w:t>
      </w:r>
      <w:bookmarkEnd w:id="1470"/>
      <w:r w:rsidRPr="00B65D57">
        <w:rPr>
          <w:rFonts w:eastAsia="Calibri"/>
          <w:lang w:eastAsia="en-US"/>
        </w:rPr>
        <w:t xml:space="preserve">with organic acids is a mechanism which will result in increased pH level. </w:t>
      </w:r>
    </w:p>
    <w:p w14:paraId="104EAE3C" w14:textId="77777777" w:rsidR="00A67DB3" w:rsidRPr="00B65D57" w:rsidRDefault="00A67DB3" w:rsidP="008F4848">
      <w:pPr>
        <w:keepNext/>
        <w:spacing w:line="260" w:lineRule="atLeast"/>
        <w:jc w:val="center"/>
      </w:pPr>
      <w:r w:rsidRPr="00B65D57">
        <w:rPr>
          <w:noProof/>
        </w:rPr>
        <w:lastRenderedPageBreak/>
        <w:drawing>
          <wp:inline distT="0" distB="0" distL="0" distR="0" wp14:anchorId="45DF64B6" wp14:editId="26276E90">
            <wp:extent cx="3213100" cy="24130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3100" cy="2413000"/>
                    </a:xfrm>
                    <a:prstGeom prst="rect">
                      <a:avLst/>
                    </a:prstGeom>
                    <a:noFill/>
                    <a:ln>
                      <a:noFill/>
                    </a:ln>
                  </pic:spPr>
                </pic:pic>
              </a:graphicData>
            </a:graphic>
          </wp:inline>
        </w:drawing>
      </w:r>
    </w:p>
    <w:p w14:paraId="357EE746" w14:textId="51DBF58F" w:rsidR="00A67DB3" w:rsidRPr="00B65D57" w:rsidRDefault="00A67DB3" w:rsidP="008F4848">
      <w:pPr>
        <w:pStyle w:val="Beskrivning"/>
        <w:ind w:firstLine="0"/>
        <w:rPr>
          <w:rFonts w:eastAsia="Calibri"/>
          <w:lang w:eastAsia="en-US"/>
        </w:rPr>
      </w:pPr>
      <w:bookmarkStart w:id="1471" w:name="_Ref33617018"/>
      <w:r w:rsidRPr="00B65D57">
        <w:t xml:space="preserve">Figure </w:t>
      </w:r>
      <w:bookmarkEnd w:id="1471"/>
      <w:r w:rsidRPr="00B65D57">
        <w:rPr>
          <w:rFonts w:eastAsia="Calibri"/>
          <w:lang w:eastAsia="en-US"/>
        </w:rPr>
        <w:t>2.2.5.2-3</w:t>
      </w:r>
      <w:r w:rsidRPr="00B65D57">
        <w:t>. Proposed mechanism of borate complex bonding with salicylic acid forming mono (a) and bischelat complex (b) (from Koc</w:t>
      </w:r>
      <w:r w:rsidR="001B253C" w:rsidRPr="00B65D57">
        <w:t>h</w:t>
      </w:r>
      <w:r w:rsidRPr="00B65D57">
        <w:t>kodan et al 2015)</w:t>
      </w:r>
    </w:p>
    <w:p w14:paraId="607B3A1A" w14:textId="074E5995" w:rsidR="00A67DB3" w:rsidRPr="00B65D57" w:rsidRDefault="00A67DB3" w:rsidP="008F4848">
      <w:pPr>
        <w:spacing w:line="260" w:lineRule="atLeast"/>
        <w:rPr>
          <w:rFonts w:eastAsia="Calibri"/>
          <w:lang w:eastAsia="en-US"/>
        </w:rPr>
      </w:pPr>
      <w:r w:rsidRPr="00B65D57">
        <w:rPr>
          <w:rFonts w:eastAsia="Calibri"/>
          <w:lang w:eastAsia="en-US"/>
        </w:rPr>
        <w:t xml:space="preserve">When complex bonding occurs with enzymes in microorganisms or plants, stabilisation and/or inhibition effects occur causing, for example, fungicidal effect. </w:t>
      </w:r>
    </w:p>
    <w:p w14:paraId="7270D0D5" w14:textId="77777777" w:rsidR="00A67DB3" w:rsidRPr="00B65D57" w:rsidRDefault="00A67DB3" w:rsidP="008F4848">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67DB3" w:rsidRPr="00B65D57" w14:paraId="77BC48D8" w14:textId="77777777" w:rsidTr="0087769B">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6D086FF7" w14:textId="77777777" w:rsidR="00A67DB3" w:rsidRPr="00B65D57" w:rsidRDefault="00A67DB3" w:rsidP="008F4848">
            <w:pPr>
              <w:spacing w:line="260" w:lineRule="atLeast"/>
              <w:rPr>
                <w:rFonts w:eastAsia="Calibri"/>
                <w:b/>
                <w:bCs/>
                <w:lang w:eastAsia="en-US"/>
              </w:rPr>
            </w:pPr>
            <w:r w:rsidRPr="00B65D57">
              <w:rPr>
                <w:rFonts w:eastAsia="Calibri"/>
                <w:b/>
                <w:bCs/>
                <w:lang w:eastAsia="en-US"/>
              </w:rPr>
              <w:t>Endpoint summary on function and field of use</w:t>
            </w:r>
          </w:p>
        </w:tc>
      </w:tr>
      <w:tr w:rsidR="00A67DB3" w:rsidRPr="00B65D57" w14:paraId="70815E06" w14:textId="77777777" w:rsidTr="0087769B">
        <w:trPr>
          <w:trHeight w:val="298"/>
        </w:trPr>
        <w:tc>
          <w:tcPr>
            <w:tcW w:w="5000" w:type="pct"/>
            <w:tcBorders>
              <w:top w:val="single" w:sz="6" w:space="0" w:color="auto"/>
              <w:left w:val="single" w:sz="4" w:space="0" w:color="auto"/>
              <w:bottom w:val="single" w:sz="6" w:space="0" w:color="auto"/>
              <w:right w:val="single" w:sz="6" w:space="0" w:color="auto"/>
            </w:tcBorders>
            <w:hideMark/>
          </w:tcPr>
          <w:p w14:paraId="0D4378E3" w14:textId="32FC21E0" w:rsidR="00A67DB3" w:rsidRPr="00B65D57" w:rsidRDefault="00A67DB3" w:rsidP="008F4848">
            <w:pPr>
              <w:spacing w:line="260" w:lineRule="atLeast"/>
              <w:rPr>
                <w:rFonts w:eastAsia="Calibri"/>
                <w:lang w:eastAsia="en-US"/>
              </w:rPr>
            </w:pPr>
            <w:r w:rsidRPr="00B65D57">
              <w:rPr>
                <w:rFonts w:eastAsia="Calibri"/>
                <w:lang w:eastAsia="en-US"/>
              </w:rPr>
              <w:t xml:space="preserve">The active substances in Jerbor have </w:t>
            </w:r>
            <w:r w:rsidR="000776F1" w:rsidRPr="00B65D57">
              <w:rPr>
                <w:rFonts w:eastAsia="Calibri"/>
                <w:lang w:eastAsia="en-US"/>
              </w:rPr>
              <w:t xml:space="preserve">their </w:t>
            </w:r>
            <w:r w:rsidRPr="00B65D57">
              <w:rPr>
                <w:rFonts w:eastAsia="Calibri"/>
                <w:lang w:eastAsia="en-US"/>
              </w:rPr>
              <w:t xml:space="preserve">function by the behaviour of boric acid and the borate ion. The specific application technique and formulation enables boric acid to reach the treatment zone where it diffuses into the wood decay zone. The degradation activity is stopped by complexing between boric acid and polyol chemical species in the foundation wood and in the degrading organisms’ metabolic enzymes. The applied Jerbor slurry acts as a depot within the treatment zone but outside the foundation wood with the effect that voids are filled out, groundwater circulation is more limited, </w:t>
            </w:r>
            <w:r w:rsidR="000776F1" w:rsidRPr="00B65D57">
              <w:rPr>
                <w:rFonts w:eastAsia="Calibri"/>
                <w:lang w:eastAsia="en-US"/>
              </w:rPr>
              <w:t xml:space="preserve">possibility </w:t>
            </w:r>
            <w:r w:rsidRPr="00B65D57">
              <w:rPr>
                <w:rFonts w:eastAsia="Calibri"/>
                <w:lang w:eastAsia="en-US"/>
              </w:rPr>
              <w:t>for intrusion of air decrease</w:t>
            </w:r>
            <w:r w:rsidR="000776F1" w:rsidRPr="00B65D57">
              <w:rPr>
                <w:rFonts w:eastAsia="Calibri"/>
                <w:lang w:eastAsia="en-US"/>
              </w:rPr>
              <w:t>s</w:t>
            </w:r>
            <w:r w:rsidRPr="00B65D57">
              <w:rPr>
                <w:rFonts w:eastAsia="Calibri"/>
                <w:lang w:eastAsia="en-US"/>
              </w:rPr>
              <w:t xml:space="preserve">, pH level is kept above </w:t>
            </w:r>
            <w:r w:rsidR="000776F1" w:rsidRPr="00B65D57">
              <w:rPr>
                <w:rFonts w:eastAsia="Calibri"/>
                <w:lang w:eastAsia="en-US"/>
              </w:rPr>
              <w:t xml:space="preserve">the </w:t>
            </w:r>
            <w:r w:rsidRPr="00B65D57">
              <w:rPr>
                <w:rFonts w:eastAsia="Calibri"/>
                <w:lang w:eastAsia="en-US"/>
              </w:rPr>
              <w:t xml:space="preserve">optimum for fungal decay and the retention level of boric acid is above the toxic threshold for fungal decay of wood </w:t>
            </w:r>
            <w:r w:rsidR="000776F1" w:rsidRPr="00B65D57">
              <w:rPr>
                <w:rFonts w:eastAsia="Calibri"/>
                <w:lang w:eastAsia="en-US"/>
              </w:rPr>
              <w:t xml:space="preserve">of </w:t>
            </w:r>
            <w:r w:rsidRPr="00B65D57">
              <w:rPr>
                <w:rFonts w:eastAsia="Calibri"/>
                <w:lang w:eastAsia="en-US"/>
              </w:rPr>
              <w:t>1 kg BAE (</w:t>
            </w:r>
            <w:r w:rsidRPr="00B65D57">
              <w:t>boric acid equivalent</w:t>
            </w:r>
            <w:r w:rsidRPr="00B65D57">
              <w:rPr>
                <w:rFonts w:eastAsia="Calibri"/>
                <w:lang w:eastAsia="en-US"/>
              </w:rPr>
              <w:t>)/m</w:t>
            </w:r>
            <w:r w:rsidRPr="00B65D57">
              <w:rPr>
                <w:rFonts w:eastAsia="Calibri"/>
                <w:vertAlign w:val="superscript"/>
                <w:lang w:eastAsia="en-US"/>
              </w:rPr>
              <w:t>3</w:t>
            </w:r>
            <w:r w:rsidRPr="00B65D57">
              <w:rPr>
                <w:rFonts w:eastAsia="Calibri"/>
                <w:lang w:eastAsia="en-US"/>
              </w:rPr>
              <w:t xml:space="preserve"> wood. </w:t>
            </w:r>
          </w:p>
        </w:tc>
      </w:tr>
    </w:tbl>
    <w:p w14:paraId="2E0109E9" w14:textId="77777777" w:rsidR="00A67DB3" w:rsidRPr="00B65D57" w:rsidRDefault="00A67DB3" w:rsidP="008F4848">
      <w:pPr>
        <w:spacing w:line="260" w:lineRule="atLeast"/>
        <w:rPr>
          <w:rFonts w:eastAsia="Calibri"/>
          <w:lang w:eastAsia="en-US"/>
        </w:rPr>
      </w:pPr>
    </w:p>
    <w:p w14:paraId="78E601B0" w14:textId="70D1DF4A" w:rsidR="00A67DB3" w:rsidRPr="00B65D57" w:rsidRDefault="009A5C9B" w:rsidP="00065CC0">
      <w:pPr>
        <w:pStyle w:val="Rubrik4"/>
      </w:pPr>
      <w:bookmarkStart w:id="1472" w:name="_Toc9253811"/>
      <w:bookmarkStart w:id="1473" w:name="_Toc403566566"/>
      <w:bookmarkStart w:id="1474" w:name="_Toc403472745"/>
      <w:bookmarkStart w:id="1475" w:name="_Toc389729036"/>
      <w:bookmarkStart w:id="1476" w:name="_Toc33905209"/>
      <w:bookmarkStart w:id="1477" w:name="_Toc129689590"/>
      <w:r w:rsidRPr="00B65D57">
        <w:t xml:space="preserve">2.2.5.3 </w:t>
      </w:r>
      <w:r w:rsidR="00A67DB3" w:rsidRPr="00B65D57">
        <w:t>Organisms to be controlled and products, organisms or objects to be protected</w:t>
      </w:r>
      <w:bookmarkEnd w:id="1472"/>
      <w:bookmarkEnd w:id="1473"/>
      <w:bookmarkEnd w:id="1474"/>
      <w:bookmarkEnd w:id="1475"/>
      <w:bookmarkEnd w:id="1476"/>
      <w:bookmarkEnd w:id="1477"/>
    </w:p>
    <w:p w14:paraId="2ADBB92C" w14:textId="27D2085D" w:rsidR="00A67DB3" w:rsidRPr="00B65D57" w:rsidRDefault="00A67DB3" w:rsidP="008F4848">
      <w:pPr>
        <w:spacing w:line="260" w:lineRule="atLeast"/>
        <w:rPr>
          <w:rFonts w:eastAsia="Calibri"/>
          <w:lang w:eastAsia="en-US"/>
        </w:rPr>
      </w:pPr>
      <w:r w:rsidRPr="00B65D57">
        <w:rPr>
          <w:rFonts w:eastAsia="Calibri"/>
          <w:lang w:eastAsia="en-US"/>
        </w:rPr>
        <w:t>The aim for using Jerbor is to control decay (wood</w:t>
      </w:r>
      <w:r w:rsidR="00262777" w:rsidRPr="00B65D57">
        <w:rPr>
          <w:rFonts w:eastAsia="Calibri"/>
          <w:lang w:eastAsia="en-US"/>
        </w:rPr>
        <w:t>-</w:t>
      </w:r>
      <w:r w:rsidRPr="00B65D57">
        <w:rPr>
          <w:rFonts w:eastAsia="Calibri"/>
          <w:lang w:eastAsia="en-US"/>
        </w:rPr>
        <w:t>rotting) fungi (brown rot G.10, white rot G.11 and soft rot G.12) in the upper part of wooden foundations (building supporting constructions). The type of wood in timber foundation is solid, C.10 and soft wood, B.10, of species such as Scots pine (</w:t>
      </w:r>
      <w:r w:rsidRPr="00B65D57">
        <w:rPr>
          <w:rFonts w:eastAsia="Calibri"/>
          <w:i/>
          <w:iCs/>
          <w:lang w:eastAsia="en-US"/>
        </w:rPr>
        <w:t>Pinus Sylvestris</w:t>
      </w:r>
      <w:r w:rsidRPr="00B65D57">
        <w:rPr>
          <w:rFonts w:eastAsia="Calibri"/>
          <w:lang w:eastAsia="en-US"/>
        </w:rPr>
        <w:t>) and Norway spruce (</w:t>
      </w:r>
      <w:r w:rsidRPr="00B65D57">
        <w:rPr>
          <w:rFonts w:eastAsia="Calibri"/>
          <w:i/>
          <w:iCs/>
          <w:lang w:eastAsia="en-US"/>
        </w:rPr>
        <w:t>Picea abies</w:t>
      </w:r>
      <w:r w:rsidRPr="00B65D57">
        <w:rPr>
          <w:rFonts w:eastAsia="Calibri"/>
          <w:lang w:eastAsia="en-US"/>
        </w:rPr>
        <w:t>). Fungal decay of wood is often defined as white-, brown- and soft rot damage types depending on how the wood is degraded.</w:t>
      </w:r>
    </w:p>
    <w:p w14:paraId="4A5B86C1" w14:textId="77777777" w:rsidR="00A67DB3" w:rsidRPr="00B65D57" w:rsidRDefault="00A67DB3" w:rsidP="008F4848">
      <w:pPr>
        <w:spacing w:line="260" w:lineRule="atLeast"/>
        <w:rPr>
          <w:rFonts w:eastAsia="Calibri"/>
          <w:lang w:eastAsia="en-US"/>
        </w:rPr>
      </w:pPr>
    </w:p>
    <w:p w14:paraId="344D75AD" w14:textId="7D5244FA" w:rsidR="00A67DB3" w:rsidRPr="00B65D57" w:rsidRDefault="00A67DB3" w:rsidP="008F4848">
      <w:pPr>
        <w:spacing w:line="260" w:lineRule="atLeast"/>
        <w:rPr>
          <w:rFonts w:eastAsia="Calibri"/>
          <w:lang w:eastAsia="en-US"/>
        </w:rPr>
      </w:pPr>
      <w:r w:rsidRPr="00B65D57">
        <w:rPr>
          <w:rFonts w:eastAsia="Calibri"/>
          <w:lang w:eastAsia="en-US"/>
        </w:rPr>
        <w:t>Wood</w:t>
      </w:r>
      <w:r w:rsidR="00262777" w:rsidRPr="00B65D57">
        <w:rPr>
          <w:rFonts w:eastAsia="Calibri"/>
          <w:lang w:eastAsia="en-US"/>
        </w:rPr>
        <w:t>-</w:t>
      </w:r>
      <w:r w:rsidRPr="00B65D57">
        <w:rPr>
          <w:rFonts w:eastAsia="Calibri"/>
          <w:lang w:eastAsia="en-US"/>
        </w:rPr>
        <w:t xml:space="preserve">rotting fungi are, according to the assessment of the active substances (Assessment Report Boric acid, 2009 and Assessment Report Disodium tetraborate, 2009), the major concern of </w:t>
      </w:r>
      <w:r w:rsidR="000776F1" w:rsidRPr="00B65D57">
        <w:rPr>
          <w:rFonts w:eastAsia="Calibri"/>
          <w:lang w:eastAsia="en-US"/>
        </w:rPr>
        <w:t xml:space="preserve">wood </w:t>
      </w:r>
      <w:r w:rsidRPr="00B65D57">
        <w:rPr>
          <w:rFonts w:eastAsia="Calibri"/>
          <w:lang w:eastAsia="en-US"/>
        </w:rPr>
        <w:t xml:space="preserve">decay in non-termite areas. Bacterial degradation and soft rot decay </w:t>
      </w:r>
      <w:r w:rsidR="000776F1" w:rsidRPr="00B65D57">
        <w:rPr>
          <w:rFonts w:eastAsia="Calibri"/>
          <w:lang w:eastAsia="en-US"/>
        </w:rPr>
        <w:t xml:space="preserve">are </w:t>
      </w:r>
      <w:r w:rsidRPr="00B65D57">
        <w:rPr>
          <w:rFonts w:eastAsia="Calibri"/>
          <w:lang w:eastAsia="en-US"/>
        </w:rPr>
        <w:t>also a concern for waterlogged wood but the degradation rate is slow in comparison to fungal degradation (brown and white rot) due to anoxic metabolism (Klaassen 2008). The use of Jerbor according to the Eurobor technique is to control decay by wood</w:t>
      </w:r>
      <w:r w:rsidR="00262777" w:rsidRPr="00B65D57">
        <w:rPr>
          <w:rFonts w:eastAsia="Calibri"/>
          <w:lang w:eastAsia="en-US"/>
        </w:rPr>
        <w:t>-</w:t>
      </w:r>
      <w:r w:rsidRPr="00B65D57">
        <w:rPr>
          <w:rFonts w:eastAsia="Calibri"/>
          <w:lang w:eastAsia="en-US"/>
        </w:rPr>
        <w:t xml:space="preserve">rotting fungi in foundation wood for &gt; 5 years. </w:t>
      </w:r>
    </w:p>
    <w:p w14:paraId="1AA84657" w14:textId="77777777" w:rsidR="00A67DB3" w:rsidRPr="00B65D57" w:rsidRDefault="00A67DB3" w:rsidP="008F4848">
      <w:pPr>
        <w:spacing w:line="260" w:lineRule="atLeast"/>
        <w:rPr>
          <w:rFonts w:eastAsia="Calibri"/>
          <w:lang w:eastAsia="en-US"/>
        </w:rPr>
      </w:pPr>
    </w:p>
    <w:p w14:paraId="449F3EF0" w14:textId="42122910" w:rsidR="00A67DB3" w:rsidRPr="00B65D57" w:rsidRDefault="00A67DB3" w:rsidP="008F4848">
      <w:pPr>
        <w:spacing w:after="120" w:line="260" w:lineRule="atLeast"/>
        <w:rPr>
          <w:rFonts w:eastAsia="Calibri"/>
          <w:lang w:eastAsia="en-US"/>
        </w:rPr>
      </w:pPr>
      <w:r w:rsidRPr="00B65D57">
        <w:rPr>
          <w:rFonts w:eastAsia="Calibri"/>
          <w:lang w:eastAsia="en-US"/>
        </w:rPr>
        <w:t>The main purpose with Jerbor is not to control specific species of wood</w:t>
      </w:r>
      <w:r w:rsidR="000776F1" w:rsidRPr="00B65D57">
        <w:rPr>
          <w:rFonts w:eastAsia="Calibri"/>
          <w:lang w:eastAsia="en-US"/>
        </w:rPr>
        <w:t>-</w:t>
      </w:r>
      <w:r w:rsidRPr="00B65D57">
        <w:rPr>
          <w:rFonts w:eastAsia="Calibri"/>
          <w:lang w:eastAsia="en-US"/>
        </w:rPr>
        <w:t>rotting fungi but to control the damage types that are caused by the fungi. However, the species of wood</w:t>
      </w:r>
      <w:r w:rsidR="00262777" w:rsidRPr="00B65D57">
        <w:rPr>
          <w:rFonts w:eastAsia="Calibri"/>
          <w:lang w:eastAsia="en-US"/>
        </w:rPr>
        <w:t>-</w:t>
      </w:r>
      <w:r w:rsidRPr="00B65D57">
        <w:rPr>
          <w:rFonts w:eastAsia="Calibri"/>
          <w:lang w:eastAsia="en-US"/>
        </w:rPr>
        <w:t>rotting fungi identified in foundations include fungi such as the brow</w:t>
      </w:r>
      <w:r w:rsidR="00262777" w:rsidRPr="00B65D57">
        <w:rPr>
          <w:rFonts w:eastAsia="Calibri"/>
          <w:lang w:eastAsia="en-US"/>
        </w:rPr>
        <w:t>n</w:t>
      </w:r>
      <w:r w:rsidRPr="00B65D57">
        <w:rPr>
          <w:rFonts w:eastAsia="Calibri"/>
          <w:lang w:eastAsia="en-US"/>
        </w:rPr>
        <w:t xml:space="preserve"> rot fungi; </w:t>
      </w:r>
      <w:r w:rsidRPr="00B65D57">
        <w:rPr>
          <w:rFonts w:eastAsia="Calibri"/>
          <w:i/>
          <w:iCs/>
          <w:lang w:eastAsia="en-US"/>
        </w:rPr>
        <w:t>Coniophora puteana</w:t>
      </w:r>
      <w:r w:rsidRPr="00B65D57">
        <w:rPr>
          <w:rFonts w:eastAsia="Calibri"/>
          <w:lang w:eastAsia="en-US"/>
        </w:rPr>
        <w:t xml:space="preserve">, </w:t>
      </w:r>
      <w:r w:rsidRPr="00B65D57">
        <w:rPr>
          <w:rFonts w:eastAsia="Calibri"/>
          <w:i/>
          <w:iCs/>
          <w:lang w:eastAsia="en-US"/>
        </w:rPr>
        <w:t>Gloeophyllum abietinum</w:t>
      </w:r>
      <w:r w:rsidRPr="00B65D57">
        <w:rPr>
          <w:rFonts w:eastAsia="Calibri"/>
          <w:lang w:eastAsia="en-US"/>
        </w:rPr>
        <w:t xml:space="preserve"> (Flemming and Koch, 1992; Jerbo, 2004; Bech-Andersen 2005; Schmidt 2007), </w:t>
      </w:r>
      <w:r w:rsidRPr="00B65D57">
        <w:rPr>
          <w:rFonts w:eastAsia="Calibri"/>
          <w:i/>
          <w:iCs/>
          <w:lang w:eastAsia="en-US"/>
        </w:rPr>
        <w:t>Antrodia sinuosa</w:t>
      </w:r>
      <w:r w:rsidRPr="00B65D57">
        <w:rPr>
          <w:rFonts w:eastAsia="Calibri"/>
          <w:lang w:eastAsia="en-US"/>
        </w:rPr>
        <w:t xml:space="preserve">, </w:t>
      </w:r>
      <w:r w:rsidRPr="00B65D57">
        <w:rPr>
          <w:rFonts w:eastAsia="Calibri"/>
          <w:i/>
          <w:iCs/>
          <w:lang w:eastAsia="en-US"/>
        </w:rPr>
        <w:t>Fibrioporia vaillantii</w:t>
      </w:r>
      <w:r w:rsidRPr="00B65D57">
        <w:rPr>
          <w:rFonts w:eastAsia="Calibri"/>
          <w:lang w:eastAsia="en-US"/>
        </w:rPr>
        <w:t xml:space="preserve"> and white rot fungi; </w:t>
      </w:r>
      <w:r w:rsidRPr="00B65D57">
        <w:rPr>
          <w:rFonts w:eastAsia="Calibri"/>
          <w:i/>
          <w:iCs/>
          <w:lang w:eastAsia="en-US"/>
        </w:rPr>
        <w:t>Physisporinus vitreus</w:t>
      </w:r>
      <w:r w:rsidRPr="00B65D57">
        <w:rPr>
          <w:rFonts w:eastAsia="Calibri"/>
          <w:lang w:eastAsia="en-US"/>
        </w:rPr>
        <w:t xml:space="preserve">, </w:t>
      </w:r>
      <w:r w:rsidRPr="00B65D57">
        <w:rPr>
          <w:rFonts w:eastAsia="Calibri"/>
          <w:i/>
          <w:iCs/>
          <w:lang w:eastAsia="en-US"/>
        </w:rPr>
        <w:t xml:space="preserve">Trametes versicolor </w:t>
      </w:r>
      <w:r w:rsidRPr="00B65D57">
        <w:rPr>
          <w:rFonts w:eastAsia="Calibri"/>
          <w:lang w:eastAsia="en-US"/>
        </w:rPr>
        <w:t xml:space="preserve">(Blanchette 1984, Daniel </w:t>
      </w:r>
      <w:r w:rsidR="00262777" w:rsidRPr="00B65D57">
        <w:rPr>
          <w:rFonts w:eastAsia="Calibri"/>
          <w:lang w:eastAsia="en-US"/>
        </w:rPr>
        <w:t xml:space="preserve">and </w:t>
      </w:r>
      <w:r w:rsidRPr="00B65D57">
        <w:rPr>
          <w:rFonts w:eastAsia="Calibri"/>
          <w:lang w:eastAsia="en-US"/>
        </w:rPr>
        <w:t xml:space="preserve">Bergman 1997), </w:t>
      </w:r>
      <w:r w:rsidRPr="00B65D57">
        <w:rPr>
          <w:rFonts w:eastAsia="Calibri"/>
          <w:i/>
          <w:iCs/>
          <w:lang w:eastAsia="en-US"/>
        </w:rPr>
        <w:t>Heterobasidium annosum</w:t>
      </w:r>
      <w:r w:rsidRPr="00B65D57">
        <w:rPr>
          <w:rFonts w:eastAsia="Calibri"/>
          <w:lang w:eastAsia="en-US"/>
        </w:rPr>
        <w:t xml:space="preserve"> (Blanchette 1984, Daniel </w:t>
      </w:r>
      <w:r w:rsidR="00262777" w:rsidRPr="00B65D57">
        <w:rPr>
          <w:rFonts w:eastAsia="Calibri"/>
          <w:lang w:eastAsia="en-US"/>
        </w:rPr>
        <w:t xml:space="preserve">and </w:t>
      </w:r>
      <w:r w:rsidRPr="00B65D57">
        <w:rPr>
          <w:rFonts w:eastAsia="Calibri"/>
          <w:lang w:eastAsia="en-US"/>
        </w:rPr>
        <w:t>Bergman 1997). According to the applicant, soft rot has also been found in wooden foundations, although to a much lesser extent, but no species have been determined. Since no specific type of soft rot decay organism is identified there is a natural lack of data regarding standard protocol tests, such as EN 113.</w:t>
      </w:r>
    </w:p>
    <w:p w14:paraId="2C3E5408" w14:textId="77777777" w:rsidR="00A67DB3" w:rsidRPr="00B65D57" w:rsidRDefault="00A67DB3" w:rsidP="008F4848">
      <w:pPr>
        <w:spacing w:after="120" w:line="260" w:lineRule="atLeast"/>
        <w:rPr>
          <w:rFonts w:eastAsia="Calibri"/>
          <w:lang w:eastAsia="en-US"/>
        </w:rPr>
      </w:pPr>
      <w:r w:rsidRPr="00B65D57">
        <w:rPr>
          <w:rFonts w:eastAsia="Calibri"/>
          <w:lang w:eastAsia="en-US"/>
        </w:rPr>
        <w:t xml:space="preserve">In samples from foundation wood a typical observation pattern can be seen in Figure 2.2.5.3-1 with moisture content of the wood (MC) and microscopic observations of decay pattern and the occurrence of degrading microorganisms. The decay zone and front can be noted to a depth of 40-50 mm from the outer limit of sapwood. </w:t>
      </w:r>
    </w:p>
    <w:p w14:paraId="6E2A7E63" w14:textId="77777777" w:rsidR="00A67DB3" w:rsidRPr="00B65D57" w:rsidRDefault="00A67DB3" w:rsidP="00A67DB3">
      <w:pPr>
        <w:spacing w:after="120" w:line="260" w:lineRule="atLeast"/>
        <w:rPr>
          <w:rFonts w:eastAsia="Calibri"/>
          <w:lang w:eastAsia="en-US"/>
        </w:rPr>
      </w:pPr>
    </w:p>
    <w:p w14:paraId="6F3F80BE" w14:textId="77777777" w:rsidR="00A67DB3" w:rsidRPr="00B65D57" w:rsidRDefault="00A67DB3" w:rsidP="00A67DB3">
      <w:pPr>
        <w:keepNext/>
        <w:spacing w:line="260" w:lineRule="atLeast"/>
        <w:jc w:val="center"/>
      </w:pPr>
      <w:r w:rsidRPr="00B65D57">
        <w:rPr>
          <w:noProof/>
        </w:rPr>
        <w:drawing>
          <wp:inline distT="0" distB="0" distL="0" distR="0" wp14:anchorId="51C958FD" wp14:editId="3467B11C">
            <wp:extent cx="4622800" cy="30289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3028950"/>
                    </a:xfrm>
                    <a:prstGeom prst="rect">
                      <a:avLst/>
                    </a:prstGeom>
                    <a:noFill/>
                    <a:ln>
                      <a:noFill/>
                    </a:ln>
                  </pic:spPr>
                </pic:pic>
              </a:graphicData>
            </a:graphic>
          </wp:inline>
        </w:drawing>
      </w:r>
    </w:p>
    <w:p w14:paraId="723ADEB3" w14:textId="77777777" w:rsidR="00A67DB3" w:rsidRPr="00B65D57" w:rsidRDefault="00A67DB3" w:rsidP="00A67DB3">
      <w:pPr>
        <w:pStyle w:val="Beskrivning"/>
        <w:ind w:firstLine="0"/>
        <w:rPr>
          <w:rFonts w:eastAsia="Calibri"/>
          <w:lang w:eastAsia="en-US"/>
        </w:rPr>
      </w:pPr>
      <w:bookmarkStart w:id="1478" w:name="_Ref33613370"/>
      <w:r w:rsidRPr="00B65D57">
        <w:t xml:space="preserve">Figure </w:t>
      </w:r>
      <w:bookmarkEnd w:id="1478"/>
      <w:r w:rsidRPr="00B65D57">
        <w:rPr>
          <w:rFonts w:eastAsia="Calibri"/>
          <w:lang w:eastAsia="en-US"/>
        </w:rPr>
        <w:t>2.2.5.3-1.</w:t>
      </w:r>
      <w:r w:rsidRPr="00B65D57">
        <w:t xml:space="preserve"> Graph with average MC in wood duplicate samples in position from outer sapwood to heartwood. Microscopic observations of decay pattern and degrading organisms such as bacteria and fungi (from Bandh, Fimmerstad and Theorin 2011)</w:t>
      </w:r>
    </w:p>
    <w:p w14:paraId="577E6599" w14:textId="77777777" w:rsidR="00A67DB3" w:rsidRPr="00B65D57" w:rsidRDefault="00A67DB3" w:rsidP="00A67DB3">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67DB3" w:rsidRPr="00B65D57" w14:paraId="2599CBB8" w14:textId="77777777" w:rsidTr="0087769B">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270C8011" w14:textId="77777777" w:rsidR="00A67DB3" w:rsidRPr="00B65D57" w:rsidRDefault="00A67DB3" w:rsidP="0087769B">
            <w:pPr>
              <w:rPr>
                <w:rFonts w:eastAsia="Calibri"/>
                <w:b/>
                <w:bCs/>
                <w:lang w:eastAsia="en-US"/>
              </w:rPr>
            </w:pPr>
            <w:r w:rsidRPr="00B65D57">
              <w:rPr>
                <w:rFonts w:eastAsia="Calibri"/>
                <w:b/>
                <w:bCs/>
                <w:lang w:eastAsia="en-US"/>
              </w:rPr>
              <w:t xml:space="preserve">Endpoint summary on </w:t>
            </w:r>
            <w:r w:rsidRPr="00B65D57">
              <w:rPr>
                <w:b/>
                <w:bCs/>
              </w:rPr>
              <w:t>organisms to be controlled and products, organisms or objects to be protected</w:t>
            </w:r>
          </w:p>
        </w:tc>
      </w:tr>
      <w:tr w:rsidR="00A67DB3" w:rsidRPr="00B65D57" w14:paraId="78EBEA63" w14:textId="77777777" w:rsidTr="0087769B">
        <w:trPr>
          <w:trHeight w:val="298"/>
        </w:trPr>
        <w:tc>
          <w:tcPr>
            <w:tcW w:w="5000" w:type="pct"/>
            <w:tcBorders>
              <w:top w:val="single" w:sz="6" w:space="0" w:color="auto"/>
              <w:left w:val="single" w:sz="4" w:space="0" w:color="auto"/>
              <w:bottom w:val="single" w:sz="6" w:space="0" w:color="auto"/>
              <w:right w:val="single" w:sz="6" w:space="0" w:color="auto"/>
            </w:tcBorders>
            <w:hideMark/>
          </w:tcPr>
          <w:p w14:paraId="18290685" w14:textId="113BC24F" w:rsidR="00A67DB3" w:rsidRPr="00B65D57" w:rsidRDefault="00A67DB3" w:rsidP="0087769B">
            <w:pPr>
              <w:spacing w:line="260" w:lineRule="atLeast"/>
              <w:rPr>
                <w:rFonts w:eastAsia="Calibri"/>
                <w:lang w:eastAsia="en-US"/>
              </w:rPr>
            </w:pPr>
            <w:r w:rsidRPr="00B65D57">
              <w:rPr>
                <w:rFonts w:eastAsia="Calibri"/>
                <w:lang w:eastAsia="en-US"/>
              </w:rPr>
              <w:t xml:space="preserve">Jerbor is used to control degradation of foundation wood by organisms that cause the damage types </w:t>
            </w:r>
            <w:r w:rsidR="00262777" w:rsidRPr="00B65D57">
              <w:rPr>
                <w:rFonts w:eastAsia="Calibri"/>
                <w:lang w:eastAsia="en-US"/>
              </w:rPr>
              <w:t xml:space="preserve">of </w:t>
            </w:r>
            <w:r w:rsidRPr="00B65D57">
              <w:rPr>
                <w:rFonts w:eastAsia="Calibri"/>
                <w:lang w:eastAsia="en-US"/>
              </w:rPr>
              <w:t>brown rot, white rot and soft rot. Use is only allowed when the foundation has been investigated with fungal degradation verified. By protection of buildings</w:t>
            </w:r>
            <w:r w:rsidR="00262777" w:rsidRPr="00B65D57">
              <w:rPr>
                <w:rFonts w:eastAsia="Calibri"/>
                <w:lang w:eastAsia="en-US"/>
              </w:rPr>
              <w:t>’</w:t>
            </w:r>
            <w:r w:rsidRPr="00B65D57">
              <w:rPr>
                <w:rFonts w:eastAsia="Calibri"/>
                <w:lang w:eastAsia="en-US"/>
              </w:rPr>
              <w:t xml:space="preserve"> foundation wood from degradation by </w:t>
            </w:r>
            <w:r w:rsidR="00262777" w:rsidRPr="00B65D57">
              <w:rPr>
                <w:rFonts w:eastAsia="Calibri"/>
                <w:lang w:eastAsia="en-US"/>
              </w:rPr>
              <w:t xml:space="preserve">fungal </w:t>
            </w:r>
            <w:r w:rsidRPr="00B65D57">
              <w:rPr>
                <w:rFonts w:eastAsia="Calibri"/>
                <w:lang w:eastAsia="en-US"/>
              </w:rPr>
              <w:t xml:space="preserve">decay advantages such as prolonged technical lifespan of the foundation, decreased need for refurbishment and underpinning actions due to settling damages, lower environmental impact by avoiding </w:t>
            </w:r>
            <w:r w:rsidRPr="00B65D57">
              <w:rPr>
                <w:rFonts w:eastAsia="Calibri"/>
                <w:lang w:eastAsia="en-US"/>
              </w:rPr>
              <w:lastRenderedPageBreak/>
              <w:t xml:space="preserve">unnecessary use of additional construction material required to replace the foundation wood can be achieved. </w:t>
            </w:r>
          </w:p>
        </w:tc>
      </w:tr>
    </w:tbl>
    <w:p w14:paraId="0D8BE283" w14:textId="77777777" w:rsidR="00A67DB3" w:rsidRPr="00B65D57" w:rsidRDefault="00A67DB3" w:rsidP="00A67DB3">
      <w:pPr>
        <w:spacing w:line="260" w:lineRule="atLeast"/>
        <w:rPr>
          <w:rFonts w:eastAsia="Calibri"/>
          <w:lang w:eastAsia="en-US"/>
        </w:rPr>
      </w:pPr>
    </w:p>
    <w:p w14:paraId="4A7D6985" w14:textId="00CB6925" w:rsidR="00A67DB3" w:rsidRPr="00B65D57" w:rsidRDefault="009A5C9B" w:rsidP="00065CC0">
      <w:pPr>
        <w:pStyle w:val="Rubrik4"/>
      </w:pPr>
      <w:bookmarkStart w:id="1479" w:name="_Toc9253812"/>
      <w:bookmarkStart w:id="1480" w:name="_Toc403566567"/>
      <w:bookmarkStart w:id="1481" w:name="_Toc403472746"/>
      <w:bookmarkStart w:id="1482" w:name="_Toc389729037"/>
      <w:bookmarkStart w:id="1483" w:name="_Toc33905210"/>
      <w:bookmarkStart w:id="1484" w:name="_Toc129689591"/>
      <w:r w:rsidRPr="00B65D57">
        <w:t xml:space="preserve">2.2.5.4 </w:t>
      </w:r>
      <w:r w:rsidR="00A67DB3" w:rsidRPr="00B65D57">
        <w:t>Effects on target organisms, including unacceptable suffering</w:t>
      </w:r>
      <w:bookmarkEnd w:id="1479"/>
      <w:bookmarkEnd w:id="1480"/>
      <w:bookmarkEnd w:id="1481"/>
      <w:bookmarkEnd w:id="1482"/>
      <w:bookmarkEnd w:id="1483"/>
      <w:bookmarkEnd w:id="1484"/>
    </w:p>
    <w:p w14:paraId="4845FA6B" w14:textId="5332B3A8" w:rsidR="00A67DB3" w:rsidRPr="00B65D57" w:rsidRDefault="00A67DB3" w:rsidP="008F4848">
      <w:pPr>
        <w:spacing w:line="260" w:lineRule="atLeast"/>
        <w:rPr>
          <w:rFonts w:eastAsia="Calibri"/>
          <w:lang w:eastAsia="en-US"/>
        </w:rPr>
      </w:pPr>
      <w:r w:rsidRPr="00B65D57">
        <w:rPr>
          <w:rFonts w:eastAsia="Calibri"/>
          <w:lang w:eastAsia="en-US"/>
        </w:rPr>
        <w:t>Effects on target organism</w:t>
      </w:r>
      <w:r w:rsidR="00262777" w:rsidRPr="00B65D57">
        <w:rPr>
          <w:rFonts w:eastAsia="Calibri"/>
          <w:lang w:eastAsia="en-US"/>
        </w:rPr>
        <w:t>s</w:t>
      </w:r>
      <w:r w:rsidRPr="00B65D57">
        <w:rPr>
          <w:rFonts w:eastAsia="Calibri"/>
          <w:lang w:eastAsia="en-US"/>
        </w:rPr>
        <w:t xml:space="preserve"> from Jerbor are claimed to be the same as for the active substances i.e. boric acid and the borate ion. See evaluation of active substances for details</w:t>
      </w:r>
      <w:r w:rsidR="009B3615" w:rsidRPr="00B65D57">
        <w:rPr>
          <w:rFonts w:eastAsia="Calibri"/>
          <w:lang w:eastAsia="en-US"/>
        </w:rPr>
        <w:t xml:space="preserve"> (Assessment Report Boric acid, 2009 and Assessment Report Disodium tetraborate, 2009)</w:t>
      </w:r>
      <w:r w:rsidR="00B51CC5" w:rsidRPr="00B65D57">
        <w:rPr>
          <w:rFonts w:eastAsia="Calibri"/>
          <w:lang w:eastAsia="en-US"/>
        </w:rPr>
        <w:t>.</w:t>
      </w:r>
    </w:p>
    <w:p w14:paraId="3FA4B250" w14:textId="77777777" w:rsidR="00A67DB3" w:rsidRPr="00B65D57" w:rsidRDefault="00A67DB3" w:rsidP="008F4848">
      <w:pPr>
        <w:spacing w:line="260" w:lineRule="atLeast"/>
        <w:rPr>
          <w:rFonts w:eastAsia="Calibri"/>
          <w:lang w:eastAsia="en-US"/>
        </w:rPr>
      </w:pPr>
    </w:p>
    <w:p w14:paraId="2C597FEE" w14:textId="10CEC8D4" w:rsidR="00A67DB3" w:rsidRPr="00B65D57" w:rsidRDefault="00A67DB3" w:rsidP="008F4848">
      <w:pPr>
        <w:spacing w:after="60" w:line="260" w:lineRule="atLeast"/>
        <w:rPr>
          <w:rFonts w:eastAsia="Calibri"/>
          <w:lang w:eastAsia="en-US"/>
        </w:rPr>
      </w:pPr>
      <w:r w:rsidRPr="00B65D57">
        <w:rPr>
          <w:rFonts w:eastAsia="Calibri"/>
          <w:lang w:eastAsia="en-US"/>
        </w:rPr>
        <w:t xml:space="preserve">Boric acid and its corresponding borate ion are the active substance that has effect against the decay fungi. Once boric acid/borate ion diffuse into the decay zone of the wood, i.e. where the decay fungi </w:t>
      </w:r>
      <w:r w:rsidR="003F7E55" w:rsidRPr="00B65D57">
        <w:rPr>
          <w:rFonts w:eastAsia="Calibri"/>
          <w:lang w:eastAsia="en-US"/>
        </w:rPr>
        <w:t xml:space="preserve">are actively </w:t>
      </w:r>
      <w:r w:rsidRPr="00B65D57">
        <w:rPr>
          <w:rFonts w:eastAsia="Calibri"/>
          <w:lang w:eastAsia="en-US"/>
        </w:rPr>
        <w:t xml:space="preserve">degrading the foundation wood, the mode of action </w:t>
      </w:r>
      <w:r w:rsidR="003F7E55" w:rsidRPr="00B65D57">
        <w:rPr>
          <w:rFonts w:eastAsia="Calibri"/>
          <w:lang w:eastAsia="en-US"/>
        </w:rPr>
        <w:t>is a result of</w:t>
      </w:r>
      <w:r w:rsidRPr="00B65D57">
        <w:rPr>
          <w:rFonts w:eastAsia="Calibri"/>
          <w:lang w:eastAsia="en-US"/>
        </w:rPr>
        <w:t>:</w:t>
      </w:r>
    </w:p>
    <w:p w14:paraId="008D9146" w14:textId="77777777" w:rsidR="00A67DB3" w:rsidRPr="00B65D57" w:rsidRDefault="00A67DB3" w:rsidP="008F4848">
      <w:pPr>
        <w:spacing w:after="40" w:line="260" w:lineRule="atLeast"/>
        <w:ind w:left="357"/>
        <w:rPr>
          <w:rFonts w:eastAsia="Calibri"/>
          <w:lang w:eastAsia="en-US"/>
        </w:rPr>
      </w:pPr>
      <w:r w:rsidRPr="00B65D57">
        <w:rPr>
          <w:rFonts w:eastAsia="Calibri"/>
          <w:lang w:eastAsia="en-US"/>
        </w:rPr>
        <w:t>Hydrogen bonding between boric acid/borate ion with hydroxyl groups in the wood and thus blocking the fungal extracellular enzymes.</w:t>
      </w:r>
    </w:p>
    <w:p w14:paraId="520AECAA" w14:textId="05269F8A" w:rsidR="00A67DB3" w:rsidRPr="00B65D57" w:rsidRDefault="00A67DB3" w:rsidP="008F4848">
      <w:pPr>
        <w:spacing w:after="40" w:line="260" w:lineRule="atLeast"/>
        <w:ind w:left="357"/>
        <w:rPr>
          <w:rFonts w:eastAsia="Calibri"/>
          <w:lang w:eastAsia="en-US"/>
        </w:rPr>
      </w:pPr>
      <w:r w:rsidRPr="00B65D57">
        <w:rPr>
          <w:rFonts w:eastAsia="Calibri"/>
          <w:lang w:eastAsia="en-US"/>
        </w:rPr>
        <w:t>Diffusion into the fungi hyphae and block</w:t>
      </w:r>
      <w:r w:rsidR="003F7E55" w:rsidRPr="00B65D57">
        <w:rPr>
          <w:rFonts w:eastAsia="Calibri"/>
          <w:lang w:eastAsia="en-US"/>
        </w:rPr>
        <w:t>ing</w:t>
      </w:r>
      <w:r w:rsidRPr="00B65D57">
        <w:rPr>
          <w:rFonts w:eastAsia="Calibri"/>
          <w:lang w:eastAsia="en-US"/>
        </w:rPr>
        <w:t xml:space="preserve"> intracellular enzymes with hydrogen bonding. </w:t>
      </w:r>
    </w:p>
    <w:p w14:paraId="0826257B" w14:textId="77777777" w:rsidR="00A67DB3" w:rsidRPr="00B65D57" w:rsidRDefault="00A67DB3" w:rsidP="008F4848">
      <w:pPr>
        <w:spacing w:after="40" w:line="260" w:lineRule="atLeast"/>
        <w:ind w:left="360"/>
        <w:rPr>
          <w:rFonts w:eastAsia="Calibri"/>
          <w:lang w:eastAsia="en-US"/>
        </w:rPr>
      </w:pPr>
      <w:r w:rsidRPr="00B65D57">
        <w:rPr>
          <w:rFonts w:eastAsia="Calibri"/>
          <w:lang w:eastAsia="en-US"/>
        </w:rPr>
        <w:t>Hydrogen bonding with mono- and polysaccharides in the wood cellular structure and inside the fungal hyphae cell structure.</w:t>
      </w:r>
    </w:p>
    <w:p w14:paraId="3A7897F5" w14:textId="77777777" w:rsidR="00A67DB3" w:rsidRPr="00B65D57" w:rsidRDefault="00A67DB3" w:rsidP="008F4848">
      <w:pPr>
        <w:spacing w:after="40" w:line="260" w:lineRule="atLeast"/>
        <w:ind w:left="357"/>
        <w:rPr>
          <w:rFonts w:eastAsia="Calibri"/>
          <w:lang w:eastAsia="en-US"/>
        </w:rPr>
      </w:pPr>
      <w:r w:rsidRPr="00B65D57">
        <w:rPr>
          <w:rFonts w:eastAsia="Calibri"/>
          <w:lang w:eastAsia="en-US"/>
        </w:rPr>
        <w:t>Blocking of the enzymatic activities will hinder the metabolism of the decay fungi and thus inhibit the production of organic acids by the fungal metabolism.</w:t>
      </w:r>
    </w:p>
    <w:p w14:paraId="3F6A554A" w14:textId="77777777" w:rsidR="00A67DB3" w:rsidRPr="00B65D57" w:rsidRDefault="00A67DB3" w:rsidP="008F4848">
      <w:pPr>
        <w:spacing w:after="40" w:line="260" w:lineRule="atLeast"/>
        <w:ind w:left="357"/>
        <w:rPr>
          <w:rFonts w:eastAsia="Calibri"/>
          <w:lang w:eastAsia="en-US"/>
        </w:rPr>
      </w:pPr>
      <w:r w:rsidRPr="00B65D57">
        <w:rPr>
          <w:rFonts w:eastAsia="Calibri"/>
          <w:lang w:eastAsia="en-US"/>
        </w:rPr>
        <w:t>pH levels in the wood pore water and inside the fungal hyphae will rise and the fungal enzymes will lose their effect.</w:t>
      </w:r>
    </w:p>
    <w:p w14:paraId="6D56D611" w14:textId="028EDAF0" w:rsidR="00A67DB3" w:rsidRPr="00B65D57" w:rsidRDefault="00A67DB3" w:rsidP="008F4848">
      <w:pPr>
        <w:spacing w:line="260" w:lineRule="atLeast"/>
        <w:ind w:left="360"/>
        <w:rPr>
          <w:rFonts w:eastAsia="Calibri"/>
          <w:lang w:eastAsia="en-US"/>
        </w:rPr>
      </w:pPr>
      <w:r w:rsidRPr="00B65D57">
        <w:rPr>
          <w:rFonts w:eastAsia="Calibri"/>
          <w:lang w:eastAsia="en-US"/>
        </w:rPr>
        <w:t>Simultaneous effects of hydrogen bonding between borate ion and mono- and polysac</w:t>
      </w:r>
      <w:r w:rsidR="003F7E55" w:rsidRPr="00B65D57">
        <w:rPr>
          <w:rFonts w:eastAsia="Calibri"/>
          <w:lang w:eastAsia="en-US"/>
        </w:rPr>
        <w:t>ch</w:t>
      </w:r>
      <w:r w:rsidRPr="00B65D57">
        <w:rPr>
          <w:rFonts w:eastAsia="Calibri"/>
          <w:lang w:eastAsia="en-US"/>
        </w:rPr>
        <w:t>aride</w:t>
      </w:r>
      <w:r w:rsidR="003F7E55" w:rsidRPr="00B65D57">
        <w:rPr>
          <w:rFonts w:eastAsia="Calibri"/>
          <w:lang w:eastAsia="en-US"/>
        </w:rPr>
        <w:t>s</w:t>
      </w:r>
      <w:r w:rsidRPr="00B65D57">
        <w:rPr>
          <w:rFonts w:eastAsia="Calibri"/>
          <w:lang w:eastAsia="en-US"/>
        </w:rPr>
        <w:t xml:space="preserve"> and fungal enzymes and the rise of pH level will stop the fungal decay of the foundation wood. </w:t>
      </w:r>
    </w:p>
    <w:p w14:paraId="137D07FA" w14:textId="77777777" w:rsidR="00A67DB3" w:rsidRPr="00B65D57" w:rsidRDefault="00A67DB3" w:rsidP="008F4848">
      <w:pPr>
        <w:spacing w:line="260" w:lineRule="atLeast"/>
        <w:rPr>
          <w:rFonts w:eastAsia="Calibri"/>
          <w:lang w:eastAsia="en-US"/>
        </w:rPr>
      </w:pPr>
    </w:p>
    <w:p w14:paraId="3EA7C123" w14:textId="165ADFC0" w:rsidR="00A67DB3" w:rsidRPr="00B65D57" w:rsidRDefault="00A67DB3" w:rsidP="008F4848">
      <w:pPr>
        <w:rPr>
          <w:rFonts w:eastAsia="Calibri"/>
          <w:lang w:eastAsia="en-US"/>
        </w:rPr>
      </w:pPr>
      <w:r w:rsidRPr="00B65D57">
        <w:rPr>
          <w:rFonts w:eastAsia="Calibri"/>
          <w:lang w:eastAsia="en-US"/>
        </w:rPr>
        <w:t>Target concentration for a treatment with Jerbor according to the Eurobor technique is to maintain a concentration above 1 kg BAE/m</w:t>
      </w:r>
      <w:r w:rsidRPr="00B65D57">
        <w:rPr>
          <w:rFonts w:eastAsia="Calibri"/>
          <w:vertAlign w:val="superscript"/>
          <w:lang w:eastAsia="en-US"/>
        </w:rPr>
        <w:t>3</w:t>
      </w:r>
      <w:r w:rsidRPr="00B65D57">
        <w:rPr>
          <w:rFonts w:eastAsia="Calibri"/>
          <w:lang w:eastAsia="en-US"/>
        </w:rPr>
        <w:t xml:space="preserve"> for at least 5 to 10 years in treatable wood.  Treatable wood is roughly the cross</w:t>
      </w:r>
      <w:r w:rsidR="003F7E55" w:rsidRPr="00B65D57">
        <w:rPr>
          <w:rFonts w:eastAsia="Calibri"/>
          <w:lang w:eastAsia="en-US"/>
        </w:rPr>
        <w:t>-</w:t>
      </w:r>
      <w:r w:rsidRPr="00B65D57">
        <w:rPr>
          <w:rFonts w:eastAsia="Calibri"/>
          <w:lang w:eastAsia="en-US"/>
        </w:rPr>
        <w:t>section of sapwood located in the ½ - 1 m of the upper part of wooden foundation. A successful treatment according to the Eurobor technique gives a protection against decay by wood</w:t>
      </w:r>
      <w:r w:rsidR="00262777" w:rsidRPr="00B65D57">
        <w:rPr>
          <w:rFonts w:eastAsia="Calibri"/>
          <w:lang w:eastAsia="en-US"/>
        </w:rPr>
        <w:t>-</w:t>
      </w:r>
      <w:r w:rsidRPr="00B65D57">
        <w:rPr>
          <w:rFonts w:eastAsia="Calibri"/>
          <w:lang w:eastAsia="en-US"/>
        </w:rPr>
        <w:t>rotting fungi well beyond &gt;5 years (Bandh and Theorin, 2011</w:t>
      </w:r>
      <w:r w:rsidR="008A5EB3" w:rsidRPr="00B65D57">
        <w:rPr>
          <w:rFonts w:eastAsia="Calibri"/>
          <w:lang w:eastAsia="en-US"/>
        </w:rPr>
        <w:t>b</w:t>
      </w:r>
      <w:r w:rsidRPr="00B65D57">
        <w:rPr>
          <w:rFonts w:eastAsia="Calibri"/>
          <w:lang w:eastAsia="en-US"/>
        </w:rPr>
        <w:t>).</w:t>
      </w:r>
    </w:p>
    <w:p w14:paraId="27845C46" w14:textId="77777777" w:rsidR="00A67DB3" w:rsidRPr="00B65D57" w:rsidRDefault="00A67DB3" w:rsidP="008F4848">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67DB3" w:rsidRPr="00B65D57" w14:paraId="47F5D20C" w14:textId="77777777" w:rsidTr="0087769B">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1BD4A620" w14:textId="77777777" w:rsidR="00A67DB3" w:rsidRPr="00B65D57" w:rsidRDefault="00A67DB3" w:rsidP="008F4848">
            <w:pPr>
              <w:rPr>
                <w:rFonts w:eastAsia="Calibri"/>
                <w:b/>
                <w:bCs/>
                <w:lang w:eastAsia="en-US"/>
              </w:rPr>
            </w:pPr>
            <w:r w:rsidRPr="00B65D57">
              <w:rPr>
                <w:rFonts w:eastAsia="Calibri"/>
                <w:b/>
                <w:bCs/>
                <w:lang w:eastAsia="en-US"/>
              </w:rPr>
              <w:t xml:space="preserve">Endpoint summary on </w:t>
            </w:r>
            <w:r w:rsidRPr="00B65D57">
              <w:rPr>
                <w:rFonts w:eastAsia="Calibri"/>
                <w:b/>
                <w:bCs/>
              </w:rPr>
              <w:t>e</w:t>
            </w:r>
            <w:r w:rsidRPr="00B65D57">
              <w:rPr>
                <w:b/>
                <w:bCs/>
              </w:rPr>
              <w:t>ffects on target organisms, including unacceptable suffering</w:t>
            </w:r>
          </w:p>
        </w:tc>
      </w:tr>
      <w:tr w:rsidR="00A67DB3" w:rsidRPr="00B65D57" w14:paraId="44CC1512" w14:textId="77777777" w:rsidTr="0087769B">
        <w:trPr>
          <w:trHeight w:val="298"/>
        </w:trPr>
        <w:tc>
          <w:tcPr>
            <w:tcW w:w="5000" w:type="pct"/>
            <w:tcBorders>
              <w:top w:val="single" w:sz="6" w:space="0" w:color="auto"/>
              <w:left w:val="single" w:sz="4" w:space="0" w:color="auto"/>
              <w:bottom w:val="single" w:sz="6" w:space="0" w:color="auto"/>
              <w:right w:val="single" w:sz="6" w:space="0" w:color="auto"/>
            </w:tcBorders>
          </w:tcPr>
          <w:p w14:paraId="3C87E795" w14:textId="77777777" w:rsidR="00A67DB3" w:rsidRPr="00B65D57" w:rsidRDefault="00A67DB3" w:rsidP="008F4848">
            <w:pPr>
              <w:spacing w:line="260" w:lineRule="atLeast"/>
            </w:pPr>
            <w:r w:rsidRPr="00B65D57">
              <w:rPr>
                <w:rFonts w:eastAsia="Calibri"/>
                <w:lang w:eastAsia="en-US"/>
              </w:rPr>
              <w:t>The target organisms are microorganisms that causes degradation of foundation wood with damage types such as brown-, white- and/or soft rot. Ongoing decay is stopped when target retention levels of about 1 kg</w:t>
            </w:r>
            <w:r w:rsidRPr="00B65D57">
              <w:t xml:space="preserve"> BAE</w:t>
            </w:r>
            <w:r w:rsidRPr="00B65D57">
              <w:rPr>
                <w:color w:val="000000"/>
                <w:sz w:val="18"/>
                <w:szCs w:val="18"/>
              </w:rPr>
              <w:t>/m</w:t>
            </w:r>
            <w:r w:rsidRPr="00B65D57">
              <w:rPr>
                <w:color w:val="000000"/>
                <w:sz w:val="18"/>
                <w:szCs w:val="18"/>
                <w:vertAlign w:val="superscript"/>
              </w:rPr>
              <w:t>3</w:t>
            </w:r>
            <w:r w:rsidRPr="00B65D57">
              <w:rPr>
                <w:color w:val="000000"/>
                <w:sz w:val="18"/>
                <w:szCs w:val="18"/>
              </w:rPr>
              <w:t xml:space="preserve"> </w:t>
            </w:r>
            <w:r w:rsidRPr="00B65D57">
              <w:t>wood is reached. The metabolism of the decay fungi is stopped by blocking both the nutrients (wood mono- and polysaccharides) and the fungal enzymatic activity (complexing with the active site of the enzymes) and increase the level of pH (complexing with organic acids).</w:t>
            </w:r>
          </w:p>
        </w:tc>
      </w:tr>
    </w:tbl>
    <w:p w14:paraId="64513A7D" w14:textId="77777777" w:rsidR="00A67DB3" w:rsidRPr="00B65D57" w:rsidRDefault="00A67DB3" w:rsidP="008F4848">
      <w:pPr>
        <w:spacing w:line="260" w:lineRule="atLeast"/>
        <w:rPr>
          <w:rFonts w:eastAsia="Calibri"/>
          <w:lang w:eastAsia="en-US"/>
        </w:rPr>
      </w:pPr>
    </w:p>
    <w:p w14:paraId="1B3DBD48" w14:textId="5177405F" w:rsidR="00A67DB3" w:rsidRPr="00B65D57" w:rsidRDefault="009A5C9B" w:rsidP="00065CC0">
      <w:pPr>
        <w:pStyle w:val="Rubrik4"/>
      </w:pPr>
      <w:bookmarkStart w:id="1485" w:name="_Toc9253813"/>
      <w:bookmarkStart w:id="1486" w:name="_Toc403566568"/>
      <w:bookmarkStart w:id="1487" w:name="_Toc403472747"/>
      <w:bookmarkStart w:id="1488" w:name="_Toc389729038"/>
      <w:bookmarkStart w:id="1489" w:name="_Toc33905211"/>
      <w:bookmarkStart w:id="1490" w:name="_Toc129689592"/>
      <w:r w:rsidRPr="00B65D57">
        <w:t xml:space="preserve">2.2.5.5 </w:t>
      </w:r>
      <w:r w:rsidR="00A67DB3" w:rsidRPr="00B65D57">
        <w:t>Mode of action, including time delay</w:t>
      </w:r>
      <w:bookmarkEnd w:id="1485"/>
      <w:bookmarkEnd w:id="1486"/>
      <w:bookmarkEnd w:id="1487"/>
      <w:bookmarkEnd w:id="1488"/>
      <w:bookmarkEnd w:id="1489"/>
      <w:bookmarkEnd w:id="1490"/>
    </w:p>
    <w:p w14:paraId="2A932DE7" w14:textId="77777777" w:rsidR="00A67DB3" w:rsidRPr="00B65D57" w:rsidRDefault="00A67DB3" w:rsidP="008F4848">
      <w:pPr>
        <w:rPr>
          <w:rFonts w:eastAsia="Calibri"/>
          <w:lang w:eastAsia="en-US"/>
        </w:rPr>
      </w:pPr>
      <w:r w:rsidRPr="00B65D57">
        <w:rPr>
          <w:rFonts w:eastAsia="Calibri"/>
          <w:lang w:eastAsia="en-US"/>
        </w:rPr>
        <w:t xml:space="preserve">On target organisms i. e. the type of damages caused by decay fungi as a group, the mode of action of Jerbor is attributed to both the effect of the active substances (boric acid and borate ion) and the effect of the application technique. </w:t>
      </w:r>
    </w:p>
    <w:p w14:paraId="6B54B9FA" w14:textId="77777777" w:rsidR="00A67DB3" w:rsidRPr="00B65D57" w:rsidRDefault="00A67DB3" w:rsidP="008F4848">
      <w:pPr>
        <w:spacing w:line="260" w:lineRule="atLeast"/>
        <w:rPr>
          <w:rFonts w:eastAsia="Calibri"/>
          <w:lang w:eastAsia="en-US"/>
        </w:rPr>
      </w:pPr>
    </w:p>
    <w:p w14:paraId="2C6F9B77" w14:textId="2CF1EF50" w:rsidR="00A67DB3" w:rsidRPr="00B65D57" w:rsidRDefault="00A67DB3" w:rsidP="008F4848">
      <w:pPr>
        <w:spacing w:line="260" w:lineRule="atLeast"/>
        <w:rPr>
          <w:rFonts w:eastAsia="Calibri"/>
          <w:lang w:eastAsia="en-US"/>
        </w:rPr>
      </w:pPr>
      <w:r w:rsidRPr="00B65D57">
        <w:rPr>
          <w:rFonts w:eastAsia="Calibri"/>
          <w:lang w:eastAsia="en-US"/>
        </w:rPr>
        <w:t>Injection is made through holes down into the foundation trench where the foundation wood of concern is located (treatment zone), se</w:t>
      </w:r>
      <w:r w:rsidR="00A0413B" w:rsidRPr="00B65D57">
        <w:rPr>
          <w:rFonts w:eastAsia="Calibri"/>
          <w:lang w:eastAsia="en-US"/>
        </w:rPr>
        <w:t>e</w:t>
      </w:r>
      <w:r w:rsidRPr="00B65D57">
        <w:rPr>
          <w:rFonts w:eastAsia="Calibri"/>
          <w:lang w:eastAsia="en-US"/>
        </w:rPr>
        <w:t xml:space="preserve"> Figure 2.2.5.5-1 and Figure 2.2.5.5-2. Entry of the borates into the foundation wood (with water content often well above 70%) is by diffusion from the applied slurry. The borates reach the site of decay fungi in the wood more easily compared to wood without ongoing decay (Schwarze et al. 2006; Schwarze, 2007; Lehringer 2011; Bandh 2010c).</w:t>
      </w:r>
    </w:p>
    <w:p w14:paraId="50ABF095" w14:textId="77777777" w:rsidR="00A67DB3" w:rsidRPr="00B65D57" w:rsidRDefault="00A67DB3" w:rsidP="008F4848">
      <w:pPr>
        <w:spacing w:line="260" w:lineRule="atLeast"/>
        <w:rPr>
          <w:rFonts w:eastAsia="Calibri"/>
          <w:lang w:eastAsia="en-US"/>
        </w:rPr>
      </w:pPr>
    </w:p>
    <w:tbl>
      <w:tblPr>
        <w:tblW w:w="0" w:type="auto"/>
        <w:tblLook w:val="04A0" w:firstRow="1" w:lastRow="0" w:firstColumn="1" w:lastColumn="0" w:noHBand="0" w:noVBand="1"/>
      </w:tblPr>
      <w:tblGrid>
        <w:gridCol w:w="4524"/>
        <w:gridCol w:w="4690"/>
      </w:tblGrid>
      <w:tr w:rsidR="00A67DB3" w:rsidRPr="00B65D57" w14:paraId="3734DD88" w14:textId="77777777" w:rsidTr="0087769B">
        <w:tc>
          <w:tcPr>
            <w:tcW w:w="5070" w:type="dxa"/>
            <w:hideMark/>
          </w:tcPr>
          <w:p w14:paraId="6F39617D" w14:textId="77777777" w:rsidR="00A67DB3" w:rsidRPr="00B65D57" w:rsidRDefault="00A67DB3" w:rsidP="008F4848">
            <w:pPr>
              <w:spacing w:line="260" w:lineRule="atLeast"/>
              <w:rPr>
                <w:rFonts w:eastAsia="Calibri"/>
                <w:lang w:eastAsia="en-US"/>
              </w:rPr>
            </w:pPr>
            <w:r w:rsidRPr="00B65D57">
              <w:rPr>
                <w:noProof/>
              </w:rPr>
              <w:drawing>
                <wp:inline distT="0" distB="0" distL="0" distR="0" wp14:anchorId="090258CA" wp14:editId="3A14FA26">
                  <wp:extent cx="2952750" cy="2203450"/>
                  <wp:effectExtent l="0" t="0" r="0" b="6350"/>
                  <wp:docPr id="18" name="Picture 18" descr="En bild som visar s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n bild som visar sten&#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0" cy="2203450"/>
                          </a:xfrm>
                          <a:prstGeom prst="rect">
                            <a:avLst/>
                          </a:prstGeom>
                          <a:noFill/>
                          <a:ln>
                            <a:noFill/>
                          </a:ln>
                        </pic:spPr>
                      </pic:pic>
                    </a:graphicData>
                  </a:graphic>
                </wp:inline>
              </w:drawing>
            </w:r>
          </w:p>
        </w:tc>
        <w:tc>
          <w:tcPr>
            <w:tcW w:w="4360" w:type="dxa"/>
            <w:vAlign w:val="bottom"/>
            <w:hideMark/>
          </w:tcPr>
          <w:p w14:paraId="075DDEB1" w14:textId="77777777" w:rsidR="00A67DB3" w:rsidRPr="00B65D57" w:rsidRDefault="00A67DB3" w:rsidP="008F4848">
            <w:pPr>
              <w:spacing w:line="260" w:lineRule="atLeast"/>
              <w:rPr>
                <w:rFonts w:eastAsia="Calibri"/>
                <w:lang w:eastAsia="en-US"/>
              </w:rPr>
            </w:pPr>
            <w:r w:rsidRPr="00B65D57">
              <w:rPr>
                <w:noProof/>
              </w:rPr>
              <w:drawing>
                <wp:inline distT="0" distB="0" distL="0" distR="0" wp14:anchorId="51CD698E" wp14:editId="5057600D">
                  <wp:extent cx="3067050"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47723" t="32240" r="-276" b="12537"/>
                          <a:stretch>
                            <a:fillRect/>
                          </a:stretch>
                        </pic:blipFill>
                        <pic:spPr bwMode="auto">
                          <a:xfrm>
                            <a:off x="0" y="0"/>
                            <a:ext cx="3067050" cy="2190750"/>
                          </a:xfrm>
                          <a:prstGeom prst="rect">
                            <a:avLst/>
                          </a:prstGeom>
                          <a:noFill/>
                          <a:ln>
                            <a:noFill/>
                          </a:ln>
                        </pic:spPr>
                      </pic:pic>
                    </a:graphicData>
                  </a:graphic>
                </wp:inline>
              </w:drawing>
            </w:r>
          </w:p>
        </w:tc>
      </w:tr>
      <w:tr w:rsidR="00A67DB3" w:rsidRPr="00B65D57" w14:paraId="1B1CAC69" w14:textId="77777777" w:rsidTr="0087769B">
        <w:tc>
          <w:tcPr>
            <w:tcW w:w="5070" w:type="dxa"/>
            <w:hideMark/>
          </w:tcPr>
          <w:p w14:paraId="02236AD9" w14:textId="500455C3" w:rsidR="00A67DB3" w:rsidRPr="00B65D57" w:rsidRDefault="00A67DB3" w:rsidP="008F4848">
            <w:pPr>
              <w:pStyle w:val="Beskrivning"/>
              <w:tabs>
                <w:tab w:val="left" w:pos="0"/>
              </w:tabs>
              <w:spacing w:after="80"/>
              <w:ind w:left="0" w:firstLine="0"/>
              <w:rPr>
                <w:rFonts w:eastAsia="Calibri"/>
                <w:lang w:eastAsia="en-US"/>
              </w:rPr>
            </w:pPr>
            <w:r w:rsidRPr="00B65D57">
              <w:rPr>
                <w:rFonts w:eastAsia="Calibri"/>
                <w:lang w:eastAsia="en-US"/>
              </w:rPr>
              <w:t>Figure 2.2.5.5-1. Photo of the treatment zone with wooden piles in concrete and dense clay soil below (from Bandh and Theorin 2011</w:t>
            </w:r>
            <w:r w:rsidR="008A5EB3" w:rsidRPr="00B65D57">
              <w:rPr>
                <w:rFonts w:eastAsia="Calibri"/>
                <w:lang w:eastAsia="en-US"/>
              </w:rPr>
              <w:t>a</w:t>
            </w:r>
            <w:r w:rsidRPr="00B65D57">
              <w:rPr>
                <w:rFonts w:eastAsia="Calibri"/>
                <w:lang w:eastAsia="en-US"/>
              </w:rPr>
              <w:t>)</w:t>
            </w:r>
          </w:p>
        </w:tc>
        <w:tc>
          <w:tcPr>
            <w:tcW w:w="4360" w:type="dxa"/>
            <w:hideMark/>
          </w:tcPr>
          <w:p w14:paraId="23C6C267" w14:textId="515AF3E7" w:rsidR="00A67DB3" w:rsidRPr="00B65D57" w:rsidRDefault="00A67DB3" w:rsidP="008F4848">
            <w:pPr>
              <w:pStyle w:val="Beskrivning"/>
              <w:tabs>
                <w:tab w:val="left" w:pos="0"/>
              </w:tabs>
              <w:ind w:left="-9" w:firstLine="0"/>
              <w:rPr>
                <w:rFonts w:eastAsia="Calibri"/>
                <w:lang w:eastAsia="en-US"/>
              </w:rPr>
            </w:pPr>
            <w:r w:rsidRPr="00B65D57">
              <w:rPr>
                <w:rFonts w:eastAsia="Calibri"/>
                <w:lang w:eastAsia="en-US"/>
              </w:rPr>
              <w:t>Figure 2.2.5.5-2. The principle of Eurobor injection (from Bandh and Theorin 2011</w:t>
            </w:r>
            <w:r w:rsidR="008A5EB3" w:rsidRPr="00B65D57">
              <w:rPr>
                <w:rFonts w:eastAsia="Calibri"/>
                <w:lang w:eastAsia="en-US"/>
              </w:rPr>
              <w:t>a</w:t>
            </w:r>
            <w:r w:rsidRPr="00B65D57">
              <w:rPr>
                <w:rFonts w:eastAsia="Calibri"/>
                <w:lang w:eastAsia="en-US"/>
              </w:rPr>
              <w:t>)</w:t>
            </w:r>
          </w:p>
        </w:tc>
      </w:tr>
    </w:tbl>
    <w:p w14:paraId="360EEB19" w14:textId="77777777" w:rsidR="00A67DB3" w:rsidRPr="00B65D57" w:rsidRDefault="00A67DB3" w:rsidP="008F4848">
      <w:pPr>
        <w:rPr>
          <w:rFonts w:eastAsia="Calibri"/>
          <w:lang w:eastAsia="en-US"/>
        </w:rPr>
      </w:pPr>
    </w:p>
    <w:p w14:paraId="755DE556" w14:textId="3928DC6F" w:rsidR="00A67DB3" w:rsidRPr="00B65D57" w:rsidRDefault="00A67DB3" w:rsidP="008F4848">
      <w:pPr>
        <w:rPr>
          <w:rFonts w:eastAsia="Calibri"/>
          <w:lang w:eastAsia="en-US"/>
        </w:rPr>
      </w:pPr>
      <w:r w:rsidRPr="00B65D57">
        <w:rPr>
          <w:rFonts w:eastAsia="Calibri"/>
          <w:lang w:eastAsia="en-US"/>
        </w:rPr>
        <w:t xml:space="preserve">Bentonite swelling will reduce the already low groundwater turnover </w:t>
      </w:r>
      <w:r w:rsidR="00A0413B" w:rsidRPr="00B65D57">
        <w:rPr>
          <w:rFonts w:eastAsia="Calibri"/>
          <w:lang w:eastAsia="en-US"/>
        </w:rPr>
        <w:t xml:space="preserve">and </w:t>
      </w:r>
      <w:r w:rsidRPr="00B65D57">
        <w:rPr>
          <w:rFonts w:eastAsia="Calibri"/>
          <w:lang w:eastAsia="en-US"/>
        </w:rPr>
        <w:t xml:space="preserve">any leakage from </w:t>
      </w:r>
      <w:r w:rsidR="00A0413B" w:rsidRPr="00B65D57">
        <w:rPr>
          <w:rFonts w:eastAsia="Calibri"/>
          <w:lang w:eastAsia="en-US"/>
        </w:rPr>
        <w:t xml:space="preserve">the </w:t>
      </w:r>
      <w:r w:rsidRPr="00B65D57">
        <w:rPr>
          <w:rFonts w:eastAsia="Calibri"/>
          <w:lang w:eastAsia="en-US"/>
        </w:rPr>
        <w:t>treatment zone. Upon swelling borates are released, which lead</w:t>
      </w:r>
      <w:r w:rsidR="00A0413B" w:rsidRPr="00B65D57">
        <w:rPr>
          <w:rFonts w:eastAsia="Calibri"/>
          <w:lang w:eastAsia="en-US"/>
        </w:rPr>
        <w:t>s</w:t>
      </w:r>
      <w:r w:rsidRPr="00B65D57">
        <w:rPr>
          <w:rFonts w:eastAsia="Calibri"/>
          <w:lang w:eastAsia="en-US"/>
        </w:rPr>
        <w:t xml:space="preserve"> to reduced cohesive forces between bentonite particles in the swelling front. This will give increased swelling and with time sealing of the void.</w:t>
      </w:r>
      <w:r w:rsidR="00A0413B" w:rsidRPr="00B65D57">
        <w:rPr>
          <w:rFonts w:eastAsia="Calibri"/>
          <w:lang w:eastAsia="en-US"/>
        </w:rPr>
        <w:t xml:space="preserve"> The</w:t>
      </w:r>
      <w:r w:rsidRPr="00B65D57">
        <w:rPr>
          <w:rFonts w:eastAsia="Calibri"/>
          <w:lang w:eastAsia="en-US"/>
        </w:rPr>
        <w:t xml:space="preserve"> </w:t>
      </w:r>
      <w:r w:rsidR="00A0413B" w:rsidRPr="00B65D57">
        <w:rPr>
          <w:rFonts w:eastAsia="Calibri"/>
          <w:lang w:eastAsia="en-US"/>
        </w:rPr>
        <w:t>p</w:t>
      </w:r>
      <w:r w:rsidRPr="00B65D57">
        <w:rPr>
          <w:rFonts w:eastAsia="Calibri"/>
          <w:lang w:eastAsia="en-US"/>
        </w:rPr>
        <w:t xml:space="preserve">urpose is to reach toxic retention levels against fungal decay in the wood and seal the foundation from air and water circulation. The fungi demand for oxygen will thereby be minimized as a consequence of the treatment. </w:t>
      </w:r>
      <w:r w:rsidR="00A0413B" w:rsidRPr="00B65D57">
        <w:rPr>
          <w:rFonts w:eastAsia="Calibri"/>
          <w:lang w:eastAsia="en-US"/>
        </w:rPr>
        <w:t>The d</w:t>
      </w:r>
      <w:r w:rsidRPr="00B65D57">
        <w:rPr>
          <w:rFonts w:eastAsia="Calibri"/>
          <w:lang w:eastAsia="en-US"/>
        </w:rPr>
        <w:t>ecay will be prevented by both biocide effect and decrease of oxygen levels close to the wood.</w:t>
      </w:r>
    </w:p>
    <w:p w14:paraId="2E340A7B" w14:textId="77777777" w:rsidR="00A67DB3" w:rsidRPr="00B65D57" w:rsidRDefault="00A67DB3" w:rsidP="008F4848">
      <w:pPr>
        <w:rPr>
          <w:rFonts w:eastAsia="Calibri"/>
          <w:lang w:eastAsia="en-US"/>
        </w:rPr>
      </w:pPr>
    </w:p>
    <w:p w14:paraId="1D82DC70" w14:textId="176F9D66" w:rsidR="00A67DB3" w:rsidRPr="00B65D57" w:rsidRDefault="00A67DB3" w:rsidP="008F4848">
      <w:pPr>
        <w:rPr>
          <w:rFonts w:eastAsia="Calibri"/>
          <w:lang w:eastAsia="en-US"/>
        </w:rPr>
      </w:pPr>
      <w:r w:rsidRPr="00B65D57">
        <w:rPr>
          <w:rFonts w:eastAsia="Calibri"/>
          <w:lang w:eastAsia="en-US"/>
        </w:rPr>
        <w:t>Degradation of wood by decay fungi increases permeability of water and diffusive substances into the wood and further inside the porewater of the wood. Diffusion of borates into foundation wood from the Jerbor-bentonite-slurry has been studied in laboratory and</w:t>
      </w:r>
      <w:r w:rsidR="00A0413B" w:rsidRPr="00B65D57">
        <w:rPr>
          <w:rFonts w:eastAsia="Calibri"/>
          <w:lang w:eastAsia="en-US"/>
        </w:rPr>
        <w:t xml:space="preserve"> the</w:t>
      </w:r>
      <w:r w:rsidRPr="00B65D57">
        <w:rPr>
          <w:rFonts w:eastAsia="Calibri"/>
          <w:lang w:eastAsia="en-US"/>
        </w:rPr>
        <w:t xml:space="preserve"> results show that toxic retention is reached within 14 days after </w:t>
      </w:r>
      <w:r w:rsidR="00A0413B" w:rsidRPr="00B65D57">
        <w:rPr>
          <w:rFonts w:eastAsia="Calibri"/>
          <w:lang w:eastAsia="en-US"/>
        </w:rPr>
        <w:t xml:space="preserve">the </w:t>
      </w:r>
      <w:r w:rsidRPr="00B65D57">
        <w:rPr>
          <w:rFonts w:eastAsia="Calibri"/>
          <w:lang w:eastAsia="en-US"/>
        </w:rPr>
        <w:t>application (Bandh</w:t>
      </w:r>
      <w:r w:rsidR="00432E72" w:rsidRPr="00B65D57">
        <w:rPr>
          <w:rFonts w:eastAsia="Calibri"/>
          <w:lang w:eastAsia="en-US"/>
        </w:rPr>
        <w:t xml:space="preserve"> et al </w:t>
      </w:r>
      <w:r w:rsidRPr="00B65D57">
        <w:rPr>
          <w:rFonts w:eastAsia="Calibri"/>
          <w:lang w:eastAsia="en-US"/>
        </w:rPr>
        <w:t xml:space="preserve">2011). Diffusion of borates into the wood will increase the pH level in the wood pore water. This will reduce the growth and degradation ability of the fungi which </w:t>
      </w:r>
      <w:r w:rsidR="00A0413B" w:rsidRPr="00B65D57">
        <w:rPr>
          <w:rFonts w:eastAsia="Calibri"/>
          <w:lang w:eastAsia="en-US"/>
        </w:rPr>
        <w:t>favour</w:t>
      </w:r>
      <w:r w:rsidRPr="00B65D57">
        <w:rPr>
          <w:rFonts w:eastAsia="Calibri"/>
          <w:lang w:eastAsia="en-US"/>
        </w:rPr>
        <w:t xml:space="preserve"> pH below 6.5. The increase of pH in wood from the buffering capacity of borates will both enhance fixation and limit growth conditions for the fungi. </w:t>
      </w:r>
    </w:p>
    <w:p w14:paraId="2A3386BA" w14:textId="77777777" w:rsidR="00A67DB3" w:rsidRPr="00B65D57" w:rsidRDefault="00A67DB3" w:rsidP="008F4848">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67DB3" w:rsidRPr="00B65D57" w14:paraId="2889B24C" w14:textId="77777777" w:rsidTr="0087769B">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15C458A7" w14:textId="77777777" w:rsidR="00A67DB3" w:rsidRPr="00B65D57" w:rsidRDefault="00A67DB3" w:rsidP="008F4848">
            <w:pPr>
              <w:rPr>
                <w:rFonts w:eastAsia="Calibri"/>
                <w:b/>
                <w:bCs/>
                <w:lang w:eastAsia="en-US"/>
              </w:rPr>
            </w:pPr>
            <w:r w:rsidRPr="00B65D57">
              <w:rPr>
                <w:rFonts w:eastAsia="Calibri"/>
                <w:b/>
                <w:bCs/>
                <w:lang w:eastAsia="en-US"/>
              </w:rPr>
              <w:t xml:space="preserve">Endpoint summary on </w:t>
            </w:r>
            <w:r w:rsidRPr="00B65D57">
              <w:rPr>
                <w:rFonts w:eastAsia="Calibri"/>
                <w:b/>
                <w:bCs/>
              </w:rPr>
              <w:t>mode of action including time delay</w:t>
            </w:r>
          </w:p>
        </w:tc>
      </w:tr>
      <w:tr w:rsidR="00A67DB3" w:rsidRPr="00B65D57" w14:paraId="519E90B5" w14:textId="77777777" w:rsidTr="0087769B">
        <w:trPr>
          <w:trHeight w:val="298"/>
        </w:trPr>
        <w:tc>
          <w:tcPr>
            <w:tcW w:w="5000" w:type="pct"/>
            <w:tcBorders>
              <w:top w:val="single" w:sz="6" w:space="0" w:color="auto"/>
              <w:left w:val="single" w:sz="4" w:space="0" w:color="auto"/>
              <w:bottom w:val="single" w:sz="6" w:space="0" w:color="auto"/>
              <w:right w:val="single" w:sz="6" w:space="0" w:color="auto"/>
            </w:tcBorders>
            <w:hideMark/>
          </w:tcPr>
          <w:p w14:paraId="4589C6DB" w14:textId="77777777" w:rsidR="00A67DB3" w:rsidRPr="00B65D57" w:rsidRDefault="00A67DB3" w:rsidP="008F4848">
            <w:pPr>
              <w:spacing w:line="260" w:lineRule="atLeast"/>
              <w:rPr>
                <w:rFonts w:eastAsia="Calibri"/>
                <w:lang w:eastAsia="en-US"/>
              </w:rPr>
            </w:pPr>
            <w:r w:rsidRPr="00B65D57">
              <w:rPr>
                <w:rFonts w:eastAsia="Calibri"/>
                <w:lang w:eastAsia="en-US"/>
              </w:rPr>
              <w:t xml:space="preserve">Boric acid and borate ion are the substances responsible for the effect on the target organisms. Borates form complex with polyols including mono- and polysaccharides, organic acids and enzymes in the treatment zone blocking the fungal metabolism and thus inhibit the production of organic acids which will increase the pH resulting in decreased fungal decay. In addition, the application technique of Jerbor will result in filling of voids, limiting groundwater and air circulation and increase the pH level due to buffer capacity of the slurry. </w:t>
            </w:r>
          </w:p>
        </w:tc>
      </w:tr>
    </w:tbl>
    <w:p w14:paraId="4B223EBA" w14:textId="77777777" w:rsidR="00A67DB3" w:rsidRPr="00B65D57" w:rsidRDefault="00A67DB3" w:rsidP="008F4848">
      <w:pPr>
        <w:rPr>
          <w:rFonts w:eastAsia="Calibri"/>
          <w:lang w:eastAsia="en-US"/>
        </w:rPr>
      </w:pPr>
    </w:p>
    <w:p w14:paraId="7BCD50A4" w14:textId="441FEEFC" w:rsidR="00A67DB3" w:rsidRPr="00B65D57" w:rsidRDefault="009A5C9B" w:rsidP="00065CC0">
      <w:pPr>
        <w:pStyle w:val="Rubrik4"/>
      </w:pPr>
      <w:bookmarkStart w:id="1491" w:name="_Toc9253814"/>
      <w:bookmarkStart w:id="1492" w:name="_Toc403566569"/>
      <w:bookmarkStart w:id="1493" w:name="_Toc403472748"/>
      <w:bookmarkStart w:id="1494" w:name="_Toc389729039"/>
      <w:bookmarkStart w:id="1495" w:name="_Toc33905212"/>
      <w:bookmarkStart w:id="1496" w:name="_Toc129689593"/>
      <w:r w:rsidRPr="00B65D57">
        <w:lastRenderedPageBreak/>
        <w:t xml:space="preserve">2.2.5.6 </w:t>
      </w:r>
      <w:r w:rsidR="00A67DB3" w:rsidRPr="00B65D57">
        <w:t>Efficacy data</w:t>
      </w:r>
      <w:bookmarkEnd w:id="1491"/>
      <w:bookmarkEnd w:id="1492"/>
      <w:bookmarkEnd w:id="1493"/>
      <w:bookmarkEnd w:id="1494"/>
      <w:bookmarkEnd w:id="1495"/>
      <w:bookmarkEnd w:id="1496"/>
      <w:r w:rsidR="00A67DB3" w:rsidRPr="00B65D57">
        <w:t xml:space="preserve"> </w:t>
      </w:r>
    </w:p>
    <w:p w14:paraId="0E9B9313" w14:textId="31C291DC" w:rsidR="00A67DB3" w:rsidRPr="00B65D57" w:rsidRDefault="00A67DB3" w:rsidP="008F4848">
      <w:pPr>
        <w:spacing w:after="120" w:line="260" w:lineRule="atLeast"/>
        <w:rPr>
          <w:rFonts w:eastAsia="Calibri"/>
          <w:lang w:eastAsia="en-US"/>
        </w:rPr>
      </w:pPr>
      <w:r w:rsidRPr="00B65D57">
        <w:rPr>
          <w:rFonts w:eastAsia="Calibri"/>
          <w:lang w:eastAsia="en-US"/>
        </w:rPr>
        <w:t>The CARs covering the different boron species report that the toxic threshold level for most brown- and white rot wood</w:t>
      </w:r>
      <w:r w:rsidR="001C1939" w:rsidRPr="00B65D57">
        <w:rPr>
          <w:rFonts w:eastAsia="Calibri"/>
          <w:lang w:eastAsia="en-US"/>
        </w:rPr>
        <w:t>-</w:t>
      </w:r>
      <w:r w:rsidRPr="00B65D57">
        <w:rPr>
          <w:rFonts w:eastAsia="Calibri"/>
          <w:lang w:eastAsia="en-US"/>
        </w:rPr>
        <w:t>decaying fungi was established to be 2.0 kg BAE/m³ wood. Although, the most persistent fungi assessed in the CARs (</w:t>
      </w:r>
      <w:r w:rsidRPr="00B65D57">
        <w:rPr>
          <w:rFonts w:eastAsia="Calibri"/>
          <w:i/>
          <w:iCs/>
          <w:lang w:eastAsia="en-US"/>
        </w:rPr>
        <w:t>Gloeophyllum trabeum</w:t>
      </w:r>
      <w:r w:rsidRPr="00B65D57">
        <w:rPr>
          <w:rFonts w:eastAsia="Calibri"/>
          <w:lang w:eastAsia="en-US"/>
        </w:rPr>
        <w:t>) will require 2.2 kg BAE/m³.</w:t>
      </w:r>
    </w:p>
    <w:p w14:paraId="0165FE2C" w14:textId="69565694" w:rsidR="00A67DB3" w:rsidRPr="00B65D57" w:rsidRDefault="00A67DB3" w:rsidP="008F4848">
      <w:pPr>
        <w:spacing w:after="120" w:line="260" w:lineRule="atLeast"/>
        <w:rPr>
          <w:rFonts w:eastAsia="Calibri"/>
          <w:lang w:eastAsia="en-US"/>
        </w:rPr>
      </w:pPr>
      <w:r w:rsidRPr="00B65D57">
        <w:rPr>
          <w:rFonts w:eastAsia="Calibri"/>
          <w:lang w:eastAsia="en-US"/>
        </w:rPr>
        <w:t>Almost all efficacy studies presented in the CARs for the different boron species were performed on brown and white rot fungi. This is consistent with studies found in the open literature where there are numerous studies on the efficacy of brown and white rot fungi (see e.g. review by Freeman et al., 2009) while very few studies are available on the efficacy of boron against soft rot fungi. In the CARs there is one study in which relatively high toxic threshold levels for boron against a soft rot fungus was determined. However, since leaching during the experiments of this study was not prevented the threshold levels determined were not considered reliable by the R</w:t>
      </w:r>
      <w:r w:rsidR="001C1939" w:rsidRPr="00B65D57">
        <w:rPr>
          <w:rFonts w:eastAsia="Calibri"/>
          <w:lang w:eastAsia="en-US"/>
        </w:rPr>
        <w:t>ef</w:t>
      </w:r>
      <w:r w:rsidRPr="00B65D57">
        <w:rPr>
          <w:rFonts w:eastAsia="Calibri"/>
          <w:lang w:eastAsia="en-US"/>
        </w:rPr>
        <w:t xml:space="preserve">MS. If leaching is not prevented during </w:t>
      </w:r>
      <w:r w:rsidR="001C1939" w:rsidRPr="00B65D57">
        <w:rPr>
          <w:rFonts w:eastAsia="Calibri"/>
          <w:lang w:eastAsia="en-US"/>
        </w:rPr>
        <w:t xml:space="preserve">the </w:t>
      </w:r>
      <w:r w:rsidRPr="00B65D57">
        <w:rPr>
          <w:rFonts w:eastAsia="Calibri"/>
          <w:lang w:eastAsia="en-US"/>
        </w:rPr>
        <w:t>efficacy testing the resulting threshold levels become much higher compared to studies where leaching is prevented or minimised (Freitag and Morrell, 2005). However, in a study by Henningsson et al. (1988)</w:t>
      </w:r>
      <w:r w:rsidRPr="00B65D57">
        <w:rPr>
          <w:rFonts w:eastAsia="Calibri"/>
          <w:sz w:val="22"/>
          <w:szCs w:val="22"/>
          <w:lang w:eastAsia="en-US"/>
        </w:rPr>
        <w:t xml:space="preserve"> t</w:t>
      </w:r>
      <w:r w:rsidRPr="00B65D57">
        <w:rPr>
          <w:rStyle w:val="Kommentarsreferens"/>
          <w:sz w:val="22"/>
          <w:szCs w:val="22"/>
        </w:rPr>
        <w:t>h</w:t>
      </w:r>
      <w:r w:rsidRPr="00B65D57">
        <w:rPr>
          <w:rFonts w:eastAsia="Calibri"/>
          <w:sz w:val="22"/>
          <w:szCs w:val="22"/>
          <w:lang w:eastAsia="en-US"/>
        </w:rPr>
        <w:t>e</w:t>
      </w:r>
      <w:r w:rsidRPr="00B65D57">
        <w:rPr>
          <w:rFonts w:eastAsia="Calibri"/>
          <w:lang w:eastAsia="en-US"/>
        </w:rPr>
        <w:t xml:space="preserve"> growth</w:t>
      </w:r>
      <w:r w:rsidR="001C1939" w:rsidRPr="00B65D57">
        <w:rPr>
          <w:rFonts w:eastAsia="Calibri"/>
          <w:lang w:eastAsia="en-US"/>
        </w:rPr>
        <w:t>-</w:t>
      </w:r>
      <w:r w:rsidRPr="00B65D57">
        <w:rPr>
          <w:rFonts w:eastAsia="Calibri"/>
          <w:lang w:eastAsia="en-US"/>
        </w:rPr>
        <w:t>inhibiting concentration of boric acid was found to be the same for soft rot fungus as for brown rot fungus. In the same study, results were also presented on the growth of wood-destroying fungi after remedial treatment of poles with different boron containing techniques and products. The results indicated that several species of soft rot fungus can be controlled but threshold levels were not convincingly expressed even though it was indicated that the levels are in line with the target dose suggested by the applicant (2 kg BAE/m³).</w:t>
      </w:r>
    </w:p>
    <w:p w14:paraId="40D48F4A" w14:textId="77777777" w:rsidR="00A67DB3" w:rsidRPr="00B65D57" w:rsidRDefault="00A67DB3" w:rsidP="008F4848">
      <w:pPr>
        <w:spacing w:after="120" w:line="260" w:lineRule="atLeast"/>
        <w:rPr>
          <w:rFonts w:eastAsia="Calibri"/>
          <w:lang w:eastAsia="en-US"/>
        </w:rPr>
      </w:pPr>
    </w:p>
    <w:p w14:paraId="3589D14B" w14:textId="0975ED6F" w:rsidR="00A67DB3" w:rsidRPr="00B65D57" w:rsidRDefault="009A5C9B" w:rsidP="008F4848">
      <w:pPr>
        <w:pStyle w:val="Rubrik5"/>
        <w:rPr>
          <w:rFonts w:eastAsia="Calibri"/>
          <w:lang w:val="en-GB" w:eastAsia="en-US"/>
        </w:rPr>
      </w:pPr>
      <w:r w:rsidRPr="00B65D57">
        <w:rPr>
          <w:rFonts w:eastAsia="Calibri"/>
          <w:lang w:val="en-GB" w:eastAsia="en-US"/>
        </w:rPr>
        <w:t xml:space="preserve">2.2.5.6.1 </w:t>
      </w:r>
      <w:r w:rsidR="00A67DB3" w:rsidRPr="00B65D57">
        <w:rPr>
          <w:rFonts w:eastAsia="Calibri"/>
          <w:lang w:val="en-GB" w:eastAsia="en-US"/>
        </w:rPr>
        <w:t>Dose</w:t>
      </w:r>
    </w:p>
    <w:p w14:paraId="032EED29" w14:textId="77777777" w:rsidR="00A67DB3" w:rsidRPr="00B65D57" w:rsidRDefault="00A67DB3" w:rsidP="008F4848">
      <w:pPr>
        <w:spacing w:after="120" w:line="260" w:lineRule="atLeast"/>
        <w:rPr>
          <w:rFonts w:eastAsia="Calibri"/>
          <w:lang w:eastAsia="en-US"/>
        </w:rPr>
      </w:pPr>
      <w:r w:rsidRPr="00B65D57">
        <w:rPr>
          <w:rFonts w:eastAsia="Calibri"/>
          <w:lang w:eastAsia="en-US"/>
        </w:rPr>
        <w:t xml:space="preserve">According to the applicant, the target dose for treatable wood is 2 kg BAE/m³ but since the treatment is performed in situ it is relevant to discuss also the estimated dose required and the applied dose, respectively. </w:t>
      </w:r>
    </w:p>
    <w:p w14:paraId="3A4CF93D" w14:textId="6E55E2A5" w:rsidR="00A67DB3" w:rsidRPr="00B65D57" w:rsidRDefault="00A67DB3" w:rsidP="008F4848">
      <w:pPr>
        <w:spacing w:after="120" w:line="260" w:lineRule="atLeast"/>
        <w:rPr>
          <w:rFonts w:eastAsia="Calibri"/>
          <w:lang w:eastAsia="en-US"/>
        </w:rPr>
      </w:pPr>
      <w:r w:rsidRPr="00B65D57">
        <w:rPr>
          <w:rFonts w:eastAsia="Calibri"/>
          <w:lang w:eastAsia="en-US"/>
        </w:rPr>
        <w:t>The foundation inspection is the basis for the estimation of the dose for application. When estimating the dose for application there are several factors to consider</w:t>
      </w:r>
      <w:r w:rsidR="00050D8E" w:rsidRPr="00B65D57">
        <w:rPr>
          <w:rFonts w:eastAsia="Calibri"/>
          <w:lang w:eastAsia="en-US"/>
        </w:rPr>
        <w:t xml:space="preserve">: </w:t>
      </w:r>
      <w:r w:rsidRPr="00B65D57">
        <w:rPr>
          <w:rFonts w:eastAsia="Calibri"/>
          <w:lang w:eastAsia="en-US"/>
        </w:rPr>
        <w:t xml:space="preserve">first is to estimate the volume of treatable wood. This volume is roughly the sapwood located in the 0.5-1 m of the upper part of the wooden foundation. </w:t>
      </w:r>
      <w:r w:rsidR="00050D8E" w:rsidRPr="00B65D57">
        <w:rPr>
          <w:rFonts w:eastAsia="Calibri"/>
          <w:lang w:eastAsia="en-US"/>
        </w:rPr>
        <w:t>The a</w:t>
      </w:r>
      <w:r w:rsidRPr="00B65D57">
        <w:rPr>
          <w:rFonts w:eastAsia="Calibri"/>
          <w:lang w:eastAsia="en-US"/>
        </w:rPr>
        <w:t xml:space="preserve">pplied dose </w:t>
      </w:r>
      <w:r w:rsidR="00050D8E" w:rsidRPr="00B65D57">
        <w:rPr>
          <w:rFonts w:eastAsia="Calibri"/>
          <w:lang w:eastAsia="en-US"/>
        </w:rPr>
        <w:t xml:space="preserve">has </w:t>
      </w:r>
      <w:r w:rsidRPr="00B65D57">
        <w:rPr>
          <w:rFonts w:eastAsia="Calibri"/>
          <w:lang w:eastAsia="en-US"/>
        </w:rPr>
        <w:t xml:space="preserve">to be at least twice the target dose of 2 kg BAE/m³ since the external depot will strive towards </w:t>
      </w:r>
      <w:r w:rsidR="00050D8E" w:rsidRPr="00B65D57">
        <w:rPr>
          <w:rFonts w:eastAsia="Calibri"/>
          <w:lang w:eastAsia="en-US"/>
        </w:rPr>
        <w:t xml:space="preserve">the </w:t>
      </w:r>
      <w:r w:rsidRPr="00B65D57">
        <w:rPr>
          <w:rFonts w:eastAsia="Calibri"/>
          <w:lang w:eastAsia="en-US"/>
        </w:rPr>
        <w:t>equilibrium with the foundation wood. However, 4 kg BAE/m³ is just enough for an</w:t>
      </w:r>
      <w:r w:rsidR="00F014C4">
        <w:rPr>
          <w:rFonts w:eastAsia="Calibri"/>
          <w:lang w:eastAsia="en-US"/>
        </w:rPr>
        <w:t xml:space="preserve"> </w:t>
      </w:r>
      <w:r w:rsidRPr="00B65D57">
        <w:rPr>
          <w:rFonts w:eastAsia="Calibri"/>
          <w:lang w:eastAsia="en-US"/>
        </w:rPr>
        <w:t xml:space="preserve">ideal state without any losses and full equilibrium between </w:t>
      </w:r>
      <w:r w:rsidR="00050D8E" w:rsidRPr="00B65D57">
        <w:rPr>
          <w:rFonts w:eastAsia="Calibri"/>
          <w:lang w:eastAsia="en-US"/>
        </w:rPr>
        <w:t xml:space="preserve">the </w:t>
      </w:r>
      <w:r w:rsidRPr="00B65D57">
        <w:rPr>
          <w:rFonts w:eastAsia="Calibri"/>
          <w:lang w:eastAsia="en-US"/>
        </w:rPr>
        <w:t xml:space="preserve">depot and </w:t>
      </w:r>
      <w:r w:rsidR="00050D8E" w:rsidRPr="00B65D57">
        <w:rPr>
          <w:rFonts w:eastAsia="Calibri"/>
          <w:lang w:eastAsia="en-US"/>
        </w:rPr>
        <w:t xml:space="preserve">the </w:t>
      </w:r>
      <w:r w:rsidRPr="00B65D57">
        <w:rPr>
          <w:rFonts w:eastAsia="Calibri"/>
          <w:lang w:eastAsia="en-US"/>
        </w:rPr>
        <w:t>wood. Considering adsorption to concrete</w:t>
      </w:r>
      <w:r w:rsidR="00050D8E" w:rsidRPr="00B65D57">
        <w:rPr>
          <w:rFonts w:eastAsia="Calibri"/>
          <w:lang w:eastAsia="en-US"/>
        </w:rPr>
        <w:t xml:space="preserve"> and</w:t>
      </w:r>
      <w:r w:rsidRPr="00B65D57">
        <w:rPr>
          <w:rFonts w:eastAsia="Calibri"/>
          <w:lang w:eastAsia="en-US"/>
        </w:rPr>
        <w:t xml:space="preserve"> clay surfaces, some dilution in water </w:t>
      </w:r>
      <w:r w:rsidR="00050D8E" w:rsidRPr="00B65D57">
        <w:rPr>
          <w:rFonts w:eastAsia="Calibri"/>
          <w:lang w:eastAsia="en-US"/>
        </w:rPr>
        <w:t xml:space="preserve">in the </w:t>
      </w:r>
      <w:r w:rsidRPr="00B65D57">
        <w:rPr>
          <w:rFonts w:eastAsia="Calibri"/>
          <w:lang w:eastAsia="en-US"/>
        </w:rPr>
        <w:t>treatment zone and uneven distribution, the dose needed is usually estimated to</w:t>
      </w:r>
      <w:r w:rsidR="00050D8E" w:rsidRPr="00B65D57">
        <w:rPr>
          <w:rFonts w:eastAsia="Calibri"/>
          <w:lang w:eastAsia="en-US"/>
        </w:rPr>
        <w:t xml:space="preserve"> be</w:t>
      </w:r>
      <w:r w:rsidRPr="00B65D57">
        <w:rPr>
          <w:rFonts w:eastAsia="Calibri"/>
          <w:lang w:eastAsia="en-US"/>
        </w:rPr>
        <w:t xml:space="preserve"> 6–9 kg BAE/m³. The volume of voids in the treatment zone also needs to be considered. It is important to get an accurate horizontal spread between </w:t>
      </w:r>
      <w:r w:rsidR="00050D8E" w:rsidRPr="00B65D57">
        <w:rPr>
          <w:rFonts w:eastAsia="Calibri"/>
          <w:lang w:eastAsia="en-US"/>
        </w:rPr>
        <w:t xml:space="preserve">the </w:t>
      </w:r>
      <w:r w:rsidRPr="00B65D57">
        <w:rPr>
          <w:rFonts w:eastAsia="Calibri"/>
          <w:lang w:eastAsia="en-US"/>
        </w:rPr>
        <w:t xml:space="preserve">injection holes and to get a sealing effect of the bentonite swelling. This estimation of voids requires experience and is used as a final adjustment factor for </w:t>
      </w:r>
      <w:r w:rsidR="00050D8E" w:rsidRPr="00B65D57">
        <w:rPr>
          <w:rFonts w:eastAsia="Calibri"/>
          <w:lang w:eastAsia="en-US"/>
        </w:rPr>
        <w:t xml:space="preserve">the </w:t>
      </w:r>
      <w:r w:rsidRPr="00B65D57">
        <w:rPr>
          <w:rFonts w:eastAsia="Calibri"/>
          <w:lang w:eastAsia="en-US"/>
        </w:rPr>
        <w:t xml:space="preserve">dose needed. If volume of voids is high the adjustment </w:t>
      </w:r>
      <w:r w:rsidR="00050D8E" w:rsidRPr="00B65D57">
        <w:rPr>
          <w:rFonts w:eastAsia="Calibri"/>
          <w:lang w:eastAsia="en-US"/>
        </w:rPr>
        <w:t xml:space="preserve">of </w:t>
      </w:r>
      <w:r w:rsidRPr="00B65D57">
        <w:rPr>
          <w:rFonts w:eastAsia="Calibri"/>
          <w:lang w:eastAsia="en-US"/>
        </w:rPr>
        <w:t xml:space="preserve">results </w:t>
      </w:r>
      <w:r w:rsidR="00050D8E" w:rsidRPr="00B65D57">
        <w:rPr>
          <w:rFonts w:eastAsia="Calibri"/>
          <w:lang w:eastAsia="en-US"/>
        </w:rPr>
        <w:t xml:space="preserve">toward </w:t>
      </w:r>
      <w:r w:rsidRPr="00B65D57">
        <w:rPr>
          <w:rFonts w:eastAsia="Calibri"/>
          <w:lang w:eastAsia="en-US"/>
        </w:rPr>
        <w:t xml:space="preserve">an increase of the estimated dose needed, and in some cases when </w:t>
      </w:r>
      <w:r w:rsidR="00050D8E" w:rsidRPr="00B65D57">
        <w:rPr>
          <w:rFonts w:eastAsia="Calibri"/>
          <w:lang w:eastAsia="en-US"/>
        </w:rPr>
        <w:t xml:space="preserve">the </w:t>
      </w:r>
      <w:r w:rsidRPr="00B65D57">
        <w:rPr>
          <w:rFonts w:eastAsia="Calibri"/>
          <w:lang w:eastAsia="en-US"/>
        </w:rPr>
        <w:t>volume of void is low the adjustment can be a minor reduction.</w:t>
      </w:r>
    </w:p>
    <w:p w14:paraId="36026D9C" w14:textId="77777777" w:rsidR="00A67DB3" w:rsidRPr="00B65D57" w:rsidRDefault="00A67DB3" w:rsidP="008F4848">
      <w:pPr>
        <w:spacing w:after="120" w:line="260" w:lineRule="atLeast"/>
        <w:rPr>
          <w:rFonts w:eastAsia="Calibri"/>
          <w:lang w:eastAsia="en-US"/>
        </w:rPr>
      </w:pPr>
      <w:r w:rsidRPr="00B65D57">
        <w:rPr>
          <w:rFonts w:eastAsia="Calibri"/>
          <w:lang w:eastAsia="en-US"/>
        </w:rPr>
        <w:t xml:space="preserve">Dose needed = target dose for treatable wood (2 kg BAE/m³) × 2 (for equilibrium between depot and wood) × 1.5 to 2.25 (for adsorption and dilution etc.) </w:t>
      </w:r>
      <w:r w:rsidRPr="00B65D57">
        <w:rPr>
          <w:rFonts w:ascii="Arial" w:eastAsia="Calibri" w:hAnsi="Arial" w:cs="Arial"/>
          <w:lang w:eastAsia="en-US"/>
        </w:rPr>
        <w:t>→</w:t>
      </w:r>
      <w:r w:rsidRPr="00B65D57">
        <w:rPr>
          <w:rFonts w:eastAsia="Calibri"/>
          <w:lang w:eastAsia="en-US"/>
        </w:rPr>
        <w:t xml:space="preserve"> 6</w:t>
      </w:r>
      <w:r w:rsidRPr="00B65D57">
        <w:rPr>
          <w:rFonts w:eastAsia="Calibri" w:cs="Verdana"/>
          <w:lang w:eastAsia="en-US"/>
        </w:rPr>
        <w:t>–</w:t>
      </w:r>
      <w:r w:rsidRPr="00B65D57">
        <w:rPr>
          <w:rFonts w:eastAsia="Calibri"/>
          <w:lang w:eastAsia="en-US"/>
        </w:rPr>
        <w:t>9 kg BAE/m</w:t>
      </w:r>
      <w:r w:rsidRPr="00B65D57">
        <w:rPr>
          <w:rFonts w:eastAsia="Calibri" w:cs="Verdana"/>
          <w:lang w:eastAsia="en-US"/>
        </w:rPr>
        <w:t>³</w:t>
      </w:r>
      <w:r w:rsidRPr="00B65D57">
        <w:rPr>
          <w:rFonts w:eastAsia="Calibri"/>
          <w:lang w:eastAsia="en-US"/>
        </w:rPr>
        <w:t xml:space="preserve"> treatable wood.</w:t>
      </w:r>
    </w:p>
    <w:p w14:paraId="1633B8FD" w14:textId="4F5669E1" w:rsidR="00A67DB3" w:rsidRPr="00B65D57" w:rsidRDefault="00A67DB3" w:rsidP="008F4848">
      <w:pPr>
        <w:spacing w:after="120" w:line="260" w:lineRule="atLeast"/>
        <w:rPr>
          <w:rFonts w:eastAsia="Calibri"/>
          <w:lang w:eastAsia="en-US"/>
        </w:rPr>
      </w:pPr>
      <w:r w:rsidRPr="00B65D57">
        <w:rPr>
          <w:rFonts w:eastAsia="Calibri"/>
          <w:lang w:eastAsia="en-US"/>
        </w:rPr>
        <w:lastRenderedPageBreak/>
        <w:t>The finally estimated dose = needed dose adjusted for volume of voids = 5 -</w:t>
      </w:r>
      <w:r w:rsidR="00050D8E" w:rsidRPr="00B65D57">
        <w:rPr>
          <w:rFonts w:eastAsia="Calibri"/>
          <w:lang w:eastAsia="en-US"/>
        </w:rPr>
        <w:t xml:space="preserve"> </w:t>
      </w:r>
      <w:r w:rsidRPr="00B65D57">
        <w:rPr>
          <w:rFonts w:eastAsia="Calibri"/>
          <w:lang w:eastAsia="en-US"/>
        </w:rPr>
        <w:t>12 kg BAE/m³.</w:t>
      </w:r>
    </w:p>
    <w:p w14:paraId="594C880B" w14:textId="0209C765" w:rsidR="00A67DB3" w:rsidRPr="00B65D57" w:rsidRDefault="00A67DB3" w:rsidP="008F4848">
      <w:pPr>
        <w:spacing w:after="120" w:line="260" w:lineRule="atLeast"/>
        <w:rPr>
          <w:rFonts w:eastAsia="Calibri"/>
          <w:lang w:eastAsia="en-US"/>
        </w:rPr>
      </w:pPr>
      <w:r w:rsidRPr="00B65D57">
        <w:rPr>
          <w:rFonts w:eastAsia="Calibri"/>
          <w:lang w:eastAsia="en-US"/>
        </w:rPr>
        <w:t xml:space="preserve">The applied dose is finally determined during </w:t>
      </w:r>
      <w:r w:rsidR="00050D8E" w:rsidRPr="00B65D57">
        <w:rPr>
          <w:rFonts w:eastAsia="Calibri"/>
          <w:lang w:eastAsia="en-US"/>
        </w:rPr>
        <w:t xml:space="preserve">the </w:t>
      </w:r>
      <w:r w:rsidRPr="00B65D57">
        <w:rPr>
          <w:rFonts w:eastAsia="Calibri"/>
          <w:lang w:eastAsia="en-US"/>
        </w:rPr>
        <w:t xml:space="preserve">injection. Normally </w:t>
      </w:r>
      <w:r w:rsidR="00050D8E" w:rsidRPr="00B65D57">
        <w:rPr>
          <w:rFonts w:eastAsia="Calibri"/>
          <w:lang w:eastAsia="en-US"/>
        </w:rPr>
        <w:t xml:space="preserve">the </w:t>
      </w:r>
      <w:r w:rsidRPr="00B65D57">
        <w:rPr>
          <w:rFonts w:eastAsia="Calibri"/>
          <w:lang w:eastAsia="en-US"/>
        </w:rPr>
        <w:t>applied dose is consistent with the estimated dose for a complete treatment but will differ some</w:t>
      </w:r>
      <w:r w:rsidR="00050D8E" w:rsidRPr="00B65D57">
        <w:rPr>
          <w:rFonts w:eastAsia="Calibri"/>
          <w:lang w:eastAsia="en-US"/>
        </w:rPr>
        <w:t>what</w:t>
      </w:r>
      <w:r w:rsidRPr="00B65D57">
        <w:rPr>
          <w:rFonts w:eastAsia="Calibri"/>
          <w:lang w:eastAsia="en-US"/>
        </w:rPr>
        <w:t xml:space="preserve"> within different parts of the foundation.</w:t>
      </w:r>
    </w:p>
    <w:p w14:paraId="680BE86F" w14:textId="77777777" w:rsidR="00A67DB3" w:rsidRPr="00B65D57" w:rsidRDefault="00A67DB3" w:rsidP="008F4848">
      <w:pPr>
        <w:spacing w:after="120" w:line="260" w:lineRule="atLeast"/>
        <w:rPr>
          <w:rFonts w:eastAsia="Calibri"/>
          <w:lang w:eastAsia="en-US"/>
        </w:rPr>
      </w:pPr>
    </w:p>
    <w:p w14:paraId="2BE0CD62" w14:textId="18613630" w:rsidR="00A67DB3" w:rsidRPr="00B65D57" w:rsidRDefault="009A5C9B" w:rsidP="008F4848">
      <w:pPr>
        <w:pStyle w:val="Rubrik5"/>
        <w:rPr>
          <w:rFonts w:eastAsia="Calibri"/>
          <w:lang w:val="en-GB" w:eastAsia="en-US"/>
        </w:rPr>
      </w:pPr>
      <w:r w:rsidRPr="00B65D57">
        <w:rPr>
          <w:rFonts w:eastAsia="Calibri"/>
          <w:lang w:val="en-GB" w:eastAsia="en-US"/>
        </w:rPr>
        <w:t xml:space="preserve">2.2.5.6.2 </w:t>
      </w:r>
      <w:r w:rsidR="00A67DB3" w:rsidRPr="00B65D57">
        <w:rPr>
          <w:rFonts w:eastAsia="Calibri"/>
          <w:lang w:val="en-GB" w:eastAsia="en-US"/>
        </w:rPr>
        <w:t>Diffusion of boron species into the wood</w:t>
      </w:r>
    </w:p>
    <w:p w14:paraId="6A33E105" w14:textId="1E09F64C" w:rsidR="00A67DB3" w:rsidRPr="00B65D57" w:rsidRDefault="00A67DB3" w:rsidP="008F4848">
      <w:pPr>
        <w:rPr>
          <w:rFonts w:eastAsia="Calibri"/>
          <w:lang w:eastAsia="en-US"/>
        </w:rPr>
      </w:pPr>
      <w:r w:rsidRPr="00B65D57">
        <w:rPr>
          <w:rFonts w:eastAsia="Calibri"/>
          <w:lang w:eastAsia="en-US"/>
        </w:rPr>
        <w:t>It has been suggested that use class 4a would not be suitable for wood treated with substances like boric acid and disodium tetraborates due to their proneness to leach</w:t>
      </w:r>
      <w:r w:rsidR="00FF19CF" w:rsidRPr="00B65D57">
        <w:rPr>
          <w:rFonts w:eastAsia="Calibri"/>
          <w:lang w:eastAsia="en-US"/>
        </w:rPr>
        <w:t>ing</w:t>
      </w:r>
      <w:r w:rsidRPr="00B65D57">
        <w:rPr>
          <w:rFonts w:eastAsia="Calibri"/>
          <w:lang w:eastAsia="en-US"/>
        </w:rPr>
        <w:t xml:space="preserve"> from the treated wood when in contact with moisture. This limitation of boron preservatives is directly linked to their mobility within wood which is an asset when it comes to diffusion of boron from the Eurobor into the foundation wood. When the wood has developed decay caused by fungi it has also been shown that its permeability increases and the uptake of liquid substances is significantly improved (Lehringer, 2011).</w:t>
      </w:r>
    </w:p>
    <w:p w14:paraId="634C7466" w14:textId="67ABB302" w:rsidR="00A67DB3" w:rsidRPr="00B65D57" w:rsidRDefault="00A67DB3" w:rsidP="008F4848">
      <w:pPr>
        <w:spacing w:after="240"/>
        <w:rPr>
          <w:rFonts w:eastAsia="Calibri"/>
          <w:lang w:eastAsia="en-US"/>
        </w:rPr>
      </w:pPr>
      <w:r w:rsidRPr="00B65D57">
        <w:rPr>
          <w:rFonts w:eastAsia="Calibri"/>
          <w:lang w:eastAsia="en-US"/>
        </w:rPr>
        <w:t>The levels of boron in timber foundation piles have been determined 5-18 years after in situ remedial treatments with Jerbor in areas with wet clay ground conditions (Bandh</w:t>
      </w:r>
      <w:r w:rsidR="008A5EB3" w:rsidRPr="00B65D57">
        <w:rPr>
          <w:rFonts w:eastAsia="Calibri"/>
          <w:lang w:eastAsia="en-US"/>
        </w:rPr>
        <w:t xml:space="preserve"> and Theorin</w:t>
      </w:r>
      <w:r w:rsidRPr="00B65D57">
        <w:rPr>
          <w:rFonts w:eastAsia="Calibri"/>
          <w:lang w:eastAsia="en-US"/>
        </w:rPr>
        <w:t>, 2011</w:t>
      </w:r>
      <w:r w:rsidR="008A5EB3" w:rsidRPr="00B65D57">
        <w:rPr>
          <w:rFonts w:eastAsia="Calibri"/>
          <w:lang w:eastAsia="en-US"/>
        </w:rPr>
        <w:t>b</w:t>
      </w:r>
      <w:r w:rsidRPr="00B65D57">
        <w:rPr>
          <w:rFonts w:eastAsia="Calibri"/>
          <w:lang w:eastAsia="en-US"/>
        </w:rPr>
        <w:t>). For example, pile samples from foundation in Stockholm (Sweden) showed levels of &gt;5 kg BAE/m³ 6 years after</w:t>
      </w:r>
      <w:r w:rsidR="00FF19CF" w:rsidRPr="00B65D57">
        <w:rPr>
          <w:rFonts w:eastAsia="Calibri"/>
          <w:lang w:eastAsia="en-US"/>
        </w:rPr>
        <w:t xml:space="preserve"> the</w:t>
      </w:r>
      <w:r w:rsidRPr="00B65D57">
        <w:rPr>
          <w:rFonts w:eastAsia="Calibri"/>
          <w:lang w:eastAsia="en-US"/>
        </w:rPr>
        <w:t xml:space="preserve"> treatment</w:t>
      </w:r>
      <w:r w:rsidR="00FF19CF" w:rsidRPr="00B65D57">
        <w:rPr>
          <w:rFonts w:eastAsia="Calibri"/>
          <w:lang w:eastAsia="en-US"/>
        </w:rPr>
        <w:t>;</w:t>
      </w:r>
      <w:r w:rsidRPr="00B65D57">
        <w:rPr>
          <w:rFonts w:eastAsia="Calibri"/>
          <w:lang w:eastAsia="en-US"/>
        </w:rPr>
        <w:t xml:space="preserve"> pile samples from </w:t>
      </w:r>
      <w:r w:rsidR="00FF19CF" w:rsidRPr="00B65D57">
        <w:rPr>
          <w:rFonts w:eastAsia="Calibri"/>
          <w:lang w:eastAsia="en-US"/>
        </w:rPr>
        <w:t xml:space="preserve">a </w:t>
      </w:r>
      <w:r w:rsidRPr="00B65D57">
        <w:rPr>
          <w:rFonts w:eastAsia="Calibri"/>
          <w:lang w:eastAsia="en-US"/>
        </w:rPr>
        <w:t xml:space="preserve">foundation in Turku (Finland) showed levels between 1.2 and 2.6 kg BAE/m³ 5 years after </w:t>
      </w:r>
      <w:r w:rsidR="00FF19CF" w:rsidRPr="00B65D57">
        <w:rPr>
          <w:rFonts w:eastAsia="Calibri"/>
          <w:lang w:eastAsia="en-US"/>
        </w:rPr>
        <w:t xml:space="preserve">the </w:t>
      </w:r>
      <w:r w:rsidRPr="00B65D57">
        <w:rPr>
          <w:rFonts w:eastAsia="Calibri"/>
          <w:lang w:eastAsia="en-US"/>
        </w:rPr>
        <w:t>treatment and pile samples from foundation in Gothenburg (Sweden) showed levels from 0.6 to 5.3 kg BAE/m³ (mean 1.74 kg BAE/m³) 12 years after</w:t>
      </w:r>
      <w:r w:rsidR="00FF19CF" w:rsidRPr="00B65D57">
        <w:rPr>
          <w:rFonts w:eastAsia="Calibri"/>
          <w:lang w:eastAsia="en-US"/>
        </w:rPr>
        <w:t xml:space="preserve"> the</w:t>
      </w:r>
      <w:r w:rsidRPr="00B65D57">
        <w:rPr>
          <w:rFonts w:eastAsia="Calibri"/>
          <w:lang w:eastAsia="en-US"/>
        </w:rPr>
        <w:t xml:space="preserve"> treatment. The study did not go into details on which wood depths correlated to which levels. In another study, the levels in pile samples from another foundation in Gothenburg were found to be between 0.9 and 4.0 kg BAE/m³ (mean 2.2 kg BAE/m³) 5 years after </w:t>
      </w:r>
      <w:r w:rsidR="00FF19CF" w:rsidRPr="00B65D57">
        <w:rPr>
          <w:rFonts w:eastAsia="Calibri"/>
          <w:lang w:eastAsia="en-US"/>
        </w:rPr>
        <w:t xml:space="preserve">the </w:t>
      </w:r>
      <w:r w:rsidRPr="00B65D57">
        <w:rPr>
          <w:rFonts w:eastAsia="Calibri"/>
          <w:lang w:eastAsia="en-US"/>
        </w:rPr>
        <w:t>treatment (Bandh, 2010a). Although not quite clear, higher levels were indicated to have been found closest to the wood surface.</w:t>
      </w:r>
    </w:p>
    <w:p w14:paraId="071A695D" w14:textId="189D96D9" w:rsidR="00A67DB3" w:rsidRPr="00B65D57" w:rsidRDefault="00A67DB3" w:rsidP="008F4848">
      <w:pPr>
        <w:rPr>
          <w:rFonts w:eastAsia="Calibri"/>
          <w:lang w:eastAsia="en-US"/>
        </w:rPr>
      </w:pPr>
      <w:r w:rsidRPr="00B65D57">
        <w:rPr>
          <w:rFonts w:eastAsia="Calibri"/>
          <w:lang w:eastAsia="en-US"/>
        </w:rPr>
        <w:t>In order to study the diffusion of boron species from a clay-water mixture into the wood of a 100-year-old foundation pile a laboratory study was performed (</w:t>
      </w:r>
      <w:r w:rsidR="00DA61BD" w:rsidRPr="00DA61BD">
        <w:rPr>
          <w:rFonts w:eastAsia="Calibri"/>
          <w:lang w:eastAsia="en-US"/>
        </w:rPr>
        <w:t>Theorin, M., Fimmerstad, K. &amp; Bandh K-M.</w:t>
      </w:r>
      <w:r w:rsidRPr="00B65D57">
        <w:rPr>
          <w:rFonts w:eastAsia="Calibri"/>
          <w:lang w:eastAsia="en-US"/>
        </w:rPr>
        <w:t xml:space="preserve">, 2011). The wood samples were determined to be infested by fungus and the outer sapwood showed decay by fungal activity. The samples (wedges cut out of intact sections of the pile, 210-240 mm in diameter and 60-80 mm thickness) were sealed on all sides except the tangential section and placed in incubation vessels at 8 °C and a relative humidity of 85% and Eurobor slurry was placed on each sample. Samples for analysis of boron were taken after 15, 30 and 45 days. The results showed that </w:t>
      </w:r>
      <w:r w:rsidR="00C45AE0" w:rsidRPr="00B65D57">
        <w:rPr>
          <w:rFonts w:eastAsia="Calibri"/>
          <w:lang w:eastAsia="en-US"/>
        </w:rPr>
        <w:t xml:space="preserve">the </w:t>
      </w:r>
      <w:r w:rsidRPr="00B65D57">
        <w:rPr>
          <w:rFonts w:eastAsia="Calibri"/>
          <w:lang w:eastAsia="en-US"/>
        </w:rPr>
        <w:t xml:space="preserve">highest levels of boron were found in the outer sapwood and decreasing at increasing depth towards the heartwood. After 15 days diffusion, levels of at least 2 kg BAE/m³ were found at depths up to approximately 35 mm (from </w:t>
      </w:r>
      <w:r w:rsidR="00C45AE0" w:rsidRPr="00B65D57">
        <w:rPr>
          <w:rFonts w:eastAsia="Calibri"/>
          <w:lang w:eastAsia="en-US"/>
        </w:rPr>
        <w:t xml:space="preserve">the </w:t>
      </w:r>
      <w:r w:rsidRPr="00B65D57">
        <w:rPr>
          <w:rFonts w:eastAsia="Calibri"/>
          <w:lang w:eastAsia="en-US"/>
        </w:rPr>
        <w:t>wood surface). After 30 and 45 days, levels of at least 2 kg BAE/m³ were found at a depth of approximately 40 mm. It should be mentioned though that the BAE levels in the study were reported on a weight basis and has been converted here to kg/m³-basis by using a wood density of 500 kg/m³ as suggested in the CAR for boric acid. It was further indicated in the study that the decay fronts towards the heartwood were approximately at a depth of 40 mm.</w:t>
      </w:r>
    </w:p>
    <w:p w14:paraId="1B48D560" w14:textId="77777777" w:rsidR="00A67DB3" w:rsidRPr="00B65D57" w:rsidRDefault="00A67DB3" w:rsidP="008F4848">
      <w:pPr>
        <w:rPr>
          <w:rFonts w:eastAsia="Calibri"/>
          <w:lang w:eastAsia="en-US"/>
        </w:rPr>
      </w:pPr>
    </w:p>
    <w:p w14:paraId="542E8D61" w14:textId="77777777" w:rsidR="00A67DB3" w:rsidRPr="00B65D57" w:rsidRDefault="00A67DB3" w:rsidP="008F4848">
      <w:pPr>
        <w:rPr>
          <w:rFonts w:eastAsia="Calibri"/>
          <w:lang w:eastAsia="en-US"/>
        </w:rPr>
      </w:pPr>
    </w:p>
    <w:p w14:paraId="18F2A359" w14:textId="6391739F" w:rsidR="00A67DB3" w:rsidRPr="00B65D57" w:rsidRDefault="009A5C9B" w:rsidP="008F4848">
      <w:pPr>
        <w:pStyle w:val="Rubrik5"/>
        <w:rPr>
          <w:rFonts w:eastAsia="Calibri"/>
          <w:lang w:val="en-GB" w:eastAsia="en-US"/>
        </w:rPr>
      </w:pPr>
      <w:r w:rsidRPr="00B65D57">
        <w:rPr>
          <w:rFonts w:eastAsia="Calibri"/>
          <w:lang w:val="en-GB" w:eastAsia="en-US"/>
        </w:rPr>
        <w:t xml:space="preserve">2.2.5.6.3 </w:t>
      </w:r>
      <w:r w:rsidR="00A67DB3" w:rsidRPr="00B65D57">
        <w:rPr>
          <w:rFonts w:eastAsia="Calibri"/>
          <w:lang w:val="en-GB" w:eastAsia="en-US"/>
        </w:rPr>
        <w:t>Laboratory efficacy studies</w:t>
      </w:r>
    </w:p>
    <w:p w14:paraId="2F715065" w14:textId="15E9D9E4" w:rsidR="00A67DB3" w:rsidRPr="00B65D57" w:rsidRDefault="00A67DB3" w:rsidP="008F4848">
      <w:pPr>
        <w:rPr>
          <w:rFonts w:eastAsia="Calibri"/>
        </w:rPr>
      </w:pPr>
      <w:r w:rsidRPr="00B65D57">
        <w:rPr>
          <w:rFonts w:eastAsia="Calibri"/>
          <w:lang w:eastAsia="en-US"/>
        </w:rPr>
        <w:t xml:space="preserve">A modified EN 113 test with miniblocks of Norway spruce has been performed on Jerbor water solution to achieve retention levels of 0.2 – 1.2 </w:t>
      </w:r>
      <w:r w:rsidRPr="00B65D57">
        <w:rPr>
          <w:color w:val="000000"/>
          <w:sz w:val="18"/>
          <w:szCs w:val="18"/>
        </w:rPr>
        <w:t>kg BAE/m</w:t>
      </w:r>
      <w:r w:rsidRPr="00B65D57">
        <w:rPr>
          <w:color w:val="000000"/>
          <w:sz w:val="18"/>
          <w:szCs w:val="18"/>
          <w:vertAlign w:val="superscript"/>
        </w:rPr>
        <w:t>3</w:t>
      </w:r>
      <w:r w:rsidRPr="00B65D57">
        <w:t xml:space="preserve">. </w:t>
      </w:r>
      <w:r w:rsidR="00C45AE0" w:rsidRPr="00B65D57">
        <w:t>The r</w:t>
      </w:r>
      <w:r w:rsidRPr="00B65D57">
        <w:t xml:space="preserve">esults showed that the brown rot fungi </w:t>
      </w:r>
      <w:r w:rsidRPr="00B65D57">
        <w:rPr>
          <w:i/>
          <w:iCs/>
        </w:rPr>
        <w:t>C. puteana</w:t>
      </w:r>
      <w:r w:rsidRPr="00B65D57">
        <w:t xml:space="preserve"> was suitable for use in this test with a strong degradation </w:t>
      </w:r>
      <w:r w:rsidRPr="00B65D57">
        <w:lastRenderedPageBreak/>
        <w:t xml:space="preserve">of the control samples. The white rot fungus </w:t>
      </w:r>
      <w:r w:rsidRPr="00B65D57">
        <w:rPr>
          <w:i/>
          <w:iCs/>
        </w:rPr>
        <w:t>P. vitreus</w:t>
      </w:r>
      <w:r w:rsidRPr="00B65D57">
        <w:t xml:space="preserve"> showed a weak degradation of the control sample </w:t>
      </w:r>
      <w:r w:rsidR="00C45AE0" w:rsidRPr="00B65D57">
        <w:t xml:space="preserve">therefore </w:t>
      </w:r>
      <w:r w:rsidRPr="00B65D57">
        <w:t>the test was performed for a longer time</w:t>
      </w:r>
      <w:r w:rsidR="00C45AE0" w:rsidRPr="00B65D57">
        <w:t>.</w:t>
      </w:r>
    </w:p>
    <w:p w14:paraId="2925FBF9" w14:textId="77777777" w:rsidR="00A67DB3" w:rsidRPr="00B65D57" w:rsidRDefault="00A67DB3" w:rsidP="008F4848">
      <w:pPr>
        <w:rPr>
          <w:rFonts w:eastAsia="Calibri"/>
          <w:lang w:eastAsia="en-US"/>
        </w:rPr>
      </w:pPr>
    </w:p>
    <w:tbl>
      <w:tblPr>
        <w:tblW w:w="5443" w:type="pct"/>
        <w:tblInd w:w="-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29"/>
        <w:gridCol w:w="1165"/>
        <w:gridCol w:w="1164"/>
        <w:gridCol w:w="1389"/>
        <w:gridCol w:w="999"/>
        <w:gridCol w:w="1646"/>
        <w:gridCol w:w="1221"/>
        <w:gridCol w:w="1159"/>
      </w:tblGrid>
      <w:tr w:rsidR="00A67DB3" w:rsidRPr="00B65D57" w14:paraId="0AA361D2" w14:textId="77777777" w:rsidTr="0087769B">
        <w:trPr>
          <w:trHeight w:val="303"/>
        </w:trPr>
        <w:tc>
          <w:tcPr>
            <w:tcW w:w="5000" w:type="pct"/>
            <w:gridSpan w:val="8"/>
            <w:tcBorders>
              <w:top w:val="single" w:sz="4" w:space="0" w:color="auto"/>
              <w:left w:val="single" w:sz="4" w:space="0" w:color="auto"/>
              <w:bottom w:val="single" w:sz="6" w:space="0" w:color="auto"/>
              <w:right w:val="single" w:sz="4" w:space="0" w:color="auto"/>
            </w:tcBorders>
            <w:shd w:val="clear" w:color="auto" w:fill="FFFFCC"/>
            <w:vAlign w:val="center"/>
            <w:hideMark/>
          </w:tcPr>
          <w:p w14:paraId="31404BA9" w14:textId="77777777" w:rsidR="00A67DB3" w:rsidRPr="00B65D57" w:rsidRDefault="00A67DB3" w:rsidP="008F4848">
            <w:pPr>
              <w:jc w:val="center"/>
              <w:rPr>
                <w:b/>
                <w:color w:val="000000"/>
                <w:sz w:val="18"/>
                <w:szCs w:val="18"/>
              </w:rPr>
            </w:pPr>
            <w:r w:rsidRPr="00B65D57">
              <w:rPr>
                <w:b/>
                <w:color w:val="000000"/>
                <w:sz w:val="18"/>
                <w:szCs w:val="18"/>
              </w:rPr>
              <w:t>Experimental data on the efficacy of the biocidal product against target organism(s)</w:t>
            </w:r>
          </w:p>
        </w:tc>
      </w:tr>
      <w:tr w:rsidR="00A67DB3" w:rsidRPr="00B65D57" w14:paraId="1F69C7E5" w14:textId="77777777" w:rsidTr="0087769B">
        <w:tc>
          <w:tcPr>
            <w:tcW w:w="751" w:type="pct"/>
            <w:tcBorders>
              <w:top w:val="single" w:sz="6" w:space="0" w:color="auto"/>
              <w:left w:val="single" w:sz="4" w:space="0" w:color="auto"/>
              <w:bottom w:val="single" w:sz="6" w:space="0" w:color="auto"/>
              <w:right w:val="single" w:sz="6" w:space="0" w:color="auto"/>
            </w:tcBorders>
            <w:shd w:val="clear" w:color="auto" w:fill="FFFFFF"/>
            <w:hideMark/>
          </w:tcPr>
          <w:p w14:paraId="38EC7D72" w14:textId="77777777" w:rsidR="00A67DB3" w:rsidRPr="00B65D57" w:rsidRDefault="00A67DB3" w:rsidP="008F4848">
            <w:pPr>
              <w:jc w:val="center"/>
              <w:rPr>
                <w:b/>
                <w:color w:val="000000"/>
                <w:sz w:val="18"/>
                <w:szCs w:val="18"/>
              </w:rPr>
            </w:pPr>
            <w:r w:rsidRPr="00B65D57">
              <w:rPr>
                <w:b/>
                <w:color w:val="000000"/>
                <w:sz w:val="18"/>
                <w:szCs w:val="18"/>
              </w:rPr>
              <w:t>Function</w:t>
            </w:r>
          </w:p>
        </w:tc>
        <w:tc>
          <w:tcPr>
            <w:tcW w:w="572" w:type="pct"/>
            <w:tcBorders>
              <w:top w:val="single" w:sz="6" w:space="0" w:color="auto"/>
              <w:left w:val="single" w:sz="6" w:space="0" w:color="auto"/>
              <w:bottom w:val="single" w:sz="6" w:space="0" w:color="auto"/>
              <w:right w:val="single" w:sz="6" w:space="0" w:color="auto"/>
            </w:tcBorders>
            <w:shd w:val="clear" w:color="auto" w:fill="FFFFFF"/>
            <w:hideMark/>
          </w:tcPr>
          <w:p w14:paraId="6395552E" w14:textId="77777777" w:rsidR="00A67DB3" w:rsidRPr="00B65D57" w:rsidRDefault="00A67DB3" w:rsidP="008F4848">
            <w:pPr>
              <w:rPr>
                <w:b/>
                <w:color w:val="000000"/>
                <w:sz w:val="18"/>
                <w:szCs w:val="18"/>
              </w:rPr>
            </w:pPr>
            <w:r w:rsidRPr="00B65D57">
              <w:rPr>
                <w:b/>
                <w:color w:val="000000"/>
                <w:sz w:val="18"/>
                <w:szCs w:val="18"/>
              </w:rPr>
              <w:t>Field of use envisaged</w:t>
            </w:r>
          </w:p>
        </w:tc>
        <w:tc>
          <w:tcPr>
            <w:tcW w:w="572" w:type="pct"/>
            <w:tcBorders>
              <w:top w:val="single" w:sz="6" w:space="0" w:color="auto"/>
              <w:left w:val="single" w:sz="6" w:space="0" w:color="auto"/>
              <w:bottom w:val="single" w:sz="6" w:space="0" w:color="auto"/>
              <w:right w:val="single" w:sz="6" w:space="0" w:color="auto"/>
            </w:tcBorders>
            <w:shd w:val="clear" w:color="auto" w:fill="FFFFFF"/>
            <w:hideMark/>
          </w:tcPr>
          <w:p w14:paraId="72F1AC96" w14:textId="77777777" w:rsidR="00A67DB3" w:rsidRPr="00B65D57" w:rsidRDefault="00A67DB3" w:rsidP="008F4848">
            <w:pPr>
              <w:rPr>
                <w:b/>
                <w:i/>
                <w:color w:val="000000"/>
                <w:sz w:val="18"/>
                <w:szCs w:val="18"/>
              </w:rPr>
            </w:pPr>
            <w:r w:rsidRPr="00B65D57">
              <w:rPr>
                <w:b/>
                <w:color w:val="000000"/>
                <w:sz w:val="18"/>
                <w:szCs w:val="18"/>
              </w:rPr>
              <w:t>Test substance</w:t>
            </w:r>
          </w:p>
        </w:tc>
        <w:tc>
          <w:tcPr>
            <w:tcW w:w="682" w:type="pct"/>
            <w:tcBorders>
              <w:top w:val="single" w:sz="6" w:space="0" w:color="auto"/>
              <w:left w:val="single" w:sz="6" w:space="0" w:color="auto"/>
              <w:bottom w:val="single" w:sz="6" w:space="0" w:color="auto"/>
              <w:right w:val="single" w:sz="6" w:space="0" w:color="auto"/>
            </w:tcBorders>
            <w:shd w:val="clear" w:color="auto" w:fill="FFFFFF"/>
            <w:hideMark/>
          </w:tcPr>
          <w:p w14:paraId="3C76DF64" w14:textId="77777777" w:rsidR="00A67DB3" w:rsidRPr="00B65D57" w:rsidRDefault="00A67DB3" w:rsidP="008F4848">
            <w:pPr>
              <w:rPr>
                <w:b/>
                <w:i/>
                <w:color w:val="000000"/>
                <w:sz w:val="18"/>
                <w:szCs w:val="18"/>
              </w:rPr>
            </w:pPr>
            <w:r w:rsidRPr="00B65D57">
              <w:rPr>
                <w:b/>
                <w:color w:val="000000"/>
                <w:sz w:val="18"/>
                <w:szCs w:val="18"/>
              </w:rPr>
              <w:t>Test organism(s)</w:t>
            </w:r>
          </w:p>
        </w:tc>
        <w:tc>
          <w:tcPr>
            <w:tcW w:w="447" w:type="pct"/>
            <w:tcBorders>
              <w:top w:val="single" w:sz="6" w:space="0" w:color="auto"/>
              <w:left w:val="single" w:sz="6" w:space="0" w:color="auto"/>
              <w:bottom w:val="single" w:sz="6" w:space="0" w:color="auto"/>
              <w:right w:val="single" w:sz="6" w:space="0" w:color="auto"/>
            </w:tcBorders>
            <w:shd w:val="clear" w:color="auto" w:fill="FFFFFF"/>
            <w:hideMark/>
          </w:tcPr>
          <w:p w14:paraId="3764E48F" w14:textId="77777777" w:rsidR="00A67DB3" w:rsidRPr="00B65D57" w:rsidRDefault="00A67DB3" w:rsidP="008F4848">
            <w:pPr>
              <w:rPr>
                <w:b/>
                <w:color w:val="000000"/>
                <w:sz w:val="18"/>
                <w:szCs w:val="18"/>
              </w:rPr>
            </w:pPr>
            <w:r w:rsidRPr="00B65D57">
              <w:rPr>
                <w:b/>
                <w:color w:val="000000"/>
                <w:sz w:val="18"/>
                <w:szCs w:val="18"/>
              </w:rPr>
              <w:t>Test method</w:t>
            </w:r>
          </w:p>
        </w:tc>
        <w:tc>
          <w:tcPr>
            <w:tcW w:w="808" w:type="pct"/>
            <w:tcBorders>
              <w:top w:val="single" w:sz="6" w:space="0" w:color="auto"/>
              <w:left w:val="single" w:sz="6" w:space="0" w:color="auto"/>
              <w:bottom w:val="single" w:sz="6" w:space="0" w:color="auto"/>
              <w:right w:val="single" w:sz="6" w:space="0" w:color="auto"/>
            </w:tcBorders>
            <w:shd w:val="clear" w:color="auto" w:fill="FFFFFF"/>
            <w:hideMark/>
          </w:tcPr>
          <w:p w14:paraId="34A104A3" w14:textId="77777777" w:rsidR="00A67DB3" w:rsidRPr="00B65D57" w:rsidRDefault="00A67DB3" w:rsidP="008F4848">
            <w:pPr>
              <w:rPr>
                <w:b/>
                <w:color w:val="000000"/>
                <w:sz w:val="18"/>
                <w:szCs w:val="18"/>
              </w:rPr>
            </w:pPr>
            <w:r w:rsidRPr="00B65D57">
              <w:rPr>
                <w:b/>
                <w:color w:val="000000"/>
                <w:sz w:val="18"/>
                <w:szCs w:val="18"/>
              </w:rPr>
              <w:t>Test system / concentrations applied / exposure time</w:t>
            </w:r>
          </w:p>
        </w:tc>
        <w:tc>
          <w:tcPr>
            <w:tcW w:w="600" w:type="pct"/>
            <w:tcBorders>
              <w:top w:val="single" w:sz="6" w:space="0" w:color="auto"/>
              <w:left w:val="single" w:sz="6" w:space="0" w:color="auto"/>
              <w:bottom w:val="single" w:sz="6" w:space="0" w:color="auto"/>
              <w:right w:val="single" w:sz="6" w:space="0" w:color="auto"/>
            </w:tcBorders>
            <w:shd w:val="clear" w:color="auto" w:fill="FFFFFF"/>
            <w:hideMark/>
          </w:tcPr>
          <w:p w14:paraId="203BAE05" w14:textId="77777777" w:rsidR="00A67DB3" w:rsidRPr="00B65D57" w:rsidRDefault="00A67DB3" w:rsidP="008F4848">
            <w:pPr>
              <w:rPr>
                <w:b/>
                <w:color w:val="000000"/>
                <w:sz w:val="18"/>
                <w:szCs w:val="18"/>
              </w:rPr>
            </w:pPr>
            <w:r w:rsidRPr="00B65D57">
              <w:rPr>
                <w:b/>
                <w:color w:val="000000"/>
                <w:sz w:val="18"/>
                <w:szCs w:val="18"/>
              </w:rPr>
              <w:t>Test results: effects</w:t>
            </w:r>
          </w:p>
        </w:tc>
        <w:tc>
          <w:tcPr>
            <w:tcW w:w="569" w:type="pct"/>
            <w:tcBorders>
              <w:top w:val="single" w:sz="6" w:space="0" w:color="auto"/>
              <w:left w:val="single" w:sz="6" w:space="0" w:color="auto"/>
              <w:bottom w:val="single" w:sz="6" w:space="0" w:color="auto"/>
              <w:right w:val="single" w:sz="4" w:space="0" w:color="auto"/>
            </w:tcBorders>
            <w:shd w:val="clear" w:color="auto" w:fill="FFFFFF"/>
            <w:hideMark/>
          </w:tcPr>
          <w:p w14:paraId="2C8FB043" w14:textId="77777777" w:rsidR="00A67DB3" w:rsidRPr="00B65D57" w:rsidRDefault="00A67DB3" w:rsidP="008F4848">
            <w:pPr>
              <w:rPr>
                <w:b/>
                <w:color w:val="000000"/>
                <w:sz w:val="18"/>
                <w:szCs w:val="18"/>
              </w:rPr>
            </w:pPr>
            <w:r w:rsidRPr="00B65D57">
              <w:rPr>
                <w:b/>
                <w:color w:val="000000"/>
                <w:sz w:val="18"/>
                <w:szCs w:val="18"/>
              </w:rPr>
              <w:t>Reference</w:t>
            </w:r>
          </w:p>
        </w:tc>
      </w:tr>
      <w:tr w:rsidR="00A67DB3" w:rsidRPr="00B65D57" w14:paraId="6071413E" w14:textId="77777777" w:rsidTr="0087769B">
        <w:tc>
          <w:tcPr>
            <w:tcW w:w="751" w:type="pct"/>
            <w:tcBorders>
              <w:top w:val="single" w:sz="6" w:space="0" w:color="auto"/>
              <w:left w:val="single" w:sz="4" w:space="0" w:color="auto"/>
              <w:bottom w:val="single" w:sz="6" w:space="0" w:color="auto"/>
              <w:right w:val="single" w:sz="6" w:space="0" w:color="auto"/>
            </w:tcBorders>
            <w:hideMark/>
          </w:tcPr>
          <w:p w14:paraId="38264F98" w14:textId="5CFCEBDC" w:rsidR="00A67DB3" w:rsidRPr="00B65D57" w:rsidRDefault="00A67DB3" w:rsidP="008F4848">
            <w:pPr>
              <w:rPr>
                <w:i/>
                <w:color w:val="000000"/>
                <w:sz w:val="18"/>
                <w:szCs w:val="18"/>
              </w:rPr>
            </w:pPr>
            <w:r w:rsidRPr="00B65D57">
              <w:rPr>
                <w:i/>
                <w:color w:val="000000"/>
                <w:sz w:val="18"/>
                <w:szCs w:val="18"/>
              </w:rPr>
              <w:t xml:space="preserve">Biostatic and fungicidal function </w:t>
            </w:r>
            <w:r w:rsidR="00C45AE0" w:rsidRPr="00B65D57">
              <w:rPr>
                <w:i/>
                <w:color w:val="000000"/>
                <w:sz w:val="18"/>
                <w:szCs w:val="18"/>
              </w:rPr>
              <w:t>–</w:t>
            </w:r>
            <w:r w:rsidRPr="00B65D57">
              <w:rPr>
                <w:i/>
                <w:color w:val="000000"/>
                <w:sz w:val="18"/>
                <w:szCs w:val="18"/>
              </w:rPr>
              <w:t xml:space="preserve"> Determination of the fungicidal effectiveness against degradation by wood</w:t>
            </w:r>
            <w:r w:rsidR="00C45AE0" w:rsidRPr="00B65D57">
              <w:rPr>
                <w:i/>
                <w:color w:val="000000"/>
                <w:sz w:val="18"/>
                <w:szCs w:val="18"/>
              </w:rPr>
              <w:t>-</w:t>
            </w:r>
            <w:r w:rsidRPr="00B65D57">
              <w:rPr>
                <w:i/>
                <w:color w:val="000000"/>
                <w:sz w:val="18"/>
                <w:szCs w:val="18"/>
              </w:rPr>
              <w:t>destroying basidiomycetes</w:t>
            </w:r>
          </w:p>
        </w:tc>
        <w:tc>
          <w:tcPr>
            <w:tcW w:w="572" w:type="pct"/>
            <w:tcBorders>
              <w:top w:val="single" w:sz="6" w:space="0" w:color="auto"/>
              <w:left w:val="single" w:sz="6" w:space="0" w:color="auto"/>
              <w:bottom w:val="single" w:sz="6" w:space="0" w:color="auto"/>
              <w:right w:val="single" w:sz="6" w:space="0" w:color="auto"/>
            </w:tcBorders>
            <w:hideMark/>
          </w:tcPr>
          <w:p w14:paraId="30C844EC" w14:textId="77777777" w:rsidR="00A67DB3" w:rsidRPr="00B65D57" w:rsidRDefault="00A67DB3" w:rsidP="008F4848">
            <w:pPr>
              <w:rPr>
                <w:i/>
                <w:color w:val="000000"/>
                <w:sz w:val="18"/>
                <w:szCs w:val="18"/>
              </w:rPr>
            </w:pPr>
            <w:r w:rsidRPr="00B65D57">
              <w:rPr>
                <w:i/>
                <w:color w:val="000000"/>
                <w:sz w:val="18"/>
                <w:szCs w:val="18"/>
              </w:rPr>
              <w:t>Curative treatment against brown rot fungi on wood use class 4</w:t>
            </w:r>
          </w:p>
        </w:tc>
        <w:tc>
          <w:tcPr>
            <w:tcW w:w="572" w:type="pct"/>
            <w:tcBorders>
              <w:top w:val="single" w:sz="6" w:space="0" w:color="auto"/>
              <w:left w:val="single" w:sz="6" w:space="0" w:color="auto"/>
              <w:bottom w:val="single" w:sz="6" w:space="0" w:color="auto"/>
              <w:right w:val="single" w:sz="6" w:space="0" w:color="auto"/>
            </w:tcBorders>
            <w:hideMark/>
          </w:tcPr>
          <w:p w14:paraId="0E08EF40" w14:textId="77777777" w:rsidR="00A67DB3" w:rsidRPr="00B65D57" w:rsidRDefault="00A67DB3" w:rsidP="008F4848">
            <w:pPr>
              <w:rPr>
                <w:i/>
                <w:color w:val="000000"/>
                <w:sz w:val="18"/>
                <w:szCs w:val="18"/>
              </w:rPr>
            </w:pPr>
            <w:r w:rsidRPr="00B65D57">
              <w:rPr>
                <w:i/>
                <w:color w:val="000000"/>
                <w:sz w:val="18"/>
                <w:szCs w:val="18"/>
              </w:rPr>
              <w:t>Jerbor</w:t>
            </w:r>
          </w:p>
        </w:tc>
        <w:tc>
          <w:tcPr>
            <w:tcW w:w="682" w:type="pct"/>
            <w:tcBorders>
              <w:top w:val="single" w:sz="6" w:space="0" w:color="auto"/>
              <w:left w:val="single" w:sz="6" w:space="0" w:color="auto"/>
              <w:bottom w:val="single" w:sz="6" w:space="0" w:color="auto"/>
              <w:right w:val="single" w:sz="6" w:space="0" w:color="auto"/>
            </w:tcBorders>
            <w:hideMark/>
          </w:tcPr>
          <w:p w14:paraId="07CF11BE" w14:textId="77777777" w:rsidR="00A67DB3" w:rsidRPr="00B65D57" w:rsidRDefault="00A67DB3" w:rsidP="008F4848">
            <w:pPr>
              <w:rPr>
                <w:i/>
                <w:color w:val="000000"/>
                <w:sz w:val="18"/>
                <w:szCs w:val="18"/>
              </w:rPr>
            </w:pPr>
            <w:r w:rsidRPr="00B65D57">
              <w:rPr>
                <w:i/>
                <w:color w:val="000000"/>
                <w:sz w:val="18"/>
                <w:szCs w:val="18"/>
              </w:rPr>
              <w:t>Coniophora puteana</w:t>
            </w:r>
          </w:p>
        </w:tc>
        <w:tc>
          <w:tcPr>
            <w:tcW w:w="447" w:type="pct"/>
            <w:tcBorders>
              <w:top w:val="single" w:sz="6" w:space="0" w:color="auto"/>
              <w:left w:val="single" w:sz="6" w:space="0" w:color="auto"/>
              <w:bottom w:val="single" w:sz="6" w:space="0" w:color="auto"/>
              <w:right w:val="single" w:sz="6" w:space="0" w:color="auto"/>
            </w:tcBorders>
            <w:hideMark/>
          </w:tcPr>
          <w:p w14:paraId="2DE84EF0" w14:textId="77777777" w:rsidR="00A67DB3" w:rsidRPr="00B65D57" w:rsidRDefault="00A67DB3" w:rsidP="008F4848">
            <w:pPr>
              <w:rPr>
                <w:color w:val="000000"/>
                <w:sz w:val="18"/>
                <w:szCs w:val="18"/>
              </w:rPr>
            </w:pPr>
            <w:r w:rsidRPr="00B65D57">
              <w:rPr>
                <w:color w:val="000000"/>
                <w:sz w:val="18"/>
                <w:szCs w:val="18"/>
              </w:rPr>
              <w:t>Modified EN 113, miniblock</w:t>
            </w:r>
          </w:p>
        </w:tc>
        <w:tc>
          <w:tcPr>
            <w:tcW w:w="808" w:type="pct"/>
            <w:tcBorders>
              <w:top w:val="single" w:sz="6" w:space="0" w:color="auto"/>
              <w:left w:val="single" w:sz="6" w:space="0" w:color="auto"/>
              <w:bottom w:val="single" w:sz="6" w:space="0" w:color="auto"/>
              <w:right w:val="single" w:sz="6" w:space="0" w:color="auto"/>
            </w:tcBorders>
            <w:hideMark/>
          </w:tcPr>
          <w:p w14:paraId="44290768" w14:textId="77777777" w:rsidR="00A67DB3" w:rsidRPr="00B65D57" w:rsidRDefault="00A67DB3" w:rsidP="008F4848">
            <w:pPr>
              <w:rPr>
                <w:color w:val="000000"/>
                <w:sz w:val="18"/>
                <w:szCs w:val="18"/>
              </w:rPr>
            </w:pPr>
            <w:r w:rsidRPr="00B65D57">
              <w:rPr>
                <w:color w:val="000000"/>
                <w:sz w:val="18"/>
                <w:szCs w:val="18"/>
              </w:rPr>
              <w:t>Scots pine, sapwood, vacuum impregnation, retention of 0.2 – 1.2 kg BAE/m</w:t>
            </w:r>
            <w:r w:rsidRPr="00B65D57">
              <w:rPr>
                <w:color w:val="000000"/>
                <w:sz w:val="18"/>
                <w:szCs w:val="18"/>
                <w:vertAlign w:val="superscript"/>
              </w:rPr>
              <w:t>3</w:t>
            </w:r>
            <w:r w:rsidRPr="00B65D57">
              <w:rPr>
                <w:color w:val="000000"/>
                <w:sz w:val="18"/>
                <w:szCs w:val="18"/>
              </w:rPr>
              <w:t xml:space="preserve"> wood, 8 weeks incubation time</w:t>
            </w:r>
          </w:p>
        </w:tc>
        <w:tc>
          <w:tcPr>
            <w:tcW w:w="600" w:type="pct"/>
            <w:tcBorders>
              <w:top w:val="single" w:sz="6" w:space="0" w:color="auto"/>
              <w:left w:val="single" w:sz="6" w:space="0" w:color="auto"/>
              <w:bottom w:val="single" w:sz="6" w:space="0" w:color="auto"/>
              <w:right w:val="single" w:sz="6" w:space="0" w:color="auto"/>
            </w:tcBorders>
            <w:hideMark/>
          </w:tcPr>
          <w:p w14:paraId="750DFFCA" w14:textId="0332FBCD" w:rsidR="00A67DB3" w:rsidRPr="00B65D57" w:rsidRDefault="00A67DB3" w:rsidP="008F4848">
            <w:pPr>
              <w:rPr>
                <w:color w:val="000000"/>
                <w:sz w:val="18"/>
                <w:szCs w:val="18"/>
              </w:rPr>
            </w:pPr>
            <w:r w:rsidRPr="00B65D57">
              <w:rPr>
                <w:color w:val="000000"/>
                <w:sz w:val="18"/>
                <w:szCs w:val="18"/>
              </w:rPr>
              <w:t>&lt;3 % mass loss at retention of 0</w:t>
            </w:r>
            <w:r w:rsidR="00C45AE0" w:rsidRPr="00B65D57">
              <w:rPr>
                <w:color w:val="000000"/>
                <w:sz w:val="18"/>
                <w:szCs w:val="18"/>
              </w:rPr>
              <w:t>.</w:t>
            </w:r>
            <w:r w:rsidRPr="00B65D57">
              <w:rPr>
                <w:color w:val="000000"/>
                <w:sz w:val="18"/>
                <w:szCs w:val="18"/>
              </w:rPr>
              <w:t>7 kg BAE/m</w:t>
            </w:r>
            <w:r w:rsidRPr="00B65D57">
              <w:rPr>
                <w:color w:val="000000"/>
                <w:sz w:val="18"/>
                <w:szCs w:val="18"/>
                <w:vertAlign w:val="superscript"/>
              </w:rPr>
              <w:t>3</w:t>
            </w:r>
          </w:p>
        </w:tc>
        <w:tc>
          <w:tcPr>
            <w:tcW w:w="569" w:type="pct"/>
            <w:tcBorders>
              <w:top w:val="single" w:sz="6" w:space="0" w:color="auto"/>
              <w:left w:val="single" w:sz="6" w:space="0" w:color="auto"/>
              <w:bottom w:val="single" w:sz="6" w:space="0" w:color="auto"/>
              <w:right w:val="single" w:sz="4" w:space="0" w:color="auto"/>
            </w:tcBorders>
            <w:hideMark/>
          </w:tcPr>
          <w:p w14:paraId="351ACE83" w14:textId="77777777" w:rsidR="00A67DB3" w:rsidRPr="00B65D57" w:rsidRDefault="00A67DB3" w:rsidP="008F4848">
            <w:pPr>
              <w:rPr>
                <w:i/>
                <w:color w:val="000000"/>
                <w:sz w:val="18"/>
                <w:szCs w:val="18"/>
              </w:rPr>
            </w:pPr>
            <w:r w:rsidRPr="00B65D57">
              <w:rPr>
                <w:i/>
                <w:color w:val="000000"/>
                <w:sz w:val="18"/>
                <w:szCs w:val="18"/>
              </w:rPr>
              <w:t>RISE 2020</w:t>
            </w:r>
          </w:p>
        </w:tc>
      </w:tr>
      <w:tr w:rsidR="00A67DB3" w:rsidRPr="00B65D57" w14:paraId="343374A3" w14:textId="77777777" w:rsidTr="0087769B">
        <w:tc>
          <w:tcPr>
            <w:tcW w:w="751" w:type="pct"/>
            <w:tcBorders>
              <w:top w:val="single" w:sz="6" w:space="0" w:color="auto"/>
              <w:left w:val="single" w:sz="4" w:space="0" w:color="auto"/>
              <w:bottom w:val="single" w:sz="4" w:space="0" w:color="auto"/>
              <w:right w:val="single" w:sz="6" w:space="0" w:color="auto"/>
            </w:tcBorders>
            <w:hideMark/>
          </w:tcPr>
          <w:p w14:paraId="73E0D690" w14:textId="549FAFB7" w:rsidR="00A67DB3" w:rsidRPr="00B65D57" w:rsidRDefault="00A67DB3" w:rsidP="008F4848">
            <w:pPr>
              <w:rPr>
                <w:i/>
                <w:color w:val="000000"/>
                <w:sz w:val="18"/>
                <w:szCs w:val="18"/>
              </w:rPr>
            </w:pPr>
            <w:r w:rsidRPr="00B65D57">
              <w:rPr>
                <w:i/>
                <w:color w:val="000000"/>
                <w:sz w:val="18"/>
                <w:szCs w:val="18"/>
              </w:rPr>
              <w:t>Biostatic and fungicidal function - Determination of the fungicidal effectiveness against degradation by wood</w:t>
            </w:r>
            <w:r w:rsidR="00C45AE0" w:rsidRPr="00B65D57">
              <w:rPr>
                <w:i/>
                <w:color w:val="000000"/>
                <w:sz w:val="18"/>
                <w:szCs w:val="18"/>
              </w:rPr>
              <w:t>-</w:t>
            </w:r>
            <w:r w:rsidRPr="00B65D57">
              <w:rPr>
                <w:i/>
                <w:color w:val="000000"/>
                <w:sz w:val="18"/>
                <w:szCs w:val="18"/>
              </w:rPr>
              <w:t>destroying basidiomycetes</w:t>
            </w:r>
          </w:p>
        </w:tc>
        <w:tc>
          <w:tcPr>
            <w:tcW w:w="572" w:type="pct"/>
            <w:tcBorders>
              <w:top w:val="single" w:sz="6" w:space="0" w:color="auto"/>
              <w:left w:val="single" w:sz="6" w:space="0" w:color="auto"/>
              <w:bottom w:val="single" w:sz="4" w:space="0" w:color="auto"/>
              <w:right w:val="single" w:sz="6" w:space="0" w:color="auto"/>
            </w:tcBorders>
            <w:hideMark/>
          </w:tcPr>
          <w:p w14:paraId="139459DC" w14:textId="2B22E782" w:rsidR="00A67DB3" w:rsidRPr="00B65D57" w:rsidRDefault="00A67DB3" w:rsidP="008F4848">
            <w:pPr>
              <w:rPr>
                <w:i/>
                <w:color w:val="000000"/>
                <w:sz w:val="18"/>
                <w:szCs w:val="18"/>
              </w:rPr>
            </w:pPr>
            <w:r w:rsidRPr="00B65D57">
              <w:rPr>
                <w:i/>
                <w:color w:val="000000"/>
                <w:sz w:val="18"/>
                <w:szCs w:val="18"/>
              </w:rPr>
              <w:t>Curative treatment against white rot fungi on wood use class 4</w:t>
            </w:r>
          </w:p>
        </w:tc>
        <w:tc>
          <w:tcPr>
            <w:tcW w:w="572" w:type="pct"/>
            <w:tcBorders>
              <w:top w:val="single" w:sz="6" w:space="0" w:color="auto"/>
              <w:left w:val="single" w:sz="6" w:space="0" w:color="auto"/>
              <w:bottom w:val="single" w:sz="4" w:space="0" w:color="auto"/>
              <w:right w:val="single" w:sz="6" w:space="0" w:color="auto"/>
            </w:tcBorders>
            <w:hideMark/>
          </w:tcPr>
          <w:p w14:paraId="3D481707" w14:textId="77777777" w:rsidR="00A67DB3" w:rsidRPr="00B65D57" w:rsidRDefault="00A67DB3" w:rsidP="008F4848">
            <w:pPr>
              <w:rPr>
                <w:i/>
                <w:color w:val="000000"/>
                <w:sz w:val="18"/>
                <w:szCs w:val="18"/>
              </w:rPr>
            </w:pPr>
            <w:r w:rsidRPr="00B65D57">
              <w:rPr>
                <w:i/>
                <w:color w:val="000000"/>
                <w:sz w:val="18"/>
                <w:szCs w:val="18"/>
              </w:rPr>
              <w:t>Jerbor</w:t>
            </w:r>
          </w:p>
        </w:tc>
        <w:tc>
          <w:tcPr>
            <w:tcW w:w="682" w:type="pct"/>
            <w:tcBorders>
              <w:top w:val="single" w:sz="6" w:space="0" w:color="auto"/>
              <w:left w:val="single" w:sz="6" w:space="0" w:color="auto"/>
              <w:bottom w:val="single" w:sz="4" w:space="0" w:color="auto"/>
              <w:right w:val="single" w:sz="6" w:space="0" w:color="auto"/>
            </w:tcBorders>
            <w:hideMark/>
          </w:tcPr>
          <w:p w14:paraId="11A833AC" w14:textId="77777777" w:rsidR="00A67DB3" w:rsidRPr="00B65D57" w:rsidRDefault="00A67DB3" w:rsidP="008F4848">
            <w:pPr>
              <w:rPr>
                <w:i/>
                <w:color w:val="000000"/>
                <w:sz w:val="18"/>
                <w:szCs w:val="18"/>
              </w:rPr>
            </w:pPr>
            <w:r w:rsidRPr="00B65D57">
              <w:rPr>
                <w:i/>
                <w:color w:val="000000"/>
                <w:sz w:val="18"/>
                <w:szCs w:val="18"/>
              </w:rPr>
              <w:t>Physisporinus vitreus</w:t>
            </w:r>
          </w:p>
        </w:tc>
        <w:tc>
          <w:tcPr>
            <w:tcW w:w="447" w:type="pct"/>
            <w:tcBorders>
              <w:top w:val="single" w:sz="6" w:space="0" w:color="auto"/>
              <w:left w:val="single" w:sz="6" w:space="0" w:color="auto"/>
              <w:bottom w:val="single" w:sz="4" w:space="0" w:color="auto"/>
              <w:right w:val="single" w:sz="6" w:space="0" w:color="auto"/>
            </w:tcBorders>
            <w:hideMark/>
          </w:tcPr>
          <w:p w14:paraId="7CD315F0" w14:textId="77777777" w:rsidR="00A67DB3" w:rsidRPr="00B65D57" w:rsidRDefault="00A67DB3" w:rsidP="008F4848">
            <w:pPr>
              <w:rPr>
                <w:color w:val="000000"/>
                <w:sz w:val="18"/>
                <w:szCs w:val="18"/>
              </w:rPr>
            </w:pPr>
            <w:r w:rsidRPr="00B65D57">
              <w:rPr>
                <w:color w:val="000000"/>
                <w:sz w:val="18"/>
                <w:szCs w:val="18"/>
              </w:rPr>
              <w:t>Modified EN 113, miniblock</w:t>
            </w:r>
          </w:p>
        </w:tc>
        <w:tc>
          <w:tcPr>
            <w:tcW w:w="808" w:type="pct"/>
            <w:tcBorders>
              <w:top w:val="single" w:sz="6" w:space="0" w:color="auto"/>
              <w:left w:val="single" w:sz="6" w:space="0" w:color="auto"/>
              <w:bottom w:val="single" w:sz="4" w:space="0" w:color="auto"/>
              <w:right w:val="single" w:sz="6" w:space="0" w:color="auto"/>
            </w:tcBorders>
            <w:hideMark/>
          </w:tcPr>
          <w:p w14:paraId="48FD8AD4" w14:textId="7F53A547" w:rsidR="00A67DB3" w:rsidRPr="00B65D57" w:rsidRDefault="00A67DB3" w:rsidP="008F4848">
            <w:pPr>
              <w:rPr>
                <w:color w:val="000000"/>
                <w:sz w:val="18"/>
                <w:szCs w:val="18"/>
              </w:rPr>
            </w:pPr>
            <w:r w:rsidRPr="00B65D57">
              <w:rPr>
                <w:color w:val="000000"/>
                <w:sz w:val="18"/>
                <w:szCs w:val="18"/>
              </w:rPr>
              <w:t>Scots pine, sapwood, vacuum impregnation, retention of 0.2 – 1.2 kg BAE/m</w:t>
            </w:r>
            <w:r w:rsidRPr="00B65D57">
              <w:rPr>
                <w:color w:val="000000"/>
                <w:sz w:val="18"/>
                <w:szCs w:val="18"/>
                <w:vertAlign w:val="superscript"/>
              </w:rPr>
              <w:t>3</w:t>
            </w:r>
            <w:r w:rsidRPr="00B65D57">
              <w:rPr>
                <w:color w:val="000000"/>
                <w:sz w:val="18"/>
                <w:szCs w:val="18"/>
              </w:rPr>
              <w:t xml:space="preserve"> wood, 8 weeks incubation time</w:t>
            </w:r>
          </w:p>
        </w:tc>
        <w:tc>
          <w:tcPr>
            <w:tcW w:w="600" w:type="pct"/>
            <w:tcBorders>
              <w:top w:val="single" w:sz="6" w:space="0" w:color="auto"/>
              <w:left w:val="single" w:sz="6" w:space="0" w:color="auto"/>
              <w:bottom w:val="single" w:sz="4" w:space="0" w:color="auto"/>
              <w:right w:val="single" w:sz="6" w:space="0" w:color="auto"/>
            </w:tcBorders>
            <w:hideMark/>
          </w:tcPr>
          <w:p w14:paraId="41C3BD8F" w14:textId="4DF1063B" w:rsidR="00A67DB3" w:rsidRPr="00B65D57" w:rsidRDefault="00A67DB3" w:rsidP="008F4848">
            <w:pPr>
              <w:rPr>
                <w:color w:val="000000"/>
                <w:sz w:val="18"/>
                <w:szCs w:val="18"/>
              </w:rPr>
            </w:pPr>
            <w:r w:rsidRPr="00B65D57">
              <w:rPr>
                <w:color w:val="000000"/>
                <w:sz w:val="18"/>
                <w:szCs w:val="18"/>
              </w:rPr>
              <w:t>Slow degradation rate, &lt; 0</w:t>
            </w:r>
            <w:r w:rsidR="00C45AE0" w:rsidRPr="00B65D57">
              <w:rPr>
                <w:color w:val="000000"/>
                <w:sz w:val="18"/>
                <w:szCs w:val="18"/>
              </w:rPr>
              <w:t>.</w:t>
            </w:r>
            <w:r w:rsidRPr="00B65D57">
              <w:rPr>
                <w:color w:val="000000"/>
                <w:sz w:val="18"/>
                <w:szCs w:val="18"/>
              </w:rPr>
              <w:t>5 % mass loss at retention of 0</w:t>
            </w:r>
            <w:r w:rsidR="00C45AE0" w:rsidRPr="00B65D57">
              <w:rPr>
                <w:color w:val="000000"/>
                <w:sz w:val="18"/>
                <w:szCs w:val="18"/>
              </w:rPr>
              <w:t>.</w:t>
            </w:r>
            <w:r w:rsidRPr="00B65D57">
              <w:rPr>
                <w:color w:val="000000"/>
                <w:sz w:val="18"/>
                <w:szCs w:val="18"/>
              </w:rPr>
              <w:t>7 kg BAE/m</w:t>
            </w:r>
            <w:r w:rsidRPr="00B65D57">
              <w:rPr>
                <w:color w:val="000000"/>
                <w:sz w:val="18"/>
                <w:szCs w:val="18"/>
                <w:vertAlign w:val="superscript"/>
              </w:rPr>
              <w:t>3</w:t>
            </w:r>
          </w:p>
        </w:tc>
        <w:tc>
          <w:tcPr>
            <w:tcW w:w="569" w:type="pct"/>
            <w:tcBorders>
              <w:top w:val="single" w:sz="6" w:space="0" w:color="auto"/>
              <w:left w:val="single" w:sz="6" w:space="0" w:color="auto"/>
              <w:bottom w:val="single" w:sz="4" w:space="0" w:color="auto"/>
              <w:right w:val="single" w:sz="4" w:space="0" w:color="auto"/>
            </w:tcBorders>
            <w:hideMark/>
          </w:tcPr>
          <w:p w14:paraId="0D4BE8ED" w14:textId="77777777" w:rsidR="00A67DB3" w:rsidRPr="00B65D57" w:rsidRDefault="00A67DB3" w:rsidP="008F4848">
            <w:pPr>
              <w:rPr>
                <w:i/>
                <w:color w:val="000000"/>
                <w:sz w:val="18"/>
                <w:szCs w:val="18"/>
              </w:rPr>
            </w:pPr>
            <w:r w:rsidRPr="00B65D57">
              <w:rPr>
                <w:i/>
                <w:color w:val="000000"/>
                <w:sz w:val="18"/>
                <w:szCs w:val="18"/>
              </w:rPr>
              <w:t>RISE 2020</w:t>
            </w:r>
          </w:p>
        </w:tc>
      </w:tr>
    </w:tbl>
    <w:p w14:paraId="350E4EF5" w14:textId="77777777" w:rsidR="00A67DB3" w:rsidRPr="00B65D57" w:rsidRDefault="00A67DB3" w:rsidP="008F4848">
      <w:pPr>
        <w:spacing w:line="260" w:lineRule="atLeast"/>
        <w:rPr>
          <w:rFonts w:eastAsia="Calibri"/>
          <w:b/>
          <w:bCs/>
          <w:lang w:eastAsia="en-US"/>
        </w:rPr>
      </w:pPr>
    </w:p>
    <w:p w14:paraId="00F7DA42" w14:textId="77777777" w:rsidR="00A67DB3" w:rsidRPr="00B65D57" w:rsidRDefault="00A67DB3" w:rsidP="008F4848">
      <w:pPr>
        <w:spacing w:line="260" w:lineRule="atLeast"/>
        <w:rPr>
          <w:rFonts w:eastAsia="Calibri"/>
          <w:b/>
          <w:b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67DB3" w:rsidRPr="00B65D57" w14:paraId="32D8C6D7" w14:textId="77777777" w:rsidTr="0087769B">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3F7CD3DE" w14:textId="77777777" w:rsidR="00A67DB3" w:rsidRPr="00B65D57" w:rsidRDefault="00A67DB3" w:rsidP="008F4848">
            <w:pPr>
              <w:rPr>
                <w:rFonts w:eastAsia="Calibri"/>
                <w:b/>
                <w:bCs/>
                <w:lang w:eastAsia="en-US"/>
              </w:rPr>
            </w:pPr>
            <w:r w:rsidRPr="00B65D57">
              <w:rPr>
                <w:rFonts w:eastAsia="Calibri"/>
                <w:b/>
                <w:bCs/>
                <w:lang w:eastAsia="en-US"/>
              </w:rPr>
              <w:t xml:space="preserve">Endpoint summary on </w:t>
            </w:r>
            <w:r w:rsidRPr="00B65D57">
              <w:rPr>
                <w:b/>
                <w:bCs/>
              </w:rPr>
              <w:t>efficacy data</w:t>
            </w:r>
          </w:p>
        </w:tc>
      </w:tr>
      <w:tr w:rsidR="00A67DB3" w:rsidRPr="00B65D57" w14:paraId="70CDE869" w14:textId="77777777" w:rsidTr="0087769B">
        <w:trPr>
          <w:trHeight w:val="298"/>
        </w:trPr>
        <w:tc>
          <w:tcPr>
            <w:tcW w:w="5000" w:type="pct"/>
            <w:tcBorders>
              <w:top w:val="single" w:sz="6" w:space="0" w:color="auto"/>
              <w:left w:val="single" w:sz="4" w:space="0" w:color="auto"/>
              <w:bottom w:val="single" w:sz="6" w:space="0" w:color="auto"/>
              <w:right w:val="single" w:sz="6" w:space="0" w:color="auto"/>
            </w:tcBorders>
          </w:tcPr>
          <w:p w14:paraId="4150E738" w14:textId="6941F01C" w:rsidR="00A67DB3" w:rsidRPr="00B65D57" w:rsidRDefault="00A67DB3" w:rsidP="008F4848">
            <w:pPr>
              <w:spacing w:line="260" w:lineRule="atLeast"/>
            </w:pPr>
            <w:r w:rsidRPr="00B65D57">
              <w:rPr>
                <w:rFonts w:eastAsia="Calibri"/>
                <w:lang w:eastAsia="en-US"/>
              </w:rPr>
              <w:t xml:space="preserve">The laboratory efficacy studies for curative treatment against fungal degradation of </w:t>
            </w:r>
            <w:r w:rsidR="00C45AE0" w:rsidRPr="00B65D57">
              <w:rPr>
                <w:rFonts w:eastAsia="Calibri"/>
                <w:lang w:eastAsia="en-US"/>
              </w:rPr>
              <w:t>S</w:t>
            </w:r>
            <w:r w:rsidRPr="00B65D57">
              <w:rPr>
                <w:rFonts w:eastAsia="Calibri"/>
                <w:lang w:eastAsia="en-US"/>
              </w:rPr>
              <w:t xml:space="preserve">cots pine wood miniblock according to a modified EN 113 test showed that brown and white rot fungal decay stopped at a retention of 0.7 </w:t>
            </w:r>
            <w:r w:rsidRPr="00B65D57">
              <w:rPr>
                <w:color w:val="000000"/>
              </w:rPr>
              <w:t>kg BAE/m</w:t>
            </w:r>
            <w:r w:rsidRPr="00B65D57">
              <w:rPr>
                <w:color w:val="000000"/>
                <w:vertAlign w:val="superscript"/>
              </w:rPr>
              <w:t>3</w:t>
            </w:r>
            <w:r w:rsidRPr="00B65D57">
              <w:rPr>
                <w:color w:val="000000"/>
              </w:rPr>
              <w:t xml:space="preserve"> </w:t>
            </w:r>
            <w:r w:rsidRPr="00B65D57">
              <w:t>wood. Data on boric acid show</w:t>
            </w:r>
            <w:r w:rsidRPr="00B65D57">
              <w:rPr>
                <w:color w:val="000000"/>
              </w:rPr>
              <w:t xml:space="preserve"> that the toxic threshold limit in non-termite areas can be set to 1 kg BAE/m</w:t>
            </w:r>
            <w:r w:rsidRPr="00B65D57">
              <w:rPr>
                <w:color w:val="000000"/>
                <w:vertAlign w:val="superscript"/>
              </w:rPr>
              <w:t>3</w:t>
            </w:r>
            <w:r w:rsidRPr="00B65D57">
              <w:rPr>
                <w:color w:val="000000"/>
              </w:rPr>
              <w:t xml:space="preserve"> </w:t>
            </w:r>
            <w:r w:rsidRPr="00B65D57">
              <w:t xml:space="preserve">wood. Use condition for Jerbor is restricted to harsh conditions for the decay fungi, </w:t>
            </w:r>
            <w:r w:rsidR="008D6BAA" w:rsidRPr="00B65D57">
              <w:t xml:space="preserve">therefore </w:t>
            </w:r>
            <w:r w:rsidRPr="00B65D57">
              <w:t xml:space="preserve">the in-situ threshold limit most likely is lower than </w:t>
            </w:r>
            <w:r w:rsidRPr="00B65D57">
              <w:rPr>
                <w:color w:val="000000"/>
              </w:rPr>
              <w:t>1 kg BAE/m</w:t>
            </w:r>
            <w:r w:rsidRPr="00B65D57">
              <w:rPr>
                <w:color w:val="000000"/>
                <w:vertAlign w:val="superscript"/>
              </w:rPr>
              <w:t>3</w:t>
            </w:r>
            <w:r w:rsidRPr="00B65D57">
              <w:rPr>
                <w:color w:val="000000"/>
              </w:rPr>
              <w:t xml:space="preserve"> </w:t>
            </w:r>
            <w:r w:rsidRPr="00B65D57">
              <w:t xml:space="preserve">wood. </w:t>
            </w:r>
          </w:p>
          <w:p w14:paraId="57C32343" w14:textId="77777777" w:rsidR="00A67DB3" w:rsidRPr="00B65D57" w:rsidRDefault="00A67DB3" w:rsidP="008F4848">
            <w:pPr>
              <w:spacing w:line="260" w:lineRule="atLeast"/>
            </w:pPr>
          </w:p>
          <w:p w14:paraId="742CABF6" w14:textId="0A2AC800" w:rsidR="00A67DB3" w:rsidRPr="00B65D57" w:rsidRDefault="00A67DB3" w:rsidP="008F4848">
            <w:pPr>
              <w:spacing w:line="260" w:lineRule="atLeast"/>
              <w:rPr>
                <w:color w:val="000000"/>
              </w:rPr>
            </w:pPr>
            <w:r w:rsidRPr="00B65D57">
              <w:t>Since no suitable laboratory standard is available for testing of toxic threshold value against degradation the most reliable method for controlling efficacy is the follow</w:t>
            </w:r>
            <w:r w:rsidR="008D6BAA" w:rsidRPr="00B65D57">
              <w:t>-</w:t>
            </w:r>
            <w:r w:rsidRPr="00B65D57">
              <w:t xml:space="preserve">up sampling of treated wood 5 years after </w:t>
            </w:r>
            <w:r w:rsidR="008D6BAA" w:rsidRPr="00B65D57">
              <w:t xml:space="preserve">the </w:t>
            </w:r>
            <w:r w:rsidRPr="00B65D57">
              <w:t>application. Comprehensive data from Eurobor treatments (with a target dose of 2 kg BAE/m</w:t>
            </w:r>
            <w:r w:rsidRPr="00B65D57">
              <w:rPr>
                <w:vertAlign w:val="superscript"/>
              </w:rPr>
              <w:t>3</w:t>
            </w:r>
            <w:r w:rsidRPr="00B65D57">
              <w:t xml:space="preserve">) show that </w:t>
            </w:r>
            <w:r w:rsidR="008D6BAA" w:rsidRPr="00B65D57">
              <w:t xml:space="preserve">the </w:t>
            </w:r>
            <w:r w:rsidRPr="00B65D57">
              <w:t>retention level after five years is &gt; 1.2 kg BAE</w:t>
            </w:r>
            <w:r w:rsidRPr="00B65D57">
              <w:rPr>
                <w:color w:val="000000"/>
              </w:rPr>
              <w:t>/m</w:t>
            </w:r>
            <w:r w:rsidRPr="00B65D57">
              <w:rPr>
                <w:color w:val="000000"/>
                <w:vertAlign w:val="superscript"/>
              </w:rPr>
              <w:t>3</w:t>
            </w:r>
            <w:r w:rsidRPr="00B65D57">
              <w:rPr>
                <w:color w:val="000000"/>
              </w:rPr>
              <w:t xml:space="preserve"> </w:t>
            </w:r>
            <w:r w:rsidRPr="00B65D57">
              <w:t xml:space="preserve">wood. Jerbor is considered efficient and justification for it has been shown. </w:t>
            </w:r>
          </w:p>
        </w:tc>
      </w:tr>
    </w:tbl>
    <w:p w14:paraId="265A01A7" w14:textId="77777777" w:rsidR="00A67DB3" w:rsidRPr="00B65D57" w:rsidRDefault="00A67DB3" w:rsidP="008F4848">
      <w:pPr>
        <w:spacing w:line="260" w:lineRule="atLeast"/>
        <w:rPr>
          <w:rFonts w:eastAsia="Calibri"/>
          <w:lang w:eastAsia="en-US"/>
        </w:rPr>
      </w:pPr>
    </w:p>
    <w:p w14:paraId="65FE20BC" w14:textId="5E4AC06D" w:rsidR="00A67DB3" w:rsidRPr="00B65D57" w:rsidRDefault="009A5C9B" w:rsidP="00065CC0">
      <w:pPr>
        <w:pStyle w:val="Rubrik4"/>
      </w:pPr>
      <w:bookmarkStart w:id="1497" w:name="_Toc9253815"/>
      <w:bookmarkStart w:id="1498" w:name="_Toc403566570"/>
      <w:bookmarkStart w:id="1499" w:name="_Toc403472749"/>
      <w:bookmarkStart w:id="1500" w:name="_Toc389729040"/>
      <w:bookmarkStart w:id="1501" w:name="_Toc33905213"/>
      <w:bookmarkStart w:id="1502" w:name="_Toc129689594"/>
      <w:r w:rsidRPr="00B65D57">
        <w:t xml:space="preserve">2.2.5.7 </w:t>
      </w:r>
      <w:r w:rsidR="00A67DB3" w:rsidRPr="00B65D57">
        <w:t>Occurrence of resistance and resistance management</w:t>
      </w:r>
      <w:bookmarkEnd w:id="1497"/>
      <w:bookmarkEnd w:id="1498"/>
      <w:bookmarkEnd w:id="1499"/>
      <w:bookmarkEnd w:id="1500"/>
      <w:bookmarkEnd w:id="1501"/>
      <w:bookmarkEnd w:id="1502"/>
    </w:p>
    <w:p w14:paraId="613AA78F" w14:textId="77777777" w:rsidR="00A67DB3" w:rsidRPr="00B65D57" w:rsidRDefault="00A67DB3" w:rsidP="008F4848">
      <w:pPr>
        <w:rPr>
          <w:rFonts w:eastAsia="Calibri"/>
          <w:lang w:eastAsia="en-US"/>
        </w:rPr>
      </w:pPr>
      <w:r w:rsidRPr="00B65D57">
        <w:rPr>
          <w:rFonts w:eastAsia="Calibri"/>
          <w:lang w:eastAsia="en-US"/>
        </w:rPr>
        <w:t xml:space="preserve">No resistance against the active substances has been reported or claimed in the assessment for borates as wood preservative. Borates have been used as preservative for almost 100 years with no known development of resistance. Jerbor has been used in </w:t>
      </w:r>
      <w:r w:rsidRPr="00B65D57">
        <w:rPr>
          <w:rFonts w:eastAsia="Calibri"/>
          <w:lang w:eastAsia="en-US"/>
        </w:rPr>
        <w:lastRenderedPageBreak/>
        <w:t>wooden foundations since the 1980s and there are no signs of any development of resistance.</w:t>
      </w:r>
    </w:p>
    <w:p w14:paraId="223AFBEE" w14:textId="77777777" w:rsidR="00A67DB3" w:rsidRPr="00B65D57" w:rsidRDefault="00A67DB3" w:rsidP="008F4848">
      <w:pPr>
        <w:rPr>
          <w:rFonts w:eastAsia="Calibri"/>
          <w:lang w:eastAsia="en-US"/>
        </w:rPr>
      </w:pPr>
    </w:p>
    <w:p w14:paraId="4BDFB147" w14:textId="728E9632" w:rsidR="00A67DB3" w:rsidRPr="00B65D57" w:rsidRDefault="009A5C9B" w:rsidP="00065CC0">
      <w:pPr>
        <w:pStyle w:val="Rubrik4"/>
      </w:pPr>
      <w:bookmarkStart w:id="1503" w:name="_Toc389725203"/>
      <w:bookmarkStart w:id="1504" w:name="_Toc389726195"/>
      <w:bookmarkStart w:id="1505" w:name="_Toc389727247"/>
      <w:bookmarkStart w:id="1506" w:name="_Toc389727605"/>
      <w:bookmarkStart w:id="1507" w:name="_Toc389727964"/>
      <w:bookmarkStart w:id="1508" w:name="_Toc389728323"/>
      <w:bookmarkStart w:id="1509" w:name="_Toc389728683"/>
      <w:bookmarkStart w:id="1510" w:name="_Toc389729041"/>
      <w:bookmarkStart w:id="1511" w:name="_Toc389725204"/>
      <w:bookmarkStart w:id="1512" w:name="_Toc389726196"/>
      <w:bookmarkStart w:id="1513" w:name="_Toc389727248"/>
      <w:bookmarkStart w:id="1514" w:name="_Toc389727606"/>
      <w:bookmarkStart w:id="1515" w:name="_Toc389727965"/>
      <w:bookmarkStart w:id="1516" w:name="_Toc389728324"/>
      <w:bookmarkStart w:id="1517" w:name="_Toc389728684"/>
      <w:bookmarkStart w:id="1518" w:name="_Toc389729042"/>
      <w:bookmarkStart w:id="1519" w:name="_Toc389729043"/>
      <w:bookmarkStart w:id="1520" w:name="_Toc403472750"/>
      <w:bookmarkStart w:id="1521" w:name="_Toc403566571"/>
      <w:bookmarkStart w:id="1522" w:name="_Toc9253816"/>
      <w:bookmarkStart w:id="1523" w:name="_Toc33905214"/>
      <w:bookmarkStart w:id="1524" w:name="_Toc129689595"/>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Pr="00B65D57">
        <w:t xml:space="preserve">2.2.5.8 </w:t>
      </w:r>
      <w:r w:rsidR="00A67DB3" w:rsidRPr="00B65D57">
        <w:t>Known limitations</w:t>
      </w:r>
      <w:bookmarkEnd w:id="1519"/>
      <w:bookmarkEnd w:id="1520"/>
      <w:bookmarkEnd w:id="1521"/>
      <w:bookmarkEnd w:id="1522"/>
      <w:bookmarkEnd w:id="1523"/>
      <w:bookmarkEnd w:id="1524"/>
    </w:p>
    <w:p w14:paraId="5FA0C622" w14:textId="77777777" w:rsidR="00A67DB3" w:rsidRPr="00B65D57" w:rsidRDefault="00A67DB3" w:rsidP="008F4848">
      <w:pPr>
        <w:rPr>
          <w:rFonts w:eastAsia="Calibri"/>
          <w:lang w:eastAsia="en-US"/>
        </w:rPr>
      </w:pPr>
      <w:r w:rsidRPr="00B65D57">
        <w:rPr>
          <w:rFonts w:eastAsia="Calibri"/>
          <w:lang w:eastAsia="en-US"/>
        </w:rPr>
        <w:t>Known limitations are regulated in the mandatory conditions for use of Jerbor. This includes an investigation of each building foundation to determine that safe and efficient use of Jerbor can be guaranteed as described in the Eurobor manual.</w:t>
      </w:r>
      <w:bookmarkStart w:id="1525" w:name="_Toc389725206"/>
      <w:bookmarkStart w:id="1526" w:name="_Toc389726198"/>
      <w:bookmarkStart w:id="1527" w:name="_Toc389727250"/>
      <w:bookmarkStart w:id="1528" w:name="_Toc389727608"/>
      <w:bookmarkStart w:id="1529" w:name="_Toc389727967"/>
      <w:bookmarkStart w:id="1530" w:name="_Toc389728326"/>
      <w:bookmarkStart w:id="1531" w:name="_Toc389728686"/>
      <w:bookmarkStart w:id="1532" w:name="_Toc389729044"/>
      <w:bookmarkEnd w:id="1525"/>
      <w:bookmarkEnd w:id="1526"/>
      <w:bookmarkEnd w:id="1527"/>
      <w:bookmarkEnd w:id="1528"/>
      <w:bookmarkEnd w:id="1529"/>
      <w:bookmarkEnd w:id="1530"/>
      <w:bookmarkEnd w:id="1531"/>
      <w:bookmarkEnd w:id="1532"/>
    </w:p>
    <w:p w14:paraId="35DE0249" w14:textId="77777777" w:rsidR="00A67DB3" w:rsidRPr="00B65D57" w:rsidRDefault="00A67DB3" w:rsidP="008F4848">
      <w:pPr>
        <w:rPr>
          <w:rFonts w:eastAsia="Calibri"/>
          <w:lang w:eastAsia="en-US"/>
        </w:rPr>
      </w:pPr>
    </w:p>
    <w:p w14:paraId="210A6EA2" w14:textId="428107BA" w:rsidR="00A67DB3" w:rsidRPr="00B65D57" w:rsidRDefault="009A5C9B" w:rsidP="00065CC0">
      <w:pPr>
        <w:pStyle w:val="Rubrik4"/>
      </w:pPr>
      <w:bookmarkStart w:id="1533" w:name="_Toc9253818"/>
      <w:bookmarkStart w:id="1534" w:name="_Toc403566573"/>
      <w:bookmarkStart w:id="1535" w:name="_Toc403472752"/>
      <w:bookmarkStart w:id="1536" w:name="_Toc389729046"/>
      <w:bookmarkStart w:id="1537" w:name="_Toc33905216"/>
      <w:bookmarkStart w:id="1538" w:name="_Toc129689596"/>
      <w:r w:rsidRPr="00B65D57">
        <w:t xml:space="preserve">2.2.5.9 </w:t>
      </w:r>
      <w:r w:rsidR="00A67DB3" w:rsidRPr="00B65D57">
        <w:t>Relevant information if the product is intended to be authorised for use with other biocidal product(s)</w:t>
      </w:r>
      <w:bookmarkEnd w:id="1533"/>
      <w:bookmarkEnd w:id="1534"/>
      <w:bookmarkEnd w:id="1535"/>
      <w:bookmarkEnd w:id="1536"/>
      <w:bookmarkEnd w:id="1537"/>
      <w:bookmarkEnd w:id="1538"/>
    </w:p>
    <w:p w14:paraId="2842F49A" w14:textId="77777777" w:rsidR="00A67DB3" w:rsidRPr="00B65D57" w:rsidRDefault="00A67DB3" w:rsidP="008F4848">
      <w:pPr>
        <w:jc w:val="both"/>
      </w:pPr>
      <w:r w:rsidRPr="00B65D57">
        <w:t xml:space="preserve">Not relevant, no other biocidal products or active substances are intended to be used with the product. </w:t>
      </w:r>
    </w:p>
    <w:p w14:paraId="2BAE70D1" w14:textId="77777777" w:rsidR="00A67DB3" w:rsidRPr="00B65D57" w:rsidRDefault="00A67DB3" w:rsidP="008F4848">
      <w:pPr>
        <w:spacing w:line="260" w:lineRule="atLeast"/>
        <w:rPr>
          <w:rFonts w:eastAsia="Calibri"/>
          <w:highlight w:val="yellow"/>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67DB3" w:rsidRPr="00B65D57" w14:paraId="2C7768CD" w14:textId="77777777" w:rsidTr="0087769B">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5E2AD698" w14:textId="77777777" w:rsidR="00A67DB3" w:rsidRPr="00B65D57" w:rsidRDefault="00A67DB3" w:rsidP="008F4848">
            <w:pPr>
              <w:spacing w:line="260" w:lineRule="atLeast"/>
              <w:rPr>
                <w:rFonts w:eastAsia="Calibri"/>
                <w:b/>
                <w:bCs/>
                <w:lang w:eastAsia="en-US"/>
              </w:rPr>
            </w:pPr>
            <w:r w:rsidRPr="00B65D57">
              <w:rPr>
                <w:rFonts w:eastAsia="Calibri"/>
                <w:b/>
                <w:bCs/>
                <w:lang w:eastAsia="en-US"/>
              </w:rPr>
              <w:t>Conclusion on the efficacy of the product</w:t>
            </w:r>
          </w:p>
        </w:tc>
      </w:tr>
      <w:tr w:rsidR="00A67DB3" w:rsidRPr="00B65D57" w14:paraId="241830C9" w14:textId="77777777" w:rsidTr="0087769B">
        <w:trPr>
          <w:trHeight w:val="298"/>
        </w:trPr>
        <w:tc>
          <w:tcPr>
            <w:tcW w:w="5000" w:type="pct"/>
            <w:tcBorders>
              <w:top w:val="single" w:sz="6" w:space="0" w:color="auto"/>
              <w:left w:val="single" w:sz="4" w:space="0" w:color="auto"/>
              <w:bottom w:val="single" w:sz="6" w:space="0" w:color="auto"/>
              <w:right w:val="single" w:sz="6" w:space="0" w:color="auto"/>
            </w:tcBorders>
            <w:hideMark/>
          </w:tcPr>
          <w:p w14:paraId="7BFC434E" w14:textId="5F347513" w:rsidR="00A67DB3" w:rsidRPr="00B65D57" w:rsidRDefault="00A67DB3" w:rsidP="008F4848">
            <w:pPr>
              <w:spacing w:line="260" w:lineRule="atLeast"/>
            </w:pPr>
            <w:r w:rsidRPr="00B65D57">
              <w:rPr>
                <w:rFonts w:eastAsia="Calibri"/>
                <w:lang w:eastAsia="en-US"/>
              </w:rPr>
              <w:t xml:space="preserve">The laboratory efficacy studies for curative treatment against fungal degradation of </w:t>
            </w:r>
            <w:r w:rsidR="008D6BAA" w:rsidRPr="00B65D57">
              <w:rPr>
                <w:rFonts w:eastAsia="Calibri"/>
                <w:lang w:eastAsia="en-US"/>
              </w:rPr>
              <w:t>S</w:t>
            </w:r>
            <w:r w:rsidRPr="00B65D57">
              <w:rPr>
                <w:rFonts w:eastAsia="Calibri"/>
                <w:lang w:eastAsia="en-US"/>
              </w:rPr>
              <w:t xml:space="preserve">cots pine wood miniblock according to a modified EN 113 test showed that brown and white rot fungal decay stopped at a retention of 0.7 </w:t>
            </w:r>
            <w:r w:rsidRPr="00B65D57">
              <w:rPr>
                <w:color w:val="000000"/>
              </w:rPr>
              <w:t>kg BAE/m</w:t>
            </w:r>
            <w:r w:rsidRPr="00B65D57">
              <w:rPr>
                <w:color w:val="000000"/>
                <w:vertAlign w:val="superscript"/>
              </w:rPr>
              <w:t>3</w:t>
            </w:r>
            <w:r w:rsidRPr="00B65D57">
              <w:rPr>
                <w:color w:val="000000"/>
              </w:rPr>
              <w:t xml:space="preserve"> </w:t>
            </w:r>
            <w:r w:rsidRPr="00B65D57">
              <w:t>wood. Data on boric acid show</w:t>
            </w:r>
            <w:r w:rsidRPr="00B65D57">
              <w:rPr>
                <w:color w:val="000000"/>
              </w:rPr>
              <w:t xml:space="preserve"> that the toxic threshold limit in non-termite areas can be set to 1 kg BAE/m</w:t>
            </w:r>
            <w:r w:rsidRPr="00B65D57">
              <w:rPr>
                <w:color w:val="000000"/>
                <w:vertAlign w:val="superscript"/>
              </w:rPr>
              <w:t>3</w:t>
            </w:r>
            <w:r w:rsidRPr="00B65D57">
              <w:rPr>
                <w:color w:val="000000"/>
              </w:rPr>
              <w:t xml:space="preserve"> </w:t>
            </w:r>
            <w:r w:rsidRPr="00B65D57">
              <w:t>wood. Wood and sampling in</w:t>
            </w:r>
            <w:r w:rsidR="008D6BAA" w:rsidRPr="00B65D57">
              <w:t xml:space="preserve"> the</w:t>
            </w:r>
            <w:r w:rsidRPr="00B65D57">
              <w:t xml:space="preserve"> follow</w:t>
            </w:r>
            <w:r w:rsidR="008D6BAA" w:rsidRPr="00B65D57">
              <w:t>-</w:t>
            </w:r>
            <w:r w:rsidRPr="00B65D57">
              <w:t xml:space="preserve">up controls verify that targeted retention levels are achieved after five years. </w:t>
            </w:r>
          </w:p>
          <w:p w14:paraId="17AF0871" w14:textId="77777777" w:rsidR="00A67DB3" w:rsidRPr="00B65D57" w:rsidRDefault="00A67DB3" w:rsidP="008F4848">
            <w:pPr>
              <w:spacing w:line="260" w:lineRule="atLeast"/>
              <w:rPr>
                <w:rFonts w:eastAsia="Calibri"/>
              </w:rPr>
            </w:pPr>
          </w:p>
          <w:p w14:paraId="30E38954" w14:textId="5D9A446E" w:rsidR="00A67DB3" w:rsidRPr="00B65D57" w:rsidRDefault="00A67DB3" w:rsidP="008F4848">
            <w:pPr>
              <w:spacing w:line="260" w:lineRule="atLeast"/>
              <w:rPr>
                <w:rFonts w:eastAsia="Calibri"/>
                <w:lang w:eastAsia="en-US"/>
              </w:rPr>
            </w:pPr>
            <w:r w:rsidRPr="00B65D57">
              <w:rPr>
                <w:rFonts w:eastAsia="Calibri"/>
                <w:lang w:eastAsia="en-US"/>
              </w:rPr>
              <w:t xml:space="preserve">Available scientifical </w:t>
            </w:r>
            <w:r w:rsidR="002049A2" w:rsidRPr="00B65D57">
              <w:rPr>
                <w:rFonts w:eastAsia="Calibri"/>
                <w:lang w:eastAsia="en-US"/>
              </w:rPr>
              <w:t xml:space="preserve">peer-reviewed </w:t>
            </w:r>
            <w:r w:rsidRPr="00B65D57">
              <w:rPr>
                <w:rFonts w:eastAsia="Calibri"/>
                <w:lang w:eastAsia="en-US"/>
              </w:rPr>
              <w:t>data on the efficacy of the two active substances in Jerbor against the target organisms show that they are efficacious against brown and white rotting fungi and that the toxic threshold for the most tolerant fungus was 2.2 kg BAE/m³. Less data is available on the efficacy of boron species against soft rot and no</w:t>
            </w:r>
            <w:r w:rsidR="008D6BAA" w:rsidRPr="00B65D57">
              <w:rPr>
                <w:rFonts w:eastAsia="Calibri"/>
                <w:lang w:eastAsia="en-US"/>
              </w:rPr>
              <w:t>n-</w:t>
            </w:r>
            <w:r w:rsidRPr="00B65D57">
              <w:rPr>
                <w:rFonts w:eastAsia="Calibri"/>
                <w:lang w:eastAsia="en-US"/>
              </w:rPr>
              <w:t>toxic threshold was shown for this type of organism</w:t>
            </w:r>
            <w:r w:rsidR="008D6BAA" w:rsidRPr="00B65D57">
              <w:rPr>
                <w:rFonts w:eastAsia="Calibri"/>
                <w:lang w:eastAsia="en-US"/>
              </w:rPr>
              <w:t>s</w:t>
            </w:r>
            <w:r w:rsidRPr="00B65D57">
              <w:rPr>
                <w:rFonts w:eastAsia="Calibri"/>
                <w:lang w:eastAsia="en-US"/>
              </w:rPr>
              <w:t xml:space="preserve">, although field data on retention levels of BAE and microscopic inspections years after </w:t>
            </w:r>
            <w:r w:rsidR="008D6BAA" w:rsidRPr="00B65D57">
              <w:rPr>
                <w:rFonts w:eastAsia="Calibri"/>
                <w:lang w:eastAsia="en-US"/>
              </w:rPr>
              <w:t xml:space="preserve">the </w:t>
            </w:r>
            <w:r w:rsidRPr="00B65D57">
              <w:rPr>
                <w:rFonts w:eastAsia="Calibri"/>
                <w:lang w:eastAsia="en-US"/>
              </w:rPr>
              <w:t>treatment indicate that the active substances in Jerbor can be expected to be efficacious also against soft rot. Field data on retention levels of boron found in timber foundation piles 5-18 years after</w:t>
            </w:r>
            <w:r w:rsidR="008D6BAA" w:rsidRPr="00B65D57">
              <w:rPr>
                <w:rFonts w:eastAsia="Calibri"/>
                <w:lang w:eastAsia="en-US"/>
              </w:rPr>
              <w:t xml:space="preserve"> the</w:t>
            </w:r>
            <w:r w:rsidRPr="00B65D57">
              <w:rPr>
                <w:rFonts w:eastAsia="Calibri"/>
                <w:lang w:eastAsia="en-US"/>
              </w:rPr>
              <w:t xml:space="preserve"> remedial treatments as well as the results on diffusion of boron into an infected </w:t>
            </w:r>
            <w:r w:rsidR="005051BB" w:rsidRPr="00B65D57">
              <w:rPr>
                <w:rFonts w:eastAsia="Calibri"/>
                <w:lang w:eastAsia="en-US"/>
              </w:rPr>
              <w:t>100-year-old</w:t>
            </w:r>
            <w:r w:rsidRPr="00B65D57">
              <w:rPr>
                <w:rFonts w:eastAsia="Calibri"/>
                <w:lang w:eastAsia="en-US"/>
              </w:rPr>
              <w:t xml:space="preserve"> pile strongly indicate that the active substances in Jerbor actually reach the site of decay and at high enough concentrations. In summary, according to the data submitted it can be expected that Jerbor will be efficacious against </w:t>
            </w:r>
            <w:r w:rsidR="008D6BAA" w:rsidRPr="00B65D57">
              <w:rPr>
                <w:rFonts w:eastAsia="Calibri"/>
                <w:lang w:eastAsia="en-US"/>
              </w:rPr>
              <w:t xml:space="preserve">the </w:t>
            </w:r>
            <w:r w:rsidRPr="00B65D57">
              <w:rPr>
                <w:rFonts w:eastAsia="Calibri"/>
                <w:lang w:eastAsia="en-US"/>
              </w:rPr>
              <w:t>selected target organisms.</w:t>
            </w:r>
          </w:p>
        </w:tc>
      </w:tr>
    </w:tbl>
    <w:p w14:paraId="4F145D9E" w14:textId="77777777" w:rsidR="00A67DB3" w:rsidRPr="00B65D57" w:rsidRDefault="00A67DB3" w:rsidP="008F4848">
      <w:pPr>
        <w:spacing w:line="260" w:lineRule="atLeast"/>
        <w:rPr>
          <w:rFonts w:eastAsia="Calibri"/>
          <w:highlight w:val="yellow"/>
          <w:lang w:eastAsia="en-US"/>
        </w:rPr>
      </w:pPr>
    </w:p>
    <w:p w14:paraId="7EA7552D" w14:textId="675FAB6B" w:rsidR="00AE297D" w:rsidRPr="00B65D57" w:rsidRDefault="00AE297D" w:rsidP="008F4848">
      <w:pPr>
        <w:jc w:val="both"/>
      </w:pPr>
      <w:r w:rsidRPr="00B65D57">
        <w:t xml:space="preserve"> </w:t>
      </w:r>
    </w:p>
    <w:p w14:paraId="724F7528" w14:textId="46BFB0B2" w:rsidR="00FD2055" w:rsidRPr="00B65D57" w:rsidRDefault="00FD2055" w:rsidP="008F4848">
      <w:pPr>
        <w:spacing w:line="260" w:lineRule="atLeast"/>
        <w:rPr>
          <w:rFonts w:eastAsia="Calibri"/>
          <w:highlight w:val="yellow"/>
          <w:lang w:eastAsia="en-US"/>
        </w:rPr>
      </w:pPr>
    </w:p>
    <w:p w14:paraId="39B6741A" w14:textId="4CE2C0DD" w:rsidR="00D92549" w:rsidRPr="00B65D57" w:rsidRDefault="009A5C9B" w:rsidP="00223981">
      <w:pPr>
        <w:pStyle w:val="Rubrik3"/>
        <w:rPr>
          <w:lang w:val="en-GB"/>
        </w:rPr>
      </w:pPr>
      <w:bookmarkStart w:id="1539" w:name="_Toc389729047"/>
      <w:bookmarkStart w:id="1540" w:name="_Toc403566574"/>
      <w:bookmarkStart w:id="1541" w:name="_Toc129689597"/>
      <w:r w:rsidRPr="00B65D57">
        <w:rPr>
          <w:lang w:val="en-GB"/>
        </w:rPr>
        <w:t xml:space="preserve">2.2.6 </w:t>
      </w:r>
      <w:r w:rsidR="00FD2055" w:rsidRPr="00B65D57">
        <w:rPr>
          <w:lang w:val="en-GB"/>
        </w:rPr>
        <w:t>Risk assessment for human health</w:t>
      </w:r>
      <w:bookmarkEnd w:id="1539"/>
      <w:bookmarkEnd w:id="1540"/>
      <w:bookmarkEnd w:id="1541"/>
    </w:p>
    <w:p w14:paraId="380EF1FB" w14:textId="137EB6CD" w:rsidR="00FD2055" w:rsidRPr="00B65D57" w:rsidRDefault="009A5C9B" w:rsidP="00065CC0">
      <w:pPr>
        <w:pStyle w:val="Rubrik4"/>
      </w:pPr>
      <w:bookmarkStart w:id="1542" w:name="_Toc388281591"/>
      <w:bookmarkStart w:id="1543" w:name="_Toc388282047"/>
      <w:bookmarkStart w:id="1544" w:name="_Toc388282529"/>
      <w:bookmarkStart w:id="1545" w:name="_Toc388282977"/>
      <w:bookmarkStart w:id="1546" w:name="_Toc403472753"/>
      <w:bookmarkStart w:id="1547" w:name="_Toc403566575"/>
      <w:bookmarkStart w:id="1548" w:name="_Toc389729048"/>
      <w:bookmarkStart w:id="1549" w:name="_Toc129689598"/>
      <w:bookmarkEnd w:id="1542"/>
      <w:bookmarkEnd w:id="1543"/>
      <w:bookmarkEnd w:id="1544"/>
      <w:bookmarkEnd w:id="1545"/>
      <w:r w:rsidRPr="00B65D57">
        <w:t xml:space="preserve">2.2.6.1 </w:t>
      </w:r>
      <w:r w:rsidR="00FD2055" w:rsidRPr="00B65D57">
        <w:t>Assessment of effects on Human Health</w:t>
      </w:r>
      <w:bookmarkEnd w:id="1546"/>
      <w:bookmarkEnd w:id="1547"/>
      <w:bookmarkEnd w:id="1549"/>
      <w:r w:rsidR="00FD2055" w:rsidRPr="00B65D57">
        <w:t xml:space="preserve"> </w:t>
      </w:r>
      <w:bookmarkEnd w:id="1548"/>
    </w:p>
    <w:p w14:paraId="2C3B6D03" w14:textId="0B24872A"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2.2.6.1.1 </w:t>
      </w:r>
      <w:r w:rsidR="00253791" w:rsidRPr="00B65D57">
        <w:rPr>
          <w:rFonts w:eastAsia="Calibri"/>
          <w:lang w:val="en-GB" w:eastAsia="en-US"/>
        </w:rPr>
        <w:t>Introduction</w:t>
      </w:r>
    </w:p>
    <w:p w14:paraId="7ED1E507" w14:textId="0E09A044" w:rsidR="00253791" w:rsidRPr="00B65D57" w:rsidRDefault="00253791" w:rsidP="008F4848">
      <w:r w:rsidRPr="00B65D57">
        <w:t xml:space="preserve">Since Jerbor contains only the active substances of disodium tetraborate pentahydrate (CAS No. 12179-04-3) and boric acid (CAS 10043–35-3) and no other co-formulants, the data from the Assessment Reports for Boric acid and Disodium tetraborate (2009) are </w:t>
      </w:r>
      <w:r w:rsidRPr="00B65D57">
        <w:lastRenderedPageBreak/>
        <w:t xml:space="preserve">relevant for the product. Therefore, no new testing has been performed for the risk assessment of human health. </w:t>
      </w:r>
      <w:r w:rsidRPr="00B65D57">
        <w:tab/>
      </w:r>
    </w:p>
    <w:p w14:paraId="22560DEC" w14:textId="77777777" w:rsidR="00116374" w:rsidRPr="00B65D57" w:rsidRDefault="00116374" w:rsidP="008F4848"/>
    <w:p w14:paraId="554C2EAF" w14:textId="77777777" w:rsidR="00253791" w:rsidRPr="00B65D57" w:rsidRDefault="00253791" w:rsidP="008F4848"/>
    <w:p w14:paraId="66A7D433" w14:textId="2AD8DB9B"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2.2.6.1.2 </w:t>
      </w:r>
      <w:r w:rsidR="00253791" w:rsidRPr="00B65D57">
        <w:rPr>
          <w:rFonts w:eastAsia="Calibri"/>
          <w:lang w:val="en-GB" w:eastAsia="en-US"/>
        </w:rPr>
        <w:t>Skin corrosion and irritation</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253791" w:rsidRPr="00B65D57" w14:paraId="2EF6835B"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F84A68E" w14:textId="77777777" w:rsidR="00253791" w:rsidRPr="00B65D57" w:rsidRDefault="00253791" w:rsidP="008F4848">
            <w:pPr>
              <w:spacing w:line="260" w:lineRule="atLeast"/>
              <w:rPr>
                <w:rFonts w:eastAsia="Calibri"/>
                <w:b/>
                <w:bCs/>
                <w:lang w:eastAsia="en-US"/>
              </w:rPr>
            </w:pPr>
            <w:r w:rsidRPr="00B65D57">
              <w:rPr>
                <w:rFonts w:eastAsia="Calibri"/>
                <w:b/>
                <w:bCs/>
                <w:lang w:eastAsia="en-US"/>
              </w:rPr>
              <w:t>Conclusion used in Risk Assessment – Skin corrosion and irritation</w:t>
            </w:r>
          </w:p>
        </w:tc>
      </w:tr>
      <w:tr w:rsidR="00253791" w:rsidRPr="00B65D57" w14:paraId="282CE6AB" w14:textId="77777777" w:rsidTr="002236D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421A17DE" w14:textId="77777777" w:rsidR="00253791" w:rsidRPr="00B65D57" w:rsidRDefault="00253791" w:rsidP="008F4848">
            <w:pPr>
              <w:spacing w:line="260" w:lineRule="atLeast"/>
              <w:rPr>
                <w:rFonts w:eastAsia="Calibri"/>
                <w:lang w:eastAsia="en-US"/>
              </w:rPr>
            </w:pPr>
            <w:r w:rsidRPr="00B65D57">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E12895E" w14:textId="77777777" w:rsidR="00253791" w:rsidRPr="00B65D57" w:rsidRDefault="00253791" w:rsidP="008F4848">
            <w:pPr>
              <w:spacing w:line="260" w:lineRule="atLeast"/>
              <w:rPr>
                <w:rFonts w:eastAsia="Calibri"/>
                <w:lang w:eastAsia="en-US"/>
              </w:rPr>
            </w:pPr>
            <w:r w:rsidRPr="00B65D57">
              <w:rPr>
                <w:rFonts w:eastAsia="Calibri"/>
                <w:lang w:eastAsia="en-US"/>
              </w:rPr>
              <w:t>Jerbor is not irritant to the skin.</w:t>
            </w:r>
          </w:p>
        </w:tc>
      </w:tr>
      <w:tr w:rsidR="00253791" w:rsidRPr="00B65D57" w14:paraId="7C29F6C1"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5D99E9FD" w14:textId="77777777" w:rsidR="00253791" w:rsidRPr="00B65D57" w:rsidRDefault="00253791" w:rsidP="008F4848">
            <w:pPr>
              <w:spacing w:line="260" w:lineRule="atLeast"/>
              <w:rPr>
                <w:rFonts w:eastAsia="Calibri"/>
                <w:lang w:eastAsia="en-US"/>
              </w:rPr>
            </w:pPr>
            <w:r w:rsidRPr="00B65D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74B26DC4" w14:textId="77777777" w:rsidR="00253791" w:rsidRPr="00B65D57" w:rsidRDefault="00253791" w:rsidP="008F4848">
            <w:pPr>
              <w:spacing w:line="260" w:lineRule="atLeast"/>
              <w:rPr>
                <w:rFonts w:eastAsia="Calibri"/>
                <w:lang w:eastAsia="en-US"/>
              </w:rPr>
            </w:pPr>
            <w:r w:rsidRPr="00B65D57">
              <w:rPr>
                <w:rFonts w:cs="TimesNewRoman"/>
                <w:lang w:eastAsia="sv-SE"/>
              </w:rPr>
              <w:t xml:space="preserve">Neither Boric acid nor </w:t>
            </w:r>
            <w:r w:rsidRPr="00B65D57">
              <w:rPr>
                <w:lang w:eastAsia="sv-SE"/>
              </w:rPr>
              <w:t xml:space="preserve">Disodium tetraborate pentahydrate </w:t>
            </w:r>
            <w:r w:rsidRPr="00B65D57">
              <w:rPr>
                <w:rFonts w:cs="TimesNewRoman"/>
                <w:lang w:eastAsia="sv-SE"/>
              </w:rPr>
              <w:t xml:space="preserve">revealed </w:t>
            </w:r>
            <w:r w:rsidRPr="00B65D57">
              <w:t>skin corrosion or skin irritation potential</w:t>
            </w:r>
            <w:r w:rsidRPr="00B65D57">
              <w:rPr>
                <w:rFonts w:cs="TimesNewRoman"/>
                <w:lang w:eastAsia="sv-SE"/>
              </w:rPr>
              <w:t xml:space="preserve"> (Assessment Reports (</w:t>
            </w:r>
            <w:r w:rsidRPr="00B65D57">
              <w:rPr>
                <w:rFonts w:eastAsia="Calibri"/>
                <w:lang w:eastAsia="en-US"/>
              </w:rPr>
              <w:t xml:space="preserve">CAR) for </w:t>
            </w:r>
            <w:r w:rsidRPr="00B65D57">
              <w:rPr>
                <w:rFonts w:cs="TimesNewRoman"/>
                <w:lang w:eastAsia="sv-SE"/>
              </w:rPr>
              <w:t xml:space="preserve">Boric acid and </w:t>
            </w:r>
            <w:r w:rsidRPr="00B65D57">
              <w:rPr>
                <w:lang w:eastAsia="sv-SE"/>
              </w:rPr>
              <w:t>Disodium tetraborate, 2009) and are not classified as skin irritants.</w:t>
            </w:r>
            <w:r w:rsidRPr="00B65D57">
              <w:t xml:space="preserve"> </w:t>
            </w:r>
          </w:p>
        </w:tc>
      </w:tr>
      <w:tr w:rsidR="00253791" w:rsidRPr="00B65D57" w14:paraId="5082BB02"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70EC425F" w14:textId="77777777" w:rsidR="00253791" w:rsidRPr="00B65D57" w:rsidRDefault="00253791" w:rsidP="008F4848">
            <w:pPr>
              <w:spacing w:line="260" w:lineRule="atLeast"/>
              <w:rPr>
                <w:rFonts w:eastAsia="Calibri"/>
                <w:lang w:eastAsia="en-US"/>
              </w:rPr>
            </w:pPr>
            <w:r w:rsidRPr="00B65D57">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32BB24E2" w14:textId="77777777" w:rsidR="00253791" w:rsidRPr="00B65D57" w:rsidRDefault="00253791" w:rsidP="008F4848">
            <w:pPr>
              <w:spacing w:line="260" w:lineRule="atLeast"/>
              <w:rPr>
                <w:rFonts w:eastAsia="Calibri"/>
                <w:lang w:eastAsia="en-US"/>
              </w:rPr>
            </w:pPr>
            <w:r w:rsidRPr="00B65D57">
              <w:rPr>
                <w:rFonts w:eastAsia="Calibri"/>
                <w:lang w:eastAsia="en-US"/>
              </w:rPr>
              <w:t>Classification for skin corrosion/irritation is not required according to</w:t>
            </w:r>
            <w:r w:rsidRPr="00B65D57">
              <w:t xml:space="preserve"> Regulation (EC) No 1272/2008 </w:t>
            </w:r>
          </w:p>
        </w:tc>
      </w:tr>
    </w:tbl>
    <w:p w14:paraId="424D0B73" w14:textId="2FA27E59" w:rsidR="00253791" w:rsidRPr="00B65D57" w:rsidRDefault="00253791" w:rsidP="008F4848">
      <w:pPr>
        <w:spacing w:line="260" w:lineRule="atLeast"/>
        <w:rPr>
          <w:rFonts w:eastAsia="Calibri"/>
          <w:lang w:eastAsia="en-US"/>
        </w:rPr>
      </w:pPr>
    </w:p>
    <w:p w14:paraId="07D5EA56" w14:textId="77777777" w:rsidR="00116374" w:rsidRPr="00B65D57" w:rsidRDefault="00116374" w:rsidP="008F4848">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1253B17C"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0BD1ECF" w14:textId="77777777" w:rsidR="00253791" w:rsidRPr="00B65D57" w:rsidRDefault="00253791" w:rsidP="008F4848">
            <w:pPr>
              <w:rPr>
                <w:b/>
              </w:rPr>
            </w:pPr>
            <w:r w:rsidRPr="00B65D57">
              <w:rPr>
                <w:b/>
              </w:rPr>
              <w:t>Data waiving</w:t>
            </w:r>
          </w:p>
        </w:tc>
      </w:tr>
      <w:tr w:rsidR="00253791" w:rsidRPr="00B65D57" w14:paraId="26301FE0"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2FCCA40F" w14:textId="77777777" w:rsidR="00253791" w:rsidRPr="00B65D57" w:rsidRDefault="00253791" w:rsidP="008F4848">
            <w:r w:rsidRPr="00B65D57">
              <w:t>Information requirement</w:t>
            </w:r>
          </w:p>
        </w:tc>
        <w:tc>
          <w:tcPr>
            <w:tcW w:w="3952" w:type="pct"/>
            <w:tcBorders>
              <w:top w:val="single" w:sz="6" w:space="0" w:color="auto"/>
              <w:left w:val="single" w:sz="6" w:space="0" w:color="auto"/>
              <w:bottom w:val="single" w:sz="6" w:space="0" w:color="auto"/>
              <w:right w:val="single" w:sz="6" w:space="0" w:color="auto"/>
            </w:tcBorders>
          </w:tcPr>
          <w:p w14:paraId="58BEAE43" w14:textId="77777777" w:rsidR="00253791" w:rsidRPr="00B65D57" w:rsidRDefault="00253791" w:rsidP="008F4848">
            <w:r w:rsidRPr="00B65D57">
              <w:t>BPR Annex III 8.1</w:t>
            </w:r>
          </w:p>
        </w:tc>
      </w:tr>
      <w:tr w:rsidR="00253791" w:rsidRPr="00B65D57" w14:paraId="60237DE8" w14:textId="77777777" w:rsidTr="002236D1">
        <w:trPr>
          <w:trHeight w:val="1193"/>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1F439E8E" w14:textId="77777777" w:rsidR="00253791" w:rsidRPr="00B65D57" w:rsidRDefault="00253791" w:rsidP="008F4848">
            <w:r w:rsidRPr="00B65D57">
              <w:t>Justification</w:t>
            </w:r>
          </w:p>
        </w:tc>
        <w:tc>
          <w:tcPr>
            <w:tcW w:w="3952" w:type="pct"/>
            <w:tcBorders>
              <w:top w:val="single" w:sz="6" w:space="0" w:color="auto"/>
              <w:left w:val="single" w:sz="6" w:space="0" w:color="auto"/>
              <w:bottom w:val="single" w:sz="6" w:space="0" w:color="auto"/>
              <w:right w:val="single" w:sz="6" w:space="0" w:color="auto"/>
            </w:tcBorders>
          </w:tcPr>
          <w:p w14:paraId="002680B0" w14:textId="77777777" w:rsidR="00253791" w:rsidRPr="00B65D57" w:rsidRDefault="00253791" w:rsidP="008F4848">
            <w:r w:rsidRPr="00B65D57">
              <w:t xml:space="preserve">Testing of the product Jerbor has not been performed as there are valid data available on each of the components in the mixture sufficient to allow classification according to Regulation (EC) No 1272/2008. </w:t>
            </w:r>
          </w:p>
        </w:tc>
      </w:tr>
    </w:tbl>
    <w:p w14:paraId="4CA2204C" w14:textId="77777777" w:rsidR="00253791" w:rsidRPr="00B65D57" w:rsidRDefault="00253791" w:rsidP="008F4848">
      <w:pPr>
        <w:spacing w:line="260" w:lineRule="atLeast"/>
        <w:rPr>
          <w:rFonts w:eastAsia="Calibri"/>
          <w:lang w:eastAsia="en-US"/>
        </w:rPr>
      </w:pPr>
    </w:p>
    <w:p w14:paraId="02BDE4DF" w14:textId="77777777" w:rsidR="00253791" w:rsidRPr="00B65D57" w:rsidRDefault="00253791" w:rsidP="008F4848">
      <w:pPr>
        <w:spacing w:line="260" w:lineRule="atLeast"/>
        <w:rPr>
          <w:rFonts w:eastAsia="Calibri"/>
          <w:lang w:eastAsia="en-US"/>
        </w:rPr>
      </w:pPr>
    </w:p>
    <w:p w14:paraId="4A01E9A5" w14:textId="35048F4E"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2.2.6.1.3 </w:t>
      </w:r>
      <w:r w:rsidR="00253791" w:rsidRPr="00B65D57">
        <w:rPr>
          <w:rFonts w:eastAsia="Calibri"/>
          <w:lang w:val="en-GB" w:eastAsia="en-US"/>
        </w:rPr>
        <w:t>Eye irritation</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253791" w:rsidRPr="00B65D57" w14:paraId="693081EC"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66D4658" w14:textId="77777777" w:rsidR="00253791" w:rsidRPr="00B65D57" w:rsidRDefault="00253791" w:rsidP="008F4848">
            <w:pPr>
              <w:spacing w:line="260" w:lineRule="atLeast"/>
              <w:rPr>
                <w:rFonts w:eastAsia="Calibri"/>
                <w:b/>
                <w:bCs/>
                <w:lang w:eastAsia="en-US"/>
              </w:rPr>
            </w:pPr>
            <w:r w:rsidRPr="00B65D57">
              <w:rPr>
                <w:rFonts w:eastAsia="Calibri"/>
                <w:b/>
                <w:bCs/>
                <w:lang w:eastAsia="en-US"/>
              </w:rPr>
              <w:t xml:space="preserve">Conclusion used in Risk Assessment – Eye irritation </w:t>
            </w:r>
          </w:p>
        </w:tc>
      </w:tr>
      <w:tr w:rsidR="00253791" w:rsidRPr="00B65D57" w14:paraId="494BFA82" w14:textId="77777777" w:rsidTr="002236D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04F5206A" w14:textId="77777777" w:rsidR="00253791" w:rsidRPr="00B65D57" w:rsidRDefault="00253791" w:rsidP="008F4848">
            <w:pPr>
              <w:spacing w:line="260" w:lineRule="atLeast"/>
              <w:rPr>
                <w:rFonts w:eastAsia="Calibri"/>
                <w:lang w:eastAsia="en-US"/>
              </w:rPr>
            </w:pPr>
            <w:r w:rsidRPr="00B65D57">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AE948A4" w14:textId="77777777" w:rsidR="00253791" w:rsidRPr="00B65D57" w:rsidRDefault="00253791" w:rsidP="008F4848">
            <w:pPr>
              <w:spacing w:line="260" w:lineRule="atLeast"/>
              <w:rPr>
                <w:rFonts w:eastAsia="Calibri"/>
                <w:lang w:eastAsia="en-US"/>
              </w:rPr>
            </w:pPr>
            <w:r w:rsidRPr="00B65D57">
              <w:rPr>
                <w:rFonts w:eastAsia="Calibri"/>
                <w:lang w:eastAsia="en-US"/>
              </w:rPr>
              <w:t xml:space="preserve">Jerbor is irritant to the eyes. </w:t>
            </w:r>
          </w:p>
          <w:p w14:paraId="72949604" w14:textId="77777777" w:rsidR="00253791" w:rsidRPr="00B65D57" w:rsidRDefault="00253791" w:rsidP="008F4848">
            <w:pPr>
              <w:spacing w:line="260" w:lineRule="atLeast"/>
              <w:rPr>
                <w:rFonts w:eastAsia="Calibri"/>
                <w:lang w:eastAsia="en-US"/>
              </w:rPr>
            </w:pPr>
          </w:p>
        </w:tc>
      </w:tr>
      <w:tr w:rsidR="00253791" w:rsidRPr="00B65D57" w14:paraId="1229ABBA"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02D62C2A" w14:textId="77777777" w:rsidR="00253791" w:rsidRPr="00B65D57" w:rsidRDefault="00253791" w:rsidP="008F4848">
            <w:pPr>
              <w:spacing w:line="260" w:lineRule="atLeast"/>
              <w:rPr>
                <w:rFonts w:eastAsia="Calibri"/>
                <w:lang w:eastAsia="en-US"/>
              </w:rPr>
            </w:pPr>
            <w:r w:rsidRPr="00B65D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D69000D" w14:textId="77777777" w:rsidR="00253791" w:rsidRPr="00B65D57" w:rsidRDefault="00253791" w:rsidP="008F4848">
            <w:pPr>
              <w:spacing w:line="260" w:lineRule="atLeast"/>
            </w:pPr>
            <w:r w:rsidRPr="00B65D57">
              <w:rPr>
                <w:rFonts w:cs="TimesNewRoman"/>
                <w:lang w:eastAsia="sv-SE"/>
              </w:rPr>
              <w:t>Boric acid is not classified as an eye irritant (Assessment Report (</w:t>
            </w:r>
            <w:r w:rsidRPr="00B65D57">
              <w:rPr>
                <w:rFonts w:eastAsia="Calibri"/>
                <w:lang w:eastAsia="en-US"/>
              </w:rPr>
              <w:t xml:space="preserve">CAR) for </w:t>
            </w:r>
            <w:r w:rsidRPr="00B65D57">
              <w:rPr>
                <w:rFonts w:cs="TimesNewRoman"/>
                <w:lang w:eastAsia="sv-SE"/>
              </w:rPr>
              <w:t>Boric acid, 2009). D</w:t>
            </w:r>
            <w:r w:rsidRPr="00B65D57">
              <w:rPr>
                <w:lang w:eastAsia="sv-SE"/>
              </w:rPr>
              <w:t>isodium tetraborate pentahydrate revealed eye irritant effects in two eye irritation studies and workers exposed occupationally to borax dust at concentrations of about 4 mg/m</w:t>
            </w:r>
            <w:r w:rsidRPr="00B65D57">
              <w:rPr>
                <w:vertAlign w:val="superscript"/>
                <w:lang w:eastAsia="sv-SE"/>
              </w:rPr>
              <w:t>3</w:t>
            </w:r>
            <w:r w:rsidRPr="00B65D57">
              <w:rPr>
                <w:lang w:eastAsia="sv-SE"/>
              </w:rPr>
              <w:t xml:space="preserve"> reported eye irritation </w:t>
            </w:r>
            <w:r w:rsidRPr="00B65D57">
              <w:rPr>
                <w:rFonts w:cs="TimesNewRoman"/>
                <w:lang w:eastAsia="sv-SE"/>
              </w:rPr>
              <w:t>(Assessment Report (</w:t>
            </w:r>
            <w:r w:rsidRPr="00B65D57">
              <w:rPr>
                <w:rFonts w:eastAsia="Calibri"/>
                <w:lang w:eastAsia="en-US"/>
              </w:rPr>
              <w:t xml:space="preserve">CAR) for </w:t>
            </w:r>
            <w:r w:rsidRPr="00B65D57">
              <w:rPr>
                <w:lang w:eastAsia="sv-SE"/>
              </w:rPr>
              <w:t>Disodium tetraborates, 2009).</w:t>
            </w:r>
            <w:r w:rsidRPr="00B65D57">
              <w:t xml:space="preserve"> Therefore, it was concluded in the CAR that disodium tetraborate pentahydrate should be regarded as an eye irritant.</w:t>
            </w:r>
          </w:p>
          <w:p w14:paraId="7033E6C9" w14:textId="7CE71591" w:rsidR="00253791" w:rsidRPr="00B65D57" w:rsidRDefault="00253791" w:rsidP="008F4848">
            <w:pPr>
              <w:spacing w:line="260" w:lineRule="atLeast"/>
              <w:rPr>
                <w:rFonts w:eastAsia="Calibri"/>
                <w:lang w:eastAsia="en-US"/>
              </w:rPr>
            </w:pPr>
            <w:r w:rsidRPr="00B65D57">
              <w:t>The product Jerbor contains &gt;10% of disodium tetraborate pentahydrate and should</w:t>
            </w:r>
            <w:r w:rsidR="007D7F06" w:rsidRPr="00B65D57">
              <w:t xml:space="preserve"> therefore</w:t>
            </w:r>
            <w:r w:rsidRPr="00B65D57">
              <w:t xml:space="preserve"> be regarded as an eye irritant.</w:t>
            </w:r>
          </w:p>
        </w:tc>
      </w:tr>
      <w:tr w:rsidR="00253791" w:rsidRPr="00B65D57" w14:paraId="5E9D4B8C"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63ADB80A" w14:textId="77777777" w:rsidR="00253791" w:rsidRPr="00B65D57" w:rsidRDefault="00253791" w:rsidP="008F4848">
            <w:pPr>
              <w:spacing w:line="260" w:lineRule="atLeast"/>
              <w:rPr>
                <w:rFonts w:eastAsia="Calibri"/>
                <w:lang w:eastAsia="en-US"/>
              </w:rPr>
            </w:pPr>
            <w:r w:rsidRPr="00B65D57">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1A7A3DB0" w14:textId="77777777" w:rsidR="00253791" w:rsidRPr="00B65D57" w:rsidRDefault="00253791" w:rsidP="008F4848">
            <w:pPr>
              <w:spacing w:line="260" w:lineRule="atLeast"/>
              <w:rPr>
                <w:rFonts w:eastAsia="Calibri"/>
                <w:lang w:eastAsia="en-US"/>
              </w:rPr>
            </w:pPr>
            <w:r w:rsidRPr="00B65D57">
              <w:rPr>
                <w:rFonts w:eastAsia="Calibri"/>
                <w:lang w:eastAsia="en-US"/>
              </w:rPr>
              <w:t>Eye Irrit. 2 H319 according to</w:t>
            </w:r>
            <w:r w:rsidRPr="00B65D57">
              <w:t xml:space="preserve"> Regulation (EC) No 1272/2008</w:t>
            </w:r>
          </w:p>
        </w:tc>
      </w:tr>
    </w:tbl>
    <w:p w14:paraId="5368260E" w14:textId="77777777" w:rsidR="00253791" w:rsidRPr="00B65D57" w:rsidRDefault="00253791" w:rsidP="008F4848">
      <w:pPr>
        <w:spacing w:line="260" w:lineRule="atLeast"/>
        <w:rPr>
          <w:rFonts w:ascii="Times New Roman" w:eastAsia="Calibri" w:hAnsi="Times New Roman"/>
          <w:i/>
          <w:iCs/>
          <w:lang w:eastAsia="en-US"/>
        </w:rPr>
      </w:pPr>
    </w:p>
    <w:p w14:paraId="5D88CC03" w14:textId="77777777" w:rsidR="00253791" w:rsidRPr="00B65D57" w:rsidRDefault="00253791" w:rsidP="008F4848">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0F2B37C7"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40782A1" w14:textId="77777777" w:rsidR="00253791" w:rsidRPr="00B65D57" w:rsidRDefault="00253791" w:rsidP="008F4848">
            <w:pPr>
              <w:rPr>
                <w:b/>
              </w:rPr>
            </w:pPr>
            <w:r w:rsidRPr="00B65D57">
              <w:rPr>
                <w:b/>
              </w:rPr>
              <w:t>Data waiving</w:t>
            </w:r>
          </w:p>
        </w:tc>
      </w:tr>
      <w:tr w:rsidR="00253791" w:rsidRPr="00B65D57" w14:paraId="0BD94A92"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0807863E" w14:textId="77777777" w:rsidR="00253791" w:rsidRPr="00B65D57" w:rsidRDefault="00253791" w:rsidP="008F4848">
            <w:r w:rsidRPr="00B65D57">
              <w:t>Information requirement</w:t>
            </w:r>
          </w:p>
        </w:tc>
        <w:tc>
          <w:tcPr>
            <w:tcW w:w="3952" w:type="pct"/>
            <w:tcBorders>
              <w:top w:val="single" w:sz="6" w:space="0" w:color="auto"/>
              <w:left w:val="single" w:sz="6" w:space="0" w:color="auto"/>
              <w:bottom w:val="single" w:sz="6" w:space="0" w:color="auto"/>
              <w:right w:val="single" w:sz="6" w:space="0" w:color="auto"/>
            </w:tcBorders>
          </w:tcPr>
          <w:p w14:paraId="23B5ADCD" w14:textId="77777777" w:rsidR="00253791" w:rsidRPr="00B65D57" w:rsidRDefault="00253791" w:rsidP="008F4848">
            <w:r w:rsidRPr="00B65D57">
              <w:t>BPR Annex III 8.2</w:t>
            </w:r>
          </w:p>
        </w:tc>
      </w:tr>
      <w:tr w:rsidR="00253791" w:rsidRPr="00B65D57" w14:paraId="7EEDEB8D" w14:textId="77777777" w:rsidTr="002236D1">
        <w:trPr>
          <w:trHeight w:val="1193"/>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2A0E8640" w14:textId="77777777" w:rsidR="00253791" w:rsidRPr="00B65D57" w:rsidRDefault="00253791" w:rsidP="008F4848">
            <w:r w:rsidRPr="00B65D57">
              <w:lastRenderedPageBreak/>
              <w:t>Justification</w:t>
            </w:r>
          </w:p>
        </w:tc>
        <w:tc>
          <w:tcPr>
            <w:tcW w:w="3952" w:type="pct"/>
            <w:tcBorders>
              <w:top w:val="single" w:sz="6" w:space="0" w:color="auto"/>
              <w:left w:val="single" w:sz="6" w:space="0" w:color="auto"/>
              <w:bottom w:val="single" w:sz="6" w:space="0" w:color="auto"/>
              <w:right w:val="single" w:sz="6" w:space="0" w:color="auto"/>
            </w:tcBorders>
          </w:tcPr>
          <w:p w14:paraId="0A411C78" w14:textId="77777777" w:rsidR="00253791" w:rsidRPr="00B65D57" w:rsidRDefault="00253791" w:rsidP="008F4848">
            <w:r w:rsidRPr="00B65D57">
              <w:t xml:space="preserve">Testing of the product Jerbor has not been performed as there are valid data available on each of the components in the mixture sufficient to allow classification according to Regulation (EC) No 1272/2008. </w:t>
            </w:r>
          </w:p>
        </w:tc>
      </w:tr>
    </w:tbl>
    <w:p w14:paraId="087276C3" w14:textId="77777777" w:rsidR="00253791" w:rsidRPr="00B65D57" w:rsidRDefault="00253791" w:rsidP="008F4848">
      <w:pPr>
        <w:spacing w:line="260" w:lineRule="atLeast"/>
        <w:rPr>
          <w:rFonts w:eastAsia="Calibri"/>
          <w:lang w:eastAsia="en-US"/>
        </w:rPr>
      </w:pPr>
    </w:p>
    <w:p w14:paraId="2A42D81B" w14:textId="77777777" w:rsidR="00253791" w:rsidRPr="00B65D57" w:rsidRDefault="00253791" w:rsidP="008F4848">
      <w:pPr>
        <w:spacing w:line="260" w:lineRule="atLeast"/>
        <w:rPr>
          <w:rFonts w:eastAsia="Calibri"/>
          <w:lang w:eastAsia="en-US"/>
        </w:rPr>
      </w:pPr>
    </w:p>
    <w:p w14:paraId="61693F4D" w14:textId="060424B5"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2.2.6.1.4 </w:t>
      </w:r>
      <w:r w:rsidR="00253791" w:rsidRPr="00B65D57">
        <w:rPr>
          <w:rFonts w:eastAsia="Calibri"/>
          <w:lang w:val="en-GB" w:eastAsia="en-US"/>
        </w:rPr>
        <w:t xml:space="preserve">Respiratory tract irritation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43271C7E"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DAE4F5B" w14:textId="77777777" w:rsidR="00253791" w:rsidRPr="00B65D57" w:rsidRDefault="00253791" w:rsidP="008F4848">
            <w:pPr>
              <w:keepNext/>
              <w:keepLines/>
              <w:spacing w:before="60" w:after="60" w:line="260" w:lineRule="atLeast"/>
              <w:jc w:val="center"/>
              <w:rPr>
                <w:rFonts w:eastAsia="Calibri"/>
                <w:b/>
                <w:lang w:eastAsia="da-DK"/>
              </w:rPr>
            </w:pPr>
            <w:r w:rsidRPr="00B65D57">
              <w:rPr>
                <w:rFonts w:eastAsia="Calibri"/>
                <w:b/>
                <w:bCs/>
                <w:lang w:eastAsia="en-US"/>
              </w:rPr>
              <w:t>Conclusion used in the Risk Assessment – Respiratory tract irritation</w:t>
            </w:r>
          </w:p>
        </w:tc>
      </w:tr>
      <w:tr w:rsidR="00253791" w:rsidRPr="00B65D57" w14:paraId="2FB9B694"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4E7CDDB9" w14:textId="77777777" w:rsidR="00253791" w:rsidRPr="00B65D57" w:rsidRDefault="00253791" w:rsidP="008F4848">
            <w:pPr>
              <w:keepNext/>
              <w:keepLines/>
              <w:spacing w:before="60" w:after="60" w:line="260" w:lineRule="atLeast"/>
              <w:rPr>
                <w:rFonts w:eastAsia="Calibri"/>
                <w:bCs/>
                <w:lang w:eastAsia="en-US"/>
              </w:rPr>
            </w:pPr>
            <w:r w:rsidRPr="00B65D57">
              <w:rPr>
                <w:rFonts w:eastAsia="Calibri"/>
                <w:bCs/>
                <w:lang w:eastAsia="en-US"/>
              </w:rPr>
              <w:t>Value/conclusion</w:t>
            </w:r>
          </w:p>
        </w:tc>
        <w:tc>
          <w:tcPr>
            <w:tcW w:w="3952" w:type="pct"/>
            <w:tcBorders>
              <w:top w:val="single" w:sz="6" w:space="0" w:color="auto"/>
              <w:left w:val="single" w:sz="6" w:space="0" w:color="auto"/>
              <w:bottom w:val="single" w:sz="6" w:space="0" w:color="auto"/>
              <w:right w:val="single" w:sz="6" w:space="0" w:color="auto"/>
            </w:tcBorders>
          </w:tcPr>
          <w:p w14:paraId="2752D4C8" w14:textId="6873413C" w:rsidR="00253791" w:rsidRPr="00B65D57" w:rsidRDefault="00253791" w:rsidP="008F4848">
            <w:pPr>
              <w:keepNext/>
              <w:keepLines/>
              <w:spacing w:before="60" w:after="60" w:line="260" w:lineRule="atLeast"/>
              <w:rPr>
                <w:rFonts w:eastAsia="Calibri"/>
                <w:bCs/>
                <w:lang w:eastAsia="en-US"/>
              </w:rPr>
            </w:pPr>
            <w:r w:rsidRPr="00B65D57">
              <w:rPr>
                <w:rFonts w:eastAsia="Calibri"/>
                <w:bCs/>
                <w:lang w:eastAsia="en-US"/>
              </w:rPr>
              <w:t>Jerbor is not classified as irritating to the respiratory tract. However, there is a</w:t>
            </w:r>
            <w:r w:rsidR="00757D2F" w:rsidRPr="00B65D57">
              <w:rPr>
                <w:rFonts w:eastAsia="Calibri"/>
                <w:bCs/>
                <w:lang w:eastAsia="en-US"/>
              </w:rPr>
              <w:t xml:space="preserve"> national Swedish</w:t>
            </w:r>
            <w:r w:rsidRPr="00B65D57">
              <w:rPr>
                <w:rFonts w:eastAsia="Calibri"/>
                <w:bCs/>
                <w:lang w:eastAsia="en-US"/>
              </w:rPr>
              <w:t xml:space="preserve"> occupational exposure limit of 2 mg/m</w:t>
            </w:r>
            <w:r w:rsidRPr="00B65D57">
              <w:rPr>
                <w:rFonts w:eastAsia="Calibri"/>
                <w:bCs/>
                <w:vertAlign w:val="superscript"/>
                <w:lang w:eastAsia="en-US"/>
              </w:rPr>
              <w:t>3</w:t>
            </w:r>
            <w:r w:rsidRPr="00B65D57">
              <w:rPr>
                <w:rFonts w:eastAsia="Calibri"/>
                <w:bCs/>
                <w:lang w:eastAsia="en-US"/>
              </w:rPr>
              <w:t xml:space="preserve"> of borax (in dust</w:t>
            </w:r>
            <w:r w:rsidR="00757D2F" w:rsidRPr="00B65D57">
              <w:rPr>
                <w:rFonts w:eastAsia="Calibri"/>
                <w:bCs/>
                <w:lang w:eastAsia="en-US"/>
              </w:rPr>
              <w:t xml:space="preserve">; Swedish Work Environmental Authority; </w:t>
            </w:r>
            <w:r w:rsidRPr="00B65D57">
              <w:rPr>
                <w:rFonts w:eastAsia="Calibri"/>
                <w:bCs/>
                <w:lang w:eastAsia="en-US"/>
              </w:rPr>
              <w:t xml:space="preserve">AFS 2018:1). </w:t>
            </w:r>
          </w:p>
        </w:tc>
      </w:tr>
      <w:tr w:rsidR="00253791" w:rsidRPr="00B65D57" w14:paraId="36112DB5"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029E0EE8" w14:textId="77777777" w:rsidR="00253791" w:rsidRPr="00B65D57" w:rsidRDefault="00253791" w:rsidP="008F4848">
            <w:pPr>
              <w:keepNext/>
              <w:keepLines/>
              <w:spacing w:before="60" w:after="60" w:line="260" w:lineRule="atLeast"/>
              <w:rPr>
                <w:rFonts w:eastAsia="Calibri"/>
                <w:bCs/>
                <w:lang w:eastAsia="en-US"/>
              </w:rPr>
            </w:pPr>
            <w:r w:rsidRPr="00B65D57">
              <w:rPr>
                <w:rFonts w:eastAsia="Calibri"/>
                <w:bCs/>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04AE842C" w14:textId="0D3BF36F" w:rsidR="00253791" w:rsidRPr="00B65D57" w:rsidRDefault="00253791" w:rsidP="008F4848">
            <w:pPr>
              <w:keepNext/>
              <w:keepLines/>
              <w:spacing w:before="60" w:after="60" w:line="260" w:lineRule="atLeast"/>
              <w:rPr>
                <w:rFonts w:eastAsia="Calibri"/>
                <w:bCs/>
                <w:lang w:eastAsia="en-US"/>
              </w:rPr>
            </w:pPr>
            <w:r w:rsidRPr="00B65D57">
              <w:rPr>
                <w:rFonts w:cs="TimesNewRoman"/>
                <w:lang w:eastAsia="sv-SE"/>
              </w:rPr>
              <w:t>None of the substances are cl</w:t>
            </w:r>
            <w:r w:rsidRPr="00B65D57">
              <w:t xml:space="preserve">assified as a specific organ toxicant (STOT) in category 1 or 2 as regards to respiratory tract irritation. Therefore, no classification for respiratory tract irritation is warranted. </w:t>
            </w:r>
            <w:r w:rsidRPr="00B65D57">
              <w:rPr>
                <w:rFonts w:cs="TimesNewRoman"/>
                <w:lang w:eastAsia="sv-SE"/>
              </w:rPr>
              <w:t>However, according to studies on workers cited in the CARs (Assessment Reports</w:t>
            </w:r>
            <w:r w:rsidRPr="00B65D57">
              <w:rPr>
                <w:rFonts w:eastAsia="Calibri"/>
                <w:lang w:eastAsia="en-US"/>
              </w:rPr>
              <w:t xml:space="preserve"> for </w:t>
            </w:r>
            <w:r w:rsidRPr="00B65D57">
              <w:rPr>
                <w:rFonts w:cs="TimesNewRoman"/>
                <w:lang w:eastAsia="sv-SE"/>
              </w:rPr>
              <w:t xml:space="preserve">Boric acid and </w:t>
            </w:r>
            <w:r w:rsidRPr="00B65D57">
              <w:rPr>
                <w:lang w:eastAsia="sv-SE"/>
              </w:rPr>
              <w:t>Disodium tetraborate, 2009),</w:t>
            </w:r>
            <w:r w:rsidRPr="00B65D57">
              <w:rPr>
                <w:rFonts w:eastAsia="Calibri"/>
                <w:bCs/>
                <w:lang w:eastAsia="en-US"/>
              </w:rPr>
              <w:t xml:space="preserve"> the workers occupationally exposed to borax dust at concentrations of about </w:t>
            </w:r>
            <w:r w:rsidRPr="00B65D57">
              <w:rPr>
                <w:lang w:eastAsia="sv-SE"/>
              </w:rPr>
              <w:t>4 mg/m</w:t>
            </w:r>
            <w:r w:rsidRPr="00B65D57">
              <w:rPr>
                <w:vertAlign w:val="superscript"/>
                <w:lang w:eastAsia="sv-SE"/>
              </w:rPr>
              <w:t>3</w:t>
            </w:r>
            <w:r w:rsidRPr="00B65D57">
              <w:rPr>
                <w:lang w:eastAsia="sv-SE"/>
              </w:rPr>
              <w:t xml:space="preserve"> </w:t>
            </w:r>
            <w:r w:rsidRPr="00B65D57">
              <w:rPr>
                <w:rFonts w:eastAsia="Calibri"/>
                <w:bCs/>
                <w:lang w:eastAsia="en-US"/>
              </w:rPr>
              <w:t>reported effects on the respiratory tract (such as dry mouth, nose or throat, sore throat, acute and chronic respiratory irritation and productive cough).</w:t>
            </w:r>
            <w:r w:rsidRPr="00B65D57" w:rsidDel="00845F85">
              <w:rPr>
                <w:rFonts w:eastAsia="Calibri"/>
                <w:bCs/>
                <w:lang w:eastAsia="en-US"/>
              </w:rPr>
              <w:t xml:space="preserve">    </w:t>
            </w:r>
            <w:r w:rsidRPr="00B65D57">
              <w:rPr>
                <w:rFonts w:eastAsia="Calibri"/>
                <w:bCs/>
                <w:lang w:eastAsia="en-US"/>
              </w:rPr>
              <w:t xml:space="preserve"> </w:t>
            </w:r>
          </w:p>
        </w:tc>
      </w:tr>
      <w:tr w:rsidR="00253791" w:rsidRPr="00B65D57" w14:paraId="575A8418"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4C13392F" w14:textId="77777777" w:rsidR="00253791" w:rsidRPr="00B65D57" w:rsidRDefault="00253791" w:rsidP="008F4848">
            <w:pPr>
              <w:keepNext/>
              <w:keepLines/>
              <w:spacing w:before="60" w:after="60" w:line="260" w:lineRule="atLeast"/>
              <w:rPr>
                <w:rFonts w:eastAsia="Calibri"/>
                <w:bCs/>
                <w:lang w:eastAsia="en-US"/>
              </w:rPr>
            </w:pPr>
            <w:r w:rsidRPr="00B65D57">
              <w:rPr>
                <w:rFonts w:eastAsia="Calibri"/>
                <w:bCs/>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188592B9" w14:textId="77777777" w:rsidR="00253791" w:rsidRPr="00B65D57" w:rsidRDefault="00253791" w:rsidP="008F4848">
            <w:pPr>
              <w:keepNext/>
              <w:keepLines/>
              <w:spacing w:before="60" w:after="60" w:line="260" w:lineRule="atLeast"/>
              <w:rPr>
                <w:rFonts w:eastAsia="Calibri"/>
                <w:bCs/>
                <w:lang w:eastAsia="en-US"/>
              </w:rPr>
            </w:pPr>
            <w:r w:rsidRPr="00B65D57">
              <w:rPr>
                <w:rFonts w:eastAsia="Calibri"/>
                <w:lang w:eastAsia="en-US"/>
              </w:rPr>
              <w:t>Classification for respiratory tract irritation is not required according to</w:t>
            </w:r>
            <w:r w:rsidRPr="00B65D57">
              <w:t xml:space="preserve"> Regulation (EC) No 1272/2008 </w:t>
            </w:r>
          </w:p>
        </w:tc>
      </w:tr>
    </w:tbl>
    <w:p w14:paraId="468A7219" w14:textId="77777777" w:rsidR="00253791" w:rsidRPr="00B65D57" w:rsidRDefault="00253791" w:rsidP="008F4848">
      <w:pPr>
        <w:spacing w:line="260" w:lineRule="atLeast"/>
        <w:rPr>
          <w:rFonts w:eastAsia="Calibri"/>
          <w:lang w:eastAsia="en-US"/>
        </w:rPr>
      </w:pPr>
    </w:p>
    <w:p w14:paraId="4847F9B4" w14:textId="77777777" w:rsidR="00253791" w:rsidRPr="00B65D57" w:rsidRDefault="00253791" w:rsidP="008F4848">
      <w:pPr>
        <w:spacing w:line="260" w:lineRule="atLeast"/>
        <w:rPr>
          <w:rFonts w:eastAsia="Calibri"/>
          <w:lang w:eastAsia="en-US"/>
        </w:rPr>
      </w:pPr>
    </w:p>
    <w:p w14:paraId="0C435951" w14:textId="0AD48F10"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2.2.6.1.5 </w:t>
      </w:r>
      <w:r w:rsidR="00253791" w:rsidRPr="00B65D57">
        <w:rPr>
          <w:rFonts w:eastAsia="Calibri"/>
          <w:lang w:val="en-GB" w:eastAsia="en-US"/>
        </w:rPr>
        <w:t>Skin sensitization</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253791" w:rsidRPr="00B65D57" w14:paraId="64B72144"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EC6339F" w14:textId="77777777" w:rsidR="00253791" w:rsidRPr="00B65D57" w:rsidRDefault="00253791" w:rsidP="008F4848">
            <w:pPr>
              <w:spacing w:line="260" w:lineRule="atLeast"/>
              <w:rPr>
                <w:rFonts w:eastAsia="Calibri"/>
                <w:b/>
                <w:bCs/>
                <w:lang w:eastAsia="en-US"/>
              </w:rPr>
            </w:pPr>
            <w:r w:rsidRPr="00B65D57">
              <w:rPr>
                <w:rFonts w:eastAsia="Calibri"/>
                <w:b/>
                <w:bCs/>
                <w:lang w:eastAsia="en-US"/>
              </w:rPr>
              <w:t>Conclusion used in Risk Assessment – Skin sensitization</w:t>
            </w:r>
          </w:p>
        </w:tc>
      </w:tr>
      <w:tr w:rsidR="00253791" w:rsidRPr="00B65D57" w14:paraId="2EDEBE4C" w14:textId="77777777" w:rsidTr="002236D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60842AFB" w14:textId="77777777" w:rsidR="00253791" w:rsidRPr="00B65D57" w:rsidRDefault="00253791" w:rsidP="008F4848">
            <w:pPr>
              <w:spacing w:line="260" w:lineRule="atLeast"/>
              <w:rPr>
                <w:rFonts w:eastAsia="Calibri"/>
                <w:lang w:eastAsia="en-US"/>
              </w:rPr>
            </w:pPr>
            <w:r w:rsidRPr="00B65D57">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971D3FF" w14:textId="77777777" w:rsidR="00253791" w:rsidRPr="00B65D57" w:rsidRDefault="00253791" w:rsidP="008F4848">
            <w:pPr>
              <w:spacing w:line="260" w:lineRule="atLeast"/>
              <w:rPr>
                <w:rFonts w:eastAsia="Calibri"/>
                <w:lang w:eastAsia="en-US"/>
              </w:rPr>
            </w:pPr>
            <w:r w:rsidRPr="00B65D57">
              <w:rPr>
                <w:rFonts w:eastAsia="Calibri"/>
                <w:lang w:eastAsia="en-US"/>
              </w:rPr>
              <w:t>Jerbor is not a skin sensitizer.</w:t>
            </w:r>
          </w:p>
        </w:tc>
      </w:tr>
      <w:tr w:rsidR="00253791" w:rsidRPr="00B65D57" w14:paraId="5D8CA36F"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3237293A" w14:textId="77777777" w:rsidR="00253791" w:rsidRPr="00B65D57" w:rsidRDefault="00253791" w:rsidP="008F4848">
            <w:pPr>
              <w:spacing w:line="260" w:lineRule="atLeast"/>
              <w:rPr>
                <w:rFonts w:eastAsia="Calibri"/>
                <w:lang w:eastAsia="en-US"/>
              </w:rPr>
            </w:pPr>
            <w:r w:rsidRPr="00B65D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093551B8" w14:textId="4FF697DB" w:rsidR="00253791" w:rsidRPr="00B65D57" w:rsidRDefault="00253791" w:rsidP="008F4848">
            <w:pPr>
              <w:autoSpaceDE w:val="0"/>
              <w:autoSpaceDN w:val="0"/>
              <w:adjustRightInd w:val="0"/>
              <w:rPr>
                <w:rFonts w:cs="TimesNewRoman"/>
                <w:lang w:eastAsia="sv-SE"/>
              </w:rPr>
            </w:pPr>
            <w:r w:rsidRPr="00B65D57">
              <w:rPr>
                <w:rFonts w:cs="TimesNewRoman"/>
                <w:lang w:eastAsia="sv-SE"/>
              </w:rPr>
              <w:t xml:space="preserve">No signs of skin sensitization were observed in Buehler method skin sensitization tests with boric acid or disodium tetraborates and no evidence of skin sensitization in humans exposed occupationally to borates has been reported (Assessment Reports (CAR) for Boric acid and Disodium tetraborate, 2009) and therefore, the substances do not need to be classified as skin sensitizers. </w:t>
            </w:r>
          </w:p>
        </w:tc>
      </w:tr>
      <w:tr w:rsidR="00253791" w:rsidRPr="00B65D57" w14:paraId="7F686149"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7766BDE0" w14:textId="77777777" w:rsidR="00253791" w:rsidRPr="00B65D57" w:rsidRDefault="00253791" w:rsidP="008F4848">
            <w:pPr>
              <w:spacing w:line="260" w:lineRule="atLeast"/>
              <w:rPr>
                <w:rFonts w:eastAsia="Calibri"/>
                <w:lang w:eastAsia="en-US"/>
              </w:rPr>
            </w:pPr>
            <w:r w:rsidRPr="00B65D57">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3B8F3170" w14:textId="77777777" w:rsidR="00253791" w:rsidRPr="00B65D57" w:rsidRDefault="00253791" w:rsidP="008F4848">
            <w:pPr>
              <w:spacing w:line="260" w:lineRule="atLeast"/>
              <w:rPr>
                <w:rFonts w:eastAsia="Calibri"/>
                <w:lang w:eastAsia="en-US"/>
              </w:rPr>
            </w:pPr>
            <w:r w:rsidRPr="00B65D57">
              <w:rPr>
                <w:rFonts w:eastAsia="Calibri"/>
                <w:lang w:eastAsia="en-US"/>
              </w:rPr>
              <w:t>Classification for skin sensitization is not required according to</w:t>
            </w:r>
            <w:r w:rsidRPr="00B65D57">
              <w:t xml:space="preserve"> Regulation (EC) No 1272/2008 </w:t>
            </w:r>
          </w:p>
        </w:tc>
      </w:tr>
    </w:tbl>
    <w:p w14:paraId="62693849" w14:textId="77777777" w:rsidR="00253791" w:rsidRPr="00B65D57" w:rsidRDefault="00253791" w:rsidP="00253791">
      <w:pPr>
        <w:spacing w:line="260" w:lineRule="atLeast"/>
        <w:rPr>
          <w:rFonts w:ascii="Times New Roman" w:eastAsia="Calibri" w:hAnsi="Times New Roman"/>
          <w:i/>
          <w:iCs/>
          <w:lang w:eastAsia="en-US"/>
        </w:rPr>
      </w:pPr>
    </w:p>
    <w:p w14:paraId="79A131A4" w14:textId="77777777" w:rsidR="00253791" w:rsidRPr="00B65D57" w:rsidRDefault="00253791" w:rsidP="00253791">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1A76D4F5"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7FA5AB6" w14:textId="77777777" w:rsidR="00253791" w:rsidRPr="00B65D57" w:rsidRDefault="00253791" w:rsidP="002236D1">
            <w:pPr>
              <w:rPr>
                <w:b/>
              </w:rPr>
            </w:pPr>
            <w:r w:rsidRPr="00B65D57">
              <w:rPr>
                <w:b/>
              </w:rPr>
              <w:t>Data waiving</w:t>
            </w:r>
          </w:p>
        </w:tc>
      </w:tr>
      <w:tr w:rsidR="00253791" w:rsidRPr="00B65D57" w14:paraId="3B62457F"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5BD47080" w14:textId="77777777" w:rsidR="00253791" w:rsidRPr="00B65D57" w:rsidRDefault="00253791" w:rsidP="002236D1">
            <w:r w:rsidRPr="00B65D57">
              <w:t>Information requirement</w:t>
            </w:r>
          </w:p>
        </w:tc>
        <w:tc>
          <w:tcPr>
            <w:tcW w:w="3952" w:type="pct"/>
            <w:tcBorders>
              <w:top w:val="single" w:sz="6" w:space="0" w:color="auto"/>
              <w:left w:val="single" w:sz="6" w:space="0" w:color="auto"/>
              <w:bottom w:val="single" w:sz="6" w:space="0" w:color="auto"/>
              <w:right w:val="single" w:sz="6" w:space="0" w:color="auto"/>
            </w:tcBorders>
          </w:tcPr>
          <w:p w14:paraId="7FECD2DC" w14:textId="77777777" w:rsidR="00253791" w:rsidRPr="00B65D57" w:rsidRDefault="00253791" w:rsidP="002236D1">
            <w:r w:rsidRPr="00B65D57">
              <w:t>BPR Annex III 8.3</w:t>
            </w:r>
          </w:p>
        </w:tc>
      </w:tr>
      <w:tr w:rsidR="00253791" w:rsidRPr="00B65D57" w14:paraId="578B9F59" w14:textId="77777777" w:rsidTr="002236D1">
        <w:trPr>
          <w:trHeight w:val="1193"/>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4410F17A" w14:textId="77777777" w:rsidR="00253791" w:rsidRPr="00B65D57" w:rsidRDefault="00253791" w:rsidP="002236D1">
            <w:r w:rsidRPr="00B65D57">
              <w:lastRenderedPageBreak/>
              <w:t>Justification</w:t>
            </w:r>
          </w:p>
        </w:tc>
        <w:tc>
          <w:tcPr>
            <w:tcW w:w="3952" w:type="pct"/>
            <w:tcBorders>
              <w:top w:val="single" w:sz="6" w:space="0" w:color="auto"/>
              <w:left w:val="single" w:sz="6" w:space="0" w:color="auto"/>
              <w:bottom w:val="single" w:sz="6" w:space="0" w:color="auto"/>
              <w:right w:val="single" w:sz="6" w:space="0" w:color="auto"/>
            </w:tcBorders>
          </w:tcPr>
          <w:p w14:paraId="590CB514" w14:textId="77777777" w:rsidR="00253791" w:rsidRPr="00B65D57" w:rsidRDefault="00253791" w:rsidP="002236D1">
            <w:r w:rsidRPr="00B65D57">
              <w:t xml:space="preserve">Testing of the product Jerbor has not been performed as there are valid data available on each of the components in the mixture sufficient to allow classification according to Regulation (EC) No 1272/2008. </w:t>
            </w:r>
          </w:p>
        </w:tc>
      </w:tr>
    </w:tbl>
    <w:p w14:paraId="226D066E" w14:textId="77777777" w:rsidR="00253791" w:rsidRPr="00B65D57" w:rsidRDefault="00253791" w:rsidP="00253791">
      <w:pPr>
        <w:spacing w:line="260" w:lineRule="atLeast"/>
        <w:rPr>
          <w:rFonts w:ascii="Times New Roman" w:eastAsia="Calibri" w:hAnsi="Times New Roman"/>
          <w:i/>
          <w:iCs/>
          <w:lang w:eastAsia="en-US"/>
        </w:rPr>
      </w:pPr>
    </w:p>
    <w:p w14:paraId="4B9C6F6B" w14:textId="77777777" w:rsidR="00253791" w:rsidRPr="00B65D57" w:rsidRDefault="00253791" w:rsidP="00253791">
      <w:pPr>
        <w:spacing w:line="260" w:lineRule="atLeast"/>
        <w:rPr>
          <w:rFonts w:ascii="Times New Roman" w:eastAsia="Calibri" w:hAnsi="Times New Roman"/>
          <w:i/>
          <w:iCs/>
          <w:lang w:eastAsia="en-US"/>
        </w:rPr>
      </w:pPr>
    </w:p>
    <w:p w14:paraId="4B6B4452" w14:textId="36EC2B3B"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2.2.6.1.6 </w:t>
      </w:r>
      <w:r w:rsidR="00253791" w:rsidRPr="00B65D57">
        <w:rPr>
          <w:rFonts w:eastAsia="Calibri"/>
          <w:lang w:val="en-GB" w:eastAsia="en-US"/>
        </w:rPr>
        <w:t>Respiratory sensitization (ADS)</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253791" w:rsidRPr="00B65D57" w14:paraId="5415BF73"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D28DF91" w14:textId="77777777" w:rsidR="00253791" w:rsidRPr="00B65D57" w:rsidRDefault="00253791" w:rsidP="002236D1">
            <w:pPr>
              <w:spacing w:line="260" w:lineRule="atLeast"/>
              <w:rPr>
                <w:rFonts w:eastAsia="Calibri"/>
                <w:lang w:eastAsia="en-US"/>
              </w:rPr>
            </w:pPr>
            <w:r w:rsidRPr="00B65D57">
              <w:rPr>
                <w:rFonts w:eastAsia="Calibri"/>
                <w:b/>
                <w:bCs/>
                <w:lang w:eastAsia="en-US"/>
              </w:rPr>
              <w:t>Conclusion</w:t>
            </w:r>
            <w:r w:rsidRPr="00B65D57">
              <w:rPr>
                <w:rFonts w:eastAsia="Calibri"/>
                <w:lang w:eastAsia="en-US"/>
              </w:rPr>
              <w:t xml:space="preserve"> </w:t>
            </w:r>
            <w:r w:rsidRPr="00B65D57">
              <w:rPr>
                <w:rFonts w:eastAsia="Calibri"/>
                <w:b/>
                <w:bCs/>
                <w:lang w:eastAsia="en-US"/>
              </w:rPr>
              <w:t>used in Risk Assessment – Respiratory sensitisation</w:t>
            </w:r>
          </w:p>
        </w:tc>
      </w:tr>
      <w:tr w:rsidR="00253791" w:rsidRPr="00B65D57" w14:paraId="48A74D41" w14:textId="77777777" w:rsidTr="002236D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615E8FB1" w14:textId="77777777" w:rsidR="00253791" w:rsidRPr="00B65D57" w:rsidRDefault="00253791" w:rsidP="002236D1">
            <w:pPr>
              <w:spacing w:line="260" w:lineRule="atLeast"/>
              <w:rPr>
                <w:rFonts w:eastAsia="Calibri"/>
                <w:lang w:eastAsia="en-US"/>
              </w:rPr>
            </w:pPr>
            <w:r w:rsidRPr="00B65D57">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03BB6F3E" w14:textId="77777777" w:rsidR="00253791" w:rsidRPr="00B65D57" w:rsidRDefault="00253791" w:rsidP="002236D1">
            <w:pPr>
              <w:spacing w:line="260" w:lineRule="atLeast"/>
              <w:rPr>
                <w:rFonts w:eastAsia="Calibri"/>
                <w:lang w:eastAsia="en-US"/>
              </w:rPr>
            </w:pPr>
            <w:r w:rsidRPr="00B65D57">
              <w:rPr>
                <w:rFonts w:eastAsia="Calibri"/>
                <w:lang w:eastAsia="en-US"/>
              </w:rPr>
              <w:t>Jerbor is not a respiratory sensitizer.</w:t>
            </w:r>
          </w:p>
        </w:tc>
      </w:tr>
      <w:tr w:rsidR="00253791" w:rsidRPr="00B65D57" w14:paraId="16D22677"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554B8523" w14:textId="77777777" w:rsidR="00253791" w:rsidRPr="00B65D57" w:rsidRDefault="00253791" w:rsidP="002236D1">
            <w:pPr>
              <w:spacing w:line="260" w:lineRule="atLeast"/>
              <w:rPr>
                <w:rFonts w:eastAsia="Calibri"/>
                <w:lang w:eastAsia="en-US"/>
              </w:rPr>
            </w:pPr>
            <w:r w:rsidRPr="00B65D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D3F7757" w14:textId="6503B85F" w:rsidR="00253791" w:rsidRPr="00B65D57" w:rsidRDefault="00253791" w:rsidP="002236D1">
            <w:pPr>
              <w:spacing w:line="260" w:lineRule="atLeast"/>
              <w:rPr>
                <w:rFonts w:eastAsia="Calibri"/>
                <w:lang w:eastAsia="en-US"/>
              </w:rPr>
            </w:pPr>
            <w:r w:rsidRPr="00B65D57">
              <w:rPr>
                <w:rFonts w:eastAsia="Calibri"/>
                <w:lang w:eastAsia="en-US"/>
              </w:rPr>
              <w:t xml:space="preserve">Boric acid and disodium tetraborate pentahydrate have not been tested for respiratory </w:t>
            </w:r>
            <w:r w:rsidR="0052601B" w:rsidRPr="00B65D57">
              <w:rPr>
                <w:rFonts w:eastAsia="Calibri"/>
                <w:lang w:eastAsia="en-US"/>
              </w:rPr>
              <w:t>sensitization.</w:t>
            </w:r>
            <w:r w:rsidRPr="00B65D57">
              <w:rPr>
                <w:rFonts w:eastAsia="Calibri"/>
                <w:lang w:eastAsia="en-US"/>
              </w:rPr>
              <w:t xml:space="preserve"> However, since none of the substances show skin </w:t>
            </w:r>
            <w:r w:rsidR="0052601B" w:rsidRPr="00B65D57">
              <w:rPr>
                <w:rFonts w:eastAsia="Calibri"/>
                <w:lang w:eastAsia="en-US"/>
              </w:rPr>
              <w:t>sensitizing</w:t>
            </w:r>
            <w:r w:rsidRPr="00B65D57">
              <w:rPr>
                <w:rFonts w:eastAsia="Calibri"/>
                <w:lang w:eastAsia="en-US"/>
              </w:rPr>
              <w:t xml:space="preserve"> potential they are not predicted to be respiratory </w:t>
            </w:r>
            <w:r w:rsidR="0052601B" w:rsidRPr="00B65D57">
              <w:rPr>
                <w:rFonts w:eastAsia="Calibri"/>
                <w:lang w:eastAsia="en-US"/>
              </w:rPr>
              <w:t>sensitizers</w:t>
            </w:r>
            <w:r w:rsidRPr="00B65D57">
              <w:rPr>
                <w:rFonts w:eastAsia="Calibri"/>
                <w:lang w:eastAsia="en-US"/>
              </w:rPr>
              <w:t>.</w:t>
            </w:r>
            <w:r w:rsidR="0052601B" w:rsidRPr="00B65D57">
              <w:rPr>
                <w:rFonts w:eastAsia="Calibri"/>
                <w:lang w:eastAsia="en-US"/>
              </w:rPr>
              <w:t xml:space="preserve"> </w:t>
            </w:r>
            <w:r w:rsidRPr="00B65D57">
              <w:rPr>
                <w:rFonts w:eastAsia="Calibri"/>
                <w:lang w:eastAsia="en-US"/>
              </w:rPr>
              <w:t>Therefore, it can be concluded that Jerbor most likely is not a respiratory sensitizer.</w:t>
            </w:r>
          </w:p>
        </w:tc>
      </w:tr>
      <w:tr w:rsidR="00253791" w:rsidRPr="00B65D57" w14:paraId="48990C40" w14:textId="77777777" w:rsidTr="002236D1">
        <w:tc>
          <w:tcPr>
            <w:tcW w:w="1276" w:type="pct"/>
            <w:tcBorders>
              <w:top w:val="single" w:sz="6" w:space="0" w:color="auto"/>
              <w:left w:val="single" w:sz="4" w:space="0" w:color="auto"/>
              <w:bottom w:val="single" w:sz="6" w:space="0" w:color="auto"/>
              <w:right w:val="single" w:sz="6" w:space="0" w:color="auto"/>
            </w:tcBorders>
            <w:shd w:val="clear" w:color="auto" w:fill="auto"/>
          </w:tcPr>
          <w:p w14:paraId="171A5F40"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69C4E0AE"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for respiratory sensitization is not required according to</w:t>
            </w:r>
            <w:r w:rsidRPr="00B65D57">
              <w:t xml:space="preserve"> Regulation (EC) No 1272/2008 </w:t>
            </w:r>
          </w:p>
          <w:p w14:paraId="40EC6986" w14:textId="77777777" w:rsidR="00253791" w:rsidRPr="00B65D57" w:rsidRDefault="00253791" w:rsidP="002236D1">
            <w:pPr>
              <w:spacing w:line="260" w:lineRule="atLeast"/>
              <w:rPr>
                <w:rFonts w:eastAsia="Calibri"/>
                <w:lang w:eastAsia="en-US"/>
              </w:rPr>
            </w:pPr>
          </w:p>
        </w:tc>
      </w:tr>
    </w:tbl>
    <w:p w14:paraId="3277D389" w14:textId="348B9C17" w:rsidR="00253791" w:rsidRPr="00B65D57" w:rsidRDefault="00253791" w:rsidP="00253791">
      <w:pPr>
        <w:spacing w:line="260" w:lineRule="atLeast"/>
        <w:rPr>
          <w:rFonts w:eastAsia="Calibri"/>
          <w:lang w:eastAsia="en-US"/>
        </w:rPr>
      </w:pPr>
    </w:p>
    <w:p w14:paraId="6AEFF6B2" w14:textId="77777777" w:rsidR="00116374" w:rsidRPr="00B65D57" w:rsidRDefault="00116374" w:rsidP="0025379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6B1F2187"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9FAF1E8" w14:textId="77777777" w:rsidR="00253791" w:rsidRPr="00B65D57" w:rsidRDefault="00253791" w:rsidP="002236D1">
            <w:pPr>
              <w:rPr>
                <w:b/>
              </w:rPr>
            </w:pPr>
            <w:r w:rsidRPr="00B65D57">
              <w:rPr>
                <w:b/>
              </w:rPr>
              <w:t>Data waiving</w:t>
            </w:r>
          </w:p>
        </w:tc>
      </w:tr>
      <w:tr w:rsidR="00253791" w:rsidRPr="00B65D57" w14:paraId="1FE3F0FF"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2456267D" w14:textId="77777777" w:rsidR="00253791" w:rsidRPr="00B65D57" w:rsidRDefault="00253791" w:rsidP="002236D1">
            <w:r w:rsidRPr="00B65D57">
              <w:t>Information requirement</w:t>
            </w:r>
          </w:p>
        </w:tc>
        <w:tc>
          <w:tcPr>
            <w:tcW w:w="3952" w:type="pct"/>
            <w:tcBorders>
              <w:top w:val="single" w:sz="6" w:space="0" w:color="auto"/>
              <w:left w:val="single" w:sz="6" w:space="0" w:color="auto"/>
              <w:bottom w:val="single" w:sz="6" w:space="0" w:color="auto"/>
              <w:right w:val="single" w:sz="6" w:space="0" w:color="auto"/>
            </w:tcBorders>
          </w:tcPr>
          <w:p w14:paraId="180F595D" w14:textId="77777777" w:rsidR="00253791" w:rsidRPr="00B65D57" w:rsidRDefault="00253791" w:rsidP="002236D1">
            <w:r w:rsidRPr="00B65D57">
              <w:t>BPR Annex III 8.4</w:t>
            </w:r>
          </w:p>
        </w:tc>
      </w:tr>
      <w:tr w:rsidR="00253791" w:rsidRPr="00B65D57" w14:paraId="12E4093E" w14:textId="77777777" w:rsidTr="002236D1">
        <w:trPr>
          <w:trHeight w:val="1193"/>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06A1208F" w14:textId="77777777" w:rsidR="00253791" w:rsidRPr="00B65D57" w:rsidRDefault="00253791" w:rsidP="002236D1">
            <w:r w:rsidRPr="00B65D57">
              <w:t>Justification</w:t>
            </w:r>
          </w:p>
        </w:tc>
        <w:tc>
          <w:tcPr>
            <w:tcW w:w="3952" w:type="pct"/>
            <w:tcBorders>
              <w:top w:val="single" w:sz="6" w:space="0" w:color="auto"/>
              <w:left w:val="single" w:sz="6" w:space="0" w:color="auto"/>
              <w:bottom w:val="single" w:sz="6" w:space="0" w:color="auto"/>
              <w:right w:val="single" w:sz="6" w:space="0" w:color="auto"/>
            </w:tcBorders>
          </w:tcPr>
          <w:p w14:paraId="6E6AD115" w14:textId="77777777" w:rsidR="00253791" w:rsidRPr="00B65D57" w:rsidRDefault="00253791" w:rsidP="002236D1">
            <w:r w:rsidRPr="00B65D57">
              <w:t xml:space="preserve">Testing of the product Jerbor has not been performed as there are valid data available on each of the components in the mixture sufficient to allow classification according to Regulation (EC) No 1272/2008. </w:t>
            </w:r>
          </w:p>
        </w:tc>
      </w:tr>
    </w:tbl>
    <w:p w14:paraId="514357AE" w14:textId="5A60E7F0" w:rsidR="00253791" w:rsidRPr="00B65D57" w:rsidRDefault="00253791" w:rsidP="00253791">
      <w:pPr>
        <w:spacing w:line="260" w:lineRule="atLeast"/>
        <w:rPr>
          <w:rFonts w:eastAsia="Calibri"/>
          <w:lang w:eastAsia="en-US"/>
        </w:rPr>
      </w:pPr>
    </w:p>
    <w:p w14:paraId="52AEBFFF" w14:textId="77777777" w:rsidR="00116374" w:rsidRPr="00B65D57" w:rsidRDefault="00116374" w:rsidP="00253791">
      <w:pPr>
        <w:spacing w:line="260" w:lineRule="atLeast"/>
        <w:rPr>
          <w:rFonts w:eastAsia="Calibri"/>
          <w:lang w:eastAsia="en-US"/>
        </w:rPr>
      </w:pPr>
    </w:p>
    <w:p w14:paraId="1F8784FB" w14:textId="035BBFD3"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2.2.6.1.7 </w:t>
      </w:r>
      <w:r w:rsidR="00253791" w:rsidRPr="00B65D57">
        <w:rPr>
          <w:rFonts w:eastAsia="Calibri"/>
          <w:lang w:val="en-GB" w:eastAsia="en-US"/>
        </w:rPr>
        <w:t>Acute toxicity</w:t>
      </w:r>
    </w:p>
    <w:p w14:paraId="2D0551B3" w14:textId="77777777" w:rsidR="00253791" w:rsidRPr="00B65D57" w:rsidRDefault="00253791" w:rsidP="00253791">
      <w:pPr>
        <w:rPr>
          <w:rFonts w:eastAsia="Calibri"/>
          <w:i/>
          <w:sz w:val="22"/>
          <w:szCs w:val="22"/>
          <w:u w:val="single"/>
          <w:lang w:eastAsia="en-US"/>
        </w:rPr>
      </w:pPr>
      <w:r w:rsidRPr="00B65D57">
        <w:rPr>
          <w:rFonts w:eastAsia="Calibri"/>
          <w:i/>
          <w:sz w:val="22"/>
          <w:szCs w:val="22"/>
          <w:u w:val="single"/>
          <w:lang w:eastAsia="en-US"/>
        </w:rPr>
        <w:t>Acute toxicity by oral route</w:t>
      </w:r>
    </w:p>
    <w:p w14:paraId="401C0290" w14:textId="77777777" w:rsidR="00253791" w:rsidRPr="00B65D57" w:rsidRDefault="00253791" w:rsidP="00253791">
      <w:pPr>
        <w:spacing w:line="260" w:lineRule="atLeast"/>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253791" w:rsidRPr="00B65D57" w14:paraId="16151E2F"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D9B338B" w14:textId="77777777" w:rsidR="00253791" w:rsidRPr="00B65D57" w:rsidRDefault="00253791" w:rsidP="002236D1">
            <w:pPr>
              <w:spacing w:line="260" w:lineRule="atLeast"/>
              <w:rPr>
                <w:rFonts w:eastAsia="Calibri"/>
                <w:b/>
                <w:bCs/>
                <w:lang w:eastAsia="en-US"/>
              </w:rPr>
            </w:pPr>
            <w:r w:rsidRPr="00B65D57">
              <w:rPr>
                <w:rFonts w:eastAsia="Calibri"/>
                <w:b/>
                <w:bCs/>
                <w:lang w:eastAsia="en-US"/>
              </w:rPr>
              <w:t>Value used in the Risk Assessment – Acute oral toxicity</w:t>
            </w:r>
          </w:p>
        </w:tc>
      </w:tr>
      <w:tr w:rsidR="00253791" w:rsidRPr="00B65D57" w14:paraId="5907A7A0" w14:textId="77777777" w:rsidTr="002236D1">
        <w:tc>
          <w:tcPr>
            <w:tcW w:w="1061" w:type="pct"/>
            <w:tcBorders>
              <w:top w:val="single" w:sz="6" w:space="0" w:color="auto"/>
              <w:left w:val="single" w:sz="4" w:space="0" w:color="auto"/>
              <w:bottom w:val="single" w:sz="6" w:space="0" w:color="auto"/>
              <w:right w:val="single" w:sz="6" w:space="0" w:color="auto"/>
            </w:tcBorders>
            <w:shd w:val="clear" w:color="auto" w:fill="auto"/>
          </w:tcPr>
          <w:p w14:paraId="4333BDE0" w14:textId="77777777" w:rsidR="00253791" w:rsidRPr="00B65D57" w:rsidRDefault="00253791" w:rsidP="002236D1">
            <w:pPr>
              <w:spacing w:line="260" w:lineRule="atLeast"/>
              <w:rPr>
                <w:rFonts w:eastAsia="Calibri"/>
                <w:lang w:eastAsia="en-US"/>
              </w:rPr>
            </w:pPr>
            <w:r w:rsidRPr="00B65D57">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33081B2F" w14:textId="77777777" w:rsidR="00253791" w:rsidRPr="00B65D57" w:rsidRDefault="00253791" w:rsidP="002236D1">
            <w:pPr>
              <w:spacing w:line="260" w:lineRule="atLeast"/>
              <w:rPr>
                <w:rFonts w:eastAsia="Calibri"/>
                <w:lang w:eastAsia="en-US"/>
              </w:rPr>
            </w:pPr>
            <w:r w:rsidRPr="00B65D57">
              <w:rPr>
                <w:rFonts w:eastAsia="Calibri"/>
                <w:lang w:eastAsia="en-US"/>
              </w:rPr>
              <w:t>Jebor is not acutely toxic via the oral route.</w:t>
            </w:r>
          </w:p>
        </w:tc>
      </w:tr>
      <w:tr w:rsidR="00253791" w:rsidRPr="00B65D57" w14:paraId="0C375E3A" w14:textId="77777777" w:rsidTr="002236D1">
        <w:tc>
          <w:tcPr>
            <w:tcW w:w="1061" w:type="pct"/>
            <w:tcBorders>
              <w:top w:val="single" w:sz="6" w:space="0" w:color="auto"/>
              <w:left w:val="single" w:sz="4" w:space="0" w:color="auto"/>
              <w:bottom w:val="single" w:sz="6" w:space="0" w:color="auto"/>
              <w:right w:val="single" w:sz="6" w:space="0" w:color="auto"/>
            </w:tcBorders>
            <w:shd w:val="clear" w:color="auto" w:fill="auto"/>
          </w:tcPr>
          <w:p w14:paraId="15B67EE4" w14:textId="77777777" w:rsidR="00253791" w:rsidRPr="00B65D57" w:rsidRDefault="00253791" w:rsidP="002236D1">
            <w:pPr>
              <w:spacing w:line="260" w:lineRule="atLeast"/>
              <w:rPr>
                <w:rFonts w:eastAsia="Calibri"/>
                <w:lang w:eastAsia="en-US"/>
              </w:rPr>
            </w:pPr>
            <w:r w:rsidRPr="00B65D57">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152EBB89" w14:textId="77777777" w:rsidR="00253791" w:rsidRPr="00B65D57" w:rsidRDefault="00253791" w:rsidP="002236D1">
            <w:pPr>
              <w:spacing w:line="260" w:lineRule="atLeast"/>
              <w:rPr>
                <w:rFonts w:cs="TimesNewRoman"/>
                <w:lang w:eastAsia="sv-SE"/>
              </w:rPr>
            </w:pPr>
            <w:r w:rsidRPr="00B65D57">
              <w:rPr>
                <w:rFonts w:eastAsia="Calibri"/>
                <w:lang w:eastAsia="en-US"/>
              </w:rPr>
              <w:t xml:space="preserve">Boric acid and other borates are of low acute oral toxicity: LD50 oral rat &gt;2000 mg/kg bw </w:t>
            </w:r>
            <w:r w:rsidRPr="00B65D57">
              <w:rPr>
                <w:rFonts w:cs="TimesNewRoman"/>
                <w:lang w:eastAsia="sv-SE"/>
              </w:rPr>
              <w:t xml:space="preserve">(Assessment Reports (CAR) for Boric acid and Disodium tetraborate, 2009). </w:t>
            </w:r>
          </w:p>
          <w:p w14:paraId="3CDD2DEB" w14:textId="77777777" w:rsidR="00253791" w:rsidRPr="00B65D57" w:rsidRDefault="00253791" w:rsidP="002236D1">
            <w:pPr>
              <w:spacing w:line="260" w:lineRule="atLeast"/>
              <w:rPr>
                <w:rFonts w:eastAsia="Calibri"/>
                <w:lang w:eastAsia="en-US"/>
              </w:rPr>
            </w:pPr>
          </w:p>
        </w:tc>
      </w:tr>
      <w:tr w:rsidR="00253791" w:rsidRPr="00B65D57" w14:paraId="610C5E36" w14:textId="77777777" w:rsidTr="002236D1">
        <w:tc>
          <w:tcPr>
            <w:tcW w:w="1061" w:type="pct"/>
            <w:tcBorders>
              <w:top w:val="single" w:sz="6" w:space="0" w:color="auto"/>
              <w:left w:val="single" w:sz="4" w:space="0" w:color="auto"/>
              <w:bottom w:val="single" w:sz="6" w:space="0" w:color="auto"/>
              <w:right w:val="single" w:sz="6" w:space="0" w:color="auto"/>
            </w:tcBorders>
            <w:shd w:val="clear" w:color="auto" w:fill="auto"/>
          </w:tcPr>
          <w:p w14:paraId="43267FFB"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of the product according to CLP and DSD</w:t>
            </w:r>
          </w:p>
        </w:tc>
        <w:tc>
          <w:tcPr>
            <w:tcW w:w="3939" w:type="pct"/>
            <w:tcBorders>
              <w:top w:val="single" w:sz="6" w:space="0" w:color="auto"/>
              <w:left w:val="single" w:sz="6" w:space="0" w:color="auto"/>
              <w:bottom w:val="single" w:sz="6" w:space="0" w:color="auto"/>
              <w:right w:val="single" w:sz="6" w:space="0" w:color="auto"/>
            </w:tcBorders>
          </w:tcPr>
          <w:p w14:paraId="3708A0C4"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for acute oral toxicity is not required according to</w:t>
            </w:r>
            <w:r w:rsidRPr="00B65D57">
              <w:t xml:space="preserve"> Regulation (EC) No 1272/2008 </w:t>
            </w:r>
          </w:p>
        </w:tc>
      </w:tr>
    </w:tbl>
    <w:p w14:paraId="328723BF" w14:textId="12D7EA6D" w:rsidR="00253791" w:rsidRPr="00B65D57" w:rsidRDefault="00253791" w:rsidP="00253791">
      <w:pPr>
        <w:spacing w:line="260" w:lineRule="atLeast"/>
        <w:rPr>
          <w:rFonts w:eastAsia="Calibri"/>
          <w:lang w:eastAsia="en-US"/>
        </w:rPr>
      </w:pPr>
    </w:p>
    <w:p w14:paraId="00491079" w14:textId="77777777" w:rsidR="00116374" w:rsidRPr="00B65D57" w:rsidRDefault="00116374" w:rsidP="0025379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2C9E2ECF"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5731FF8" w14:textId="77777777" w:rsidR="00253791" w:rsidRPr="00B65D57" w:rsidRDefault="00253791" w:rsidP="002236D1">
            <w:pPr>
              <w:rPr>
                <w:b/>
              </w:rPr>
            </w:pPr>
            <w:r w:rsidRPr="00B65D57">
              <w:rPr>
                <w:b/>
              </w:rPr>
              <w:t>Data waiving</w:t>
            </w:r>
          </w:p>
        </w:tc>
      </w:tr>
      <w:tr w:rsidR="00253791" w:rsidRPr="00B65D57" w14:paraId="61AF74FA"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4B767A23" w14:textId="77777777" w:rsidR="00253791" w:rsidRPr="00B65D57" w:rsidRDefault="00253791" w:rsidP="002236D1">
            <w:r w:rsidRPr="00B65D57">
              <w:t>Information requirement</w:t>
            </w:r>
          </w:p>
        </w:tc>
        <w:tc>
          <w:tcPr>
            <w:tcW w:w="3952" w:type="pct"/>
            <w:tcBorders>
              <w:top w:val="single" w:sz="6" w:space="0" w:color="auto"/>
              <w:left w:val="single" w:sz="6" w:space="0" w:color="auto"/>
              <w:bottom w:val="single" w:sz="6" w:space="0" w:color="auto"/>
              <w:right w:val="single" w:sz="6" w:space="0" w:color="auto"/>
            </w:tcBorders>
          </w:tcPr>
          <w:p w14:paraId="1B3880BC" w14:textId="77777777" w:rsidR="00253791" w:rsidRPr="00B65D57" w:rsidRDefault="00253791" w:rsidP="002236D1">
            <w:r w:rsidRPr="00B65D57">
              <w:t>BPR Annex III 8.5.1</w:t>
            </w:r>
          </w:p>
        </w:tc>
      </w:tr>
      <w:tr w:rsidR="00253791" w:rsidRPr="00B65D57" w14:paraId="1EFB73DA" w14:textId="77777777" w:rsidTr="002236D1">
        <w:trPr>
          <w:trHeight w:val="1193"/>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23277C01" w14:textId="77777777" w:rsidR="00253791" w:rsidRPr="00B65D57" w:rsidRDefault="00253791" w:rsidP="002236D1">
            <w:r w:rsidRPr="00B65D57">
              <w:lastRenderedPageBreak/>
              <w:t>Justification</w:t>
            </w:r>
          </w:p>
        </w:tc>
        <w:tc>
          <w:tcPr>
            <w:tcW w:w="3952" w:type="pct"/>
            <w:tcBorders>
              <w:top w:val="single" w:sz="6" w:space="0" w:color="auto"/>
              <w:left w:val="single" w:sz="6" w:space="0" w:color="auto"/>
              <w:bottom w:val="single" w:sz="6" w:space="0" w:color="auto"/>
              <w:right w:val="single" w:sz="6" w:space="0" w:color="auto"/>
            </w:tcBorders>
          </w:tcPr>
          <w:p w14:paraId="3CCCFC65" w14:textId="77777777" w:rsidR="00253791" w:rsidRPr="00B65D57" w:rsidRDefault="00253791" w:rsidP="002236D1">
            <w:r w:rsidRPr="00B65D57">
              <w:t xml:space="preserve">Testing of the product Jerbor has not been performed as there are valid data available on each of the components in the mixture sufficient to allow classification according to Regulation (EC) No 1272/2008. </w:t>
            </w:r>
          </w:p>
        </w:tc>
      </w:tr>
    </w:tbl>
    <w:p w14:paraId="2F983EC6" w14:textId="170F270F" w:rsidR="00253791" w:rsidRPr="00B65D57" w:rsidRDefault="00253791" w:rsidP="00253791">
      <w:pPr>
        <w:spacing w:line="260" w:lineRule="atLeast"/>
        <w:rPr>
          <w:rFonts w:eastAsia="Calibri"/>
          <w:lang w:eastAsia="en-US"/>
        </w:rPr>
      </w:pPr>
    </w:p>
    <w:p w14:paraId="3B5A1A54" w14:textId="0AB0E4FB" w:rsidR="00116374" w:rsidRPr="00B65D57" w:rsidRDefault="00116374" w:rsidP="00253791">
      <w:pPr>
        <w:spacing w:line="260" w:lineRule="atLeast"/>
        <w:rPr>
          <w:rFonts w:eastAsia="Calibri"/>
          <w:lang w:eastAsia="en-US"/>
        </w:rPr>
      </w:pPr>
    </w:p>
    <w:p w14:paraId="3F4D2A34" w14:textId="77777777" w:rsidR="00116374" w:rsidRPr="00B65D57" w:rsidRDefault="00116374" w:rsidP="00253791">
      <w:pPr>
        <w:spacing w:line="260" w:lineRule="atLeast"/>
        <w:rPr>
          <w:rFonts w:eastAsia="Calibri"/>
          <w:lang w:eastAsia="en-US"/>
        </w:rPr>
      </w:pPr>
    </w:p>
    <w:p w14:paraId="7EACFDD4" w14:textId="77777777" w:rsidR="00253791" w:rsidRPr="00B65D57" w:rsidRDefault="00253791" w:rsidP="00253791">
      <w:pPr>
        <w:rPr>
          <w:rFonts w:eastAsia="Calibri"/>
          <w:i/>
          <w:sz w:val="22"/>
          <w:szCs w:val="22"/>
          <w:u w:val="single"/>
          <w:lang w:eastAsia="en-US"/>
        </w:rPr>
      </w:pPr>
      <w:r w:rsidRPr="00B65D57">
        <w:rPr>
          <w:rFonts w:eastAsia="Calibri"/>
          <w:i/>
          <w:sz w:val="22"/>
          <w:szCs w:val="22"/>
          <w:u w:val="single"/>
          <w:lang w:eastAsia="en-US"/>
        </w:rPr>
        <w:t>Acute toxicity by inhalation</w:t>
      </w:r>
    </w:p>
    <w:p w14:paraId="4D92AE4B" w14:textId="77777777" w:rsidR="00253791" w:rsidRPr="00B65D57" w:rsidRDefault="00253791" w:rsidP="0025379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0AAD18BD"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F354BE4" w14:textId="77777777" w:rsidR="00253791" w:rsidRPr="00B65D57" w:rsidRDefault="00253791" w:rsidP="002236D1">
            <w:pPr>
              <w:spacing w:line="260" w:lineRule="atLeast"/>
              <w:rPr>
                <w:rFonts w:eastAsia="Calibri"/>
                <w:b/>
                <w:bCs/>
                <w:lang w:eastAsia="en-US"/>
              </w:rPr>
            </w:pPr>
            <w:r w:rsidRPr="00B65D57">
              <w:rPr>
                <w:rFonts w:eastAsia="Calibri"/>
                <w:b/>
                <w:bCs/>
                <w:lang w:eastAsia="en-US"/>
              </w:rPr>
              <w:t>Value used in the Risk Assessment – Acute inhalation toxicity</w:t>
            </w:r>
          </w:p>
        </w:tc>
      </w:tr>
      <w:tr w:rsidR="00253791" w:rsidRPr="00B65D57" w14:paraId="508EA1C1"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2D9AB2E6" w14:textId="77777777" w:rsidR="00253791" w:rsidRPr="00B65D57" w:rsidRDefault="00253791" w:rsidP="002236D1">
            <w:pPr>
              <w:spacing w:line="260" w:lineRule="atLeast"/>
              <w:rPr>
                <w:rFonts w:eastAsia="Calibri"/>
                <w:lang w:eastAsia="en-US"/>
              </w:rPr>
            </w:pPr>
            <w:r w:rsidRPr="00B65D57">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22CDE9CA" w14:textId="77777777" w:rsidR="00253791" w:rsidRPr="00B65D57" w:rsidRDefault="00253791" w:rsidP="002236D1">
            <w:pPr>
              <w:spacing w:line="260" w:lineRule="atLeast"/>
              <w:rPr>
                <w:rFonts w:eastAsia="Calibri"/>
                <w:lang w:eastAsia="en-US"/>
              </w:rPr>
            </w:pPr>
            <w:r w:rsidRPr="00B65D57">
              <w:rPr>
                <w:rFonts w:eastAsia="Calibri"/>
                <w:lang w:eastAsia="en-US"/>
              </w:rPr>
              <w:t>Jebor is not acutely toxic via inhalation.</w:t>
            </w:r>
          </w:p>
        </w:tc>
      </w:tr>
      <w:tr w:rsidR="00253791" w:rsidRPr="00B65D57" w14:paraId="6C1E7B70"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0AE04BDF" w14:textId="77777777" w:rsidR="00253791" w:rsidRPr="00B65D57" w:rsidRDefault="00253791" w:rsidP="002236D1">
            <w:pPr>
              <w:spacing w:line="260" w:lineRule="atLeast"/>
              <w:rPr>
                <w:rFonts w:eastAsia="Calibri"/>
                <w:lang w:eastAsia="en-US"/>
              </w:rPr>
            </w:pPr>
            <w:r w:rsidRPr="00B65D57">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59CB6CEC" w14:textId="77777777" w:rsidR="00253791" w:rsidRPr="00B65D57" w:rsidRDefault="00253791" w:rsidP="002236D1">
            <w:pPr>
              <w:spacing w:line="260" w:lineRule="atLeast"/>
              <w:rPr>
                <w:rFonts w:eastAsia="Calibri"/>
                <w:lang w:eastAsia="en-US"/>
              </w:rPr>
            </w:pPr>
            <w:r w:rsidRPr="00B65D57">
              <w:rPr>
                <w:rFonts w:eastAsia="Calibri"/>
                <w:lang w:eastAsia="en-US"/>
              </w:rPr>
              <w:t xml:space="preserve">Boric acid and other borates are of low acute toxicity by inhalation: LC50 inhalation rat &gt;2 mg/l (highest attainable concentration) </w:t>
            </w:r>
            <w:r w:rsidRPr="00B65D57">
              <w:rPr>
                <w:rFonts w:cs="TimesNewRoman"/>
                <w:lang w:eastAsia="sv-SE"/>
              </w:rPr>
              <w:t>(Assessment Reports (CAR) for Boric acid and Disodium tetraborate, 2009).</w:t>
            </w:r>
          </w:p>
        </w:tc>
      </w:tr>
      <w:tr w:rsidR="00253791" w:rsidRPr="00B65D57" w14:paraId="3D891AA2"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6872727E"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099F40E4"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for acute toxicity by inhalation is not required according to</w:t>
            </w:r>
            <w:r w:rsidRPr="00B65D57">
              <w:t xml:space="preserve"> Regulation (EC) No 1272/2008 </w:t>
            </w:r>
          </w:p>
        </w:tc>
      </w:tr>
    </w:tbl>
    <w:p w14:paraId="4FCF8E58" w14:textId="0E58EF80" w:rsidR="00253791" w:rsidRPr="00B65D57" w:rsidRDefault="00253791" w:rsidP="00253791">
      <w:pPr>
        <w:spacing w:line="260" w:lineRule="atLeast"/>
        <w:rPr>
          <w:rFonts w:eastAsia="Calibri"/>
          <w:lang w:eastAsia="en-US"/>
        </w:rPr>
      </w:pPr>
    </w:p>
    <w:p w14:paraId="04E8B67A" w14:textId="77777777" w:rsidR="00116374" w:rsidRPr="00B65D57" w:rsidRDefault="00116374" w:rsidP="0025379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2A366931"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894A979" w14:textId="77777777" w:rsidR="00253791" w:rsidRPr="00B65D57" w:rsidRDefault="00253791" w:rsidP="002236D1">
            <w:pPr>
              <w:rPr>
                <w:b/>
              </w:rPr>
            </w:pPr>
            <w:r w:rsidRPr="00B65D57">
              <w:rPr>
                <w:b/>
              </w:rPr>
              <w:t>Data waiving</w:t>
            </w:r>
          </w:p>
        </w:tc>
      </w:tr>
      <w:tr w:rsidR="00253791" w:rsidRPr="00B65D57" w14:paraId="6E63964B"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046E354D" w14:textId="77777777" w:rsidR="00253791" w:rsidRPr="00B65D57" w:rsidRDefault="00253791" w:rsidP="002236D1">
            <w:r w:rsidRPr="00B65D57">
              <w:t>Information requirement</w:t>
            </w:r>
          </w:p>
        </w:tc>
        <w:tc>
          <w:tcPr>
            <w:tcW w:w="3952" w:type="pct"/>
            <w:tcBorders>
              <w:top w:val="single" w:sz="6" w:space="0" w:color="auto"/>
              <w:left w:val="single" w:sz="6" w:space="0" w:color="auto"/>
              <w:bottom w:val="single" w:sz="6" w:space="0" w:color="auto"/>
              <w:right w:val="single" w:sz="6" w:space="0" w:color="auto"/>
            </w:tcBorders>
          </w:tcPr>
          <w:p w14:paraId="12FF7CCE" w14:textId="77777777" w:rsidR="00253791" w:rsidRPr="00B65D57" w:rsidRDefault="00253791" w:rsidP="002236D1">
            <w:r w:rsidRPr="00B65D57">
              <w:t>BPR Annex III 8.5.2</w:t>
            </w:r>
          </w:p>
        </w:tc>
      </w:tr>
      <w:tr w:rsidR="00253791" w:rsidRPr="00B65D57" w14:paraId="2CDB2D6A" w14:textId="77777777" w:rsidTr="002236D1">
        <w:trPr>
          <w:trHeight w:val="1193"/>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7D89A292" w14:textId="77777777" w:rsidR="00253791" w:rsidRPr="00B65D57" w:rsidRDefault="00253791" w:rsidP="002236D1">
            <w:r w:rsidRPr="00B65D57">
              <w:t>Justification</w:t>
            </w:r>
          </w:p>
        </w:tc>
        <w:tc>
          <w:tcPr>
            <w:tcW w:w="3952" w:type="pct"/>
            <w:tcBorders>
              <w:top w:val="single" w:sz="6" w:space="0" w:color="auto"/>
              <w:left w:val="single" w:sz="6" w:space="0" w:color="auto"/>
              <w:bottom w:val="single" w:sz="6" w:space="0" w:color="auto"/>
              <w:right w:val="single" w:sz="6" w:space="0" w:color="auto"/>
            </w:tcBorders>
          </w:tcPr>
          <w:p w14:paraId="242EA776" w14:textId="77777777" w:rsidR="00253791" w:rsidRPr="00B65D57" w:rsidRDefault="00253791" w:rsidP="002236D1">
            <w:r w:rsidRPr="00B65D57">
              <w:t xml:space="preserve">Testing of the product Jerbor has not been performed as there are valid data available on each of the components in the mixture sufficient to allow classification according to Regulation (EC) No 1272/2008. </w:t>
            </w:r>
          </w:p>
        </w:tc>
      </w:tr>
    </w:tbl>
    <w:p w14:paraId="6F6A0349" w14:textId="77777777" w:rsidR="00253791" w:rsidRPr="00B65D57" w:rsidRDefault="00253791" w:rsidP="00253791">
      <w:pPr>
        <w:spacing w:line="260" w:lineRule="atLeast"/>
        <w:rPr>
          <w:rFonts w:eastAsia="Calibri"/>
          <w:lang w:eastAsia="en-US"/>
        </w:rPr>
      </w:pPr>
    </w:p>
    <w:p w14:paraId="510D082C" w14:textId="77777777" w:rsidR="00253791" w:rsidRPr="00B65D57" w:rsidRDefault="00253791" w:rsidP="00253791">
      <w:pPr>
        <w:rPr>
          <w:rFonts w:eastAsia="Calibri"/>
          <w:i/>
          <w:sz w:val="22"/>
          <w:szCs w:val="22"/>
          <w:u w:val="single"/>
          <w:lang w:eastAsia="en-US"/>
        </w:rPr>
      </w:pPr>
      <w:r w:rsidRPr="00B65D57">
        <w:rPr>
          <w:rFonts w:eastAsia="Calibri"/>
          <w:i/>
          <w:sz w:val="22"/>
          <w:szCs w:val="22"/>
          <w:u w:val="single"/>
          <w:lang w:eastAsia="en-US"/>
        </w:rPr>
        <w:t>Acute toxicity by dermal route</w:t>
      </w:r>
    </w:p>
    <w:p w14:paraId="7BFF552D" w14:textId="77777777" w:rsidR="00253791" w:rsidRPr="00B65D57" w:rsidRDefault="00253791" w:rsidP="0025379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25023553"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D738D59" w14:textId="77777777" w:rsidR="00253791" w:rsidRPr="00B65D57" w:rsidRDefault="00253791" w:rsidP="002236D1">
            <w:pPr>
              <w:spacing w:line="260" w:lineRule="atLeast"/>
              <w:rPr>
                <w:rFonts w:eastAsia="Calibri"/>
                <w:b/>
                <w:bCs/>
                <w:lang w:eastAsia="en-US"/>
              </w:rPr>
            </w:pPr>
            <w:r w:rsidRPr="00B65D57">
              <w:rPr>
                <w:rFonts w:eastAsia="Calibri"/>
                <w:b/>
                <w:bCs/>
                <w:lang w:eastAsia="en-US"/>
              </w:rPr>
              <w:t>Value used in the Risk Assessment – Acute dermal toxicity</w:t>
            </w:r>
          </w:p>
        </w:tc>
      </w:tr>
      <w:tr w:rsidR="00253791" w:rsidRPr="00B65D57" w14:paraId="465EDD25"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60C46826" w14:textId="77777777" w:rsidR="00253791" w:rsidRPr="00B65D57" w:rsidRDefault="00253791" w:rsidP="002236D1">
            <w:pPr>
              <w:spacing w:line="260" w:lineRule="atLeast"/>
              <w:rPr>
                <w:rFonts w:eastAsia="Calibri"/>
                <w:lang w:eastAsia="en-US"/>
              </w:rPr>
            </w:pPr>
            <w:r w:rsidRPr="00B65D57">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69DC6014" w14:textId="77777777" w:rsidR="00253791" w:rsidRPr="00B65D57" w:rsidRDefault="00253791" w:rsidP="002236D1">
            <w:pPr>
              <w:spacing w:line="260" w:lineRule="atLeast"/>
              <w:rPr>
                <w:rFonts w:eastAsia="Calibri"/>
                <w:lang w:eastAsia="en-US"/>
              </w:rPr>
            </w:pPr>
            <w:r w:rsidRPr="00B65D57">
              <w:rPr>
                <w:rFonts w:eastAsia="Calibri"/>
                <w:lang w:eastAsia="en-US"/>
              </w:rPr>
              <w:t xml:space="preserve">Jebor is not acutely toxic via the dermal route. </w:t>
            </w:r>
          </w:p>
        </w:tc>
      </w:tr>
      <w:tr w:rsidR="00253791" w:rsidRPr="00B65D57" w14:paraId="3E47A2A9"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4056B446" w14:textId="77777777" w:rsidR="00253791" w:rsidRPr="00B65D57" w:rsidRDefault="00253791" w:rsidP="002236D1">
            <w:pPr>
              <w:spacing w:line="260" w:lineRule="atLeast"/>
              <w:rPr>
                <w:rFonts w:eastAsia="Calibri"/>
                <w:lang w:eastAsia="en-US"/>
              </w:rPr>
            </w:pPr>
            <w:r w:rsidRPr="00B65D57">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594EC77B" w14:textId="77777777" w:rsidR="00253791" w:rsidRPr="00B65D57" w:rsidRDefault="00253791" w:rsidP="002236D1">
            <w:pPr>
              <w:spacing w:line="260" w:lineRule="atLeast"/>
              <w:rPr>
                <w:rFonts w:eastAsia="Calibri"/>
                <w:lang w:eastAsia="en-US"/>
              </w:rPr>
            </w:pPr>
            <w:r w:rsidRPr="00B65D57">
              <w:rPr>
                <w:rFonts w:eastAsia="Calibri"/>
                <w:lang w:eastAsia="en-US"/>
              </w:rPr>
              <w:t xml:space="preserve">Boric acid and other borates are of low acute toxicity by the dermal route: LD50 dermal rat &gt;2000 mg/kg bw </w:t>
            </w:r>
            <w:r w:rsidRPr="00B65D57">
              <w:rPr>
                <w:rFonts w:cs="TimesNewRoman"/>
                <w:lang w:eastAsia="sv-SE"/>
              </w:rPr>
              <w:t>(Assessment Reports (CAR) for Boric acid and Disodium tetraborate, 2009).</w:t>
            </w:r>
          </w:p>
        </w:tc>
      </w:tr>
      <w:tr w:rsidR="00253791" w:rsidRPr="00B65D57" w14:paraId="727D162C"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5D37F33A"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467ADD00" w14:textId="77777777" w:rsidR="00253791" w:rsidRPr="00B65D57" w:rsidRDefault="00253791" w:rsidP="002236D1">
            <w:pPr>
              <w:spacing w:line="260" w:lineRule="atLeast"/>
              <w:rPr>
                <w:rFonts w:eastAsia="Calibri"/>
                <w:lang w:eastAsia="en-US"/>
              </w:rPr>
            </w:pPr>
            <w:r w:rsidRPr="00B65D57">
              <w:rPr>
                <w:rFonts w:eastAsia="Calibri"/>
                <w:lang w:eastAsia="en-US"/>
              </w:rPr>
              <w:t>Classification for acute dermal toxicity is not required according to</w:t>
            </w:r>
            <w:r w:rsidRPr="00B65D57">
              <w:t xml:space="preserve"> Regulation (EC) No 1272/2008 </w:t>
            </w:r>
          </w:p>
        </w:tc>
      </w:tr>
    </w:tbl>
    <w:p w14:paraId="73ADCF66" w14:textId="77777777" w:rsidR="00253791" w:rsidRPr="00B65D57" w:rsidRDefault="00253791" w:rsidP="00253791">
      <w:pPr>
        <w:rPr>
          <w:rFonts w:eastAsia="Calibri"/>
          <w:lang w:eastAsia="en-US"/>
        </w:rPr>
      </w:pPr>
    </w:p>
    <w:p w14:paraId="6DFA7DC1" w14:textId="77777777" w:rsidR="00253791" w:rsidRPr="00B65D57" w:rsidRDefault="00253791" w:rsidP="00253791">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53791" w:rsidRPr="00B65D57" w14:paraId="3D6D94E1" w14:textId="77777777" w:rsidTr="002236D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DB75611" w14:textId="77777777" w:rsidR="00253791" w:rsidRPr="00B65D57" w:rsidRDefault="00253791" w:rsidP="002236D1">
            <w:pPr>
              <w:rPr>
                <w:b/>
              </w:rPr>
            </w:pPr>
            <w:r w:rsidRPr="00B65D57">
              <w:rPr>
                <w:b/>
              </w:rPr>
              <w:t>Data waiving</w:t>
            </w:r>
          </w:p>
        </w:tc>
      </w:tr>
      <w:tr w:rsidR="00253791" w:rsidRPr="00B65D57" w14:paraId="768946B7" w14:textId="77777777" w:rsidTr="002236D1">
        <w:tc>
          <w:tcPr>
            <w:tcW w:w="1048" w:type="pct"/>
            <w:tcBorders>
              <w:top w:val="single" w:sz="6" w:space="0" w:color="auto"/>
              <w:left w:val="single" w:sz="4" w:space="0" w:color="auto"/>
              <w:bottom w:val="single" w:sz="6" w:space="0" w:color="auto"/>
              <w:right w:val="single" w:sz="6" w:space="0" w:color="auto"/>
            </w:tcBorders>
            <w:shd w:val="clear" w:color="auto" w:fill="auto"/>
          </w:tcPr>
          <w:p w14:paraId="2FF55940" w14:textId="77777777" w:rsidR="00253791" w:rsidRPr="00B65D57" w:rsidRDefault="00253791" w:rsidP="002236D1">
            <w:r w:rsidRPr="00B65D57">
              <w:t>Information requirement</w:t>
            </w:r>
          </w:p>
        </w:tc>
        <w:tc>
          <w:tcPr>
            <w:tcW w:w="3952" w:type="pct"/>
            <w:tcBorders>
              <w:top w:val="single" w:sz="6" w:space="0" w:color="auto"/>
              <w:left w:val="single" w:sz="6" w:space="0" w:color="auto"/>
              <w:bottom w:val="single" w:sz="6" w:space="0" w:color="auto"/>
              <w:right w:val="single" w:sz="6" w:space="0" w:color="auto"/>
            </w:tcBorders>
          </w:tcPr>
          <w:p w14:paraId="726DBA19" w14:textId="77777777" w:rsidR="00253791" w:rsidRPr="00B65D57" w:rsidRDefault="00253791" w:rsidP="002236D1">
            <w:r w:rsidRPr="00B65D57">
              <w:t>BPR Annex III 8.5.3</w:t>
            </w:r>
          </w:p>
        </w:tc>
      </w:tr>
      <w:tr w:rsidR="00253791" w:rsidRPr="00B65D57" w14:paraId="650F6116" w14:textId="77777777" w:rsidTr="002236D1">
        <w:trPr>
          <w:trHeight w:val="1193"/>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0B6AE194" w14:textId="77777777" w:rsidR="00253791" w:rsidRPr="00B65D57" w:rsidRDefault="00253791" w:rsidP="002236D1">
            <w:r w:rsidRPr="00B65D57">
              <w:lastRenderedPageBreak/>
              <w:t>Justification</w:t>
            </w:r>
          </w:p>
        </w:tc>
        <w:tc>
          <w:tcPr>
            <w:tcW w:w="3952" w:type="pct"/>
            <w:tcBorders>
              <w:top w:val="single" w:sz="6" w:space="0" w:color="auto"/>
              <w:left w:val="single" w:sz="6" w:space="0" w:color="auto"/>
              <w:bottom w:val="single" w:sz="6" w:space="0" w:color="auto"/>
              <w:right w:val="single" w:sz="6" w:space="0" w:color="auto"/>
            </w:tcBorders>
          </w:tcPr>
          <w:p w14:paraId="1E5CB16D" w14:textId="77777777" w:rsidR="00253791" w:rsidRPr="00B65D57" w:rsidRDefault="00253791" w:rsidP="002236D1">
            <w:r w:rsidRPr="00B65D57">
              <w:t xml:space="preserve">Testing of the product Jerbor has not been performed as there are valid data available on each of the components in the mixture sufficient to allow classification according to Regulation (EC) No 1272/2008. </w:t>
            </w:r>
          </w:p>
        </w:tc>
      </w:tr>
    </w:tbl>
    <w:p w14:paraId="1A0C7591" w14:textId="77777777" w:rsidR="00253791" w:rsidRPr="00B65D57" w:rsidRDefault="00253791" w:rsidP="00253791">
      <w:pPr>
        <w:rPr>
          <w:rFonts w:eastAsia="Calibri"/>
          <w:lang w:eastAsia="en-US"/>
        </w:rPr>
      </w:pPr>
    </w:p>
    <w:p w14:paraId="6B06F6B8" w14:textId="77777777" w:rsidR="00253791" w:rsidRPr="00B65D57" w:rsidRDefault="00253791" w:rsidP="00253791">
      <w:pPr>
        <w:rPr>
          <w:rFonts w:eastAsia="Calibri"/>
          <w:lang w:eastAsia="en-US"/>
        </w:rPr>
      </w:pPr>
    </w:p>
    <w:p w14:paraId="042D7CFB" w14:textId="6020589D" w:rsidR="00116374" w:rsidRPr="00B65D57" w:rsidRDefault="00116374" w:rsidP="00253791">
      <w:pPr>
        <w:rPr>
          <w:rFonts w:eastAsia="Calibri"/>
          <w:lang w:eastAsia="en-US"/>
        </w:rPr>
      </w:pPr>
    </w:p>
    <w:p w14:paraId="53F4580D" w14:textId="77777777" w:rsidR="00116374" w:rsidRPr="00B65D57" w:rsidRDefault="00116374" w:rsidP="00253791">
      <w:pPr>
        <w:rPr>
          <w:rFonts w:eastAsia="Calibri"/>
          <w:lang w:eastAsia="en-US"/>
        </w:rPr>
      </w:pPr>
    </w:p>
    <w:p w14:paraId="1669E3B7" w14:textId="0832DBD1"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2.2.6.1.8 </w:t>
      </w:r>
      <w:r w:rsidR="00253791" w:rsidRPr="00B65D57">
        <w:rPr>
          <w:rFonts w:eastAsia="Calibri"/>
          <w:lang w:val="en-GB" w:eastAsia="en-US"/>
        </w:rPr>
        <w:t>Information on dermal absorption</w:t>
      </w:r>
    </w:p>
    <w:p w14:paraId="7751A0B2" w14:textId="77777777" w:rsidR="00253791" w:rsidRPr="00B65D57" w:rsidRDefault="00253791" w:rsidP="00253791">
      <w:pPr>
        <w:pStyle w:val="Absatz"/>
        <w:ind w:left="0"/>
        <w:rPr>
          <w:rFonts w:ascii="Verdana" w:eastAsia="Verdana" w:hAnsi="Verdana" w:cs="Verdana"/>
          <w:b/>
        </w:rPr>
      </w:pPr>
      <w:r w:rsidRPr="00B65D57">
        <w:rPr>
          <w:rFonts w:ascii="Verdana" w:eastAsia="Verdana" w:hAnsi="Verdana" w:cs="Verdana"/>
          <w:b/>
        </w:rPr>
        <w:t>Jerbor (dry)</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7"/>
        <w:gridCol w:w="3558"/>
        <w:gridCol w:w="3685"/>
      </w:tblGrid>
      <w:tr w:rsidR="00253791" w:rsidRPr="00B65D57" w14:paraId="2AE3BA06" w14:textId="77777777" w:rsidTr="002236D1">
        <w:tc>
          <w:tcPr>
            <w:tcW w:w="9180" w:type="dxa"/>
            <w:gridSpan w:val="3"/>
            <w:tcBorders>
              <w:top w:val="single" w:sz="4" w:space="0" w:color="auto"/>
              <w:left w:val="single" w:sz="4" w:space="0" w:color="auto"/>
              <w:bottom w:val="single" w:sz="6" w:space="0" w:color="auto"/>
              <w:right w:val="single" w:sz="6" w:space="0" w:color="auto"/>
            </w:tcBorders>
            <w:shd w:val="clear" w:color="auto" w:fill="CCFFCC"/>
          </w:tcPr>
          <w:p w14:paraId="118EB5DE" w14:textId="77777777" w:rsidR="00253791" w:rsidRPr="00B65D57" w:rsidRDefault="00253791" w:rsidP="002236D1">
            <w:pPr>
              <w:spacing w:line="260" w:lineRule="atLeast"/>
              <w:rPr>
                <w:rFonts w:eastAsia="Calibri"/>
                <w:b/>
                <w:bCs/>
                <w:lang w:eastAsia="en-US"/>
              </w:rPr>
            </w:pPr>
            <w:r w:rsidRPr="00B65D57">
              <w:rPr>
                <w:rFonts w:eastAsia="Calibri"/>
                <w:b/>
                <w:bCs/>
                <w:lang w:eastAsia="en-US"/>
              </w:rPr>
              <w:t>Value(s) used in the Risk Assessment – Dermal absorption</w:t>
            </w:r>
          </w:p>
        </w:tc>
      </w:tr>
      <w:tr w:rsidR="00253791" w:rsidRPr="00B65D57" w14:paraId="47474A1F" w14:textId="77777777" w:rsidTr="002236D1">
        <w:tc>
          <w:tcPr>
            <w:tcW w:w="1937" w:type="dxa"/>
            <w:tcBorders>
              <w:top w:val="single" w:sz="6" w:space="0" w:color="auto"/>
              <w:left w:val="single" w:sz="4" w:space="0" w:color="auto"/>
              <w:bottom w:val="single" w:sz="6" w:space="0" w:color="auto"/>
              <w:right w:val="single" w:sz="6" w:space="0" w:color="auto"/>
            </w:tcBorders>
            <w:shd w:val="clear" w:color="auto" w:fill="auto"/>
          </w:tcPr>
          <w:p w14:paraId="7D6450BE" w14:textId="77777777" w:rsidR="00253791" w:rsidRPr="00B65D57" w:rsidRDefault="00253791" w:rsidP="002236D1">
            <w:pPr>
              <w:spacing w:line="260" w:lineRule="atLeast"/>
              <w:rPr>
                <w:rFonts w:eastAsia="Calibri"/>
                <w:lang w:eastAsia="en-US"/>
              </w:rPr>
            </w:pPr>
            <w:r w:rsidRPr="00B65D57">
              <w:rPr>
                <w:rFonts w:eastAsia="Calibri"/>
                <w:lang w:eastAsia="en-US"/>
              </w:rPr>
              <w:t>Substance</w:t>
            </w:r>
          </w:p>
        </w:tc>
        <w:tc>
          <w:tcPr>
            <w:tcW w:w="3558" w:type="dxa"/>
            <w:tcBorders>
              <w:top w:val="single" w:sz="6" w:space="0" w:color="auto"/>
              <w:left w:val="single" w:sz="6" w:space="0" w:color="auto"/>
              <w:bottom w:val="single" w:sz="6" w:space="0" w:color="auto"/>
              <w:right w:val="single" w:sz="4" w:space="0" w:color="auto"/>
            </w:tcBorders>
          </w:tcPr>
          <w:p w14:paraId="0C7A7DB1" w14:textId="77777777" w:rsidR="00253791" w:rsidRPr="00B65D57" w:rsidRDefault="00253791" w:rsidP="002236D1">
            <w:pPr>
              <w:spacing w:line="260" w:lineRule="atLeast"/>
              <w:rPr>
                <w:rFonts w:eastAsia="Calibri"/>
                <w:lang w:eastAsia="en-US"/>
              </w:rPr>
            </w:pPr>
            <w:r w:rsidRPr="00B65D57">
              <w:rPr>
                <w:rFonts w:cs="TimesNewRoman"/>
                <w:lang w:eastAsia="sv-SE"/>
              </w:rPr>
              <w:t xml:space="preserve">Boric acid </w:t>
            </w:r>
          </w:p>
        </w:tc>
        <w:tc>
          <w:tcPr>
            <w:tcW w:w="3685" w:type="dxa"/>
            <w:tcBorders>
              <w:top w:val="single" w:sz="6" w:space="0" w:color="auto"/>
              <w:left w:val="single" w:sz="4" w:space="0" w:color="auto"/>
              <w:bottom w:val="single" w:sz="6" w:space="0" w:color="auto"/>
              <w:right w:val="single" w:sz="4" w:space="0" w:color="auto"/>
            </w:tcBorders>
          </w:tcPr>
          <w:p w14:paraId="52349BBC" w14:textId="77777777" w:rsidR="00253791" w:rsidRPr="00B65D57" w:rsidRDefault="00253791" w:rsidP="002236D1">
            <w:pPr>
              <w:spacing w:line="260" w:lineRule="atLeast"/>
              <w:rPr>
                <w:rFonts w:eastAsia="Calibri"/>
                <w:lang w:eastAsia="en-US"/>
              </w:rPr>
            </w:pPr>
            <w:r w:rsidRPr="00B65D57">
              <w:rPr>
                <w:lang w:eastAsia="sv-SE"/>
              </w:rPr>
              <w:t>Disodium tetraborate pentahydrate</w:t>
            </w:r>
          </w:p>
        </w:tc>
      </w:tr>
      <w:tr w:rsidR="00253791" w:rsidRPr="00B65D57" w14:paraId="34563A08" w14:textId="77777777" w:rsidTr="002236D1">
        <w:tc>
          <w:tcPr>
            <w:tcW w:w="1937" w:type="dxa"/>
            <w:tcBorders>
              <w:top w:val="single" w:sz="6" w:space="0" w:color="auto"/>
              <w:left w:val="single" w:sz="4" w:space="0" w:color="auto"/>
              <w:bottom w:val="single" w:sz="6" w:space="0" w:color="auto"/>
              <w:right w:val="single" w:sz="6" w:space="0" w:color="auto"/>
            </w:tcBorders>
            <w:shd w:val="clear" w:color="auto" w:fill="auto"/>
          </w:tcPr>
          <w:p w14:paraId="14F36467" w14:textId="77777777" w:rsidR="00253791" w:rsidRPr="00B65D57" w:rsidRDefault="00253791" w:rsidP="002236D1">
            <w:pPr>
              <w:spacing w:line="260" w:lineRule="atLeast"/>
              <w:rPr>
                <w:rFonts w:eastAsia="Calibri"/>
                <w:lang w:eastAsia="en-US"/>
              </w:rPr>
            </w:pPr>
            <w:r w:rsidRPr="00B65D57">
              <w:rPr>
                <w:rFonts w:eastAsia="Calibri"/>
                <w:lang w:eastAsia="en-US"/>
              </w:rPr>
              <w:t>Value(s)</w:t>
            </w:r>
          </w:p>
        </w:tc>
        <w:tc>
          <w:tcPr>
            <w:tcW w:w="3558" w:type="dxa"/>
            <w:tcBorders>
              <w:top w:val="single" w:sz="6" w:space="0" w:color="auto"/>
              <w:left w:val="single" w:sz="6" w:space="0" w:color="auto"/>
              <w:bottom w:val="single" w:sz="6" w:space="0" w:color="auto"/>
              <w:right w:val="single" w:sz="4" w:space="0" w:color="auto"/>
            </w:tcBorders>
          </w:tcPr>
          <w:p w14:paraId="585F6E6D" w14:textId="77777777" w:rsidR="00253791" w:rsidRPr="00B65D57" w:rsidRDefault="00253791" w:rsidP="002236D1">
            <w:pPr>
              <w:spacing w:line="260" w:lineRule="atLeast"/>
              <w:rPr>
                <w:rFonts w:eastAsia="Calibri"/>
                <w:lang w:eastAsia="en-US"/>
              </w:rPr>
            </w:pPr>
            <w:r w:rsidRPr="00B65D57">
              <w:rPr>
                <w:rFonts w:eastAsia="Calibri"/>
                <w:lang w:eastAsia="en-US"/>
              </w:rPr>
              <w:t>10%</w:t>
            </w:r>
          </w:p>
        </w:tc>
        <w:tc>
          <w:tcPr>
            <w:tcW w:w="3685" w:type="dxa"/>
            <w:tcBorders>
              <w:top w:val="single" w:sz="6" w:space="0" w:color="auto"/>
              <w:left w:val="single" w:sz="4" w:space="0" w:color="auto"/>
              <w:bottom w:val="single" w:sz="6" w:space="0" w:color="auto"/>
              <w:right w:val="single" w:sz="4" w:space="0" w:color="auto"/>
            </w:tcBorders>
          </w:tcPr>
          <w:p w14:paraId="601C2F7A" w14:textId="77777777" w:rsidR="00253791" w:rsidRPr="00B65D57" w:rsidRDefault="00253791" w:rsidP="002236D1">
            <w:pPr>
              <w:spacing w:line="260" w:lineRule="atLeast"/>
              <w:rPr>
                <w:rFonts w:eastAsia="Calibri"/>
                <w:lang w:eastAsia="en-US"/>
              </w:rPr>
            </w:pPr>
            <w:r w:rsidRPr="00B65D57">
              <w:rPr>
                <w:lang w:eastAsia="sv-SE"/>
              </w:rPr>
              <w:t>10%</w:t>
            </w:r>
          </w:p>
        </w:tc>
      </w:tr>
      <w:tr w:rsidR="00253791" w:rsidRPr="00B65D57" w14:paraId="699718A9" w14:textId="77777777" w:rsidTr="002236D1">
        <w:tc>
          <w:tcPr>
            <w:tcW w:w="1937" w:type="dxa"/>
            <w:tcBorders>
              <w:top w:val="single" w:sz="6" w:space="0" w:color="auto"/>
              <w:left w:val="single" w:sz="4" w:space="0" w:color="auto"/>
              <w:bottom w:val="single" w:sz="6" w:space="0" w:color="auto"/>
              <w:right w:val="single" w:sz="6" w:space="0" w:color="auto"/>
            </w:tcBorders>
            <w:shd w:val="clear" w:color="auto" w:fill="auto"/>
          </w:tcPr>
          <w:p w14:paraId="6AFD0F28" w14:textId="77777777" w:rsidR="00253791" w:rsidRPr="00B65D57" w:rsidRDefault="00253791" w:rsidP="002236D1">
            <w:pPr>
              <w:spacing w:line="260" w:lineRule="atLeast"/>
              <w:rPr>
                <w:rFonts w:eastAsia="Calibri"/>
                <w:lang w:eastAsia="en-US"/>
              </w:rPr>
            </w:pPr>
            <w:r w:rsidRPr="00B65D57">
              <w:rPr>
                <w:rFonts w:eastAsia="Calibri"/>
                <w:lang w:eastAsia="en-US"/>
              </w:rPr>
              <w:t>Justification for the selected value(s)</w:t>
            </w:r>
          </w:p>
        </w:tc>
        <w:tc>
          <w:tcPr>
            <w:tcW w:w="3558" w:type="dxa"/>
            <w:tcBorders>
              <w:top w:val="single" w:sz="6" w:space="0" w:color="auto"/>
              <w:left w:val="single" w:sz="6" w:space="0" w:color="auto"/>
              <w:bottom w:val="single" w:sz="6" w:space="0" w:color="auto"/>
              <w:right w:val="single" w:sz="4" w:space="0" w:color="auto"/>
            </w:tcBorders>
          </w:tcPr>
          <w:p w14:paraId="093B71F6" w14:textId="6E79A47E" w:rsidR="00253791" w:rsidRPr="00B65D57" w:rsidRDefault="00253791" w:rsidP="002236D1">
            <w:pPr>
              <w:spacing w:line="260" w:lineRule="atLeast"/>
              <w:rPr>
                <w:rFonts w:eastAsia="Verdana" w:cs="Verdana"/>
                <w:highlight w:val="yellow"/>
              </w:rPr>
            </w:pPr>
            <w:r w:rsidRPr="00B65D57">
              <w:rPr>
                <w:rFonts w:eastAsia="Verdana" w:cs="Verdana"/>
                <w:lang w:eastAsia="en-US"/>
              </w:rPr>
              <w:t xml:space="preserve">Since no data from studies on dermal absorption of dry boric acid is available, the default value of 10% for water-based/dispersed or solid concentrated formulations, from </w:t>
            </w:r>
            <w:r w:rsidRPr="00B65D57">
              <w:rPr>
                <w:rFonts w:eastAsia="Verdana" w:cs="Verdana"/>
              </w:rPr>
              <w:t>EFSA Guidance on dermal absorption (2017), has been used</w:t>
            </w:r>
            <w:r w:rsidR="00523F2B" w:rsidRPr="00B65D57">
              <w:rPr>
                <w:rFonts w:eastAsia="Verdana" w:cs="Verdana"/>
              </w:rPr>
              <w:t xml:space="preserve"> in the risk assessment</w:t>
            </w:r>
            <w:r w:rsidRPr="00B65D57">
              <w:rPr>
                <w:rFonts w:eastAsia="Verdana" w:cs="Verdana"/>
              </w:rPr>
              <w:t>.</w:t>
            </w:r>
          </w:p>
        </w:tc>
        <w:tc>
          <w:tcPr>
            <w:tcW w:w="3685" w:type="dxa"/>
            <w:tcBorders>
              <w:top w:val="single" w:sz="6" w:space="0" w:color="auto"/>
              <w:left w:val="single" w:sz="4" w:space="0" w:color="auto"/>
              <w:bottom w:val="single" w:sz="6" w:space="0" w:color="auto"/>
              <w:right w:val="single" w:sz="4" w:space="0" w:color="auto"/>
            </w:tcBorders>
          </w:tcPr>
          <w:p w14:paraId="488FAABB" w14:textId="3D817ED2" w:rsidR="00253791" w:rsidRPr="00B65D57" w:rsidRDefault="00253791" w:rsidP="002236D1">
            <w:pPr>
              <w:spacing w:line="260" w:lineRule="atLeast"/>
              <w:rPr>
                <w:highlight w:val="yellow"/>
              </w:rPr>
            </w:pPr>
            <w:r w:rsidRPr="00B65D57">
              <w:rPr>
                <w:rFonts w:eastAsia="Verdana" w:cs="Verdana"/>
                <w:lang w:eastAsia="en-US"/>
              </w:rPr>
              <w:t xml:space="preserve">Since no data from studies on dermal absorption of dry disodium tetraborate is available, the default value of 10% for water-based/dispersed or solid concentrated formulations, from </w:t>
            </w:r>
            <w:r w:rsidRPr="00B65D57">
              <w:rPr>
                <w:rFonts w:eastAsia="Verdana" w:cs="Verdana"/>
              </w:rPr>
              <w:t>EFSA Guidance on dermal absorption (2017), has been used</w:t>
            </w:r>
            <w:r w:rsidR="00523F2B" w:rsidRPr="00B65D57">
              <w:rPr>
                <w:rFonts w:eastAsia="Verdana" w:cs="Verdana"/>
              </w:rPr>
              <w:t xml:space="preserve"> in the risk assessment</w:t>
            </w:r>
            <w:r w:rsidRPr="00B65D57">
              <w:rPr>
                <w:rFonts w:eastAsia="Verdana" w:cs="Verdana"/>
              </w:rPr>
              <w:t>.</w:t>
            </w:r>
          </w:p>
          <w:p w14:paraId="4A95A2E5" w14:textId="77777777" w:rsidR="00253791" w:rsidRPr="00B65D57" w:rsidRDefault="00253791" w:rsidP="002236D1">
            <w:pPr>
              <w:spacing w:line="260" w:lineRule="atLeast"/>
              <w:rPr>
                <w:lang w:eastAsia="en-US"/>
              </w:rPr>
            </w:pPr>
          </w:p>
        </w:tc>
      </w:tr>
    </w:tbl>
    <w:p w14:paraId="6499F3B1" w14:textId="77777777" w:rsidR="00253791" w:rsidRPr="00B65D57" w:rsidRDefault="00253791" w:rsidP="00253791">
      <w:pPr>
        <w:pStyle w:val="Absatz"/>
        <w:rPr>
          <w:b/>
        </w:rPr>
      </w:pPr>
    </w:p>
    <w:p w14:paraId="0126C783" w14:textId="77777777" w:rsidR="00253791" w:rsidRPr="00B65D57" w:rsidRDefault="00253791" w:rsidP="00253791">
      <w:pPr>
        <w:pStyle w:val="Absatz"/>
        <w:ind w:left="0"/>
        <w:rPr>
          <w:rFonts w:ascii="Verdana" w:eastAsia="Verdana" w:hAnsi="Verdana" w:cs="Verdana"/>
          <w:b/>
        </w:rPr>
      </w:pPr>
      <w:r w:rsidRPr="00B65D57">
        <w:rPr>
          <w:rFonts w:ascii="Verdana" w:eastAsia="Verdana" w:hAnsi="Verdana" w:cs="Verdana"/>
          <w:b/>
        </w:rPr>
        <w:t>Jerbor slurry (wet)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3558"/>
        <w:gridCol w:w="3544"/>
      </w:tblGrid>
      <w:tr w:rsidR="00253791" w:rsidRPr="00B65D57" w14:paraId="45420CE8" w14:textId="77777777" w:rsidTr="002236D1">
        <w:tc>
          <w:tcPr>
            <w:tcW w:w="9039" w:type="dxa"/>
            <w:gridSpan w:val="3"/>
            <w:tcBorders>
              <w:top w:val="single" w:sz="4" w:space="0" w:color="auto"/>
              <w:left w:val="single" w:sz="4" w:space="0" w:color="auto"/>
              <w:bottom w:val="single" w:sz="6" w:space="0" w:color="auto"/>
              <w:right w:val="single" w:sz="6" w:space="0" w:color="auto"/>
            </w:tcBorders>
            <w:shd w:val="clear" w:color="auto" w:fill="CCFFCC"/>
          </w:tcPr>
          <w:p w14:paraId="47C0A9E2" w14:textId="77777777" w:rsidR="00253791" w:rsidRPr="00B65D57" w:rsidRDefault="00253791" w:rsidP="002236D1">
            <w:pPr>
              <w:spacing w:line="260" w:lineRule="atLeast"/>
              <w:rPr>
                <w:rFonts w:eastAsia="Calibri"/>
                <w:b/>
                <w:bCs/>
                <w:lang w:eastAsia="en-US"/>
              </w:rPr>
            </w:pPr>
            <w:r w:rsidRPr="00B65D57">
              <w:rPr>
                <w:rFonts w:eastAsia="Calibri"/>
                <w:b/>
                <w:bCs/>
                <w:lang w:eastAsia="en-US"/>
              </w:rPr>
              <w:t>Value(s) used in the Risk Assessment – Dermal absorption</w:t>
            </w:r>
          </w:p>
        </w:tc>
      </w:tr>
      <w:tr w:rsidR="00253791" w:rsidRPr="00B65D57" w14:paraId="61BACC82" w14:textId="77777777" w:rsidTr="002236D1">
        <w:tc>
          <w:tcPr>
            <w:tcW w:w="1937" w:type="dxa"/>
            <w:tcBorders>
              <w:top w:val="single" w:sz="6" w:space="0" w:color="auto"/>
              <w:left w:val="single" w:sz="4" w:space="0" w:color="auto"/>
              <w:bottom w:val="single" w:sz="6" w:space="0" w:color="auto"/>
              <w:right w:val="single" w:sz="6" w:space="0" w:color="auto"/>
            </w:tcBorders>
            <w:shd w:val="clear" w:color="auto" w:fill="auto"/>
          </w:tcPr>
          <w:p w14:paraId="11F6025E" w14:textId="77777777" w:rsidR="00253791" w:rsidRPr="00B65D57" w:rsidRDefault="00253791" w:rsidP="002236D1">
            <w:pPr>
              <w:spacing w:line="260" w:lineRule="atLeast"/>
              <w:rPr>
                <w:rFonts w:eastAsia="Calibri"/>
                <w:lang w:eastAsia="en-US"/>
              </w:rPr>
            </w:pPr>
            <w:r w:rsidRPr="00B65D57">
              <w:rPr>
                <w:rFonts w:eastAsia="Calibri"/>
                <w:lang w:eastAsia="en-US"/>
              </w:rPr>
              <w:t>Substance</w:t>
            </w:r>
          </w:p>
        </w:tc>
        <w:tc>
          <w:tcPr>
            <w:tcW w:w="3558" w:type="dxa"/>
            <w:tcBorders>
              <w:top w:val="single" w:sz="6" w:space="0" w:color="auto"/>
              <w:left w:val="single" w:sz="6" w:space="0" w:color="auto"/>
              <w:bottom w:val="single" w:sz="6" w:space="0" w:color="auto"/>
              <w:right w:val="single" w:sz="4" w:space="0" w:color="auto"/>
            </w:tcBorders>
          </w:tcPr>
          <w:p w14:paraId="25C57AB6" w14:textId="77777777" w:rsidR="00253791" w:rsidRPr="00B65D57" w:rsidRDefault="00253791" w:rsidP="002236D1">
            <w:pPr>
              <w:spacing w:line="260" w:lineRule="atLeast"/>
              <w:rPr>
                <w:rFonts w:eastAsia="Calibri"/>
                <w:lang w:eastAsia="en-US"/>
              </w:rPr>
            </w:pPr>
            <w:r w:rsidRPr="00B65D57">
              <w:rPr>
                <w:rFonts w:cs="TimesNewRoman"/>
                <w:lang w:eastAsia="sv-SE"/>
              </w:rPr>
              <w:t xml:space="preserve">Boric acid </w:t>
            </w:r>
          </w:p>
        </w:tc>
        <w:tc>
          <w:tcPr>
            <w:tcW w:w="3544" w:type="dxa"/>
            <w:tcBorders>
              <w:top w:val="single" w:sz="6" w:space="0" w:color="auto"/>
              <w:left w:val="single" w:sz="4" w:space="0" w:color="auto"/>
              <w:bottom w:val="single" w:sz="6" w:space="0" w:color="auto"/>
              <w:right w:val="single" w:sz="4" w:space="0" w:color="auto"/>
            </w:tcBorders>
          </w:tcPr>
          <w:p w14:paraId="24015230" w14:textId="77777777" w:rsidR="00253791" w:rsidRPr="00B65D57" w:rsidRDefault="00253791" w:rsidP="002236D1">
            <w:pPr>
              <w:spacing w:line="260" w:lineRule="atLeast"/>
              <w:rPr>
                <w:rFonts w:eastAsia="Calibri"/>
                <w:lang w:eastAsia="en-US"/>
              </w:rPr>
            </w:pPr>
            <w:r w:rsidRPr="00B65D57">
              <w:rPr>
                <w:lang w:eastAsia="sv-SE"/>
              </w:rPr>
              <w:t>Disodium tetraborate pentahydrate</w:t>
            </w:r>
          </w:p>
        </w:tc>
      </w:tr>
      <w:tr w:rsidR="00253791" w:rsidRPr="00B65D57" w14:paraId="0289907F" w14:textId="77777777" w:rsidTr="002236D1">
        <w:tc>
          <w:tcPr>
            <w:tcW w:w="1937" w:type="dxa"/>
            <w:tcBorders>
              <w:top w:val="single" w:sz="6" w:space="0" w:color="auto"/>
              <w:left w:val="single" w:sz="4" w:space="0" w:color="auto"/>
              <w:bottom w:val="single" w:sz="6" w:space="0" w:color="auto"/>
              <w:right w:val="single" w:sz="6" w:space="0" w:color="auto"/>
            </w:tcBorders>
            <w:shd w:val="clear" w:color="auto" w:fill="auto"/>
          </w:tcPr>
          <w:p w14:paraId="56448598" w14:textId="77777777" w:rsidR="00253791" w:rsidRPr="00B65D57" w:rsidRDefault="00253791" w:rsidP="002236D1">
            <w:pPr>
              <w:spacing w:line="260" w:lineRule="atLeast"/>
              <w:rPr>
                <w:rFonts w:eastAsia="Calibri"/>
                <w:lang w:eastAsia="en-US"/>
              </w:rPr>
            </w:pPr>
            <w:r w:rsidRPr="00B65D57">
              <w:rPr>
                <w:rFonts w:eastAsia="Calibri"/>
                <w:lang w:eastAsia="en-US"/>
              </w:rPr>
              <w:t>Value(s)</w:t>
            </w:r>
          </w:p>
        </w:tc>
        <w:tc>
          <w:tcPr>
            <w:tcW w:w="3558" w:type="dxa"/>
            <w:tcBorders>
              <w:top w:val="single" w:sz="6" w:space="0" w:color="auto"/>
              <w:left w:val="single" w:sz="6" w:space="0" w:color="auto"/>
              <w:bottom w:val="single" w:sz="6" w:space="0" w:color="auto"/>
              <w:right w:val="single" w:sz="4" w:space="0" w:color="auto"/>
            </w:tcBorders>
          </w:tcPr>
          <w:p w14:paraId="1DC6076A" w14:textId="77777777" w:rsidR="00253791" w:rsidRPr="00B65D57" w:rsidRDefault="00253791" w:rsidP="002236D1">
            <w:pPr>
              <w:spacing w:line="260" w:lineRule="atLeast"/>
              <w:rPr>
                <w:rFonts w:eastAsia="Calibri"/>
                <w:lang w:eastAsia="en-US"/>
              </w:rPr>
            </w:pPr>
            <w:r w:rsidRPr="00B65D57">
              <w:rPr>
                <w:rFonts w:eastAsia="Calibri"/>
                <w:lang w:eastAsia="en-US"/>
              </w:rPr>
              <w:t>5%</w:t>
            </w:r>
          </w:p>
        </w:tc>
        <w:tc>
          <w:tcPr>
            <w:tcW w:w="3544" w:type="dxa"/>
            <w:tcBorders>
              <w:top w:val="single" w:sz="6" w:space="0" w:color="auto"/>
              <w:left w:val="single" w:sz="4" w:space="0" w:color="auto"/>
              <w:bottom w:val="single" w:sz="6" w:space="0" w:color="auto"/>
              <w:right w:val="single" w:sz="4" w:space="0" w:color="auto"/>
            </w:tcBorders>
          </w:tcPr>
          <w:p w14:paraId="51173643" w14:textId="77777777" w:rsidR="00253791" w:rsidRPr="00B65D57" w:rsidRDefault="00253791" w:rsidP="002236D1">
            <w:pPr>
              <w:spacing w:line="260" w:lineRule="atLeast"/>
              <w:rPr>
                <w:rFonts w:eastAsia="Calibri"/>
                <w:lang w:eastAsia="en-US"/>
              </w:rPr>
            </w:pPr>
            <w:r w:rsidRPr="00B65D57">
              <w:rPr>
                <w:lang w:eastAsia="sv-SE"/>
              </w:rPr>
              <w:t>5%</w:t>
            </w:r>
          </w:p>
        </w:tc>
      </w:tr>
      <w:tr w:rsidR="00253791" w:rsidRPr="00B65D57" w14:paraId="282E1FE6" w14:textId="77777777" w:rsidTr="002236D1">
        <w:tc>
          <w:tcPr>
            <w:tcW w:w="1937" w:type="dxa"/>
            <w:tcBorders>
              <w:top w:val="single" w:sz="6" w:space="0" w:color="auto"/>
              <w:left w:val="single" w:sz="4" w:space="0" w:color="auto"/>
              <w:bottom w:val="single" w:sz="6" w:space="0" w:color="auto"/>
              <w:right w:val="single" w:sz="6" w:space="0" w:color="auto"/>
            </w:tcBorders>
            <w:shd w:val="clear" w:color="auto" w:fill="auto"/>
          </w:tcPr>
          <w:p w14:paraId="7278F7AE" w14:textId="77777777" w:rsidR="00253791" w:rsidRPr="00B65D57" w:rsidRDefault="00253791" w:rsidP="002236D1">
            <w:pPr>
              <w:spacing w:line="260" w:lineRule="atLeast"/>
              <w:rPr>
                <w:rFonts w:eastAsia="Calibri"/>
                <w:lang w:eastAsia="en-US"/>
              </w:rPr>
            </w:pPr>
            <w:r w:rsidRPr="00B65D57">
              <w:rPr>
                <w:rFonts w:eastAsia="Calibri"/>
                <w:lang w:eastAsia="en-US"/>
              </w:rPr>
              <w:t>Justification for the selected value(s)</w:t>
            </w:r>
          </w:p>
        </w:tc>
        <w:tc>
          <w:tcPr>
            <w:tcW w:w="3558" w:type="dxa"/>
            <w:tcBorders>
              <w:top w:val="single" w:sz="6" w:space="0" w:color="auto"/>
              <w:left w:val="single" w:sz="6" w:space="0" w:color="auto"/>
              <w:bottom w:val="single" w:sz="6" w:space="0" w:color="auto"/>
              <w:right w:val="single" w:sz="4" w:space="0" w:color="auto"/>
            </w:tcBorders>
          </w:tcPr>
          <w:p w14:paraId="4B83AD21" w14:textId="4B315901" w:rsidR="007C17B5" w:rsidRDefault="007C17B5" w:rsidP="007C17B5">
            <w:pPr>
              <w:rPr>
                <w:rFonts w:ascii="Calibri" w:hAnsi="Calibri"/>
                <w:lang w:val="en-US" w:eastAsia="en-US"/>
              </w:rPr>
            </w:pPr>
            <w:r>
              <w:rPr>
                <w:lang w:val="en-US"/>
              </w:rPr>
              <w:t xml:space="preserve">Using the default value (10%) from EFSA Guidance on dermal absorption (2017) for dermal absorption of the slurry would lead to an unacceptable risk </w:t>
            </w:r>
            <w:r w:rsidR="00535413">
              <w:rPr>
                <w:lang w:val="en-US"/>
              </w:rPr>
              <w:t xml:space="preserve">(RR 1.22) </w:t>
            </w:r>
            <w:r>
              <w:rPr>
                <w:lang w:val="en-US"/>
              </w:rPr>
              <w:t>for the combined exposure during mixing, application and daily cleaning. Therefore, a refined assessment of dermal absorption has been made.</w:t>
            </w:r>
          </w:p>
          <w:p w14:paraId="6512B3E8" w14:textId="77777777" w:rsidR="007C17B5" w:rsidRPr="007C17B5" w:rsidRDefault="007C17B5" w:rsidP="00C96670">
            <w:pPr>
              <w:rPr>
                <w:lang w:val="en-US" w:eastAsia="en-GB"/>
              </w:rPr>
            </w:pPr>
          </w:p>
          <w:p w14:paraId="1BFD976A" w14:textId="2B187A25" w:rsidR="00C96670" w:rsidRPr="008950B1" w:rsidRDefault="00C96670" w:rsidP="00C96670">
            <w:pPr>
              <w:rPr>
                <w:lang w:eastAsia="en-GB"/>
              </w:rPr>
            </w:pPr>
            <w:r w:rsidRPr="008950B1">
              <w:rPr>
                <w:lang w:eastAsia="en-GB"/>
              </w:rPr>
              <w:t xml:space="preserve">According to the CARs for the active substances (Assessment Reports, Boric acid and Disodium tetraborate, 2009) the value of dermal absorption for the active substances is 0.5 %. This value was based on an in vivo study with aqueous solutions of boric acid, disodium tetraborate decahydrate and disodium </w:t>
            </w:r>
            <w:r w:rsidRPr="008950B1">
              <w:rPr>
                <w:lang w:eastAsia="en-GB"/>
              </w:rPr>
              <w:lastRenderedPageBreak/>
              <w:t>octaborate tetrahydrate. The slurry of Jerbor is also an aqueous solution of the active substances with no added co-formulants. The slurry however contains bentonite but due to its inert properties bentonite is not assumed to affect the dermal absorption of the slurry. Considering this, the data used for dermal absorption of the active substances can also be used in support of the product as a slurry.</w:t>
            </w:r>
          </w:p>
          <w:p w14:paraId="6AA6751A" w14:textId="77777777" w:rsidR="00C96670" w:rsidRPr="008950B1" w:rsidRDefault="00C96670" w:rsidP="00C96670">
            <w:pPr>
              <w:rPr>
                <w:lang w:eastAsia="en-GB"/>
              </w:rPr>
            </w:pPr>
          </w:p>
          <w:p w14:paraId="0EE75E1C" w14:textId="77777777" w:rsidR="00C96670" w:rsidRPr="008950B1" w:rsidRDefault="00C96670" w:rsidP="00C96670">
            <w:pPr>
              <w:rPr>
                <w:lang w:eastAsia="en-GB"/>
              </w:rPr>
            </w:pPr>
            <w:r w:rsidRPr="008950B1">
              <w:rPr>
                <w:lang w:eastAsia="en-GB"/>
              </w:rPr>
              <w:t>The concentration of active substance is higher in the slurry (9.0 % BAE) compared to the tested aqueous solution (5.0 % BAE). In general, the dermal absorption is inversely related to the concentration of the active substance and to derive a dermal absorption value of dilutions with higher concentrations than the tested solution the dermal absorption from the tested solution should apply (EFSA 2017) and it would therefore be worst-case to use for the higher concentrated solution.</w:t>
            </w:r>
          </w:p>
          <w:p w14:paraId="5D120EB8" w14:textId="77777777" w:rsidR="00C96670" w:rsidRPr="008950B1" w:rsidRDefault="00C96670" w:rsidP="00C96670">
            <w:pPr>
              <w:rPr>
                <w:lang w:eastAsia="en-GB"/>
              </w:rPr>
            </w:pPr>
          </w:p>
          <w:p w14:paraId="18CB8BAD" w14:textId="77777777" w:rsidR="00C96670" w:rsidRPr="008950B1" w:rsidRDefault="00C96670" w:rsidP="00C96670">
            <w:pPr>
              <w:rPr>
                <w:lang w:eastAsia="en-GB"/>
              </w:rPr>
            </w:pPr>
            <w:r w:rsidRPr="008950B1">
              <w:rPr>
                <w:lang w:eastAsia="en-GB"/>
              </w:rPr>
              <w:t>There are uncertainties with the underlying data and the study results have been questioned due to low recovery (49-64 %) of the administered dose (but in support of toxicokinetic studies the CAR however concluded the that the dermal absorption of the active substances is predicted to be low).</w:t>
            </w:r>
          </w:p>
          <w:p w14:paraId="53BA35BA" w14:textId="77777777" w:rsidR="00C96670" w:rsidRPr="008950B1" w:rsidRDefault="00C96670" w:rsidP="00C96670">
            <w:pPr>
              <w:rPr>
                <w:lang w:eastAsia="en-GB"/>
              </w:rPr>
            </w:pPr>
            <w:r w:rsidRPr="008950B1">
              <w:rPr>
                <w:lang w:eastAsia="en-GB"/>
              </w:rPr>
              <w:t xml:space="preserve">For products with boric acid and also containing potential penetration enhancers a dermal absorption of 20 % has previously been suggested by DE using expert judgement. One of the arguments for this value was based on the assumption that only approximately 10 % of the applied dose in the above-mentioned dermal absorption </w:t>
            </w:r>
            <w:r w:rsidRPr="008950B1">
              <w:rPr>
                <w:lang w:eastAsia="en-GB"/>
              </w:rPr>
              <w:lastRenderedPageBreak/>
              <w:t xml:space="preserve">study was available for absorption. This expert judgement has been accepted and used for several PT8 products with penetration enhancers. Using the same assumption, that only 10 % of the applied dose is available for dermal absorption, the applicant suggested to use a value of 5 % for the slurry which is achieved when correcting for variability and loss of material in the study. The result from the study, 0.5 %, was corrected for the loss of material resulting in 5 % (0.5 % x 10). </w:t>
            </w:r>
          </w:p>
          <w:p w14:paraId="29ABFE28" w14:textId="77777777" w:rsidR="00C96670" w:rsidRPr="008950B1" w:rsidRDefault="00C96670" w:rsidP="00C96670">
            <w:pPr>
              <w:rPr>
                <w:lang w:eastAsia="en-GB"/>
              </w:rPr>
            </w:pPr>
          </w:p>
          <w:p w14:paraId="4642195A" w14:textId="77777777" w:rsidR="00C96670" w:rsidRPr="008950B1" w:rsidRDefault="00C96670" w:rsidP="00C96670">
            <w:r w:rsidRPr="008950B1">
              <w:rPr>
                <w:lang w:eastAsia="en-GB"/>
              </w:rPr>
              <w:t>Based on the above argumentation, the value of 5 % dermal absorption, is used in the risk assessment for the slurry.</w:t>
            </w:r>
          </w:p>
          <w:p w14:paraId="7C958141" w14:textId="77777777" w:rsidR="00C96670" w:rsidRPr="008950B1" w:rsidRDefault="00C96670" w:rsidP="002236D1">
            <w:pPr>
              <w:spacing w:line="260" w:lineRule="atLeast"/>
              <w:rPr>
                <w:rFonts w:eastAsia="Verdana" w:cs="Verdana"/>
              </w:rPr>
            </w:pPr>
          </w:p>
          <w:p w14:paraId="25C2BA1D" w14:textId="1CEB5470" w:rsidR="00253791" w:rsidRPr="008950B1" w:rsidRDefault="00253791" w:rsidP="002236D1">
            <w:pPr>
              <w:spacing w:line="260" w:lineRule="atLeast"/>
              <w:rPr>
                <w:rFonts w:eastAsia="Verdana" w:cs="Verdana"/>
                <w:lang w:eastAsia="en-US"/>
              </w:rPr>
            </w:pPr>
          </w:p>
        </w:tc>
        <w:tc>
          <w:tcPr>
            <w:tcW w:w="3544" w:type="dxa"/>
            <w:tcBorders>
              <w:top w:val="single" w:sz="6" w:space="0" w:color="auto"/>
              <w:left w:val="single" w:sz="4" w:space="0" w:color="auto"/>
              <w:bottom w:val="single" w:sz="6" w:space="0" w:color="auto"/>
              <w:right w:val="single" w:sz="4" w:space="0" w:color="auto"/>
            </w:tcBorders>
          </w:tcPr>
          <w:p w14:paraId="68E82F11" w14:textId="7642A28C" w:rsidR="007C17B5" w:rsidRDefault="007C17B5" w:rsidP="007C17B5">
            <w:pPr>
              <w:rPr>
                <w:rFonts w:ascii="Calibri" w:hAnsi="Calibri"/>
                <w:lang w:val="en-US" w:eastAsia="en-US"/>
              </w:rPr>
            </w:pPr>
            <w:r>
              <w:rPr>
                <w:lang w:val="en-US"/>
              </w:rPr>
              <w:lastRenderedPageBreak/>
              <w:t xml:space="preserve">Using the default value (10%) from EFSA Guidance on dermal absorption (2017) for dermal absorption of the slurry would lead to an unacceptable risk </w:t>
            </w:r>
            <w:r w:rsidR="00535413">
              <w:rPr>
                <w:lang w:val="en-US"/>
              </w:rPr>
              <w:t xml:space="preserve">(RR 1.22) </w:t>
            </w:r>
            <w:r>
              <w:rPr>
                <w:lang w:val="en-US"/>
              </w:rPr>
              <w:t>for the combined exposure during mixing, application and daily cleaning. Therefore, a refined assessment of dermal absorption has been made.</w:t>
            </w:r>
          </w:p>
          <w:p w14:paraId="32490371" w14:textId="77777777" w:rsidR="007C17B5" w:rsidRPr="007C17B5" w:rsidRDefault="007C17B5" w:rsidP="00C96670">
            <w:pPr>
              <w:rPr>
                <w:lang w:val="en-US" w:eastAsia="en-GB"/>
              </w:rPr>
            </w:pPr>
          </w:p>
          <w:p w14:paraId="74583B7B" w14:textId="5BED1B9B" w:rsidR="00C96670" w:rsidRPr="008950B1" w:rsidRDefault="00C96670" w:rsidP="00C96670">
            <w:pPr>
              <w:rPr>
                <w:lang w:eastAsia="en-GB"/>
              </w:rPr>
            </w:pPr>
            <w:r w:rsidRPr="008950B1">
              <w:rPr>
                <w:lang w:eastAsia="en-GB"/>
              </w:rPr>
              <w:t xml:space="preserve">According to the CARs for the active substances (Assessment Reports, Boric acid and Disodium tetraborate, 2009) the value of dermal absorption for the active substances is 0.5 %. This value was based on an in vivo study with aqueous solutions of boric acid, disodium tetraborate decahydrate and </w:t>
            </w:r>
            <w:r w:rsidRPr="008950B1">
              <w:rPr>
                <w:lang w:eastAsia="en-GB"/>
              </w:rPr>
              <w:lastRenderedPageBreak/>
              <w:t>disodium octaborate tetrahydrate. The slurry of Jerbor is also an aqueous solution of the active substances with no added co-formulants. The slurry however contains bentonite but due to its inert properties bentonite is not assumed to affect the dermal absorption of the slurry. Considering this, the data used for dermal absorption of the active substances can also be used in support of the product as a slurry.</w:t>
            </w:r>
          </w:p>
          <w:p w14:paraId="77EEE4ED" w14:textId="77777777" w:rsidR="00C96670" w:rsidRPr="008950B1" w:rsidRDefault="00C96670" w:rsidP="00C96670">
            <w:pPr>
              <w:rPr>
                <w:lang w:eastAsia="en-GB"/>
              </w:rPr>
            </w:pPr>
          </w:p>
          <w:p w14:paraId="22D1530F" w14:textId="77777777" w:rsidR="00C96670" w:rsidRPr="008950B1" w:rsidRDefault="00C96670" w:rsidP="00C96670">
            <w:pPr>
              <w:rPr>
                <w:lang w:eastAsia="en-GB"/>
              </w:rPr>
            </w:pPr>
            <w:r w:rsidRPr="008950B1">
              <w:rPr>
                <w:lang w:eastAsia="en-GB"/>
              </w:rPr>
              <w:t>The concentration of active substance is higher in the slurry (9.0 % BAE) compared to the tested aqueous solution (5.0 % BAE). In general, the dermal absorption is inversely related to the concentration of the active substance and to derive a dermal absorption value of dilutions with higher concentrations than the tested solution the dermal absorption from the tested solution should apply (EFSA 2017) and it would therefore be worst-case to use for the higher concentrated solution.</w:t>
            </w:r>
          </w:p>
          <w:p w14:paraId="536C1CC5" w14:textId="77777777" w:rsidR="00C96670" w:rsidRPr="008950B1" w:rsidRDefault="00C96670" w:rsidP="00C96670">
            <w:pPr>
              <w:rPr>
                <w:lang w:eastAsia="en-GB"/>
              </w:rPr>
            </w:pPr>
          </w:p>
          <w:p w14:paraId="7598A5DA" w14:textId="77777777" w:rsidR="00C96670" w:rsidRPr="008950B1" w:rsidRDefault="00C96670" w:rsidP="00C96670">
            <w:pPr>
              <w:rPr>
                <w:lang w:eastAsia="en-GB"/>
              </w:rPr>
            </w:pPr>
            <w:r w:rsidRPr="008950B1">
              <w:rPr>
                <w:lang w:eastAsia="en-GB"/>
              </w:rPr>
              <w:t>There are uncertainties with the underlying data and the study results have been questioned due to low recovery (49-64 %) of the administered dose (but in support of toxicokinetic studies the CAR however concluded the that the dermal absorption of the active substances is predicted to be low).</w:t>
            </w:r>
          </w:p>
          <w:p w14:paraId="7C1F98CC" w14:textId="77777777" w:rsidR="00C96670" w:rsidRPr="008950B1" w:rsidRDefault="00C96670" w:rsidP="00C96670">
            <w:pPr>
              <w:rPr>
                <w:lang w:eastAsia="en-GB"/>
              </w:rPr>
            </w:pPr>
            <w:r w:rsidRPr="008950B1">
              <w:rPr>
                <w:lang w:eastAsia="en-GB"/>
              </w:rPr>
              <w:t>For products with boric acid and also containing potential penetration enhancers a dermal absorption of 20 % has previously been suggested by DE using expert judgement. One of the arguments for this value was based on the assumption that only approximately 10 % of the applied dose in the above-</w:t>
            </w:r>
            <w:r w:rsidRPr="008950B1">
              <w:rPr>
                <w:lang w:eastAsia="en-GB"/>
              </w:rPr>
              <w:lastRenderedPageBreak/>
              <w:t xml:space="preserve">mentioned dermal absorption study was available for absorption. This expert judgement has been accepted and used for several PT8 products with penetration enhancers. Using the same assumption, that only 10 % of the applied dose is available for dermal absorption, the applicant suggested to use a value of 5 % for the slurry which is achieved when correcting for variability and loss of material in the study. The result from the study, 0.5 %, was corrected for the loss of material resulting in 5 % (0.5 % x 10). </w:t>
            </w:r>
          </w:p>
          <w:p w14:paraId="6335CD02" w14:textId="77777777" w:rsidR="00C96670" w:rsidRPr="008950B1" w:rsidRDefault="00C96670" w:rsidP="00C96670">
            <w:pPr>
              <w:rPr>
                <w:lang w:eastAsia="en-GB"/>
              </w:rPr>
            </w:pPr>
          </w:p>
          <w:p w14:paraId="2206AC28" w14:textId="77777777" w:rsidR="00C96670" w:rsidRPr="008950B1" w:rsidRDefault="00C96670" w:rsidP="00C96670">
            <w:r w:rsidRPr="008950B1">
              <w:rPr>
                <w:lang w:eastAsia="en-GB"/>
              </w:rPr>
              <w:t>Based on the above argumentation, the value of 5 % dermal absorption, is used in the risk assessment for the slurry.</w:t>
            </w:r>
          </w:p>
          <w:p w14:paraId="74C5E949" w14:textId="77777777" w:rsidR="00C96670" w:rsidRPr="008950B1" w:rsidRDefault="00C96670" w:rsidP="002236D1">
            <w:pPr>
              <w:spacing w:line="260" w:lineRule="atLeast"/>
              <w:rPr>
                <w:rFonts w:eastAsia="Verdana" w:cs="Verdana"/>
              </w:rPr>
            </w:pPr>
          </w:p>
          <w:p w14:paraId="3A6AA44E" w14:textId="737989AD" w:rsidR="00253791" w:rsidRPr="00B65D57" w:rsidRDefault="00253791" w:rsidP="002236D1">
            <w:pPr>
              <w:spacing w:line="260" w:lineRule="atLeast"/>
              <w:rPr>
                <w:rFonts w:eastAsia="Verdana" w:cs="Verdana"/>
                <w:lang w:eastAsia="en-US"/>
              </w:rPr>
            </w:pPr>
          </w:p>
        </w:tc>
      </w:tr>
    </w:tbl>
    <w:p w14:paraId="0C8A930C" w14:textId="77777777" w:rsidR="00253791" w:rsidRPr="00B65D57" w:rsidRDefault="00253791" w:rsidP="00253791">
      <w:pPr>
        <w:spacing w:line="260" w:lineRule="atLeast"/>
        <w:rPr>
          <w:rFonts w:ascii="Times New Roman" w:eastAsia="Calibri" w:hAnsi="Times New Roman"/>
          <w:i/>
          <w:iCs/>
          <w:lang w:eastAsia="en-US"/>
        </w:rPr>
      </w:pPr>
    </w:p>
    <w:p w14:paraId="3B37FAB1" w14:textId="77777777" w:rsidR="00253791" w:rsidRPr="00B65D57" w:rsidRDefault="00253791" w:rsidP="00253791">
      <w:pPr>
        <w:spacing w:line="260" w:lineRule="atLeast"/>
        <w:rPr>
          <w:rFonts w:eastAsia="Calibri"/>
          <w:lang w:eastAsia="en-US"/>
        </w:rPr>
      </w:pPr>
    </w:p>
    <w:p w14:paraId="6D992F24" w14:textId="4A56FD85"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2.2.6.1.9 </w:t>
      </w:r>
      <w:r w:rsidR="00253791" w:rsidRPr="00B65D57">
        <w:rPr>
          <w:rFonts w:eastAsia="Calibri"/>
          <w:lang w:val="en-GB" w:eastAsia="en-US"/>
        </w:rPr>
        <w:t>Available toxicological data relating to non</w:t>
      </w:r>
      <w:r w:rsidR="0052601B" w:rsidRPr="00B65D57">
        <w:rPr>
          <w:rFonts w:eastAsia="Calibri"/>
          <w:lang w:val="en-GB" w:eastAsia="en-US"/>
        </w:rPr>
        <w:t>-</w:t>
      </w:r>
      <w:r w:rsidR="00253791" w:rsidRPr="00B65D57">
        <w:rPr>
          <w:rFonts w:eastAsia="Calibri"/>
          <w:lang w:val="en-GB" w:eastAsia="en-US"/>
        </w:rPr>
        <w:t>active substance(s) (i.e. substance(s) of concern)</w:t>
      </w:r>
    </w:p>
    <w:p w14:paraId="28B265ED" w14:textId="37BE925F" w:rsidR="00253791" w:rsidRPr="00B65D57" w:rsidRDefault="00253791" w:rsidP="008F4848">
      <w:pPr>
        <w:spacing w:line="260" w:lineRule="atLeast"/>
        <w:jc w:val="both"/>
        <w:rPr>
          <w:rFonts w:eastAsia="Calibri"/>
          <w:lang w:eastAsia="en-US"/>
        </w:rPr>
      </w:pPr>
      <w:r w:rsidRPr="00B65D57">
        <w:rPr>
          <w:rFonts w:eastAsia="Calibri"/>
          <w:lang w:eastAsia="en-US"/>
        </w:rPr>
        <w:t>Not relevant since the product</w:t>
      </w:r>
      <w:r w:rsidR="001F5674" w:rsidRPr="00B65D57">
        <w:rPr>
          <w:rFonts w:eastAsia="Calibri"/>
          <w:lang w:eastAsia="en-US"/>
        </w:rPr>
        <w:t xml:space="preserve"> contains no substances of concern</w:t>
      </w:r>
      <w:r w:rsidRPr="00B65D57">
        <w:rPr>
          <w:rFonts w:eastAsia="Calibri"/>
          <w:lang w:eastAsia="en-US"/>
        </w:rPr>
        <w:t xml:space="preserve">. </w:t>
      </w:r>
    </w:p>
    <w:p w14:paraId="5EFCF3A9" w14:textId="5FE2BC78" w:rsidR="00253791" w:rsidRPr="00B65D57" w:rsidRDefault="00253791" w:rsidP="008F4848">
      <w:pPr>
        <w:spacing w:line="260" w:lineRule="atLeast"/>
        <w:rPr>
          <w:rFonts w:eastAsia="Calibri"/>
          <w:lang w:eastAsia="en-US"/>
        </w:rPr>
      </w:pPr>
    </w:p>
    <w:p w14:paraId="186527F4" w14:textId="77777777" w:rsidR="00116374" w:rsidRPr="00B65D57" w:rsidRDefault="00116374" w:rsidP="008F4848">
      <w:pPr>
        <w:spacing w:line="260" w:lineRule="atLeast"/>
        <w:rPr>
          <w:rFonts w:eastAsia="Calibri"/>
          <w:lang w:eastAsia="en-US"/>
        </w:rPr>
      </w:pPr>
    </w:p>
    <w:p w14:paraId="291C8DF0" w14:textId="32D78E16"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2.2.6.1.10 </w:t>
      </w:r>
      <w:r w:rsidR="00253791" w:rsidRPr="00B65D57">
        <w:rPr>
          <w:rFonts w:eastAsia="Calibri"/>
          <w:lang w:val="en-GB" w:eastAsia="en-US"/>
        </w:rPr>
        <w:t xml:space="preserve">Available toxicological data relating to a mixture </w:t>
      </w:r>
    </w:p>
    <w:p w14:paraId="477DE71C" w14:textId="7BBA85BE" w:rsidR="00253791" w:rsidRPr="00B65D57" w:rsidRDefault="00253791" w:rsidP="008F4848">
      <w:pPr>
        <w:spacing w:line="260" w:lineRule="atLeast"/>
        <w:rPr>
          <w:lang w:eastAsia="sv-SE"/>
        </w:rPr>
      </w:pPr>
      <w:r w:rsidRPr="00B65D57">
        <w:rPr>
          <w:lang w:eastAsia="sv-SE"/>
        </w:rPr>
        <w:t>The final treatment slurry contains of 9.6% Jerbor, 70.4% water and 20% sodium bentonite. Sodium bentonite has no harmonised classification and is not expected to have any adverse health effect, except that it, as a powder, may cause serious eye irritation, skin irritation and respiratory irritation (notified classification; C&amp;L inventory, ECHA).</w:t>
      </w:r>
    </w:p>
    <w:p w14:paraId="3DA9BC84" w14:textId="77777777" w:rsidR="00116374" w:rsidRPr="00B65D57" w:rsidRDefault="00116374" w:rsidP="008F4848">
      <w:pPr>
        <w:spacing w:line="260" w:lineRule="atLeast"/>
        <w:rPr>
          <w:rFonts w:ascii="Times New Roman" w:eastAsia="Calibri" w:hAnsi="Times New Roman"/>
          <w:i/>
          <w:iCs/>
          <w:lang w:eastAsia="en-US"/>
        </w:rPr>
      </w:pPr>
    </w:p>
    <w:p w14:paraId="4417FC7B" w14:textId="77777777" w:rsidR="00253791" w:rsidRPr="00B65D57" w:rsidRDefault="00253791" w:rsidP="008F4848">
      <w:pPr>
        <w:spacing w:line="260" w:lineRule="atLeast"/>
        <w:rPr>
          <w:rFonts w:ascii="Times New Roman" w:eastAsia="Calibri" w:hAnsi="Times New Roman"/>
          <w:i/>
          <w:iCs/>
          <w:lang w:eastAsia="en-US"/>
        </w:rPr>
      </w:pPr>
    </w:p>
    <w:p w14:paraId="673DD652" w14:textId="39068F01" w:rsidR="00253791" w:rsidRPr="00B65D57" w:rsidRDefault="009A5C9B" w:rsidP="008F4848">
      <w:pPr>
        <w:pStyle w:val="Rubrik5"/>
        <w:ind w:left="360"/>
        <w:rPr>
          <w:rFonts w:eastAsia="Calibri"/>
          <w:lang w:val="en-GB" w:eastAsia="en-US"/>
        </w:rPr>
      </w:pPr>
      <w:r w:rsidRPr="00B65D57">
        <w:rPr>
          <w:rFonts w:eastAsia="Calibri"/>
          <w:lang w:val="en-GB" w:eastAsia="en-US"/>
        </w:rPr>
        <w:t xml:space="preserve">2.2.6.1.11 </w:t>
      </w:r>
      <w:r w:rsidR="00253791" w:rsidRPr="00B65D57">
        <w:rPr>
          <w:rFonts w:eastAsia="Calibri"/>
          <w:lang w:val="en-GB" w:eastAsia="en-US"/>
        </w:rPr>
        <w:t>Other information</w:t>
      </w:r>
    </w:p>
    <w:p w14:paraId="4A53E73F" w14:textId="4234A862" w:rsidR="00253791" w:rsidRPr="00B65D57" w:rsidRDefault="00253791" w:rsidP="008F4848">
      <w:pPr>
        <w:spacing w:line="276" w:lineRule="auto"/>
      </w:pPr>
      <w:r w:rsidRPr="00B65D57">
        <w:t>Boric acid is classified for reproductive toxicity (Repr. 1B, H360FD: May damage fertility. May damage the unborn child) and d</w:t>
      </w:r>
      <w:r w:rsidRPr="00B65D57">
        <w:rPr>
          <w:rFonts w:eastAsia="Calibri"/>
          <w:lang w:eastAsia="en-US"/>
        </w:rPr>
        <w:t xml:space="preserve">isodium tetraborate pentahydrate is notifed for the same classification. </w:t>
      </w:r>
      <w:r w:rsidRPr="00B65D57">
        <w:t xml:space="preserve">In the CLH report (Proposal for Harmonised Classification and Labelling) submitted by SE (Nov 2018) a harmonised classification as Repr. 1B, H360FD was proposed </w:t>
      </w:r>
      <w:r w:rsidR="001F5674" w:rsidRPr="00B65D57">
        <w:t xml:space="preserve">also </w:t>
      </w:r>
      <w:r w:rsidRPr="00B65D57">
        <w:t>for d</w:t>
      </w:r>
      <w:r w:rsidRPr="00B65D57">
        <w:rPr>
          <w:rFonts w:eastAsia="Calibri"/>
          <w:lang w:eastAsia="en-US"/>
        </w:rPr>
        <w:t>isodium tetraborate pentahydrate</w:t>
      </w:r>
      <w:r w:rsidR="001F5674" w:rsidRPr="00B65D57">
        <w:rPr>
          <w:rFonts w:eastAsia="Calibri"/>
          <w:lang w:eastAsia="en-US"/>
        </w:rPr>
        <w:t>. Furthermore,</w:t>
      </w:r>
      <w:r w:rsidRPr="00B65D57">
        <w:rPr>
          <w:rFonts w:eastAsia="Calibri"/>
          <w:lang w:eastAsia="en-US"/>
        </w:rPr>
        <w:t xml:space="preserve"> it was proposed that</w:t>
      </w:r>
      <w:r w:rsidRPr="00B65D57">
        <w:t xml:space="preserve"> the Generic Concentration Limit (GCL) of 0.3% </w:t>
      </w:r>
      <w:r w:rsidR="001F5674" w:rsidRPr="00B65D57">
        <w:t>(</w:t>
      </w:r>
      <w:r w:rsidRPr="00B65D57">
        <w:t>for substances classified Repr. 1A and 1B</w:t>
      </w:r>
      <w:r w:rsidR="001F5674" w:rsidRPr="00B65D57">
        <w:t>)</w:t>
      </w:r>
      <w:r w:rsidRPr="00B65D57">
        <w:t xml:space="preserve"> should be applied to all borates.  At the RAC (Risk Assessment Committee, ECHA) meeting 16.09.2019, the opinion was adopted. Thus, Jerbor should be classified as </w:t>
      </w:r>
      <w:r w:rsidRPr="00B65D57">
        <w:rPr>
          <w:rFonts w:cs="Verdana"/>
          <w:color w:val="000000"/>
          <w:szCs w:val="24"/>
          <w:lang w:eastAsia="sv-SE"/>
        </w:rPr>
        <w:t>Repr. 1B, H360FD</w:t>
      </w:r>
      <w:r w:rsidRPr="00B65D57">
        <w:t>.</w:t>
      </w:r>
    </w:p>
    <w:p w14:paraId="0FDB4577" w14:textId="77777777" w:rsidR="00253791" w:rsidRPr="00B65D57" w:rsidRDefault="00253791" w:rsidP="008F4848">
      <w:pPr>
        <w:spacing w:line="276" w:lineRule="auto"/>
      </w:pPr>
    </w:p>
    <w:p w14:paraId="6A049715" w14:textId="02E64F06" w:rsidR="00253791" w:rsidRPr="00B65D57" w:rsidRDefault="00253791" w:rsidP="008F4848">
      <w:pPr>
        <w:spacing w:line="276" w:lineRule="auto"/>
        <w:rPr>
          <w:szCs w:val="16"/>
        </w:rPr>
      </w:pPr>
      <w:r w:rsidRPr="00B65D57">
        <w:rPr>
          <w:rFonts w:eastAsia="Calibri"/>
          <w:szCs w:val="16"/>
          <w:lang w:eastAsia="en-US"/>
        </w:rPr>
        <w:t>The a</w:t>
      </w:r>
      <w:r w:rsidRPr="00B65D57">
        <w:rPr>
          <w:iCs/>
          <w:szCs w:val="16"/>
        </w:rPr>
        <w:t xml:space="preserve">ctive substances boric acid and </w:t>
      </w:r>
      <w:r w:rsidRPr="00B65D57">
        <w:t>d</w:t>
      </w:r>
      <w:r w:rsidRPr="00B65D57">
        <w:rPr>
          <w:rFonts w:eastAsia="Calibri"/>
          <w:lang w:eastAsia="en-US"/>
        </w:rPr>
        <w:t>isodium tetraborate pentahydrate are</w:t>
      </w:r>
      <w:r w:rsidRPr="00B65D57">
        <w:rPr>
          <w:szCs w:val="16"/>
        </w:rPr>
        <w:t xml:space="preserve"> currently not considered to have endocrine disrupting (ED) properties according to </w:t>
      </w:r>
      <w:r w:rsidRPr="00B65D57">
        <w:rPr>
          <w:iCs/>
          <w:szCs w:val="16"/>
        </w:rPr>
        <w:t>Regulation (EU) 528/2012.</w:t>
      </w:r>
      <w:r w:rsidRPr="00B65D57">
        <w:rPr>
          <w:szCs w:val="16"/>
        </w:rPr>
        <w:t xml:space="preserve">  The substances have not been assessed according to the new ED criteria (Commission Delegated Regulation (EU) 2017/2100)</w:t>
      </w:r>
      <w:r w:rsidR="001F5674" w:rsidRPr="00B65D57">
        <w:rPr>
          <w:szCs w:val="16"/>
        </w:rPr>
        <w:t>. However, the c</w:t>
      </w:r>
      <w:r w:rsidRPr="00B65D57">
        <w:rPr>
          <w:szCs w:val="16"/>
        </w:rPr>
        <w:t xml:space="preserve">urrent guidance for application of these criteria (CA March18 Doc.7.3b-final, paragraph 19) specifies that the evaluating body should not evaluate endocrine disrupting properties nor request additional data on ED properties of active substances in the context of product authorisation procedures. </w:t>
      </w:r>
    </w:p>
    <w:p w14:paraId="172FE5F2" w14:textId="119322C5" w:rsidR="00085D5C" w:rsidRPr="00B65D57" w:rsidRDefault="00085D5C" w:rsidP="008F4848">
      <w:pPr>
        <w:spacing w:line="260" w:lineRule="atLeast"/>
        <w:rPr>
          <w:rFonts w:eastAsia="Calibri"/>
          <w:lang w:eastAsia="sv-SE"/>
        </w:rPr>
      </w:pPr>
      <w:bookmarkStart w:id="1550" w:name="_Toc388281593"/>
      <w:bookmarkStart w:id="1551" w:name="_Toc388282049"/>
      <w:bookmarkStart w:id="1552" w:name="_Toc388282531"/>
      <w:bookmarkStart w:id="1553" w:name="_Toc388282979"/>
      <w:bookmarkStart w:id="1554" w:name="_Toc388285291"/>
      <w:bookmarkStart w:id="1555" w:name="_Toc388374325"/>
      <w:bookmarkEnd w:id="1550"/>
      <w:bookmarkEnd w:id="1551"/>
      <w:bookmarkEnd w:id="1552"/>
      <w:bookmarkEnd w:id="1553"/>
      <w:bookmarkEnd w:id="1554"/>
      <w:bookmarkEnd w:id="1555"/>
    </w:p>
    <w:p w14:paraId="2395216C" w14:textId="6B23DEB2" w:rsidR="00FD2055" w:rsidRPr="00B65D57" w:rsidRDefault="009A5C9B" w:rsidP="00065CC0">
      <w:pPr>
        <w:pStyle w:val="Rubrik4"/>
      </w:pPr>
      <w:bookmarkStart w:id="1556" w:name="_Toc389729062"/>
      <w:bookmarkStart w:id="1557" w:name="_Toc403472764"/>
      <w:bookmarkStart w:id="1558" w:name="_Toc403566576"/>
      <w:bookmarkStart w:id="1559" w:name="_Toc129689599"/>
      <w:r w:rsidRPr="00B65D57">
        <w:t xml:space="preserve">2.2.6.2 </w:t>
      </w:r>
      <w:r w:rsidR="00FD2055" w:rsidRPr="00B65D57">
        <w:t>Exposure assessment</w:t>
      </w:r>
      <w:bookmarkEnd w:id="1556"/>
      <w:bookmarkEnd w:id="1557"/>
      <w:bookmarkEnd w:id="1558"/>
      <w:bookmarkEnd w:id="1559"/>
    </w:p>
    <w:p w14:paraId="5331DF04" w14:textId="77777777" w:rsidR="00857D20" w:rsidRPr="00B65D57" w:rsidRDefault="00857D20" w:rsidP="0052601B">
      <w:pPr>
        <w:spacing w:after="120"/>
        <w:rPr>
          <w:b/>
          <w:bCs/>
        </w:rPr>
      </w:pPr>
      <w:r w:rsidRPr="00B65D57">
        <w:rPr>
          <w:b/>
          <w:bCs/>
        </w:rPr>
        <w:t>Identification of main paths of human exposure towards active substance(s) and substances of concern from its use in biocidal product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7"/>
        <w:gridCol w:w="1115"/>
        <w:gridCol w:w="1374"/>
        <w:gridCol w:w="1409"/>
        <w:gridCol w:w="1163"/>
        <w:gridCol w:w="1350"/>
        <w:gridCol w:w="835"/>
        <w:gridCol w:w="765"/>
      </w:tblGrid>
      <w:tr w:rsidR="00857D20" w:rsidRPr="00B65D57" w14:paraId="71599E1E" w14:textId="77777777" w:rsidTr="00760DCC">
        <w:trPr>
          <w:tblHeader/>
        </w:trPr>
        <w:tc>
          <w:tcPr>
            <w:tcW w:w="5000" w:type="pct"/>
            <w:gridSpan w:val="8"/>
            <w:shd w:val="clear" w:color="auto" w:fill="FFFFCC"/>
          </w:tcPr>
          <w:p w14:paraId="3B456C54" w14:textId="77777777" w:rsidR="00857D20" w:rsidRPr="00B65D57" w:rsidRDefault="00857D20" w:rsidP="00760DCC">
            <w:pPr>
              <w:spacing w:line="260" w:lineRule="atLeast"/>
              <w:jc w:val="center"/>
              <w:rPr>
                <w:rFonts w:eastAsia="Calibri"/>
                <w:b/>
                <w:lang w:eastAsia="en-US"/>
              </w:rPr>
            </w:pPr>
            <w:r w:rsidRPr="00B65D57">
              <w:rPr>
                <w:rFonts w:eastAsia="Calibri"/>
                <w:b/>
                <w:lang w:eastAsia="en-US"/>
              </w:rPr>
              <w:t>Summary table: relevant paths of human exposure</w:t>
            </w:r>
          </w:p>
        </w:tc>
      </w:tr>
      <w:tr w:rsidR="00857D20" w:rsidRPr="00B65D57" w14:paraId="1462C9E2" w14:textId="77777777" w:rsidTr="00760DCC">
        <w:trPr>
          <w:tblHeader/>
        </w:trPr>
        <w:tc>
          <w:tcPr>
            <w:tcW w:w="645" w:type="pct"/>
            <w:vMerge w:val="restart"/>
            <w:shd w:val="clear" w:color="auto" w:fill="auto"/>
            <w:tcMar>
              <w:top w:w="57" w:type="dxa"/>
              <w:bottom w:w="57" w:type="dxa"/>
            </w:tcMar>
            <w:vAlign w:val="center"/>
          </w:tcPr>
          <w:p w14:paraId="1613C94E" w14:textId="77777777" w:rsidR="00857D20" w:rsidRPr="00B65D57" w:rsidRDefault="00857D20" w:rsidP="00760DCC">
            <w:pPr>
              <w:spacing w:line="260" w:lineRule="atLeast"/>
              <w:rPr>
                <w:rFonts w:eastAsia="Calibri"/>
                <w:b/>
                <w:lang w:eastAsia="en-US"/>
              </w:rPr>
            </w:pPr>
            <w:r w:rsidRPr="00B65D57">
              <w:rPr>
                <w:rFonts w:eastAsia="Calibri"/>
                <w:b/>
                <w:lang w:eastAsia="en-US"/>
              </w:rPr>
              <w:t>Exposure path</w:t>
            </w:r>
          </w:p>
        </w:tc>
        <w:tc>
          <w:tcPr>
            <w:tcW w:w="2119" w:type="pct"/>
            <w:gridSpan w:val="3"/>
            <w:shd w:val="clear" w:color="auto" w:fill="auto"/>
            <w:tcMar>
              <w:top w:w="57" w:type="dxa"/>
              <w:bottom w:w="57" w:type="dxa"/>
            </w:tcMar>
            <w:vAlign w:val="center"/>
          </w:tcPr>
          <w:p w14:paraId="101E781A" w14:textId="77777777" w:rsidR="00857D20" w:rsidRPr="00B65D57" w:rsidRDefault="00857D20" w:rsidP="00760DCC">
            <w:pPr>
              <w:spacing w:line="260" w:lineRule="atLeast"/>
              <w:rPr>
                <w:rFonts w:eastAsia="Calibri"/>
                <w:b/>
                <w:lang w:eastAsia="en-US"/>
              </w:rPr>
            </w:pPr>
            <w:r w:rsidRPr="00B65D57">
              <w:rPr>
                <w:rFonts w:eastAsia="Calibri"/>
                <w:b/>
                <w:lang w:eastAsia="en-US"/>
              </w:rPr>
              <w:t xml:space="preserve">Primary (direct) exposure </w:t>
            </w:r>
          </w:p>
        </w:tc>
        <w:tc>
          <w:tcPr>
            <w:tcW w:w="2236" w:type="pct"/>
            <w:gridSpan w:val="4"/>
          </w:tcPr>
          <w:p w14:paraId="7BF22AD9" w14:textId="77777777" w:rsidR="00857D20" w:rsidRPr="00B65D57" w:rsidRDefault="00857D20" w:rsidP="00760DCC">
            <w:pPr>
              <w:spacing w:line="260" w:lineRule="atLeast"/>
              <w:rPr>
                <w:rFonts w:eastAsia="Calibri"/>
                <w:b/>
                <w:lang w:eastAsia="en-US"/>
              </w:rPr>
            </w:pPr>
            <w:r w:rsidRPr="00B65D57">
              <w:rPr>
                <w:rFonts w:eastAsia="Calibri"/>
                <w:b/>
                <w:lang w:eastAsia="en-US"/>
              </w:rPr>
              <w:t xml:space="preserve">Secondary (indirect) exposure </w:t>
            </w:r>
          </w:p>
        </w:tc>
      </w:tr>
      <w:tr w:rsidR="00857D20" w:rsidRPr="00B65D57" w14:paraId="08A71BF0" w14:textId="77777777" w:rsidTr="00760DCC">
        <w:trPr>
          <w:tblHeader/>
        </w:trPr>
        <w:tc>
          <w:tcPr>
            <w:tcW w:w="645" w:type="pct"/>
            <w:vMerge/>
            <w:shd w:val="clear" w:color="auto" w:fill="auto"/>
            <w:tcMar>
              <w:top w:w="57" w:type="dxa"/>
              <w:bottom w:w="57" w:type="dxa"/>
            </w:tcMar>
          </w:tcPr>
          <w:p w14:paraId="2CE7B11A" w14:textId="77777777" w:rsidR="00857D20" w:rsidRPr="00B65D57" w:rsidRDefault="00857D20" w:rsidP="00760DCC">
            <w:pPr>
              <w:spacing w:line="260" w:lineRule="atLeast"/>
              <w:rPr>
                <w:rFonts w:eastAsia="Calibri"/>
                <w:lang w:eastAsia="en-US"/>
              </w:rPr>
            </w:pPr>
          </w:p>
        </w:tc>
        <w:tc>
          <w:tcPr>
            <w:tcW w:w="606" w:type="pct"/>
            <w:shd w:val="clear" w:color="auto" w:fill="auto"/>
            <w:tcMar>
              <w:top w:w="57" w:type="dxa"/>
              <w:bottom w:w="57" w:type="dxa"/>
            </w:tcMar>
          </w:tcPr>
          <w:p w14:paraId="4F820FA8" w14:textId="77777777" w:rsidR="00857D20" w:rsidRPr="00B65D57" w:rsidRDefault="00857D20" w:rsidP="00760DCC">
            <w:pPr>
              <w:spacing w:line="260" w:lineRule="atLeast"/>
              <w:rPr>
                <w:rFonts w:eastAsia="Calibri"/>
                <w:b/>
                <w:lang w:eastAsia="en-US"/>
              </w:rPr>
            </w:pPr>
            <w:r w:rsidRPr="00B65D57">
              <w:rPr>
                <w:rFonts w:eastAsia="Calibri"/>
                <w:b/>
                <w:lang w:eastAsia="en-US"/>
              </w:rPr>
              <w:t>Industrial use</w:t>
            </w:r>
          </w:p>
        </w:tc>
        <w:tc>
          <w:tcPr>
            <w:tcW w:w="747" w:type="pct"/>
            <w:shd w:val="clear" w:color="auto" w:fill="auto"/>
            <w:tcMar>
              <w:top w:w="57" w:type="dxa"/>
              <w:bottom w:w="57" w:type="dxa"/>
            </w:tcMar>
          </w:tcPr>
          <w:p w14:paraId="4B9F785F" w14:textId="77777777" w:rsidR="00857D20" w:rsidRPr="00B65D57" w:rsidRDefault="00857D20" w:rsidP="00760DCC">
            <w:pPr>
              <w:spacing w:line="260" w:lineRule="atLeast"/>
              <w:rPr>
                <w:rFonts w:eastAsia="Calibri"/>
                <w:b/>
                <w:lang w:eastAsia="en-US"/>
              </w:rPr>
            </w:pPr>
            <w:r w:rsidRPr="00B65D57">
              <w:rPr>
                <w:rFonts w:eastAsia="Calibri"/>
                <w:b/>
                <w:lang w:eastAsia="en-US"/>
              </w:rPr>
              <w:t>Professional use</w:t>
            </w:r>
          </w:p>
        </w:tc>
        <w:tc>
          <w:tcPr>
            <w:tcW w:w="766" w:type="pct"/>
            <w:shd w:val="clear" w:color="auto" w:fill="auto"/>
            <w:tcMar>
              <w:top w:w="57" w:type="dxa"/>
              <w:bottom w:w="57" w:type="dxa"/>
            </w:tcMar>
          </w:tcPr>
          <w:p w14:paraId="3FD9B445" w14:textId="77777777" w:rsidR="00857D20" w:rsidRPr="00B65D57" w:rsidRDefault="00857D20" w:rsidP="00760DCC">
            <w:pPr>
              <w:spacing w:line="260" w:lineRule="atLeast"/>
              <w:rPr>
                <w:rFonts w:eastAsia="Calibri"/>
                <w:b/>
                <w:lang w:eastAsia="en-US"/>
              </w:rPr>
            </w:pPr>
            <w:r w:rsidRPr="00B65D57">
              <w:rPr>
                <w:rFonts w:eastAsia="Calibri"/>
                <w:b/>
                <w:lang w:eastAsia="en-US"/>
              </w:rPr>
              <w:t>Non-professional use</w:t>
            </w:r>
          </w:p>
        </w:tc>
        <w:tc>
          <w:tcPr>
            <w:tcW w:w="632" w:type="pct"/>
          </w:tcPr>
          <w:p w14:paraId="1DE59A27" w14:textId="77777777" w:rsidR="00857D20" w:rsidRPr="00B65D57" w:rsidRDefault="00857D20" w:rsidP="00760DCC">
            <w:pPr>
              <w:spacing w:line="260" w:lineRule="atLeast"/>
              <w:rPr>
                <w:rFonts w:eastAsia="Calibri"/>
                <w:b/>
                <w:lang w:eastAsia="en-US"/>
              </w:rPr>
            </w:pPr>
            <w:r w:rsidRPr="00B65D57">
              <w:rPr>
                <w:rFonts w:eastAsia="Calibri"/>
                <w:b/>
                <w:lang w:eastAsia="en-US"/>
              </w:rPr>
              <w:t>Industrial use</w:t>
            </w:r>
          </w:p>
        </w:tc>
        <w:tc>
          <w:tcPr>
            <w:tcW w:w="734" w:type="pct"/>
          </w:tcPr>
          <w:p w14:paraId="0C5790E7" w14:textId="77777777" w:rsidR="00857D20" w:rsidRPr="00B65D57" w:rsidRDefault="00857D20" w:rsidP="00760DCC">
            <w:pPr>
              <w:spacing w:line="260" w:lineRule="atLeast"/>
              <w:rPr>
                <w:rFonts w:eastAsia="Calibri"/>
                <w:b/>
                <w:lang w:eastAsia="en-US"/>
              </w:rPr>
            </w:pPr>
            <w:r w:rsidRPr="00B65D57">
              <w:rPr>
                <w:rFonts w:eastAsia="Calibri"/>
                <w:b/>
                <w:lang w:eastAsia="en-US"/>
              </w:rPr>
              <w:t>Professional use</w:t>
            </w:r>
          </w:p>
        </w:tc>
        <w:tc>
          <w:tcPr>
            <w:tcW w:w="454" w:type="pct"/>
          </w:tcPr>
          <w:p w14:paraId="165EB361" w14:textId="77777777" w:rsidR="00857D20" w:rsidRPr="00B65D57" w:rsidRDefault="00857D20" w:rsidP="00760DCC">
            <w:pPr>
              <w:spacing w:line="260" w:lineRule="atLeast"/>
              <w:rPr>
                <w:rFonts w:eastAsia="Calibri"/>
                <w:b/>
                <w:lang w:eastAsia="en-US"/>
              </w:rPr>
            </w:pPr>
            <w:r w:rsidRPr="00B65D57">
              <w:rPr>
                <w:rFonts w:eastAsia="Calibri"/>
                <w:b/>
                <w:lang w:eastAsia="en-US"/>
              </w:rPr>
              <w:t>General public</w:t>
            </w:r>
          </w:p>
        </w:tc>
        <w:tc>
          <w:tcPr>
            <w:tcW w:w="416" w:type="pct"/>
          </w:tcPr>
          <w:p w14:paraId="4A145253" w14:textId="77777777" w:rsidR="00857D20" w:rsidRPr="00B65D57" w:rsidRDefault="00857D20" w:rsidP="00760DCC">
            <w:pPr>
              <w:spacing w:line="260" w:lineRule="atLeast"/>
              <w:rPr>
                <w:rFonts w:eastAsia="Calibri"/>
                <w:b/>
                <w:lang w:eastAsia="en-US"/>
              </w:rPr>
            </w:pPr>
            <w:r w:rsidRPr="00B65D57">
              <w:rPr>
                <w:rFonts w:eastAsia="Calibri"/>
                <w:b/>
                <w:lang w:eastAsia="en-US"/>
              </w:rPr>
              <w:t>Via food</w:t>
            </w:r>
          </w:p>
        </w:tc>
      </w:tr>
      <w:tr w:rsidR="00857D20" w:rsidRPr="00B65D57" w14:paraId="5CFE9217" w14:textId="77777777" w:rsidTr="00760DCC">
        <w:trPr>
          <w:tblHeader/>
        </w:trPr>
        <w:tc>
          <w:tcPr>
            <w:tcW w:w="645" w:type="pct"/>
            <w:shd w:val="clear" w:color="auto" w:fill="auto"/>
            <w:tcMar>
              <w:top w:w="57" w:type="dxa"/>
              <w:bottom w:w="57" w:type="dxa"/>
            </w:tcMar>
          </w:tcPr>
          <w:p w14:paraId="0DE77B3D" w14:textId="77777777" w:rsidR="00857D20" w:rsidRPr="00B65D57" w:rsidRDefault="00857D20" w:rsidP="00760DCC">
            <w:pPr>
              <w:spacing w:line="260" w:lineRule="atLeast"/>
              <w:rPr>
                <w:rFonts w:eastAsia="Calibri"/>
                <w:lang w:eastAsia="en-US"/>
              </w:rPr>
            </w:pPr>
            <w:r w:rsidRPr="00B65D57">
              <w:rPr>
                <w:rFonts w:eastAsia="Calibri"/>
                <w:lang w:eastAsia="en-US"/>
              </w:rPr>
              <w:t>Inhalation</w:t>
            </w:r>
          </w:p>
        </w:tc>
        <w:tc>
          <w:tcPr>
            <w:tcW w:w="606" w:type="pct"/>
            <w:tcMar>
              <w:top w:w="57" w:type="dxa"/>
              <w:bottom w:w="57" w:type="dxa"/>
            </w:tcMar>
          </w:tcPr>
          <w:p w14:paraId="046F9DB8"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747" w:type="pct"/>
            <w:shd w:val="clear" w:color="auto" w:fill="auto"/>
            <w:tcMar>
              <w:top w:w="57" w:type="dxa"/>
              <w:bottom w:w="57" w:type="dxa"/>
            </w:tcMar>
          </w:tcPr>
          <w:p w14:paraId="4902450E" w14:textId="77777777" w:rsidR="00857D20" w:rsidRPr="00B65D57" w:rsidRDefault="00857D20" w:rsidP="00760DCC">
            <w:pPr>
              <w:spacing w:line="260" w:lineRule="atLeast"/>
              <w:rPr>
                <w:rFonts w:eastAsia="Calibri"/>
                <w:lang w:eastAsia="en-US"/>
              </w:rPr>
            </w:pPr>
            <w:r w:rsidRPr="00B65D57">
              <w:rPr>
                <w:rFonts w:eastAsia="Calibri"/>
                <w:lang w:eastAsia="en-US"/>
              </w:rPr>
              <w:t>Yes</w:t>
            </w:r>
          </w:p>
        </w:tc>
        <w:tc>
          <w:tcPr>
            <w:tcW w:w="766" w:type="pct"/>
            <w:shd w:val="clear" w:color="auto" w:fill="auto"/>
            <w:tcMar>
              <w:top w:w="57" w:type="dxa"/>
              <w:bottom w:w="57" w:type="dxa"/>
            </w:tcMar>
          </w:tcPr>
          <w:p w14:paraId="7720002D"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632" w:type="pct"/>
          </w:tcPr>
          <w:p w14:paraId="21B3B33D"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734" w:type="pct"/>
          </w:tcPr>
          <w:p w14:paraId="05EFEC6D"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454" w:type="pct"/>
          </w:tcPr>
          <w:p w14:paraId="604DCD17"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416" w:type="pct"/>
          </w:tcPr>
          <w:p w14:paraId="23C1CDBD"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r>
      <w:tr w:rsidR="00857D20" w:rsidRPr="00B65D57" w14:paraId="533A9FBF" w14:textId="77777777" w:rsidTr="00760DCC">
        <w:trPr>
          <w:tblHeader/>
        </w:trPr>
        <w:tc>
          <w:tcPr>
            <w:tcW w:w="645" w:type="pct"/>
            <w:shd w:val="clear" w:color="auto" w:fill="auto"/>
            <w:tcMar>
              <w:top w:w="57" w:type="dxa"/>
              <w:bottom w:w="57" w:type="dxa"/>
            </w:tcMar>
          </w:tcPr>
          <w:p w14:paraId="2D3772AB" w14:textId="77777777" w:rsidR="00857D20" w:rsidRPr="00B65D57" w:rsidRDefault="00857D20" w:rsidP="00760DCC">
            <w:pPr>
              <w:spacing w:line="260" w:lineRule="atLeast"/>
              <w:rPr>
                <w:rFonts w:eastAsia="Calibri"/>
                <w:lang w:eastAsia="en-US"/>
              </w:rPr>
            </w:pPr>
            <w:r w:rsidRPr="00B65D57">
              <w:rPr>
                <w:rFonts w:eastAsia="Calibri"/>
                <w:lang w:eastAsia="en-US"/>
              </w:rPr>
              <w:t>Dermal</w:t>
            </w:r>
          </w:p>
        </w:tc>
        <w:tc>
          <w:tcPr>
            <w:tcW w:w="606" w:type="pct"/>
            <w:tcMar>
              <w:top w:w="57" w:type="dxa"/>
              <w:bottom w:w="57" w:type="dxa"/>
            </w:tcMar>
          </w:tcPr>
          <w:p w14:paraId="4336DCB1"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747" w:type="pct"/>
            <w:shd w:val="clear" w:color="auto" w:fill="auto"/>
            <w:tcMar>
              <w:top w:w="57" w:type="dxa"/>
              <w:bottom w:w="57" w:type="dxa"/>
            </w:tcMar>
          </w:tcPr>
          <w:p w14:paraId="2ABD5296" w14:textId="77777777" w:rsidR="00857D20" w:rsidRPr="00B65D57" w:rsidRDefault="00857D20" w:rsidP="00760DCC">
            <w:pPr>
              <w:spacing w:line="260" w:lineRule="atLeast"/>
              <w:rPr>
                <w:rFonts w:eastAsia="Calibri"/>
                <w:lang w:eastAsia="en-US"/>
              </w:rPr>
            </w:pPr>
            <w:r w:rsidRPr="00B65D57">
              <w:rPr>
                <w:rFonts w:eastAsia="Calibri"/>
                <w:lang w:eastAsia="en-US"/>
              </w:rPr>
              <w:t>Yes</w:t>
            </w:r>
          </w:p>
        </w:tc>
        <w:tc>
          <w:tcPr>
            <w:tcW w:w="766" w:type="pct"/>
            <w:shd w:val="clear" w:color="auto" w:fill="auto"/>
            <w:tcMar>
              <w:top w:w="57" w:type="dxa"/>
              <w:bottom w:w="57" w:type="dxa"/>
            </w:tcMar>
          </w:tcPr>
          <w:p w14:paraId="3C1607A1"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632" w:type="pct"/>
          </w:tcPr>
          <w:p w14:paraId="342F7BBD"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734" w:type="pct"/>
          </w:tcPr>
          <w:p w14:paraId="1CAAC9BE"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454" w:type="pct"/>
          </w:tcPr>
          <w:p w14:paraId="5F0A4DD2"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416" w:type="pct"/>
          </w:tcPr>
          <w:p w14:paraId="29585C4A" w14:textId="77777777" w:rsidR="00857D20" w:rsidRPr="00B65D57" w:rsidRDefault="00857D20" w:rsidP="00760DCC">
            <w:pPr>
              <w:spacing w:line="260" w:lineRule="atLeast"/>
              <w:rPr>
                <w:rFonts w:eastAsia="Calibri"/>
                <w:lang w:eastAsia="en-US"/>
              </w:rPr>
            </w:pPr>
            <w:r w:rsidRPr="00B65D57">
              <w:rPr>
                <w:rFonts w:eastAsia="Calibri"/>
                <w:lang w:eastAsia="en-US"/>
              </w:rPr>
              <w:t>N.A.</w:t>
            </w:r>
          </w:p>
          <w:p w14:paraId="3DD9450C" w14:textId="77777777" w:rsidR="00857D20" w:rsidRPr="00B65D57" w:rsidRDefault="00857D20" w:rsidP="00760DCC">
            <w:pPr>
              <w:spacing w:line="260" w:lineRule="atLeast"/>
              <w:rPr>
                <w:rFonts w:eastAsia="Calibri"/>
                <w:lang w:eastAsia="en-US"/>
              </w:rPr>
            </w:pPr>
          </w:p>
        </w:tc>
      </w:tr>
      <w:tr w:rsidR="00857D20" w:rsidRPr="00B65D57" w14:paraId="77440FC6" w14:textId="77777777" w:rsidTr="00760DCC">
        <w:trPr>
          <w:tblHeader/>
        </w:trPr>
        <w:tc>
          <w:tcPr>
            <w:tcW w:w="645" w:type="pct"/>
            <w:shd w:val="clear" w:color="auto" w:fill="auto"/>
            <w:tcMar>
              <w:top w:w="57" w:type="dxa"/>
              <w:bottom w:w="57" w:type="dxa"/>
            </w:tcMar>
          </w:tcPr>
          <w:p w14:paraId="0B0F39AF" w14:textId="77777777" w:rsidR="00857D20" w:rsidRPr="00B65D57" w:rsidRDefault="00857D20" w:rsidP="00760DCC">
            <w:pPr>
              <w:spacing w:line="260" w:lineRule="atLeast"/>
              <w:rPr>
                <w:rFonts w:eastAsia="Calibri"/>
                <w:lang w:eastAsia="en-US"/>
              </w:rPr>
            </w:pPr>
            <w:r w:rsidRPr="00B65D57">
              <w:rPr>
                <w:rFonts w:eastAsia="Calibri"/>
                <w:lang w:eastAsia="en-US"/>
              </w:rPr>
              <w:t>Oral</w:t>
            </w:r>
          </w:p>
        </w:tc>
        <w:tc>
          <w:tcPr>
            <w:tcW w:w="606" w:type="pct"/>
            <w:tcMar>
              <w:top w:w="57" w:type="dxa"/>
              <w:bottom w:w="57" w:type="dxa"/>
            </w:tcMar>
          </w:tcPr>
          <w:p w14:paraId="62249323"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747" w:type="pct"/>
            <w:shd w:val="clear" w:color="auto" w:fill="auto"/>
            <w:tcMar>
              <w:top w:w="57" w:type="dxa"/>
              <w:bottom w:w="57" w:type="dxa"/>
            </w:tcMar>
          </w:tcPr>
          <w:p w14:paraId="302D9822" w14:textId="77777777" w:rsidR="00857D20" w:rsidRPr="00B65D57" w:rsidRDefault="00857D20" w:rsidP="00760DCC">
            <w:pPr>
              <w:spacing w:line="260" w:lineRule="atLeast"/>
              <w:rPr>
                <w:rFonts w:eastAsia="Calibri"/>
                <w:lang w:eastAsia="en-US"/>
              </w:rPr>
            </w:pPr>
            <w:r w:rsidRPr="00B65D57">
              <w:rPr>
                <w:rFonts w:eastAsia="Calibri"/>
                <w:lang w:eastAsia="en-US"/>
              </w:rPr>
              <w:t>No</w:t>
            </w:r>
          </w:p>
        </w:tc>
        <w:tc>
          <w:tcPr>
            <w:tcW w:w="766" w:type="pct"/>
            <w:shd w:val="clear" w:color="auto" w:fill="auto"/>
            <w:tcMar>
              <w:top w:w="57" w:type="dxa"/>
              <w:bottom w:w="57" w:type="dxa"/>
            </w:tcMar>
          </w:tcPr>
          <w:p w14:paraId="603211D6"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632" w:type="pct"/>
          </w:tcPr>
          <w:p w14:paraId="7BE33580"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734" w:type="pct"/>
          </w:tcPr>
          <w:p w14:paraId="56886BE1"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454" w:type="pct"/>
          </w:tcPr>
          <w:p w14:paraId="4A9F84A8"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c>
          <w:tcPr>
            <w:tcW w:w="416" w:type="pct"/>
          </w:tcPr>
          <w:p w14:paraId="64B10CC7" w14:textId="77777777" w:rsidR="00857D20" w:rsidRPr="00B65D57" w:rsidRDefault="00857D20" w:rsidP="00760DCC">
            <w:pPr>
              <w:spacing w:line="260" w:lineRule="atLeast"/>
              <w:rPr>
                <w:rFonts w:eastAsia="Calibri"/>
                <w:lang w:eastAsia="en-US"/>
              </w:rPr>
            </w:pPr>
            <w:r w:rsidRPr="00B65D57">
              <w:rPr>
                <w:rFonts w:eastAsia="Calibri"/>
                <w:lang w:eastAsia="en-US"/>
              </w:rPr>
              <w:t>N.A.</w:t>
            </w:r>
          </w:p>
        </w:tc>
      </w:tr>
    </w:tbl>
    <w:p w14:paraId="4EA33DA3" w14:textId="75AA907F" w:rsidR="00857D20" w:rsidRPr="00B65D57" w:rsidRDefault="00857D20" w:rsidP="00BD0760"/>
    <w:p w14:paraId="2B7661B5" w14:textId="77777777" w:rsidR="00BD0760" w:rsidRPr="00B65D57" w:rsidRDefault="00BD0760" w:rsidP="00BD0760"/>
    <w:p w14:paraId="63FF27B3" w14:textId="13767070" w:rsidR="00857D20" w:rsidRPr="00B65D57" w:rsidRDefault="002C23EC" w:rsidP="008F4848">
      <w:pPr>
        <w:pStyle w:val="Rubrik5"/>
        <w:rPr>
          <w:lang w:val="en-GB"/>
        </w:rPr>
      </w:pPr>
      <w:r w:rsidRPr="00B65D57">
        <w:rPr>
          <w:lang w:val="en-GB"/>
        </w:rPr>
        <w:t xml:space="preserve">2.2.6.2.1. </w:t>
      </w:r>
      <w:r w:rsidR="00857D20" w:rsidRPr="00B65D57">
        <w:rPr>
          <w:lang w:val="en-GB"/>
        </w:rPr>
        <w:t>Description of Jerbor and the intended use</w:t>
      </w:r>
    </w:p>
    <w:p w14:paraId="4EA2F6E3" w14:textId="55260F07" w:rsidR="00857D20" w:rsidRPr="00B65D57" w:rsidRDefault="00857D20" w:rsidP="00857D20">
      <w:pPr>
        <w:spacing w:after="120"/>
      </w:pPr>
      <w:r w:rsidRPr="00B65D57">
        <w:rPr>
          <w:lang w:eastAsia="sv-SE"/>
        </w:rPr>
        <w:t xml:space="preserve">The biocidal product Jerbor is a </w:t>
      </w:r>
      <w:r w:rsidRPr="00B65D57" w:rsidDel="59431789">
        <w:rPr>
          <w:lang w:eastAsia="sv-SE"/>
        </w:rPr>
        <w:t>water</w:t>
      </w:r>
      <w:r w:rsidRPr="00B65D57">
        <w:rPr>
          <w:lang w:eastAsia="sv-SE"/>
        </w:rPr>
        <w:t xml:space="preserve">-soluble product used against rot in the ground reinforcement wood (poles, etc.). Jerbor is only used by professionals in accordance with the instructions for use (2.1.4.2). </w:t>
      </w:r>
      <w:r w:rsidRPr="00B65D57">
        <w:t xml:space="preserve">For more specific requirements and details, see </w:t>
      </w:r>
      <w:r w:rsidR="00ED2E09" w:rsidRPr="00B65D57">
        <w:t xml:space="preserve">Manual Euroborbehandling (manual of Eurobor technique) </w:t>
      </w:r>
      <w:r w:rsidRPr="00B65D57">
        <w:t xml:space="preserve">(Bandh, 2022). </w:t>
      </w:r>
    </w:p>
    <w:p w14:paraId="5CE63BC7" w14:textId="77777777" w:rsidR="00857D20" w:rsidRPr="00B65D57" w:rsidRDefault="00857D20" w:rsidP="00857D20">
      <w:pPr>
        <w:autoSpaceDE w:val="0"/>
        <w:autoSpaceDN w:val="0"/>
        <w:adjustRightInd w:val="0"/>
        <w:rPr>
          <w:lang w:eastAsia="sv-SE"/>
        </w:rPr>
      </w:pPr>
      <w:r w:rsidRPr="00B65D57">
        <w:rPr>
          <w:lang w:eastAsia="sv-SE"/>
        </w:rPr>
        <w:t>The product contains 46.3 wt-% of disodium tetraborate pentahydrate and</w:t>
      </w:r>
      <w:r w:rsidRPr="00B65D57" w:rsidDel="59431789">
        <w:rPr>
          <w:lang w:eastAsia="sv-SE"/>
        </w:rPr>
        <w:t xml:space="preserve"> </w:t>
      </w:r>
      <w:r w:rsidRPr="00B65D57">
        <w:rPr>
          <w:lang w:eastAsia="sv-SE"/>
        </w:rPr>
        <w:t xml:space="preserve">53.7 wt-% of boric acid as active ingredients. Both substances are relevant for the risk assessment of the biocidal product. The toxic effects of these substances are equal due to the content of boron. </w:t>
      </w:r>
    </w:p>
    <w:p w14:paraId="07902EEB" w14:textId="77777777" w:rsidR="00857D20" w:rsidRPr="00B65D57" w:rsidRDefault="00857D20" w:rsidP="00857D20">
      <w:pPr>
        <w:rPr>
          <w:lang w:eastAsia="sv-SE"/>
        </w:rPr>
      </w:pPr>
    </w:p>
    <w:p w14:paraId="416496E2" w14:textId="77777777" w:rsidR="00857D20" w:rsidRPr="00B65D57" w:rsidRDefault="00857D20" w:rsidP="00857D20">
      <w:pPr>
        <w:autoSpaceDE w:val="0"/>
        <w:autoSpaceDN w:val="0"/>
        <w:adjustRightInd w:val="0"/>
        <w:rPr>
          <w:lang w:eastAsia="sv-SE"/>
        </w:rPr>
      </w:pPr>
      <w:r w:rsidRPr="00B65D57">
        <w:rPr>
          <w:lang w:eastAsia="sv-SE"/>
        </w:rPr>
        <w:t>The physical state of the product is granular. Use of the product is restricted to a prepared solution with dilution of Jerbor (9.6 wt-%) in hot water (50 - 70</w:t>
      </w:r>
      <w:r w:rsidRPr="00B65D57">
        <w:rPr>
          <w:rFonts w:eastAsia="Calibri" w:cs="Calibri"/>
          <w:lang w:eastAsia="sv-SE"/>
        </w:rPr>
        <w:t>°</w:t>
      </w:r>
      <w:r w:rsidRPr="00B65D57">
        <w:rPr>
          <w:lang w:eastAsia="sv-SE"/>
        </w:rPr>
        <w:t xml:space="preserve">C) (70.4 wt-%) mixed with the thickener sodium bentonite (20 wt-%). </w:t>
      </w:r>
    </w:p>
    <w:p w14:paraId="4AFD27B4" w14:textId="77777777" w:rsidR="00857D20" w:rsidRPr="00B65D57" w:rsidRDefault="00857D20" w:rsidP="00857D20">
      <w:pPr>
        <w:rPr>
          <w:lang w:eastAsia="sv-SE"/>
        </w:rPr>
      </w:pPr>
    </w:p>
    <w:p w14:paraId="25771413" w14:textId="68ACE97A" w:rsidR="00BD4323" w:rsidRPr="00B65D57" w:rsidRDefault="00857D20" w:rsidP="00857D20">
      <w:pPr>
        <w:autoSpaceDE w:val="0"/>
        <w:autoSpaceDN w:val="0"/>
        <w:adjustRightInd w:val="0"/>
        <w:rPr>
          <w:lang w:eastAsia="sv-SE"/>
        </w:rPr>
      </w:pPr>
      <w:r w:rsidRPr="00B65D57">
        <w:rPr>
          <w:lang w:eastAsia="sv-SE"/>
        </w:rPr>
        <w:t xml:space="preserve">The slurry of the biocidal product Jerbor contains only the </w:t>
      </w:r>
      <w:r w:rsidRPr="00B65D57" w:rsidDel="1436B699">
        <w:rPr>
          <w:lang w:eastAsia="sv-SE"/>
        </w:rPr>
        <w:t>above</w:t>
      </w:r>
      <w:r w:rsidRPr="00B65D57">
        <w:rPr>
          <w:lang w:eastAsia="sv-SE"/>
        </w:rPr>
        <w:t>-mentioned ingredients. The sodium bentonite used in the slurry, at a concentration of 20% (w/w) (CAS No. 1302-78-9), is not considered a dangerous substance. It is not expected to have any serious adverse health effects,</w:t>
      </w:r>
      <w:r w:rsidRPr="00B65D57">
        <w:t xml:space="preserve"> </w:t>
      </w:r>
      <w:r w:rsidRPr="00B65D57">
        <w:rPr>
          <w:lang w:eastAsia="sv-SE"/>
        </w:rPr>
        <w:t>except that it, as a powder, may cause serious eye irritation, skin irritation and respiratory irritation (notified classification; C&amp;L inventory, ECHA).</w:t>
      </w:r>
    </w:p>
    <w:p w14:paraId="4C85DD6A" w14:textId="468BFB28" w:rsidR="00857D20" w:rsidRPr="00B65D57" w:rsidRDefault="00857D20" w:rsidP="00857D20">
      <w:pPr>
        <w:autoSpaceDE w:val="0"/>
        <w:autoSpaceDN w:val="0"/>
        <w:adjustRightInd w:val="0"/>
        <w:rPr>
          <w:lang w:eastAsia="sv-SE"/>
        </w:rPr>
      </w:pPr>
    </w:p>
    <w:p w14:paraId="3EB6339F" w14:textId="77777777" w:rsidR="00857D20" w:rsidRPr="00B65D57" w:rsidRDefault="00857D20" w:rsidP="00857D20">
      <w:pPr>
        <w:rPr>
          <w:rFonts w:eastAsia="Calibri"/>
          <w:i/>
          <w:sz w:val="22"/>
          <w:szCs w:val="22"/>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115"/>
        <w:gridCol w:w="5405"/>
        <w:gridCol w:w="1648"/>
      </w:tblGrid>
      <w:tr w:rsidR="00857D20" w:rsidRPr="00B65D57" w14:paraId="38F9282E" w14:textId="77777777" w:rsidTr="00760DCC">
        <w:trPr>
          <w:tblHeader/>
        </w:trPr>
        <w:tc>
          <w:tcPr>
            <w:tcW w:w="5000" w:type="pct"/>
            <w:gridSpan w:val="4"/>
            <w:shd w:val="clear" w:color="auto" w:fill="FFFFCC"/>
          </w:tcPr>
          <w:p w14:paraId="6EE742C3" w14:textId="77777777" w:rsidR="00857D20" w:rsidRPr="00B65D57" w:rsidRDefault="00857D20" w:rsidP="00760DCC">
            <w:pPr>
              <w:keepNext/>
              <w:widowControl w:val="0"/>
              <w:tabs>
                <w:tab w:val="center" w:pos="4536"/>
                <w:tab w:val="right" w:pos="9072"/>
              </w:tabs>
              <w:spacing w:before="60" w:after="60"/>
              <w:jc w:val="center"/>
              <w:rPr>
                <w:rFonts w:eastAsia="Calibri"/>
                <w:b/>
                <w:bCs/>
                <w:color w:val="000000"/>
                <w:sz w:val="18"/>
                <w:szCs w:val="18"/>
                <w:lang w:eastAsia="en-GB"/>
              </w:rPr>
            </w:pPr>
            <w:r w:rsidRPr="00B65D57">
              <w:rPr>
                <w:rFonts w:eastAsia="Calibri"/>
                <w:b/>
                <w:bCs/>
                <w:color w:val="000000"/>
                <w:sz w:val="18"/>
                <w:szCs w:val="18"/>
                <w:lang w:eastAsia="en-GB"/>
              </w:rPr>
              <w:lastRenderedPageBreak/>
              <w:t>Summary table: scenarios</w:t>
            </w:r>
          </w:p>
        </w:tc>
      </w:tr>
      <w:tr w:rsidR="00857D20" w:rsidRPr="00B65D57" w14:paraId="63295780" w14:textId="77777777" w:rsidTr="00760DCC">
        <w:trPr>
          <w:tblHeader/>
        </w:trPr>
        <w:tc>
          <w:tcPr>
            <w:tcW w:w="560" w:type="pct"/>
            <w:shd w:val="clear" w:color="auto" w:fill="auto"/>
            <w:tcMar>
              <w:top w:w="57" w:type="dxa"/>
              <w:bottom w:w="57" w:type="dxa"/>
            </w:tcMar>
          </w:tcPr>
          <w:p w14:paraId="49873192" w14:textId="77777777" w:rsidR="00857D20" w:rsidRPr="00B65D57" w:rsidRDefault="00857D20" w:rsidP="00760DCC">
            <w:pPr>
              <w:keepNext/>
              <w:widowControl w:val="0"/>
              <w:tabs>
                <w:tab w:val="center" w:pos="4536"/>
                <w:tab w:val="right" w:pos="9072"/>
              </w:tabs>
              <w:rPr>
                <w:rFonts w:eastAsia="Calibri"/>
                <w:b/>
                <w:bCs/>
                <w:color w:val="000000"/>
                <w:sz w:val="18"/>
                <w:szCs w:val="18"/>
                <w:lang w:eastAsia="en-GB"/>
              </w:rPr>
            </w:pPr>
            <w:r w:rsidRPr="00B65D57">
              <w:rPr>
                <w:rFonts w:eastAsia="Calibri"/>
                <w:b/>
                <w:bCs/>
                <w:color w:val="000000"/>
                <w:sz w:val="18"/>
                <w:szCs w:val="18"/>
                <w:lang w:eastAsia="en-GB"/>
              </w:rPr>
              <w:t>Scenario number</w:t>
            </w:r>
          </w:p>
        </w:tc>
        <w:tc>
          <w:tcPr>
            <w:tcW w:w="606" w:type="pct"/>
            <w:shd w:val="clear" w:color="auto" w:fill="auto"/>
            <w:tcMar>
              <w:top w:w="57" w:type="dxa"/>
              <w:bottom w:w="57" w:type="dxa"/>
            </w:tcMar>
          </w:tcPr>
          <w:p w14:paraId="6285851B" w14:textId="77777777" w:rsidR="00857D20" w:rsidRPr="00B65D57" w:rsidRDefault="00857D20" w:rsidP="00760DCC">
            <w:pPr>
              <w:keepNext/>
              <w:widowControl w:val="0"/>
              <w:tabs>
                <w:tab w:val="center" w:pos="4536"/>
                <w:tab w:val="right" w:pos="9072"/>
              </w:tabs>
              <w:rPr>
                <w:rFonts w:eastAsia="Calibri"/>
                <w:b/>
                <w:bCs/>
                <w:color w:val="000000"/>
                <w:sz w:val="18"/>
                <w:szCs w:val="18"/>
                <w:lang w:eastAsia="en-GB"/>
              </w:rPr>
            </w:pPr>
            <w:r w:rsidRPr="00B65D57">
              <w:rPr>
                <w:rFonts w:eastAsia="Calibri"/>
                <w:b/>
                <w:bCs/>
                <w:color w:val="000000"/>
                <w:sz w:val="18"/>
                <w:szCs w:val="18"/>
                <w:lang w:eastAsia="en-GB"/>
              </w:rPr>
              <w:t>Scenario</w:t>
            </w:r>
          </w:p>
          <w:p w14:paraId="37503932" w14:textId="77777777" w:rsidR="00857D20" w:rsidRPr="00B65D57" w:rsidRDefault="00857D20" w:rsidP="00760DCC">
            <w:pPr>
              <w:keepNext/>
              <w:widowControl w:val="0"/>
              <w:tabs>
                <w:tab w:val="center" w:pos="4536"/>
                <w:tab w:val="right" w:pos="9072"/>
              </w:tabs>
              <w:rPr>
                <w:rFonts w:eastAsia="Calibri"/>
                <w:bCs/>
                <w:color w:val="000000"/>
                <w:sz w:val="18"/>
                <w:szCs w:val="18"/>
                <w:lang w:eastAsia="en-GB"/>
              </w:rPr>
            </w:pPr>
            <w:r w:rsidRPr="00B65D57">
              <w:rPr>
                <w:rFonts w:eastAsia="Calibri"/>
                <w:bCs/>
                <w:color w:val="000000"/>
                <w:sz w:val="18"/>
                <w:szCs w:val="18"/>
                <w:lang w:eastAsia="en-GB"/>
              </w:rPr>
              <w:t>(e.g. mixing/ loading)</w:t>
            </w:r>
          </w:p>
        </w:tc>
        <w:tc>
          <w:tcPr>
            <w:tcW w:w="2938" w:type="pct"/>
            <w:shd w:val="clear" w:color="auto" w:fill="auto"/>
            <w:tcMar>
              <w:top w:w="57" w:type="dxa"/>
              <w:bottom w:w="57" w:type="dxa"/>
            </w:tcMar>
          </w:tcPr>
          <w:p w14:paraId="1BAF0B95" w14:textId="77777777" w:rsidR="00857D20" w:rsidRPr="00B65D57" w:rsidRDefault="00857D20" w:rsidP="00760DCC">
            <w:pPr>
              <w:keepNext/>
              <w:widowControl w:val="0"/>
              <w:tabs>
                <w:tab w:val="center" w:pos="4536"/>
                <w:tab w:val="right" w:pos="9072"/>
              </w:tabs>
              <w:rPr>
                <w:rFonts w:eastAsia="Calibri"/>
                <w:b/>
                <w:bCs/>
                <w:color w:val="000000"/>
                <w:sz w:val="18"/>
                <w:szCs w:val="18"/>
                <w:lang w:eastAsia="en-GB"/>
              </w:rPr>
            </w:pPr>
            <w:r w:rsidRPr="00B65D57">
              <w:rPr>
                <w:rFonts w:eastAsia="Calibri"/>
                <w:b/>
                <w:bCs/>
                <w:color w:val="000000"/>
                <w:sz w:val="18"/>
                <w:szCs w:val="18"/>
                <w:lang w:eastAsia="en-GB"/>
              </w:rPr>
              <w:t xml:space="preserve">Primary or secondary exposure </w:t>
            </w:r>
          </w:p>
          <w:p w14:paraId="255C137F" w14:textId="77777777" w:rsidR="00857D20" w:rsidRPr="00B65D57" w:rsidRDefault="00857D20" w:rsidP="00760DCC">
            <w:pPr>
              <w:keepNext/>
              <w:widowControl w:val="0"/>
              <w:tabs>
                <w:tab w:val="center" w:pos="4536"/>
                <w:tab w:val="right" w:pos="9072"/>
              </w:tabs>
              <w:rPr>
                <w:rFonts w:eastAsia="Calibri"/>
                <w:bCs/>
                <w:color w:val="000000"/>
                <w:sz w:val="18"/>
                <w:szCs w:val="18"/>
                <w:lang w:eastAsia="en-GB"/>
              </w:rPr>
            </w:pPr>
            <w:r w:rsidRPr="00B65D57">
              <w:rPr>
                <w:rFonts w:eastAsia="Calibri"/>
                <w:b/>
                <w:bCs/>
                <w:color w:val="000000"/>
                <w:sz w:val="18"/>
                <w:szCs w:val="18"/>
                <w:lang w:eastAsia="en-GB"/>
              </w:rPr>
              <w:t>Description of scenario</w:t>
            </w:r>
          </w:p>
        </w:tc>
        <w:tc>
          <w:tcPr>
            <w:tcW w:w="896" w:type="pct"/>
            <w:shd w:val="clear" w:color="auto" w:fill="auto"/>
            <w:tcMar>
              <w:top w:w="57" w:type="dxa"/>
              <w:bottom w:w="57" w:type="dxa"/>
            </w:tcMar>
          </w:tcPr>
          <w:p w14:paraId="5864A3BC" w14:textId="77777777" w:rsidR="00857D20" w:rsidRPr="00B65D57" w:rsidRDefault="00857D20" w:rsidP="00760DCC">
            <w:pPr>
              <w:keepNext/>
              <w:widowControl w:val="0"/>
              <w:tabs>
                <w:tab w:val="center" w:pos="4536"/>
                <w:tab w:val="right" w:pos="9072"/>
              </w:tabs>
              <w:rPr>
                <w:rFonts w:eastAsia="Calibri"/>
                <w:b/>
                <w:bCs/>
                <w:color w:val="000000"/>
                <w:sz w:val="18"/>
                <w:szCs w:val="18"/>
                <w:lang w:eastAsia="en-GB"/>
              </w:rPr>
            </w:pPr>
            <w:r w:rsidRPr="00B65D57">
              <w:rPr>
                <w:rFonts w:eastAsia="Calibri"/>
                <w:b/>
                <w:bCs/>
                <w:color w:val="000000"/>
                <w:sz w:val="18"/>
                <w:szCs w:val="18"/>
                <w:lang w:eastAsia="en-GB"/>
              </w:rPr>
              <w:t>Exposed group</w:t>
            </w:r>
          </w:p>
          <w:p w14:paraId="27EA50C5" w14:textId="77777777" w:rsidR="00857D20" w:rsidRPr="00B65D57" w:rsidRDefault="00857D20" w:rsidP="00760DCC">
            <w:pPr>
              <w:keepNext/>
              <w:widowControl w:val="0"/>
              <w:tabs>
                <w:tab w:val="center" w:pos="4536"/>
                <w:tab w:val="right" w:pos="9072"/>
              </w:tabs>
              <w:rPr>
                <w:rFonts w:eastAsia="Calibri"/>
                <w:bCs/>
                <w:color w:val="000000"/>
                <w:sz w:val="18"/>
                <w:szCs w:val="18"/>
                <w:lang w:eastAsia="en-GB"/>
              </w:rPr>
            </w:pPr>
            <w:r w:rsidRPr="00B65D57">
              <w:rPr>
                <w:rFonts w:eastAsia="Calibri"/>
                <w:bCs/>
                <w:color w:val="000000"/>
                <w:sz w:val="18"/>
                <w:szCs w:val="18"/>
                <w:lang w:eastAsia="en-GB"/>
              </w:rPr>
              <w:t>(e.g. professionals, non-professionals, bystanders)</w:t>
            </w:r>
          </w:p>
        </w:tc>
      </w:tr>
      <w:tr w:rsidR="00857D20" w:rsidRPr="00B65D57" w14:paraId="01CB1923" w14:textId="77777777" w:rsidTr="00760DCC">
        <w:trPr>
          <w:tblHeader/>
        </w:trPr>
        <w:tc>
          <w:tcPr>
            <w:tcW w:w="560" w:type="pct"/>
            <w:tcMar>
              <w:top w:w="57" w:type="dxa"/>
              <w:bottom w:w="57" w:type="dxa"/>
            </w:tcMar>
          </w:tcPr>
          <w:p w14:paraId="440EC3B5" w14:textId="77777777" w:rsidR="00857D20" w:rsidRPr="00B65D57" w:rsidRDefault="00857D20" w:rsidP="00760DCC">
            <w:pPr>
              <w:keepNext/>
              <w:rPr>
                <w:rFonts w:eastAsia="Calibri"/>
                <w:sz w:val="18"/>
                <w:szCs w:val="18"/>
              </w:rPr>
            </w:pPr>
            <w:r w:rsidRPr="00B65D57">
              <w:rPr>
                <w:rFonts w:eastAsia="Calibri"/>
                <w:sz w:val="18"/>
                <w:szCs w:val="18"/>
              </w:rPr>
              <w:t>1a.</w:t>
            </w:r>
          </w:p>
        </w:tc>
        <w:tc>
          <w:tcPr>
            <w:tcW w:w="606" w:type="pct"/>
            <w:shd w:val="clear" w:color="auto" w:fill="auto"/>
            <w:tcMar>
              <w:top w:w="57" w:type="dxa"/>
              <w:bottom w:w="57" w:type="dxa"/>
            </w:tcMar>
          </w:tcPr>
          <w:p w14:paraId="0576DA6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Production</w:t>
            </w:r>
          </w:p>
        </w:tc>
        <w:tc>
          <w:tcPr>
            <w:tcW w:w="2938" w:type="pct"/>
            <w:tcMar>
              <w:top w:w="57" w:type="dxa"/>
              <w:bottom w:w="57" w:type="dxa"/>
            </w:tcMar>
          </w:tcPr>
          <w:p w14:paraId="3BA5B7F3"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Manufacturing- Inhalation - Primary exposure</w:t>
            </w:r>
          </w:p>
        </w:tc>
        <w:tc>
          <w:tcPr>
            <w:tcW w:w="896" w:type="pct"/>
            <w:shd w:val="clear" w:color="auto" w:fill="auto"/>
            <w:tcMar>
              <w:top w:w="57" w:type="dxa"/>
              <w:bottom w:w="57" w:type="dxa"/>
            </w:tcMar>
          </w:tcPr>
          <w:p w14:paraId="5F8EBBE5"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4096C7F8" w14:textId="77777777" w:rsidTr="00760DCC">
        <w:trPr>
          <w:tblHeader/>
        </w:trPr>
        <w:tc>
          <w:tcPr>
            <w:tcW w:w="560" w:type="pct"/>
            <w:tcMar>
              <w:top w:w="57" w:type="dxa"/>
              <w:bottom w:w="57" w:type="dxa"/>
            </w:tcMar>
          </w:tcPr>
          <w:p w14:paraId="678FF821" w14:textId="77777777" w:rsidR="00857D20" w:rsidRPr="00B65D57" w:rsidRDefault="00857D20" w:rsidP="00760DCC">
            <w:pPr>
              <w:keepNext/>
              <w:rPr>
                <w:rFonts w:eastAsia="Calibri"/>
                <w:sz w:val="18"/>
                <w:szCs w:val="18"/>
              </w:rPr>
            </w:pPr>
            <w:r w:rsidRPr="00B65D57">
              <w:rPr>
                <w:rFonts w:eastAsia="Calibri"/>
                <w:sz w:val="18"/>
                <w:szCs w:val="18"/>
              </w:rPr>
              <w:t>1b.</w:t>
            </w:r>
          </w:p>
        </w:tc>
        <w:tc>
          <w:tcPr>
            <w:tcW w:w="606" w:type="pct"/>
            <w:shd w:val="clear" w:color="auto" w:fill="auto"/>
            <w:tcMar>
              <w:top w:w="57" w:type="dxa"/>
              <w:bottom w:w="57" w:type="dxa"/>
            </w:tcMar>
          </w:tcPr>
          <w:p w14:paraId="192EEE79"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Production</w:t>
            </w:r>
          </w:p>
        </w:tc>
        <w:tc>
          <w:tcPr>
            <w:tcW w:w="2938" w:type="pct"/>
            <w:tcMar>
              <w:top w:w="57" w:type="dxa"/>
              <w:bottom w:w="57" w:type="dxa"/>
            </w:tcMar>
          </w:tcPr>
          <w:p w14:paraId="387F5254"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Manufacturing - Dermal - Primary exposure</w:t>
            </w:r>
          </w:p>
        </w:tc>
        <w:tc>
          <w:tcPr>
            <w:tcW w:w="896" w:type="pct"/>
            <w:shd w:val="clear" w:color="auto" w:fill="auto"/>
            <w:tcMar>
              <w:top w:w="57" w:type="dxa"/>
              <w:bottom w:w="57" w:type="dxa"/>
            </w:tcMar>
          </w:tcPr>
          <w:p w14:paraId="0786271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2B112D54" w14:textId="77777777" w:rsidTr="00760DCC">
        <w:trPr>
          <w:tblHeader/>
        </w:trPr>
        <w:tc>
          <w:tcPr>
            <w:tcW w:w="560" w:type="pct"/>
            <w:tcMar>
              <w:top w:w="57" w:type="dxa"/>
              <w:bottom w:w="57" w:type="dxa"/>
            </w:tcMar>
          </w:tcPr>
          <w:p w14:paraId="73823F6B" w14:textId="77777777" w:rsidR="00857D20" w:rsidRPr="00B65D57" w:rsidRDefault="00857D20" w:rsidP="00760DCC">
            <w:pPr>
              <w:keepNext/>
              <w:rPr>
                <w:rFonts w:eastAsia="Calibri"/>
                <w:sz w:val="18"/>
                <w:szCs w:val="18"/>
              </w:rPr>
            </w:pPr>
            <w:r w:rsidRPr="00B65D57">
              <w:rPr>
                <w:rFonts w:eastAsia="Calibri"/>
                <w:color w:val="000000"/>
                <w:sz w:val="18"/>
                <w:szCs w:val="18"/>
                <w:lang w:eastAsia="en-GB"/>
              </w:rPr>
              <w:t>1c.</w:t>
            </w:r>
          </w:p>
        </w:tc>
        <w:tc>
          <w:tcPr>
            <w:tcW w:w="606" w:type="pct"/>
            <w:shd w:val="clear" w:color="auto" w:fill="auto"/>
            <w:tcMar>
              <w:top w:w="57" w:type="dxa"/>
              <w:bottom w:w="57" w:type="dxa"/>
            </w:tcMar>
          </w:tcPr>
          <w:p w14:paraId="66C7F344"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Production</w:t>
            </w:r>
          </w:p>
        </w:tc>
        <w:tc>
          <w:tcPr>
            <w:tcW w:w="2938" w:type="pct"/>
            <w:tcMar>
              <w:top w:w="57" w:type="dxa"/>
              <w:bottom w:w="57" w:type="dxa"/>
            </w:tcMar>
          </w:tcPr>
          <w:p w14:paraId="1FCC5A3C"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Handling/packaging - Inhalation - Primary exposure</w:t>
            </w:r>
          </w:p>
        </w:tc>
        <w:tc>
          <w:tcPr>
            <w:tcW w:w="896" w:type="pct"/>
            <w:shd w:val="clear" w:color="auto" w:fill="auto"/>
            <w:tcMar>
              <w:top w:w="57" w:type="dxa"/>
              <w:bottom w:w="57" w:type="dxa"/>
            </w:tcMar>
          </w:tcPr>
          <w:p w14:paraId="7DAE842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1517F543" w14:textId="77777777" w:rsidTr="00760DCC">
        <w:trPr>
          <w:tblHeader/>
        </w:trPr>
        <w:tc>
          <w:tcPr>
            <w:tcW w:w="560" w:type="pct"/>
            <w:tcMar>
              <w:top w:w="57" w:type="dxa"/>
              <w:bottom w:w="57" w:type="dxa"/>
            </w:tcMar>
          </w:tcPr>
          <w:p w14:paraId="4D04C2E9" w14:textId="77777777" w:rsidR="00857D20" w:rsidRPr="00B65D57" w:rsidRDefault="00857D20" w:rsidP="00760DCC">
            <w:pPr>
              <w:keepNext/>
              <w:rPr>
                <w:rFonts w:eastAsia="Calibri"/>
                <w:sz w:val="18"/>
                <w:szCs w:val="18"/>
              </w:rPr>
            </w:pPr>
            <w:r w:rsidRPr="00B65D57">
              <w:rPr>
                <w:rFonts w:eastAsia="Calibri"/>
                <w:sz w:val="18"/>
                <w:szCs w:val="18"/>
              </w:rPr>
              <w:t>1d.</w:t>
            </w:r>
          </w:p>
        </w:tc>
        <w:tc>
          <w:tcPr>
            <w:tcW w:w="606" w:type="pct"/>
            <w:shd w:val="clear" w:color="auto" w:fill="auto"/>
            <w:tcMar>
              <w:top w:w="57" w:type="dxa"/>
              <w:bottom w:w="57" w:type="dxa"/>
            </w:tcMar>
          </w:tcPr>
          <w:p w14:paraId="4AB644D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Production</w:t>
            </w:r>
          </w:p>
        </w:tc>
        <w:tc>
          <w:tcPr>
            <w:tcW w:w="2938" w:type="pct"/>
            <w:tcMar>
              <w:top w:w="57" w:type="dxa"/>
              <w:bottom w:w="57" w:type="dxa"/>
            </w:tcMar>
          </w:tcPr>
          <w:p w14:paraId="4D7C41B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Handling/packaging - Dermal - Primary exposure</w:t>
            </w:r>
          </w:p>
        </w:tc>
        <w:tc>
          <w:tcPr>
            <w:tcW w:w="896" w:type="pct"/>
            <w:shd w:val="clear" w:color="auto" w:fill="auto"/>
            <w:tcMar>
              <w:top w:w="57" w:type="dxa"/>
              <w:bottom w:w="57" w:type="dxa"/>
            </w:tcMar>
          </w:tcPr>
          <w:p w14:paraId="32F250F1"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0354FD3A" w14:textId="77777777" w:rsidTr="00760DCC">
        <w:trPr>
          <w:tblHeader/>
        </w:trPr>
        <w:tc>
          <w:tcPr>
            <w:tcW w:w="560" w:type="pct"/>
            <w:tcMar>
              <w:top w:w="57" w:type="dxa"/>
              <w:bottom w:w="57" w:type="dxa"/>
            </w:tcMar>
          </w:tcPr>
          <w:p w14:paraId="5328B84C" w14:textId="77777777" w:rsidR="00857D20" w:rsidRPr="00B65D57" w:rsidRDefault="00857D20" w:rsidP="00760DCC">
            <w:pPr>
              <w:keepNext/>
              <w:rPr>
                <w:rFonts w:eastAsia="Calibri"/>
                <w:sz w:val="18"/>
                <w:szCs w:val="18"/>
              </w:rPr>
            </w:pPr>
            <w:r w:rsidRPr="00B65D57">
              <w:rPr>
                <w:rFonts w:eastAsia="Calibri"/>
                <w:sz w:val="18"/>
                <w:szCs w:val="18"/>
              </w:rPr>
              <w:t xml:space="preserve">2.1 a. </w:t>
            </w:r>
          </w:p>
        </w:tc>
        <w:tc>
          <w:tcPr>
            <w:tcW w:w="606" w:type="pct"/>
            <w:shd w:val="clear" w:color="auto" w:fill="auto"/>
            <w:tcMar>
              <w:top w:w="57" w:type="dxa"/>
              <w:bottom w:w="57" w:type="dxa"/>
            </w:tcMar>
          </w:tcPr>
          <w:p w14:paraId="5C3314D9"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Loading mixing tank</w:t>
            </w:r>
          </w:p>
        </w:tc>
        <w:tc>
          <w:tcPr>
            <w:tcW w:w="2938" w:type="pct"/>
            <w:tcMar>
              <w:top w:w="57" w:type="dxa"/>
              <w:bottom w:w="57" w:type="dxa"/>
            </w:tcMar>
          </w:tcPr>
          <w:p w14:paraId="2EB3AF7C"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Loading Jerbor into mixing tank- Inhalation - Primary exposure</w:t>
            </w:r>
          </w:p>
        </w:tc>
        <w:tc>
          <w:tcPr>
            <w:tcW w:w="896" w:type="pct"/>
            <w:shd w:val="clear" w:color="auto" w:fill="auto"/>
            <w:tcMar>
              <w:top w:w="57" w:type="dxa"/>
              <w:bottom w:w="57" w:type="dxa"/>
            </w:tcMar>
          </w:tcPr>
          <w:p w14:paraId="3E5FFC0B"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500F81B1" w14:textId="77777777" w:rsidTr="00760DCC">
        <w:trPr>
          <w:tblHeader/>
        </w:trPr>
        <w:tc>
          <w:tcPr>
            <w:tcW w:w="560" w:type="pct"/>
            <w:tcMar>
              <w:top w:w="57" w:type="dxa"/>
              <w:bottom w:w="57" w:type="dxa"/>
            </w:tcMar>
          </w:tcPr>
          <w:p w14:paraId="6E835BA1" w14:textId="77777777" w:rsidR="00857D20" w:rsidRPr="00B65D57" w:rsidRDefault="00857D20" w:rsidP="00760DCC">
            <w:pPr>
              <w:keepNext/>
              <w:rPr>
                <w:rFonts w:eastAsia="Calibri"/>
                <w:sz w:val="18"/>
                <w:szCs w:val="18"/>
              </w:rPr>
            </w:pPr>
            <w:r w:rsidRPr="00B65D57">
              <w:rPr>
                <w:rFonts w:eastAsia="Calibri"/>
                <w:sz w:val="18"/>
                <w:szCs w:val="18"/>
              </w:rPr>
              <w:t>2.1 b.</w:t>
            </w:r>
          </w:p>
        </w:tc>
        <w:tc>
          <w:tcPr>
            <w:tcW w:w="606" w:type="pct"/>
            <w:shd w:val="clear" w:color="auto" w:fill="auto"/>
            <w:tcMar>
              <w:top w:w="57" w:type="dxa"/>
              <w:bottom w:w="57" w:type="dxa"/>
            </w:tcMar>
          </w:tcPr>
          <w:p w14:paraId="405F2D38"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Loading mixing tank</w:t>
            </w:r>
          </w:p>
        </w:tc>
        <w:tc>
          <w:tcPr>
            <w:tcW w:w="2938" w:type="pct"/>
            <w:tcMar>
              <w:top w:w="57" w:type="dxa"/>
              <w:bottom w:w="57" w:type="dxa"/>
            </w:tcMar>
          </w:tcPr>
          <w:p w14:paraId="1E56A652"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Loading Jerbor into mixing tank– Dermal – Primary exposure</w:t>
            </w:r>
          </w:p>
        </w:tc>
        <w:tc>
          <w:tcPr>
            <w:tcW w:w="896" w:type="pct"/>
            <w:shd w:val="clear" w:color="auto" w:fill="auto"/>
            <w:tcMar>
              <w:top w:w="57" w:type="dxa"/>
              <w:bottom w:w="57" w:type="dxa"/>
            </w:tcMar>
          </w:tcPr>
          <w:p w14:paraId="7D375D9E"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Professionals</w:t>
            </w:r>
          </w:p>
        </w:tc>
      </w:tr>
      <w:tr w:rsidR="00857D20" w:rsidRPr="00B65D57" w14:paraId="4BBE32E1" w14:textId="77777777" w:rsidTr="00760DCC">
        <w:trPr>
          <w:tblHeader/>
        </w:trPr>
        <w:tc>
          <w:tcPr>
            <w:tcW w:w="560" w:type="pct"/>
            <w:tcMar>
              <w:top w:w="57" w:type="dxa"/>
              <w:bottom w:w="57" w:type="dxa"/>
            </w:tcMar>
          </w:tcPr>
          <w:p w14:paraId="7DEF308C" w14:textId="77777777" w:rsidR="00857D20" w:rsidRPr="00B65D57" w:rsidRDefault="00857D20" w:rsidP="00760DCC">
            <w:pPr>
              <w:keepNext/>
              <w:rPr>
                <w:rFonts w:eastAsia="Calibri"/>
                <w:sz w:val="18"/>
                <w:szCs w:val="18"/>
              </w:rPr>
            </w:pPr>
            <w:r w:rsidRPr="00B65D57">
              <w:rPr>
                <w:rFonts w:eastAsia="Calibri"/>
                <w:sz w:val="18"/>
                <w:szCs w:val="18"/>
              </w:rPr>
              <w:t>2.2 a.</w:t>
            </w:r>
          </w:p>
        </w:tc>
        <w:tc>
          <w:tcPr>
            <w:tcW w:w="606" w:type="pct"/>
            <w:shd w:val="clear" w:color="auto" w:fill="auto"/>
            <w:tcMar>
              <w:top w:w="57" w:type="dxa"/>
              <w:bottom w:w="57" w:type="dxa"/>
            </w:tcMar>
          </w:tcPr>
          <w:p w14:paraId="5C26757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Mixing tank</w:t>
            </w:r>
          </w:p>
        </w:tc>
        <w:tc>
          <w:tcPr>
            <w:tcW w:w="2938" w:type="pct"/>
            <w:tcMar>
              <w:top w:w="57" w:type="dxa"/>
              <w:bottom w:w="57" w:type="dxa"/>
            </w:tcMar>
          </w:tcPr>
          <w:p w14:paraId="4A75A4A8"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Mixing Jerbor &amp; water - Inhalation - Primary exposure</w:t>
            </w:r>
          </w:p>
        </w:tc>
        <w:tc>
          <w:tcPr>
            <w:tcW w:w="896" w:type="pct"/>
            <w:shd w:val="clear" w:color="auto" w:fill="auto"/>
            <w:tcMar>
              <w:top w:w="57" w:type="dxa"/>
              <w:bottom w:w="57" w:type="dxa"/>
            </w:tcMar>
          </w:tcPr>
          <w:p w14:paraId="1E3AAAFB"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themeColor="text1"/>
                <w:sz w:val="18"/>
                <w:szCs w:val="18"/>
                <w:lang w:eastAsia="en-GB"/>
              </w:rPr>
              <w:t>Professionals</w:t>
            </w:r>
          </w:p>
        </w:tc>
      </w:tr>
      <w:tr w:rsidR="00857D20" w:rsidRPr="00B65D57" w14:paraId="45A9B93B" w14:textId="77777777" w:rsidTr="00760DCC">
        <w:trPr>
          <w:tblHeader/>
        </w:trPr>
        <w:tc>
          <w:tcPr>
            <w:tcW w:w="560" w:type="pct"/>
            <w:tcMar>
              <w:top w:w="57" w:type="dxa"/>
              <w:bottom w:w="57" w:type="dxa"/>
            </w:tcMar>
          </w:tcPr>
          <w:p w14:paraId="5AB2B774" w14:textId="77777777" w:rsidR="00857D20" w:rsidRPr="00B65D57" w:rsidRDefault="00857D20" w:rsidP="00760DCC">
            <w:pPr>
              <w:keepNext/>
              <w:rPr>
                <w:rFonts w:eastAsia="Calibri"/>
                <w:sz w:val="18"/>
                <w:szCs w:val="18"/>
              </w:rPr>
            </w:pPr>
            <w:r w:rsidRPr="00B65D57">
              <w:rPr>
                <w:rFonts w:eastAsia="Calibri"/>
                <w:sz w:val="18"/>
                <w:szCs w:val="18"/>
              </w:rPr>
              <w:t>2.2 b.</w:t>
            </w:r>
          </w:p>
        </w:tc>
        <w:tc>
          <w:tcPr>
            <w:tcW w:w="606" w:type="pct"/>
            <w:shd w:val="clear" w:color="auto" w:fill="auto"/>
            <w:tcMar>
              <w:top w:w="57" w:type="dxa"/>
              <w:bottom w:w="57" w:type="dxa"/>
            </w:tcMar>
          </w:tcPr>
          <w:p w14:paraId="1534D58E"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Mixing tank</w:t>
            </w:r>
          </w:p>
        </w:tc>
        <w:tc>
          <w:tcPr>
            <w:tcW w:w="2938" w:type="pct"/>
            <w:tcMar>
              <w:top w:w="57" w:type="dxa"/>
              <w:bottom w:w="57" w:type="dxa"/>
            </w:tcMar>
          </w:tcPr>
          <w:p w14:paraId="26F15818"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Mixing Jerbor &amp; water - Dermal - Primary exposure</w:t>
            </w:r>
          </w:p>
        </w:tc>
        <w:tc>
          <w:tcPr>
            <w:tcW w:w="896" w:type="pct"/>
            <w:shd w:val="clear" w:color="auto" w:fill="auto"/>
            <w:tcMar>
              <w:top w:w="57" w:type="dxa"/>
              <w:bottom w:w="57" w:type="dxa"/>
            </w:tcMar>
          </w:tcPr>
          <w:p w14:paraId="13CD4A57"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14E6DDCC" w14:textId="77777777" w:rsidTr="00760DCC">
        <w:trPr>
          <w:tblHeader/>
        </w:trPr>
        <w:tc>
          <w:tcPr>
            <w:tcW w:w="560" w:type="pct"/>
            <w:tcMar>
              <w:top w:w="57" w:type="dxa"/>
              <w:bottom w:w="57" w:type="dxa"/>
            </w:tcMar>
          </w:tcPr>
          <w:p w14:paraId="1B33ED2B" w14:textId="77777777" w:rsidR="00857D20" w:rsidRPr="00B65D57" w:rsidRDefault="00857D20" w:rsidP="00760DCC">
            <w:pPr>
              <w:keepNext/>
              <w:rPr>
                <w:rFonts w:eastAsia="Calibri"/>
                <w:sz w:val="18"/>
                <w:szCs w:val="18"/>
              </w:rPr>
            </w:pPr>
            <w:r w:rsidRPr="00B65D57">
              <w:rPr>
                <w:rFonts w:eastAsia="Calibri"/>
                <w:sz w:val="18"/>
                <w:szCs w:val="18"/>
              </w:rPr>
              <w:t>3a.</w:t>
            </w:r>
          </w:p>
        </w:tc>
        <w:tc>
          <w:tcPr>
            <w:tcW w:w="606" w:type="pct"/>
            <w:shd w:val="clear" w:color="auto" w:fill="auto"/>
            <w:tcMar>
              <w:top w:w="57" w:type="dxa"/>
              <w:bottom w:w="57" w:type="dxa"/>
            </w:tcMar>
          </w:tcPr>
          <w:p w14:paraId="321E5134"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to mixing barrel</w:t>
            </w:r>
          </w:p>
        </w:tc>
        <w:tc>
          <w:tcPr>
            <w:tcW w:w="2938" w:type="pct"/>
            <w:tcMar>
              <w:top w:w="57" w:type="dxa"/>
              <w:bottom w:w="57" w:type="dxa"/>
            </w:tcMar>
          </w:tcPr>
          <w:p w14:paraId="501E15C6"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from mixing tank to mixing barrel - Inhalation- Primary exposure</w:t>
            </w:r>
          </w:p>
        </w:tc>
        <w:tc>
          <w:tcPr>
            <w:tcW w:w="896" w:type="pct"/>
            <w:shd w:val="clear" w:color="auto" w:fill="auto"/>
            <w:tcMar>
              <w:top w:w="57" w:type="dxa"/>
              <w:bottom w:w="57" w:type="dxa"/>
            </w:tcMar>
          </w:tcPr>
          <w:p w14:paraId="2D363DA0"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47F53A7C" w14:textId="77777777" w:rsidTr="00760DCC">
        <w:trPr>
          <w:tblHeader/>
        </w:trPr>
        <w:tc>
          <w:tcPr>
            <w:tcW w:w="560" w:type="pct"/>
            <w:tcMar>
              <w:top w:w="57" w:type="dxa"/>
              <w:bottom w:w="57" w:type="dxa"/>
            </w:tcMar>
          </w:tcPr>
          <w:p w14:paraId="77D79733" w14:textId="77777777" w:rsidR="00857D20" w:rsidRPr="00B65D57" w:rsidRDefault="00857D20" w:rsidP="00760DCC">
            <w:pPr>
              <w:keepNext/>
              <w:rPr>
                <w:rFonts w:eastAsia="Calibri"/>
                <w:sz w:val="18"/>
                <w:szCs w:val="18"/>
              </w:rPr>
            </w:pPr>
            <w:r w:rsidRPr="00B65D57">
              <w:rPr>
                <w:rFonts w:eastAsia="Calibri"/>
                <w:sz w:val="18"/>
                <w:szCs w:val="18"/>
              </w:rPr>
              <w:t>3b.</w:t>
            </w:r>
          </w:p>
        </w:tc>
        <w:tc>
          <w:tcPr>
            <w:tcW w:w="606" w:type="pct"/>
            <w:shd w:val="clear" w:color="auto" w:fill="auto"/>
            <w:tcMar>
              <w:top w:w="57" w:type="dxa"/>
              <w:bottom w:w="57" w:type="dxa"/>
            </w:tcMar>
          </w:tcPr>
          <w:p w14:paraId="24D0734B"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to mixing barrel</w:t>
            </w:r>
          </w:p>
        </w:tc>
        <w:tc>
          <w:tcPr>
            <w:tcW w:w="2938" w:type="pct"/>
            <w:tcMar>
              <w:top w:w="57" w:type="dxa"/>
              <w:bottom w:w="57" w:type="dxa"/>
            </w:tcMar>
          </w:tcPr>
          <w:p w14:paraId="6BE3D025"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from mixing tank to mixing barrel - Dermal- Primary exposure</w:t>
            </w:r>
          </w:p>
        </w:tc>
        <w:tc>
          <w:tcPr>
            <w:tcW w:w="896" w:type="pct"/>
            <w:shd w:val="clear" w:color="auto" w:fill="auto"/>
            <w:tcMar>
              <w:top w:w="57" w:type="dxa"/>
              <w:bottom w:w="57" w:type="dxa"/>
            </w:tcMar>
          </w:tcPr>
          <w:p w14:paraId="1DB51BB9"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0CC68B84" w14:textId="77777777" w:rsidTr="00760DCC">
        <w:trPr>
          <w:tblHeader/>
        </w:trPr>
        <w:tc>
          <w:tcPr>
            <w:tcW w:w="560" w:type="pct"/>
            <w:tcMar>
              <w:top w:w="57" w:type="dxa"/>
              <w:bottom w:w="57" w:type="dxa"/>
            </w:tcMar>
          </w:tcPr>
          <w:p w14:paraId="25D17C51" w14:textId="77777777" w:rsidR="00857D20" w:rsidRPr="00B65D57" w:rsidRDefault="00857D20" w:rsidP="00760DCC">
            <w:pPr>
              <w:keepNext/>
              <w:rPr>
                <w:rFonts w:eastAsia="Calibri"/>
                <w:sz w:val="18"/>
                <w:szCs w:val="18"/>
              </w:rPr>
            </w:pPr>
            <w:r w:rsidRPr="00B65D57">
              <w:rPr>
                <w:rFonts w:eastAsia="Calibri"/>
                <w:sz w:val="18"/>
                <w:szCs w:val="18"/>
              </w:rPr>
              <w:t xml:space="preserve">4a. </w:t>
            </w:r>
          </w:p>
        </w:tc>
        <w:tc>
          <w:tcPr>
            <w:tcW w:w="606" w:type="pct"/>
            <w:shd w:val="clear" w:color="auto" w:fill="auto"/>
            <w:tcMar>
              <w:top w:w="57" w:type="dxa"/>
              <w:bottom w:w="57" w:type="dxa"/>
            </w:tcMar>
          </w:tcPr>
          <w:p w14:paraId="709AFE06"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Mixing barrel</w:t>
            </w:r>
          </w:p>
        </w:tc>
        <w:tc>
          <w:tcPr>
            <w:tcW w:w="2938" w:type="pct"/>
            <w:tcMar>
              <w:top w:w="57" w:type="dxa"/>
              <w:bottom w:w="57" w:type="dxa"/>
            </w:tcMar>
          </w:tcPr>
          <w:p w14:paraId="05101AC7"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Mixing Jerbor water solution &amp; bentonite - Inhalation - Primary exposure</w:t>
            </w:r>
          </w:p>
        </w:tc>
        <w:tc>
          <w:tcPr>
            <w:tcW w:w="896" w:type="pct"/>
            <w:shd w:val="clear" w:color="auto" w:fill="auto"/>
            <w:tcMar>
              <w:top w:w="57" w:type="dxa"/>
              <w:bottom w:w="57" w:type="dxa"/>
            </w:tcMar>
          </w:tcPr>
          <w:p w14:paraId="55DFFBA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3D925284" w14:textId="77777777" w:rsidTr="00760DCC">
        <w:trPr>
          <w:tblHeader/>
        </w:trPr>
        <w:tc>
          <w:tcPr>
            <w:tcW w:w="560" w:type="pct"/>
            <w:tcMar>
              <w:top w:w="57" w:type="dxa"/>
              <w:bottom w:w="57" w:type="dxa"/>
            </w:tcMar>
          </w:tcPr>
          <w:p w14:paraId="37E309DD" w14:textId="77777777" w:rsidR="00857D20" w:rsidRPr="00B65D57" w:rsidRDefault="00857D20" w:rsidP="00760DCC">
            <w:pPr>
              <w:keepNext/>
              <w:rPr>
                <w:rFonts w:eastAsia="Calibri"/>
                <w:sz w:val="18"/>
                <w:szCs w:val="18"/>
              </w:rPr>
            </w:pPr>
            <w:r w:rsidRPr="00B65D57">
              <w:rPr>
                <w:rFonts w:eastAsia="Calibri"/>
                <w:sz w:val="18"/>
                <w:szCs w:val="18"/>
              </w:rPr>
              <w:t>4b.</w:t>
            </w:r>
          </w:p>
        </w:tc>
        <w:tc>
          <w:tcPr>
            <w:tcW w:w="606" w:type="pct"/>
            <w:shd w:val="clear" w:color="auto" w:fill="auto"/>
            <w:tcMar>
              <w:top w:w="57" w:type="dxa"/>
              <w:bottom w:w="57" w:type="dxa"/>
            </w:tcMar>
          </w:tcPr>
          <w:p w14:paraId="1BFE44FF"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Mixing barrel</w:t>
            </w:r>
          </w:p>
        </w:tc>
        <w:tc>
          <w:tcPr>
            <w:tcW w:w="2938" w:type="pct"/>
            <w:tcMar>
              <w:top w:w="57" w:type="dxa"/>
              <w:bottom w:w="57" w:type="dxa"/>
            </w:tcMar>
          </w:tcPr>
          <w:p w14:paraId="04A998B9"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Mixing Jerbor water solution &amp; bentonite - Dermal - Primary exposure</w:t>
            </w:r>
          </w:p>
        </w:tc>
        <w:tc>
          <w:tcPr>
            <w:tcW w:w="896" w:type="pct"/>
            <w:shd w:val="clear" w:color="auto" w:fill="auto"/>
            <w:tcMar>
              <w:top w:w="57" w:type="dxa"/>
              <w:bottom w:w="57" w:type="dxa"/>
            </w:tcMar>
          </w:tcPr>
          <w:p w14:paraId="79549984"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315D4DB1" w14:textId="77777777" w:rsidTr="00760DCC">
        <w:trPr>
          <w:tblHeader/>
        </w:trPr>
        <w:tc>
          <w:tcPr>
            <w:tcW w:w="560" w:type="pct"/>
            <w:tcMar>
              <w:top w:w="57" w:type="dxa"/>
              <w:bottom w:w="57" w:type="dxa"/>
            </w:tcMar>
          </w:tcPr>
          <w:p w14:paraId="31746BA5" w14:textId="77777777" w:rsidR="00857D20" w:rsidRPr="00B65D57" w:rsidRDefault="00857D20" w:rsidP="00760DCC">
            <w:pPr>
              <w:keepNext/>
              <w:rPr>
                <w:rFonts w:eastAsia="Calibri"/>
                <w:sz w:val="18"/>
                <w:szCs w:val="18"/>
              </w:rPr>
            </w:pPr>
            <w:r w:rsidRPr="00B65D57">
              <w:rPr>
                <w:rFonts w:eastAsia="Calibri"/>
                <w:sz w:val="18"/>
                <w:szCs w:val="18"/>
              </w:rPr>
              <w:t>5a</w:t>
            </w:r>
          </w:p>
        </w:tc>
        <w:tc>
          <w:tcPr>
            <w:tcW w:w="606" w:type="pct"/>
            <w:shd w:val="clear" w:color="auto" w:fill="auto"/>
            <w:tcMar>
              <w:top w:w="57" w:type="dxa"/>
              <w:bottom w:w="57" w:type="dxa"/>
            </w:tcMar>
          </w:tcPr>
          <w:p w14:paraId="5A525CAD"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to injection pump</w:t>
            </w:r>
          </w:p>
        </w:tc>
        <w:tc>
          <w:tcPr>
            <w:tcW w:w="2938" w:type="pct"/>
            <w:tcMar>
              <w:top w:w="57" w:type="dxa"/>
              <w:bottom w:w="57" w:type="dxa"/>
            </w:tcMar>
          </w:tcPr>
          <w:p w14:paraId="24BA3A7B"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mixing barrel to injection pump - Inhalation- Primary exposure</w:t>
            </w:r>
          </w:p>
        </w:tc>
        <w:tc>
          <w:tcPr>
            <w:tcW w:w="896" w:type="pct"/>
            <w:shd w:val="clear" w:color="auto" w:fill="auto"/>
            <w:tcMar>
              <w:top w:w="57" w:type="dxa"/>
              <w:bottom w:w="57" w:type="dxa"/>
            </w:tcMar>
          </w:tcPr>
          <w:p w14:paraId="17624E2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5938E5D8" w14:textId="77777777" w:rsidTr="00760DCC">
        <w:trPr>
          <w:tblHeader/>
        </w:trPr>
        <w:tc>
          <w:tcPr>
            <w:tcW w:w="560" w:type="pct"/>
            <w:tcMar>
              <w:top w:w="57" w:type="dxa"/>
              <w:bottom w:w="57" w:type="dxa"/>
            </w:tcMar>
          </w:tcPr>
          <w:p w14:paraId="637A4E20" w14:textId="77777777" w:rsidR="00857D20" w:rsidRPr="00B65D57" w:rsidRDefault="00857D20" w:rsidP="00760DCC">
            <w:pPr>
              <w:keepNext/>
              <w:rPr>
                <w:rFonts w:eastAsia="Calibri"/>
                <w:sz w:val="18"/>
                <w:szCs w:val="18"/>
              </w:rPr>
            </w:pPr>
            <w:r w:rsidRPr="00B65D57">
              <w:rPr>
                <w:rFonts w:eastAsia="Calibri"/>
                <w:sz w:val="18"/>
                <w:szCs w:val="18"/>
              </w:rPr>
              <w:t>5b</w:t>
            </w:r>
          </w:p>
        </w:tc>
        <w:tc>
          <w:tcPr>
            <w:tcW w:w="606" w:type="pct"/>
            <w:shd w:val="clear" w:color="auto" w:fill="auto"/>
            <w:tcMar>
              <w:top w:w="57" w:type="dxa"/>
              <w:bottom w:w="57" w:type="dxa"/>
            </w:tcMar>
          </w:tcPr>
          <w:p w14:paraId="6613FEC2"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to injection pump</w:t>
            </w:r>
          </w:p>
        </w:tc>
        <w:tc>
          <w:tcPr>
            <w:tcW w:w="2938" w:type="pct"/>
            <w:tcMar>
              <w:top w:w="57" w:type="dxa"/>
              <w:bottom w:w="57" w:type="dxa"/>
            </w:tcMar>
          </w:tcPr>
          <w:p w14:paraId="28215037"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Transfer mixing barrel to injection pump - Dermal- Primary exposure</w:t>
            </w:r>
          </w:p>
        </w:tc>
        <w:tc>
          <w:tcPr>
            <w:tcW w:w="896" w:type="pct"/>
            <w:shd w:val="clear" w:color="auto" w:fill="auto"/>
            <w:tcMar>
              <w:top w:w="57" w:type="dxa"/>
              <w:bottom w:w="57" w:type="dxa"/>
            </w:tcMar>
          </w:tcPr>
          <w:p w14:paraId="210F0B80"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5EABA526" w14:textId="77777777" w:rsidTr="00760DCC">
        <w:trPr>
          <w:tblHeader/>
        </w:trPr>
        <w:tc>
          <w:tcPr>
            <w:tcW w:w="560" w:type="pct"/>
            <w:tcMar>
              <w:top w:w="57" w:type="dxa"/>
              <w:bottom w:w="57" w:type="dxa"/>
            </w:tcMar>
          </w:tcPr>
          <w:p w14:paraId="76D68015" w14:textId="77777777" w:rsidR="00857D20" w:rsidRPr="00B65D57" w:rsidRDefault="00857D20" w:rsidP="00760DCC">
            <w:pPr>
              <w:keepNext/>
              <w:rPr>
                <w:rFonts w:eastAsia="Calibri"/>
                <w:sz w:val="18"/>
                <w:szCs w:val="18"/>
              </w:rPr>
            </w:pPr>
            <w:r w:rsidRPr="00B65D57">
              <w:rPr>
                <w:rFonts w:eastAsia="Calibri"/>
                <w:sz w:val="18"/>
                <w:szCs w:val="18"/>
              </w:rPr>
              <w:t>6a.</w:t>
            </w:r>
          </w:p>
        </w:tc>
        <w:tc>
          <w:tcPr>
            <w:tcW w:w="606" w:type="pct"/>
            <w:shd w:val="clear" w:color="auto" w:fill="auto"/>
            <w:tcMar>
              <w:top w:w="57" w:type="dxa"/>
              <w:bottom w:w="57" w:type="dxa"/>
            </w:tcMar>
          </w:tcPr>
          <w:p w14:paraId="1DFCA60F"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Application</w:t>
            </w:r>
          </w:p>
        </w:tc>
        <w:tc>
          <w:tcPr>
            <w:tcW w:w="2938" w:type="pct"/>
            <w:tcMar>
              <w:top w:w="57" w:type="dxa"/>
              <w:bottom w:w="57" w:type="dxa"/>
            </w:tcMar>
          </w:tcPr>
          <w:p w14:paraId="007B4DD1"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Application - Inhalation - Primary exposure</w:t>
            </w:r>
          </w:p>
        </w:tc>
        <w:tc>
          <w:tcPr>
            <w:tcW w:w="896" w:type="pct"/>
            <w:shd w:val="clear" w:color="auto" w:fill="auto"/>
            <w:tcMar>
              <w:top w:w="57" w:type="dxa"/>
              <w:bottom w:w="57" w:type="dxa"/>
            </w:tcMar>
          </w:tcPr>
          <w:p w14:paraId="1564FF87"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5B75A171" w14:textId="77777777" w:rsidTr="00760DCC">
        <w:trPr>
          <w:tblHeader/>
        </w:trPr>
        <w:tc>
          <w:tcPr>
            <w:tcW w:w="560" w:type="pct"/>
            <w:tcMar>
              <w:top w:w="57" w:type="dxa"/>
              <w:bottom w:w="57" w:type="dxa"/>
            </w:tcMar>
          </w:tcPr>
          <w:p w14:paraId="79EB969A" w14:textId="77777777" w:rsidR="00857D20" w:rsidRPr="00B65D57" w:rsidRDefault="00857D20" w:rsidP="00760DCC">
            <w:pPr>
              <w:keepNext/>
              <w:rPr>
                <w:rFonts w:eastAsia="Calibri"/>
                <w:sz w:val="18"/>
                <w:szCs w:val="18"/>
              </w:rPr>
            </w:pPr>
            <w:r w:rsidRPr="00B65D57">
              <w:rPr>
                <w:rFonts w:eastAsia="Calibri"/>
                <w:sz w:val="18"/>
                <w:szCs w:val="18"/>
              </w:rPr>
              <w:t>6b.</w:t>
            </w:r>
          </w:p>
        </w:tc>
        <w:tc>
          <w:tcPr>
            <w:tcW w:w="606" w:type="pct"/>
            <w:shd w:val="clear" w:color="auto" w:fill="auto"/>
            <w:tcMar>
              <w:top w:w="57" w:type="dxa"/>
              <w:bottom w:w="57" w:type="dxa"/>
            </w:tcMar>
          </w:tcPr>
          <w:p w14:paraId="5DFD9AC3"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Application</w:t>
            </w:r>
          </w:p>
        </w:tc>
        <w:tc>
          <w:tcPr>
            <w:tcW w:w="2938" w:type="pct"/>
            <w:tcMar>
              <w:top w:w="57" w:type="dxa"/>
              <w:bottom w:w="57" w:type="dxa"/>
            </w:tcMar>
          </w:tcPr>
          <w:p w14:paraId="65271EC1"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Application - Dermal - Primary exposure</w:t>
            </w:r>
          </w:p>
        </w:tc>
        <w:tc>
          <w:tcPr>
            <w:tcW w:w="896" w:type="pct"/>
            <w:shd w:val="clear" w:color="auto" w:fill="auto"/>
            <w:tcMar>
              <w:top w:w="57" w:type="dxa"/>
              <w:bottom w:w="57" w:type="dxa"/>
            </w:tcMar>
          </w:tcPr>
          <w:p w14:paraId="28D3ABE1"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6EE452FE" w14:textId="77777777" w:rsidTr="00760DCC">
        <w:trPr>
          <w:tblHeader/>
        </w:trPr>
        <w:tc>
          <w:tcPr>
            <w:tcW w:w="560" w:type="pct"/>
            <w:tcMar>
              <w:top w:w="57" w:type="dxa"/>
              <w:bottom w:w="57" w:type="dxa"/>
            </w:tcMar>
          </w:tcPr>
          <w:p w14:paraId="4ABF4990" w14:textId="77777777" w:rsidR="00857D20" w:rsidRPr="00B65D57" w:rsidRDefault="00857D20" w:rsidP="00760DCC">
            <w:pPr>
              <w:keepNext/>
              <w:rPr>
                <w:rFonts w:eastAsia="Calibri"/>
                <w:sz w:val="18"/>
                <w:szCs w:val="18"/>
              </w:rPr>
            </w:pPr>
            <w:r w:rsidRPr="00B65D57">
              <w:rPr>
                <w:rFonts w:eastAsia="Calibri"/>
                <w:sz w:val="18"/>
                <w:szCs w:val="18"/>
              </w:rPr>
              <w:t>7a.</w:t>
            </w:r>
          </w:p>
        </w:tc>
        <w:tc>
          <w:tcPr>
            <w:tcW w:w="606" w:type="pct"/>
            <w:shd w:val="clear" w:color="auto" w:fill="auto"/>
            <w:tcMar>
              <w:top w:w="57" w:type="dxa"/>
              <w:bottom w:w="57" w:type="dxa"/>
            </w:tcMar>
          </w:tcPr>
          <w:p w14:paraId="2775E72A"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Daily cleaning</w:t>
            </w:r>
          </w:p>
        </w:tc>
        <w:tc>
          <w:tcPr>
            <w:tcW w:w="2938" w:type="pct"/>
            <w:tcMar>
              <w:top w:w="57" w:type="dxa"/>
              <w:bottom w:w="57" w:type="dxa"/>
            </w:tcMar>
          </w:tcPr>
          <w:p w14:paraId="71320587"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Daily cleaning - Inhalation - Primary exposure</w:t>
            </w:r>
          </w:p>
        </w:tc>
        <w:tc>
          <w:tcPr>
            <w:tcW w:w="896" w:type="pct"/>
            <w:shd w:val="clear" w:color="auto" w:fill="auto"/>
            <w:tcMar>
              <w:top w:w="57" w:type="dxa"/>
              <w:bottom w:w="57" w:type="dxa"/>
            </w:tcMar>
          </w:tcPr>
          <w:p w14:paraId="270B12FE"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14473B35" w14:textId="77777777" w:rsidTr="00760DCC">
        <w:trPr>
          <w:tblHeader/>
        </w:trPr>
        <w:tc>
          <w:tcPr>
            <w:tcW w:w="560" w:type="pct"/>
            <w:tcMar>
              <w:top w:w="57" w:type="dxa"/>
              <w:bottom w:w="57" w:type="dxa"/>
            </w:tcMar>
          </w:tcPr>
          <w:p w14:paraId="4850C75E" w14:textId="77777777" w:rsidR="00857D20" w:rsidRPr="00B65D57" w:rsidRDefault="00857D20" w:rsidP="00760DCC">
            <w:pPr>
              <w:keepNext/>
              <w:rPr>
                <w:rFonts w:eastAsia="Calibri"/>
                <w:sz w:val="18"/>
                <w:szCs w:val="18"/>
              </w:rPr>
            </w:pPr>
            <w:r w:rsidRPr="00B65D57">
              <w:rPr>
                <w:rFonts w:eastAsia="Calibri"/>
                <w:sz w:val="18"/>
                <w:szCs w:val="18"/>
              </w:rPr>
              <w:t>7b.</w:t>
            </w:r>
          </w:p>
        </w:tc>
        <w:tc>
          <w:tcPr>
            <w:tcW w:w="606" w:type="pct"/>
            <w:shd w:val="clear" w:color="auto" w:fill="auto"/>
            <w:tcMar>
              <w:top w:w="57" w:type="dxa"/>
              <w:bottom w:w="57" w:type="dxa"/>
            </w:tcMar>
          </w:tcPr>
          <w:p w14:paraId="5DFD4CF8"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Daily cleaning</w:t>
            </w:r>
          </w:p>
        </w:tc>
        <w:tc>
          <w:tcPr>
            <w:tcW w:w="2938" w:type="pct"/>
            <w:tcMar>
              <w:top w:w="57" w:type="dxa"/>
              <w:bottom w:w="57" w:type="dxa"/>
            </w:tcMar>
          </w:tcPr>
          <w:p w14:paraId="597EAE8B"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Daily cleaning - Dermal - Primary exposure</w:t>
            </w:r>
          </w:p>
        </w:tc>
        <w:tc>
          <w:tcPr>
            <w:tcW w:w="896" w:type="pct"/>
            <w:shd w:val="clear" w:color="auto" w:fill="auto"/>
            <w:tcMar>
              <w:top w:w="57" w:type="dxa"/>
              <w:bottom w:w="57" w:type="dxa"/>
            </w:tcMar>
          </w:tcPr>
          <w:p w14:paraId="6BFAEC46"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301EC505" w14:textId="77777777" w:rsidTr="00760DCC">
        <w:trPr>
          <w:tblHeader/>
        </w:trPr>
        <w:tc>
          <w:tcPr>
            <w:tcW w:w="560" w:type="pct"/>
            <w:tcMar>
              <w:top w:w="57" w:type="dxa"/>
              <w:bottom w:w="57" w:type="dxa"/>
            </w:tcMar>
          </w:tcPr>
          <w:p w14:paraId="0BB72AD0" w14:textId="77777777" w:rsidR="00857D20" w:rsidRPr="00B65D57" w:rsidRDefault="00857D20" w:rsidP="00760DCC">
            <w:pPr>
              <w:keepNext/>
              <w:rPr>
                <w:rFonts w:eastAsia="Calibri"/>
                <w:sz w:val="18"/>
                <w:szCs w:val="18"/>
              </w:rPr>
            </w:pPr>
            <w:r w:rsidRPr="00B65D57">
              <w:rPr>
                <w:rFonts w:eastAsia="Calibri"/>
                <w:sz w:val="18"/>
                <w:szCs w:val="18"/>
              </w:rPr>
              <w:lastRenderedPageBreak/>
              <w:t>8a.</w:t>
            </w:r>
          </w:p>
        </w:tc>
        <w:tc>
          <w:tcPr>
            <w:tcW w:w="606" w:type="pct"/>
            <w:shd w:val="clear" w:color="auto" w:fill="auto"/>
            <w:tcMar>
              <w:top w:w="57" w:type="dxa"/>
              <w:bottom w:w="57" w:type="dxa"/>
            </w:tcMar>
          </w:tcPr>
          <w:p w14:paraId="0CF216C7"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Final cleaning</w:t>
            </w:r>
          </w:p>
        </w:tc>
        <w:tc>
          <w:tcPr>
            <w:tcW w:w="2938" w:type="pct"/>
            <w:tcMar>
              <w:top w:w="57" w:type="dxa"/>
              <w:bottom w:w="57" w:type="dxa"/>
            </w:tcMar>
          </w:tcPr>
          <w:p w14:paraId="3E608006"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Cleaning after completed project- Inhalation - Primary exposure</w:t>
            </w:r>
          </w:p>
        </w:tc>
        <w:tc>
          <w:tcPr>
            <w:tcW w:w="896" w:type="pct"/>
            <w:shd w:val="clear" w:color="auto" w:fill="auto"/>
            <w:tcMar>
              <w:top w:w="57" w:type="dxa"/>
              <w:bottom w:w="57" w:type="dxa"/>
            </w:tcMar>
          </w:tcPr>
          <w:p w14:paraId="171C34B5"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06F5017D" w14:textId="77777777" w:rsidTr="00760DCC">
        <w:trPr>
          <w:tblHeader/>
        </w:trPr>
        <w:tc>
          <w:tcPr>
            <w:tcW w:w="560" w:type="pct"/>
            <w:tcMar>
              <w:top w:w="57" w:type="dxa"/>
              <w:bottom w:w="57" w:type="dxa"/>
            </w:tcMar>
          </w:tcPr>
          <w:p w14:paraId="27790C50" w14:textId="77777777" w:rsidR="00857D20" w:rsidRPr="00B65D57" w:rsidRDefault="00857D20" w:rsidP="00760DCC">
            <w:pPr>
              <w:keepNext/>
              <w:rPr>
                <w:rFonts w:eastAsia="Calibri"/>
                <w:sz w:val="18"/>
                <w:szCs w:val="18"/>
              </w:rPr>
            </w:pPr>
            <w:r w:rsidRPr="00B65D57">
              <w:rPr>
                <w:rFonts w:eastAsia="Calibri"/>
                <w:sz w:val="18"/>
                <w:szCs w:val="18"/>
              </w:rPr>
              <w:t>8b.</w:t>
            </w:r>
          </w:p>
        </w:tc>
        <w:tc>
          <w:tcPr>
            <w:tcW w:w="606" w:type="pct"/>
            <w:shd w:val="clear" w:color="auto" w:fill="auto"/>
            <w:tcMar>
              <w:top w:w="57" w:type="dxa"/>
              <w:bottom w:w="57" w:type="dxa"/>
            </w:tcMar>
          </w:tcPr>
          <w:p w14:paraId="69DA1514"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Final cleaning</w:t>
            </w:r>
          </w:p>
        </w:tc>
        <w:tc>
          <w:tcPr>
            <w:tcW w:w="2938" w:type="pct"/>
            <w:tcMar>
              <w:top w:w="57" w:type="dxa"/>
              <w:bottom w:w="57" w:type="dxa"/>
            </w:tcMar>
          </w:tcPr>
          <w:p w14:paraId="6E678D0F"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Cleaning after completed project- Dermal - Primary exposure</w:t>
            </w:r>
          </w:p>
        </w:tc>
        <w:tc>
          <w:tcPr>
            <w:tcW w:w="896" w:type="pct"/>
            <w:shd w:val="clear" w:color="auto" w:fill="auto"/>
            <w:tcMar>
              <w:top w:w="57" w:type="dxa"/>
              <w:bottom w:w="57" w:type="dxa"/>
            </w:tcMar>
          </w:tcPr>
          <w:p w14:paraId="159B6EC4"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30A79651" w14:textId="77777777" w:rsidTr="00760DCC">
        <w:trPr>
          <w:tblHeader/>
        </w:trPr>
        <w:tc>
          <w:tcPr>
            <w:tcW w:w="560" w:type="pct"/>
            <w:tcMar>
              <w:top w:w="57" w:type="dxa"/>
              <w:bottom w:w="57" w:type="dxa"/>
            </w:tcMar>
          </w:tcPr>
          <w:p w14:paraId="0046D94D" w14:textId="77777777" w:rsidR="00857D20" w:rsidRPr="00B65D57" w:rsidRDefault="00857D20" w:rsidP="00760DCC">
            <w:pPr>
              <w:keepNext/>
              <w:rPr>
                <w:rFonts w:eastAsia="Calibri"/>
                <w:sz w:val="18"/>
                <w:szCs w:val="18"/>
              </w:rPr>
            </w:pPr>
            <w:r w:rsidRPr="00B65D57">
              <w:rPr>
                <w:rFonts w:eastAsia="Calibri"/>
                <w:sz w:val="18"/>
                <w:szCs w:val="18"/>
              </w:rPr>
              <w:t>9a.</w:t>
            </w:r>
          </w:p>
        </w:tc>
        <w:tc>
          <w:tcPr>
            <w:tcW w:w="606" w:type="pct"/>
            <w:shd w:val="clear" w:color="auto" w:fill="auto"/>
            <w:tcMar>
              <w:top w:w="57" w:type="dxa"/>
              <w:bottom w:w="57" w:type="dxa"/>
            </w:tcMar>
          </w:tcPr>
          <w:p w14:paraId="390B1DFD"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Maintenance/repair</w:t>
            </w:r>
          </w:p>
        </w:tc>
        <w:tc>
          <w:tcPr>
            <w:tcW w:w="2938" w:type="pct"/>
            <w:tcMar>
              <w:top w:w="57" w:type="dxa"/>
              <w:bottom w:w="57" w:type="dxa"/>
            </w:tcMar>
          </w:tcPr>
          <w:p w14:paraId="7A8A4388"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Maintenance and repair – Inhalation – Primary exposure</w:t>
            </w:r>
          </w:p>
        </w:tc>
        <w:tc>
          <w:tcPr>
            <w:tcW w:w="896" w:type="pct"/>
            <w:shd w:val="clear" w:color="auto" w:fill="auto"/>
            <w:tcMar>
              <w:top w:w="57" w:type="dxa"/>
              <w:bottom w:w="57" w:type="dxa"/>
            </w:tcMar>
          </w:tcPr>
          <w:p w14:paraId="254DB1B8"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r w:rsidR="00857D20" w:rsidRPr="00B65D57" w14:paraId="3C6612A3" w14:textId="77777777" w:rsidTr="00760DCC">
        <w:trPr>
          <w:tblHeader/>
        </w:trPr>
        <w:tc>
          <w:tcPr>
            <w:tcW w:w="560" w:type="pct"/>
            <w:tcMar>
              <w:top w:w="57" w:type="dxa"/>
              <w:bottom w:w="57" w:type="dxa"/>
            </w:tcMar>
          </w:tcPr>
          <w:p w14:paraId="283E7D4A" w14:textId="77777777" w:rsidR="00857D20" w:rsidRPr="00B65D57" w:rsidRDefault="00857D20" w:rsidP="00760DCC">
            <w:pPr>
              <w:keepNext/>
              <w:rPr>
                <w:rFonts w:eastAsia="Calibri"/>
                <w:sz w:val="18"/>
                <w:szCs w:val="18"/>
              </w:rPr>
            </w:pPr>
            <w:r w:rsidRPr="00B65D57">
              <w:rPr>
                <w:rFonts w:eastAsia="Calibri"/>
                <w:sz w:val="18"/>
                <w:szCs w:val="18"/>
              </w:rPr>
              <w:t>9b.</w:t>
            </w:r>
          </w:p>
        </w:tc>
        <w:tc>
          <w:tcPr>
            <w:tcW w:w="606" w:type="pct"/>
            <w:shd w:val="clear" w:color="auto" w:fill="auto"/>
            <w:tcMar>
              <w:top w:w="57" w:type="dxa"/>
              <w:bottom w:w="57" w:type="dxa"/>
            </w:tcMar>
          </w:tcPr>
          <w:p w14:paraId="00594DE3"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Maintenance/repair</w:t>
            </w:r>
          </w:p>
        </w:tc>
        <w:tc>
          <w:tcPr>
            <w:tcW w:w="2938" w:type="pct"/>
            <w:tcMar>
              <w:top w:w="57" w:type="dxa"/>
              <w:bottom w:w="57" w:type="dxa"/>
            </w:tcMar>
          </w:tcPr>
          <w:p w14:paraId="7D0DB44F"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Maintenance and repair – Dermal – Primary exposure</w:t>
            </w:r>
          </w:p>
        </w:tc>
        <w:tc>
          <w:tcPr>
            <w:tcW w:w="896" w:type="pct"/>
            <w:shd w:val="clear" w:color="auto" w:fill="auto"/>
            <w:tcMar>
              <w:top w:w="57" w:type="dxa"/>
              <w:bottom w:w="57" w:type="dxa"/>
            </w:tcMar>
          </w:tcPr>
          <w:p w14:paraId="11CB3968" w14:textId="77777777" w:rsidR="00857D20" w:rsidRPr="00B65D57" w:rsidRDefault="00857D20" w:rsidP="00760DCC">
            <w:pPr>
              <w:keepNext/>
              <w:widowControl w:val="0"/>
              <w:tabs>
                <w:tab w:val="center" w:pos="4536"/>
                <w:tab w:val="right" w:pos="9072"/>
              </w:tabs>
              <w:rPr>
                <w:rFonts w:eastAsia="Calibri"/>
                <w:color w:val="000000"/>
                <w:sz w:val="18"/>
                <w:szCs w:val="18"/>
                <w:lang w:eastAsia="en-GB"/>
              </w:rPr>
            </w:pPr>
            <w:r w:rsidRPr="00B65D57">
              <w:rPr>
                <w:rFonts w:eastAsia="Calibri"/>
                <w:color w:val="000000"/>
                <w:sz w:val="18"/>
                <w:szCs w:val="18"/>
                <w:lang w:eastAsia="en-GB"/>
              </w:rPr>
              <w:t>Professionals</w:t>
            </w:r>
          </w:p>
        </w:tc>
      </w:tr>
    </w:tbl>
    <w:p w14:paraId="32E5D879" w14:textId="77777777" w:rsidR="00857D20" w:rsidRPr="00B65D57" w:rsidRDefault="00857D20" w:rsidP="00857D20">
      <w:pPr>
        <w:spacing w:before="60" w:line="276" w:lineRule="auto"/>
        <w:ind w:left="142"/>
        <w:jc w:val="both"/>
        <w:rPr>
          <w:rFonts w:ascii="Times New Roman" w:eastAsia="Calibri" w:hAnsi="Times New Roman"/>
          <w:i/>
          <w:szCs w:val="22"/>
          <w:lang w:eastAsia="en-US"/>
        </w:rPr>
      </w:pPr>
    </w:p>
    <w:p w14:paraId="36AE6AF5" w14:textId="77777777" w:rsidR="00857D20" w:rsidRPr="00B65D57" w:rsidRDefault="00857D20" w:rsidP="00857D20">
      <w:pPr>
        <w:autoSpaceDE w:val="0"/>
        <w:autoSpaceDN w:val="0"/>
        <w:adjustRightInd w:val="0"/>
        <w:rPr>
          <w:lang w:eastAsia="sv-SE"/>
        </w:rPr>
      </w:pPr>
      <w:r w:rsidRPr="00B65D57">
        <w:rPr>
          <w:lang w:eastAsia="sv-SE"/>
        </w:rPr>
        <w:t xml:space="preserve">There are many steps involved in the production and use of the product Jerbor which are relevant for the exposure assessment. A schematic picture can be found below (Fig. 2.2.6.2-1) which illustrates how the mixing of Jerbor takes place at the site of treatment. </w:t>
      </w:r>
    </w:p>
    <w:p w14:paraId="5C49FA0A" w14:textId="77777777" w:rsidR="00857D20" w:rsidRPr="00B65D57" w:rsidRDefault="00857D20" w:rsidP="00857D20">
      <w:pPr>
        <w:autoSpaceDE w:val="0"/>
        <w:autoSpaceDN w:val="0"/>
        <w:adjustRightInd w:val="0"/>
        <w:rPr>
          <w:lang w:eastAsia="sv-SE"/>
        </w:rPr>
      </w:pPr>
    </w:p>
    <w:p w14:paraId="1D0A44F3" w14:textId="77777777" w:rsidR="00857D20" w:rsidRPr="00B65D57" w:rsidRDefault="00857D20" w:rsidP="00857D20">
      <w:pPr>
        <w:autoSpaceDE w:val="0"/>
        <w:autoSpaceDN w:val="0"/>
        <w:adjustRightInd w:val="0"/>
        <w:rPr>
          <w:lang w:eastAsia="sv-SE"/>
        </w:rPr>
      </w:pPr>
    </w:p>
    <w:p w14:paraId="2E03E6A9" w14:textId="77777777" w:rsidR="00857D20" w:rsidRPr="00B65D57" w:rsidRDefault="00857D20" w:rsidP="00857D20">
      <w:pPr>
        <w:autoSpaceDE w:val="0"/>
        <w:autoSpaceDN w:val="0"/>
        <w:adjustRightInd w:val="0"/>
        <w:rPr>
          <w:lang w:eastAsia="sv-SE"/>
        </w:rPr>
      </w:pPr>
    </w:p>
    <w:p w14:paraId="66B4A6B3" w14:textId="77777777" w:rsidR="00857D20" w:rsidRPr="00B65D57" w:rsidRDefault="00857D20" w:rsidP="00857D20">
      <w:pPr>
        <w:spacing w:line="260" w:lineRule="atLeast"/>
      </w:pPr>
      <w:r w:rsidRPr="00B65D57">
        <w:rPr>
          <w:noProof/>
        </w:rPr>
        <w:drawing>
          <wp:inline distT="0" distB="0" distL="0" distR="0" wp14:anchorId="3E5D84F1" wp14:editId="24C1EC37">
            <wp:extent cx="5840117" cy="295656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3104244"/>
                    <pic:cNvPicPr/>
                  </pic:nvPicPr>
                  <pic:blipFill>
                    <a:blip r:embed="rId23">
                      <a:extLst>
                        <a:ext uri="{28A0092B-C50C-407E-A947-70E740481C1C}">
                          <a14:useLocalDpi xmlns:a14="http://schemas.microsoft.com/office/drawing/2010/main" val="0"/>
                        </a:ext>
                      </a:extLst>
                    </a:blip>
                    <a:stretch>
                      <a:fillRect/>
                    </a:stretch>
                  </pic:blipFill>
                  <pic:spPr>
                    <a:xfrm>
                      <a:off x="0" y="0"/>
                      <a:ext cx="5840117" cy="2956560"/>
                    </a:xfrm>
                    <a:prstGeom prst="rect">
                      <a:avLst/>
                    </a:prstGeom>
                  </pic:spPr>
                </pic:pic>
              </a:graphicData>
            </a:graphic>
          </wp:inline>
        </w:drawing>
      </w:r>
    </w:p>
    <w:p w14:paraId="3B6C21E8" w14:textId="374CD6B8" w:rsidR="00857D20" w:rsidRPr="00B65D57" w:rsidRDefault="00857D20" w:rsidP="00857D20">
      <w:pPr>
        <w:spacing w:line="260" w:lineRule="atLeast"/>
        <w:rPr>
          <w:rFonts w:eastAsia="Calibri"/>
          <w:lang w:eastAsia="en-US"/>
        </w:rPr>
      </w:pPr>
      <w:r w:rsidRPr="00B65D57">
        <w:rPr>
          <w:rFonts w:eastAsia="Calibri"/>
          <w:b/>
          <w:bCs/>
          <w:lang w:eastAsia="en-US"/>
        </w:rPr>
        <w:t>Figure 2.2.6.2.2-1</w:t>
      </w:r>
      <w:r w:rsidRPr="00B65D57">
        <w:rPr>
          <w:rFonts w:eastAsia="Calibri"/>
          <w:lang w:eastAsia="en-US"/>
        </w:rPr>
        <w:t xml:space="preserve"> Illustrate scenario 2-7 of the Jerbor preparation and treatment. From right to left; Blandningstank (med lock) =Mixing tank (with a lid) for Jerbor and water (250 litres stainless steel, conical bottom, with circulation pump), Högblandare med 50 liters blandningskärl  = Mounted plaster and mortar mixer with 50 liter vessel (mounted in a holder with tilt function),  Fjärrstyrd injekteringspump = Remote controlled plaster and mortar pump, Tryckgivare = Manometer. The picture is taken from the </w:t>
      </w:r>
      <w:r w:rsidR="00ED2E09" w:rsidRPr="00B65D57">
        <w:t xml:space="preserve">Manual Euroborbehandling </w:t>
      </w:r>
      <w:r w:rsidRPr="00B65D57">
        <w:rPr>
          <w:rFonts w:eastAsia="Calibri"/>
          <w:lang w:eastAsia="en-US"/>
        </w:rPr>
        <w:t>(Bandh 2022).</w:t>
      </w:r>
    </w:p>
    <w:p w14:paraId="032F0A99" w14:textId="77777777" w:rsidR="00857D20" w:rsidRPr="00B65D57" w:rsidRDefault="00857D20" w:rsidP="00857D20">
      <w:pPr>
        <w:autoSpaceDE w:val="0"/>
        <w:autoSpaceDN w:val="0"/>
        <w:adjustRightInd w:val="0"/>
        <w:rPr>
          <w:lang w:eastAsia="sv-SE"/>
        </w:rPr>
      </w:pPr>
    </w:p>
    <w:p w14:paraId="6449D9BE" w14:textId="77777777" w:rsidR="00BD4323" w:rsidRPr="00B65D57" w:rsidRDefault="00BD4323" w:rsidP="00BD4323">
      <w:pPr>
        <w:spacing w:line="260" w:lineRule="atLeast"/>
        <w:rPr>
          <w:rFonts w:eastAsia="Calibri"/>
          <w:lang w:eastAsia="en-US"/>
        </w:rPr>
      </w:pPr>
    </w:p>
    <w:p w14:paraId="20724449" w14:textId="67FDC274" w:rsidR="00857D20" w:rsidRPr="00B65D57" w:rsidRDefault="002C23EC" w:rsidP="008F4848">
      <w:pPr>
        <w:pStyle w:val="Rubrik5"/>
        <w:ind w:left="360"/>
        <w:rPr>
          <w:lang w:val="en-GB"/>
        </w:rPr>
      </w:pPr>
      <w:r w:rsidRPr="00B65D57">
        <w:rPr>
          <w:lang w:val="en-GB"/>
        </w:rPr>
        <w:t xml:space="preserve">2.2.6.2.2 </w:t>
      </w:r>
      <w:r w:rsidR="00857D20" w:rsidRPr="00B65D57">
        <w:rPr>
          <w:lang w:val="en-GB"/>
        </w:rPr>
        <w:t>Method used for Exposure Assessment</w:t>
      </w:r>
    </w:p>
    <w:p w14:paraId="5AB26FD2" w14:textId="77777777" w:rsidR="00857D20" w:rsidRPr="00B65D57" w:rsidRDefault="00857D20" w:rsidP="008F4848">
      <w:pPr>
        <w:autoSpaceDE w:val="0"/>
        <w:autoSpaceDN w:val="0"/>
        <w:adjustRightInd w:val="0"/>
        <w:rPr>
          <w:bCs/>
          <w:i/>
          <w:sz w:val="22"/>
          <w:szCs w:val="22"/>
          <w:u w:val="single"/>
          <w:lang w:eastAsia="sv-SE"/>
        </w:rPr>
      </w:pPr>
      <w:r w:rsidRPr="00B65D57">
        <w:rPr>
          <w:bCs/>
          <w:i/>
          <w:sz w:val="22"/>
          <w:szCs w:val="22"/>
          <w:u w:val="single"/>
          <w:lang w:eastAsia="sv-SE"/>
        </w:rPr>
        <w:t>The ECETOC Targeted Risk Assessment (TRA) tool</w:t>
      </w:r>
    </w:p>
    <w:p w14:paraId="0A78BA30" w14:textId="77777777" w:rsidR="00857D20" w:rsidRPr="00B65D57" w:rsidRDefault="00857D20" w:rsidP="008F4848">
      <w:pPr>
        <w:autoSpaceDE w:val="0"/>
        <w:autoSpaceDN w:val="0"/>
        <w:adjustRightInd w:val="0"/>
        <w:rPr>
          <w:lang w:eastAsia="sv-SE"/>
        </w:rPr>
      </w:pPr>
      <w:r w:rsidRPr="00B65D57">
        <w:rPr>
          <w:lang w:eastAsia="sv-SE"/>
        </w:rPr>
        <w:t xml:space="preserve">Since the use of Jerbor is different in many ways compared to a traditional wood preservative and no suitable exposure scenarios are available in relevant guidelines for biocides, the applicant has used ECETOC (European Center or Ecotoxicology and Toxicology of Chemicals) TRA tool. ECETOC TRA is a recommended Tier 1 model for exposure estimation for occupational exposure within the REACH legislation and is based </w:t>
      </w:r>
      <w:r w:rsidRPr="00B65D57">
        <w:rPr>
          <w:lang w:eastAsia="sv-SE"/>
        </w:rPr>
        <w:lastRenderedPageBreak/>
        <w:t xml:space="preserve">on pre-defined PROCs (process categories) describing </w:t>
      </w:r>
      <w:r w:rsidRPr="00B65D57">
        <w:rPr>
          <w:rFonts w:cs="Verdana"/>
          <w:color w:val="000000"/>
          <w:lang w:eastAsia="sv-SE"/>
        </w:rPr>
        <w:t>tasks, application techniques or process types</w:t>
      </w:r>
      <w:r w:rsidRPr="00B65D57">
        <w:rPr>
          <w:lang w:eastAsia="sv-SE"/>
        </w:rPr>
        <w:t xml:space="preserve">. </w:t>
      </w:r>
    </w:p>
    <w:p w14:paraId="548B7052" w14:textId="63E6BF01" w:rsidR="00857D20" w:rsidRPr="00B65D57" w:rsidRDefault="00857D20" w:rsidP="008F4848">
      <w:pPr>
        <w:autoSpaceDE w:val="0"/>
        <w:autoSpaceDN w:val="0"/>
        <w:adjustRightInd w:val="0"/>
        <w:rPr>
          <w:lang w:eastAsia="sv-SE"/>
        </w:rPr>
      </w:pPr>
      <w:r w:rsidRPr="00B65D57">
        <w:rPr>
          <w:lang w:eastAsia="sv-SE"/>
        </w:rPr>
        <w:t xml:space="preserve">Although the TRA tool is considered to be conservative in lower tier assessments it should be used wisely when applied to CMRs. CMRs and other highly hazardous substances are often handled under specific conditions to prevent and control exposure. These conditions cannot be readily translated into available input values </w:t>
      </w:r>
      <w:r w:rsidRPr="00B65D57">
        <w:rPr>
          <w:rFonts w:cs="Verdana"/>
          <w:color w:val="000000"/>
          <w:lang w:eastAsia="sv-SE"/>
        </w:rPr>
        <w:t>(</w:t>
      </w:r>
      <w:r w:rsidRPr="00B65D57">
        <w:rPr>
          <w:lang w:eastAsia="sv-SE"/>
        </w:rPr>
        <w:t xml:space="preserve">Guidance on information requirements and chemical safety assessment Chapter R.12 Use description and Chapter R.14: Occupational exposure estimation). For instance for personal protective </w:t>
      </w:r>
      <w:r w:rsidR="0052601B" w:rsidRPr="00B65D57">
        <w:rPr>
          <w:lang w:eastAsia="sv-SE"/>
        </w:rPr>
        <w:t>equipment,</w:t>
      </w:r>
      <w:r w:rsidRPr="00B65D57">
        <w:rPr>
          <w:lang w:eastAsia="sv-SE"/>
        </w:rPr>
        <w:t xml:space="preserve"> it is only possible to specify protection factor (PF) for gloves and respiratory mask. </w:t>
      </w:r>
    </w:p>
    <w:p w14:paraId="0460CC10" w14:textId="7E9D5CEF" w:rsidR="00857D20" w:rsidRPr="00B65D57" w:rsidRDefault="00857D20" w:rsidP="008F4848">
      <w:pPr>
        <w:autoSpaceDE w:val="0"/>
        <w:autoSpaceDN w:val="0"/>
        <w:adjustRightInd w:val="0"/>
        <w:rPr>
          <w:lang w:eastAsia="sv-SE"/>
        </w:rPr>
      </w:pPr>
      <w:r w:rsidRPr="00B65D57">
        <w:rPr>
          <w:lang w:eastAsia="sv-SE"/>
        </w:rPr>
        <w:t xml:space="preserve">Even though there are disadvantages when using ECETOC TRA tool for CMRs, SE CA agrees that this tool could be used for calculating the exposure of professionals during the different steps when handling the product and the Eurobor slurry, since the professionals using the biocidal product are trained according to </w:t>
      </w:r>
      <w:r w:rsidR="00ED2E09" w:rsidRPr="00B65D57">
        <w:t xml:space="preserve">Manual Euroborbehandling </w:t>
      </w:r>
      <w:r w:rsidRPr="00B65D57">
        <w:rPr>
          <w:lang w:eastAsia="sv-SE"/>
        </w:rPr>
        <w:t xml:space="preserve">and should </w:t>
      </w:r>
      <w:r w:rsidRPr="00B65D57">
        <w:rPr>
          <w:rFonts w:eastAsia="Verdana" w:cs="Verdana"/>
        </w:rPr>
        <w:t>wear respiratory mask with particle filter P3, protective clothing, protective gloves of nitrile rubber and protection goggles.</w:t>
      </w:r>
    </w:p>
    <w:p w14:paraId="15C7C9AA" w14:textId="77777777" w:rsidR="00BD4323" w:rsidRPr="00B65D57" w:rsidRDefault="00BD4323" w:rsidP="008F4848">
      <w:pPr>
        <w:spacing w:line="260" w:lineRule="atLeast"/>
        <w:rPr>
          <w:rFonts w:eastAsia="Calibri"/>
          <w:lang w:eastAsia="en-US"/>
        </w:rPr>
      </w:pPr>
    </w:p>
    <w:p w14:paraId="23078D01" w14:textId="0497AC03" w:rsidR="00BD4323" w:rsidRPr="00B65D57" w:rsidRDefault="00BD4323" w:rsidP="008F4848">
      <w:pPr>
        <w:rPr>
          <w:rFonts w:eastAsia="Calibri"/>
          <w:lang w:eastAsia="en-US"/>
        </w:rPr>
      </w:pPr>
    </w:p>
    <w:p w14:paraId="2102D207" w14:textId="6D249BA0" w:rsidR="00BD4323" w:rsidRPr="00B65D57" w:rsidRDefault="002C23EC" w:rsidP="008F4848">
      <w:pPr>
        <w:pStyle w:val="Rubrik5"/>
        <w:ind w:left="360"/>
        <w:rPr>
          <w:rFonts w:eastAsia="Calibri"/>
          <w:lang w:val="en-GB"/>
        </w:rPr>
      </w:pPr>
      <w:bookmarkStart w:id="1560" w:name="_Toc389729064"/>
      <w:bookmarkStart w:id="1561" w:name="_Toc403472766"/>
      <w:r w:rsidRPr="00B65D57">
        <w:rPr>
          <w:rFonts w:eastAsia="Calibri"/>
          <w:lang w:val="en-GB"/>
        </w:rPr>
        <w:t xml:space="preserve">2.2.6.2.3 </w:t>
      </w:r>
      <w:r w:rsidR="00BD4323" w:rsidRPr="00B65D57">
        <w:rPr>
          <w:rFonts w:eastAsia="Calibri"/>
          <w:lang w:val="en-GB"/>
        </w:rPr>
        <w:t>Industrial exposure</w:t>
      </w:r>
      <w:bookmarkEnd w:id="1560"/>
      <w:bookmarkEnd w:id="1561"/>
    </w:p>
    <w:p w14:paraId="4CB8B80A" w14:textId="77777777" w:rsidR="00857D20" w:rsidRPr="00B65D57" w:rsidRDefault="00857D20" w:rsidP="008F4848">
      <w:pPr>
        <w:spacing w:line="260" w:lineRule="atLeast"/>
        <w:rPr>
          <w:rFonts w:eastAsia="Calibri"/>
          <w:lang w:eastAsia="en-US"/>
        </w:rPr>
      </w:pPr>
      <w:r w:rsidRPr="00B65D57">
        <w:rPr>
          <w:rFonts w:eastAsia="Calibri"/>
          <w:lang w:eastAsia="en-US"/>
        </w:rPr>
        <w:t xml:space="preserve">This section is not relevant as the biocidal product is for professional use only. </w:t>
      </w:r>
    </w:p>
    <w:p w14:paraId="2FA32E6D" w14:textId="77777777" w:rsidR="00BD4323" w:rsidRPr="00B65D57" w:rsidRDefault="00BD4323" w:rsidP="008F4848">
      <w:pPr>
        <w:spacing w:line="260" w:lineRule="atLeast"/>
        <w:rPr>
          <w:rFonts w:eastAsia="Calibri"/>
          <w:lang w:eastAsia="en-US"/>
        </w:rPr>
      </w:pPr>
    </w:p>
    <w:p w14:paraId="78B04EEC" w14:textId="5CD0E284" w:rsidR="00BD4323" w:rsidRPr="00B65D57" w:rsidRDefault="002C23EC" w:rsidP="008F4848">
      <w:pPr>
        <w:pStyle w:val="Rubrik5"/>
        <w:ind w:left="360"/>
        <w:rPr>
          <w:rFonts w:eastAsia="Calibri"/>
          <w:lang w:val="en-GB"/>
        </w:rPr>
      </w:pPr>
      <w:bookmarkStart w:id="1562" w:name="_Toc389729067"/>
      <w:bookmarkStart w:id="1563" w:name="_Toc403472767"/>
      <w:r w:rsidRPr="00B65D57">
        <w:rPr>
          <w:rFonts w:eastAsia="Calibri"/>
          <w:lang w:val="en-GB"/>
        </w:rPr>
        <w:t xml:space="preserve">2.2.6.2.4 </w:t>
      </w:r>
      <w:r w:rsidR="00BD4323" w:rsidRPr="00B65D57">
        <w:rPr>
          <w:rFonts w:eastAsia="Calibri"/>
          <w:lang w:val="en-GB"/>
        </w:rPr>
        <w:t>Professional exposure</w:t>
      </w:r>
      <w:bookmarkEnd w:id="1562"/>
      <w:bookmarkEnd w:id="1563"/>
      <w:r w:rsidR="00BD4323" w:rsidRPr="00B65D57">
        <w:rPr>
          <w:rFonts w:eastAsia="Calibri"/>
          <w:lang w:val="en-GB"/>
        </w:rPr>
        <w:t xml:space="preserve"> </w:t>
      </w:r>
    </w:p>
    <w:p w14:paraId="7B3F8DFA" w14:textId="49AEB380" w:rsidR="00217978" w:rsidRPr="00B65D57" w:rsidRDefault="00217978" w:rsidP="008F4848">
      <w:pPr>
        <w:spacing w:line="260" w:lineRule="atLeast"/>
        <w:rPr>
          <w:rFonts w:eastAsia="Calibri"/>
          <w:lang w:eastAsia="en-US"/>
        </w:rPr>
      </w:pPr>
      <w:bookmarkStart w:id="1564" w:name="_Hlk18412769"/>
      <w:r w:rsidRPr="00B65D57">
        <w:rPr>
          <w:rFonts w:eastAsia="Calibri"/>
          <w:lang w:eastAsia="en-US"/>
        </w:rPr>
        <w:t xml:space="preserve">The production, mixing, application, cleaning and maintenance/repair (scenario 1-9) are always carried out by approved, educated and professional personnel. According to </w:t>
      </w:r>
      <w:r w:rsidR="00ED2E09" w:rsidRPr="00B65D57">
        <w:t xml:space="preserve">Manual Euroborbehandling (manual of Eurobor technique) </w:t>
      </w:r>
      <w:r w:rsidRPr="00B65D57">
        <w:rPr>
          <w:rFonts w:eastAsia="Calibri"/>
          <w:lang w:eastAsia="en-US"/>
        </w:rPr>
        <w:t>only personnel working with Jerbor shall be present during treatment, i.e. exposure scenarios for bystanders do not need to be taken into account. In case of bystanders (other workers) the exposure scenarios for professionals will cover also bystanders.</w:t>
      </w:r>
    </w:p>
    <w:p w14:paraId="5036B62B" w14:textId="77777777" w:rsidR="00217978" w:rsidRPr="00B65D57" w:rsidRDefault="00217978" w:rsidP="00217978">
      <w:pPr>
        <w:spacing w:line="260" w:lineRule="atLeast"/>
        <w:rPr>
          <w:rFonts w:eastAsia="Calibri"/>
          <w:lang w:eastAsia="en-US"/>
        </w:rPr>
      </w:pPr>
    </w:p>
    <w:p w14:paraId="5DF75D52" w14:textId="77777777" w:rsidR="00217978" w:rsidRPr="00B65D57" w:rsidRDefault="00217978" w:rsidP="00217978">
      <w:pPr>
        <w:spacing w:line="260" w:lineRule="atLeast"/>
        <w:rPr>
          <w:rFonts w:eastAsia="Calibri"/>
          <w:lang w:eastAsia="en-US"/>
        </w:rPr>
      </w:pPr>
      <w:r w:rsidRPr="00B65D57">
        <w:rPr>
          <w:rFonts w:eastAsia="Calibri"/>
          <w:lang w:eastAsia="en-US"/>
        </w:rPr>
        <w:t>The PROC’s used in the TRA tool for the different scenarios are described in Table below.</w:t>
      </w:r>
    </w:p>
    <w:p w14:paraId="75C3FA7D" w14:textId="77777777" w:rsidR="00217978" w:rsidRPr="00B65D57" w:rsidRDefault="00217978" w:rsidP="00217978">
      <w:pPr>
        <w:spacing w:line="260" w:lineRule="atLeast"/>
        <w:rPr>
          <w:rFonts w:eastAsia="Calibri"/>
          <w:lang w:eastAsia="en-US"/>
        </w:rPr>
      </w:pPr>
    </w:p>
    <w:tbl>
      <w:tblPr>
        <w:tblW w:w="9129" w:type="dxa"/>
        <w:tblInd w:w="75" w:type="dxa"/>
        <w:tblCellMar>
          <w:left w:w="70" w:type="dxa"/>
          <w:right w:w="70" w:type="dxa"/>
        </w:tblCellMar>
        <w:tblLook w:val="04A0" w:firstRow="1" w:lastRow="0" w:firstColumn="1" w:lastColumn="0" w:noHBand="0" w:noVBand="1"/>
      </w:tblPr>
      <w:tblGrid>
        <w:gridCol w:w="960"/>
        <w:gridCol w:w="2260"/>
        <w:gridCol w:w="5064"/>
        <w:gridCol w:w="845"/>
      </w:tblGrid>
      <w:tr w:rsidR="00217978" w:rsidRPr="00B65D57" w14:paraId="545DBA21" w14:textId="77777777" w:rsidTr="00760DCC">
        <w:trPr>
          <w:trHeight w:val="444"/>
        </w:trPr>
        <w:tc>
          <w:tcPr>
            <w:tcW w:w="9129" w:type="dxa"/>
            <w:gridSpan w:val="4"/>
            <w:tcBorders>
              <w:top w:val="single" w:sz="4" w:space="0" w:color="auto"/>
              <w:left w:val="single" w:sz="4" w:space="0" w:color="auto"/>
              <w:bottom w:val="single" w:sz="4" w:space="0" w:color="auto"/>
              <w:right w:val="single" w:sz="4" w:space="0" w:color="000000" w:themeColor="text1"/>
            </w:tcBorders>
            <w:shd w:val="clear" w:color="auto" w:fill="FFF2CC" w:themeFill="accent4" w:themeFillTint="33"/>
            <w:noWrap/>
            <w:vAlign w:val="center"/>
            <w:hideMark/>
          </w:tcPr>
          <w:p w14:paraId="7A6D763B" w14:textId="77777777" w:rsidR="00217978" w:rsidRPr="00B65D57" w:rsidRDefault="00217978" w:rsidP="00760DCC">
            <w:pPr>
              <w:jc w:val="center"/>
              <w:rPr>
                <w:rFonts w:ascii="Calibri" w:hAnsi="Calibri" w:cs="Calibri"/>
                <w:b/>
                <w:bCs/>
                <w:color w:val="000000"/>
                <w:sz w:val="22"/>
                <w:szCs w:val="22"/>
                <w:lang w:eastAsia="sv-SE"/>
              </w:rPr>
            </w:pPr>
            <w:r w:rsidRPr="00B65D57">
              <w:rPr>
                <w:rFonts w:ascii="Calibri" w:hAnsi="Calibri" w:cs="Calibri"/>
                <w:b/>
                <w:bCs/>
                <w:color w:val="000000"/>
                <w:sz w:val="22"/>
                <w:szCs w:val="22"/>
                <w:lang w:eastAsia="sv-SE"/>
              </w:rPr>
              <w:t>The PROC’s used in the TRA tool for all the relevant scenarios</w:t>
            </w:r>
          </w:p>
        </w:tc>
      </w:tr>
      <w:tr w:rsidR="00217978" w:rsidRPr="00B65D57" w14:paraId="6F808156" w14:textId="77777777" w:rsidTr="00760DCC">
        <w:trPr>
          <w:trHeight w:val="15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A7834"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 xml:space="preserve">PROC3 </w:t>
            </w:r>
          </w:p>
        </w:tc>
        <w:tc>
          <w:tcPr>
            <w:tcW w:w="2260" w:type="dxa"/>
            <w:tcBorders>
              <w:top w:val="single" w:sz="4" w:space="0" w:color="auto"/>
              <w:left w:val="nil"/>
              <w:bottom w:val="single" w:sz="4" w:space="0" w:color="auto"/>
              <w:right w:val="single" w:sz="4" w:space="0" w:color="auto"/>
            </w:tcBorders>
            <w:shd w:val="clear" w:color="auto" w:fill="auto"/>
            <w:hideMark/>
          </w:tcPr>
          <w:p w14:paraId="4EA2322A" w14:textId="77777777" w:rsidR="00217978" w:rsidRPr="00B65D57" w:rsidRDefault="00217978" w:rsidP="00760DCC">
            <w:pPr>
              <w:rPr>
                <w:rFonts w:cs="Calibri"/>
                <w:color w:val="000000"/>
                <w:sz w:val="18"/>
                <w:szCs w:val="18"/>
                <w:lang w:eastAsia="sv-SE"/>
              </w:rPr>
            </w:pPr>
            <w:r w:rsidRPr="00B65D57">
              <w:rPr>
                <w:rFonts w:cs="Verdana"/>
                <w:color w:val="000000"/>
                <w:sz w:val="18"/>
                <w:szCs w:val="18"/>
                <w:lang w:eastAsia="sv-SE"/>
              </w:rPr>
              <w:t xml:space="preserve">Use in closed batch process (synthesis or formulation) </w:t>
            </w:r>
          </w:p>
        </w:tc>
        <w:tc>
          <w:tcPr>
            <w:tcW w:w="5064" w:type="dxa"/>
            <w:tcBorders>
              <w:top w:val="single" w:sz="4" w:space="0" w:color="auto"/>
              <w:left w:val="nil"/>
              <w:bottom w:val="single" w:sz="4" w:space="0" w:color="auto"/>
              <w:right w:val="single" w:sz="4" w:space="0" w:color="auto"/>
            </w:tcBorders>
            <w:shd w:val="clear" w:color="auto" w:fill="auto"/>
            <w:hideMark/>
          </w:tcPr>
          <w:p w14:paraId="3F6B55D7" w14:textId="77777777" w:rsidR="00217978" w:rsidRPr="00B65D57" w:rsidRDefault="00217978" w:rsidP="00760DCC">
            <w:pPr>
              <w:rPr>
                <w:rFonts w:cs="Calibri"/>
                <w:color w:val="000000"/>
                <w:sz w:val="18"/>
                <w:szCs w:val="18"/>
                <w:lang w:eastAsia="sv-SE"/>
              </w:rPr>
            </w:pPr>
            <w:r w:rsidRPr="00B65D57">
              <w:rPr>
                <w:rFonts w:cs="Verdana"/>
                <w:color w:val="000000" w:themeColor="text1"/>
                <w:sz w:val="18"/>
                <w:szCs w:val="18"/>
                <w:lang w:eastAsia="sv-SE"/>
              </w:rPr>
              <w:t xml:space="preserve">Batch manufacture of a chemical or formulation where the pre-dominant handling is in a contained manner, e.g. through enclosed transfers, but where some opportunity for contact with chemicals occurs, e.g. through sampling </w:t>
            </w:r>
          </w:p>
        </w:tc>
        <w:tc>
          <w:tcPr>
            <w:tcW w:w="845" w:type="dxa"/>
            <w:tcBorders>
              <w:top w:val="single" w:sz="4" w:space="0" w:color="auto"/>
              <w:left w:val="nil"/>
              <w:bottom w:val="single" w:sz="4" w:space="0" w:color="auto"/>
              <w:right w:val="single" w:sz="4" w:space="0" w:color="auto"/>
            </w:tcBorders>
          </w:tcPr>
          <w:p w14:paraId="13C8F81E" w14:textId="77777777" w:rsidR="00217978" w:rsidRPr="00B65D57" w:rsidRDefault="00217978" w:rsidP="00760DCC">
            <w:pPr>
              <w:rPr>
                <w:rFonts w:cs="Verdana"/>
                <w:color w:val="000000" w:themeColor="text1"/>
                <w:sz w:val="18"/>
                <w:szCs w:val="18"/>
                <w:lang w:eastAsia="sv-SE"/>
              </w:rPr>
            </w:pPr>
            <w:r w:rsidRPr="00B65D57">
              <w:rPr>
                <w:rFonts w:cs="Verdana"/>
                <w:color w:val="000000" w:themeColor="text1"/>
                <w:sz w:val="18"/>
                <w:szCs w:val="18"/>
                <w:lang w:eastAsia="sv-SE"/>
              </w:rPr>
              <w:t>2.2 a-b</w:t>
            </w:r>
          </w:p>
          <w:p w14:paraId="1FE356AA" w14:textId="77777777" w:rsidR="00217978" w:rsidRPr="00B65D57" w:rsidRDefault="00217978" w:rsidP="00760DCC">
            <w:pPr>
              <w:rPr>
                <w:rFonts w:cs="Verdana"/>
                <w:color w:val="000000" w:themeColor="text1"/>
                <w:sz w:val="18"/>
                <w:szCs w:val="18"/>
                <w:lang w:eastAsia="sv-SE"/>
              </w:rPr>
            </w:pPr>
            <w:r w:rsidRPr="00B65D57">
              <w:rPr>
                <w:rFonts w:cs="Verdana"/>
                <w:color w:val="000000" w:themeColor="text1"/>
                <w:sz w:val="18"/>
                <w:szCs w:val="18"/>
                <w:lang w:eastAsia="sv-SE"/>
              </w:rPr>
              <w:t>6 a-b</w:t>
            </w:r>
          </w:p>
        </w:tc>
      </w:tr>
      <w:tr w:rsidR="00217978" w:rsidRPr="00B65D57" w14:paraId="4834860A" w14:textId="77777777" w:rsidTr="00760DCC">
        <w:trPr>
          <w:trHeight w:val="1728"/>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A852"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 xml:space="preserve">PROC5 </w:t>
            </w:r>
          </w:p>
        </w:tc>
        <w:tc>
          <w:tcPr>
            <w:tcW w:w="2260" w:type="dxa"/>
            <w:tcBorders>
              <w:top w:val="single" w:sz="4" w:space="0" w:color="auto"/>
              <w:left w:val="nil"/>
              <w:bottom w:val="single" w:sz="4" w:space="0" w:color="auto"/>
              <w:right w:val="single" w:sz="4" w:space="0" w:color="auto"/>
            </w:tcBorders>
            <w:shd w:val="clear" w:color="auto" w:fill="auto"/>
            <w:hideMark/>
          </w:tcPr>
          <w:p w14:paraId="71BC10CD" w14:textId="77777777" w:rsidR="00217978" w:rsidRPr="00B65D57" w:rsidRDefault="00217978" w:rsidP="00760DCC">
            <w:pPr>
              <w:rPr>
                <w:rFonts w:cs="Calibri"/>
                <w:color w:val="000000"/>
                <w:sz w:val="18"/>
                <w:szCs w:val="18"/>
                <w:lang w:eastAsia="sv-SE"/>
              </w:rPr>
            </w:pPr>
            <w:r w:rsidRPr="00B65D57">
              <w:rPr>
                <w:rFonts w:cs="Verdana"/>
                <w:color w:val="000000" w:themeColor="text1"/>
                <w:sz w:val="18"/>
                <w:szCs w:val="18"/>
                <w:lang w:eastAsia="sv-SE"/>
              </w:rPr>
              <w:t xml:space="preserve">Mixing or blending in batch processes for formulation of preparations and articles (multi stage and/or significant contact) </w:t>
            </w:r>
          </w:p>
        </w:tc>
        <w:tc>
          <w:tcPr>
            <w:tcW w:w="5064" w:type="dxa"/>
            <w:tcBorders>
              <w:top w:val="single" w:sz="4" w:space="0" w:color="auto"/>
              <w:left w:val="nil"/>
              <w:bottom w:val="single" w:sz="4" w:space="0" w:color="auto"/>
              <w:right w:val="single" w:sz="4" w:space="0" w:color="auto"/>
            </w:tcBorders>
            <w:shd w:val="clear" w:color="auto" w:fill="auto"/>
            <w:hideMark/>
          </w:tcPr>
          <w:p w14:paraId="56DD7F75" w14:textId="77777777" w:rsidR="00217978" w:rsidRPr="00B65D57" w:rsidRDefault="00217978" w:rsidP="00760DCC">
            <w:pPr>
              <w:rPr>
                <w:rFonts w:cs="Calibri"/>
                <w:color w:val="000000"/>
                <w:sz w:val="18"/>
                <w:szCs w:val="18"/>
                <w:lang w:eastAsia="sv-SE"/>
              </w:rPr>
            </w:pPr>
            <w:r w:rsidRPr="00B65D57">
              <w:rPr>
                <w:rFonts w:cs="Verdana"/>
                <w:color w:val="000000"/>
                <w:sz w:val="18"/>
                <w:szCs w:val="18"/>
                <w:lang w:eastAsia="sv-SE"/>
              </w:rPr>
              <w:t xml:space="preserve">Manufacture or formulation of chemical products or articles using technologies related to mixing and blending of solid or liquid materials, and where the process is in stages and provides the opportunity for significant contact at any stage </w:t>
            </w:r>
          </w:p>
        </w:tc>
        <w:tc>
          <w:tcPr>
            <w:tcW w:w="845" w:type="dxa"/>
            <w:tcBorders>
              <w:top w:val="single" w:sz="4" w:space="0" w:color="auto"/>
              <w:left w:val="nil"/>
              <w:bottom w:val="single" w:sz="4" w:space="0" w:color="auto"/>
              <w:right w:val="single" w:sz="4" w:space="0" w:color="auto"/>
            </w:tcBorders>
          </w:tcPr>
          <w:p w14:paraId="0A6F966E"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1 a-d</w:t>
            </w:r>
          </w:p>
          <w:p w14:paraId="75EAB527"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4 a-b</w:t>
            </w:r>
          </w:p>
        </w:tc>
      </w:tr>
      <w:tr w:rsidR="00217978" w:rsidRPr="00B65D57" w14:paraId="55F494D7" w14:textId="77777777" w:rsidTr="00760DCC">
        <w:trPr>
          <w:trHeight w:val="152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704A0"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 xml:space="preserve">PROC8a </w:t>
            </w:r>
          </w:p>
        </w:tc>
        <w:tc>
          <w:tcPr>
            <w:tcW w:w="2260" w:type="dxa"/>
            <w:tcBorders>
              <w:top w:val="single" w:sz="4" w:space="0" w:color="auto"/>
              <w:left w:val="nil"/>
              <w:bottom w:val="single" w:sz="4" w:space="0" w:color="auto"/>
              <w:right w:val="single" w:sz="4" w:space="0" w:color="auto"/>
            </w:tcBorders>
            <w:shd w:val="clear" w:color="auto" w:fill="auto"/>
            <w:hideMark/>
          </w:tcPr>
          <w:p w14:paraId="0249438C" w14:textId="77777777" w:rsidR="00217978" w:rsidRPr="00B65D57" w:rsidRDefault="00217978" w:rsidP="00760DCC">
            <w:pPr>
              <w:rPr>
                <w:rFonts w:cs="Calibri"/>
                <w:color w:val="000000"/>
                <w:sz w:val="18"/>
                <w:szCs w:val="18"/>
                <w:lang w:eastAsia="sv-SE"/>
              </w:rPr>
            </w:pPr>
            <w:r w:rsidRPr="00B65D57">
              <w:rPr>
                <w:rFonts w:cs="Verdana"/>
                <w:color w:val="000000"/>
                <w:sz w:val="18"/>
                <w:szCs w:val="18"/>
                <w:lang w:eastAsia="sv-SE"/>
              </w:rPr>
              <w:t xml:space="preserve">Transfer of substance or preparation (charging/discharging) from/to vessels/large containers at non-dedicated facilities </w:t>
            </w:r>
          </w:p>
        </w:tc>
        <w:tc>
          <w:tcPr>
            <w:tcW w:w="5064" w:type="dxa"/>
            <w:tcBorders>
              <w:top w:val="single" w:sz="4" w:space="0" w:color="auto"/>
              <w:left w:val="nil"/>
              <w:bottom w:val="single" w:sz="4" w:space="0" w:color="auto"/>
              <w:right w:val="single" w:sz="4" w:space="0" w:color="auto"/>
            </w:tcBorders>
            <w:shd w:val="clear" w:color="auto" w:fill="auto"/>
            <w:hideMark/>
          </w:tcPr>
          <w:p w14:paraId="4FB10808" w14:textId="77777777" w:rsidR="00217978" w:rsidRPr="00B65D57" w:rsidRDefault="00217978" w:rsidP="00760DCC">
            <w:pPr>
              <w:rPr>
                <w:rFonts w:cs="Calibri"/>
                <w:color w:val="000000"/>
                <w:sz w:val="18"/>
                <w:szCs w:val="18"/>
                <w:lang w:eastAsia="sv-SE"/>
              </w:rPr>
            </w:pPr>
            <w:r w:rsidRPr="00B65D57">
              <w:rPr>
                <w:rFonts w:cs="Verdana"/>
                <w:color w:val="000000"/>
                <w:sz w:val="18"/>
                <w:szCs w:val="18"/>
                <w:lang w:eastAsia="sv-SE"/>
              </w:rPr>
              <w:t xml:space="preserve">Sampling, loading, filling, transfer, dumping, bagging in non- dedicated facilities. Exposure related to dust, vapour, aerosols or spillage, and cleaning of equipment to be expected </w:t>
            </w:r>
          </w:p>
        </w:tc>
        <w:tc>
          <w:tcPr>
            <w:tcW w:w="845" w:type="dxa"/>
            <w:tcBorders>
              <w:top w:val="single" w:sz="4" w:space="0" w:color="auto"/>
              <w:left w:val="nil"/>
              <w:bottom w:val="single" w:sz="4" w:space="0" w:color="auto"/>
              <w:right w:val="single" w:sz="4" w:space="0" w:color="auto"/>
            </w:tcBorders>
          </w:tcPr>
          <w:p w14:paraId="558E0142"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2.1 a-b</w:t>
            </w:r>
          </w:p>
          <w:p w14:paraId="43D33677"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3 a-b</w:t>
            </w:r>
          </w:p>
          <w:p w14:paraId="18DD45E1"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5 a-b</w:t>
            </w:r>
          </w:p>
          <w:p w14:paraId="7BCE899F"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7 a-b</w:t>
            </w:r>
          </w:p>
          <w:p w14:paraId="3D82A481"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8 a-b</w:t>
            </w:r>
          </w:p>
          <w:p w14:paraId="57EDB98F" w14:textId="77777777" w:rsidR="00217978" w:rsidRPr="00B65D57" w:rsidRDefault="00217978" w:rsidP="00760DCC">
            <w:pPr>
              <w:rPr>
                <w:rFonts w:cs="Verdana"/>
                <w:color w:val="000000"/>
                <w:sz w:val="18"/>
                <w:szCs w:val="18"/>
                <w:lang w:eastAsia="sv-SE"/>
              </w:rPr>
            </w:pPr>
            <w:r w:rsidRPr="00B65D57">
              <w:rPr>
                <w:rFonts w:cs="Verdana"/>
                <w:color w:val="000000"/>
                <w:sz w:val="18"/>
                <w:szCs w:val="18"/>
                <w:lang w:eastAsia="sv-SE"/>
              </w:rPr>
              <w:t>(9 a-b)</w:t>
            </w:r>
          </w:p>
        </w:tc>
      </w:tr>
    </w:tbl>
    <w:p w14:paraId="22D0A1F1" w14:textId="77777777" w:rsidR="00BD4323" w:rsidRPr="00B65D57" w:rsidRDefault="00BD4323" w:rsidP="00BD4323">
      <w:pPr>
        <w:spacing w:line="260" w:lineRule="atLeast"/>
        <w:rPr>
          <w:rFonts w:eastAsia="Calibri"/>
          <w:lang w:eastAsia="en-US"/>
        </w:rPr>
      </w:pPr>
    </w:p>
    <w:p w14:paraId="5D61B1CF" w14:textId="77777777" w:rsidR="00217978" w:rsidRPr="00B65D57" w:rsidRDefault="00217978" w:rsidP="00217978">
      <w:pPr>
        <w:spacing w:line="260" w:lineRule="atLeast"/>
        <w:rPr>
          <w:rFonts w:eastAsia="Calibri"/>
          <w:b/>
          <w:lang w:eastAsia="en-US"/>
        </w:rPr>
      </w:pPr>
      <w:r w:rsidRPr="00B65D57">
        <w:rPr>
          <w:rFonts w:eastAsia="Verdana" w:cs="Verdana"/>
          <w:b/>
          <w:bCs/>
          <w:i/>
          <w:iCs/>
        </w:rPr>
        <w:t>Scenarios 1a-d: Production - Proc 5</w:t>
      </w:r>
    </w:p>
    <w:p w14:paraId="07EF425F" w14:textId="77777777" w:rsidR="00217978" w:rsidRPr="00B65D57" w:rsidRDefault="00217978" w:rsidP="00217978">
      <w:pPr>
        <w:spacing w:line="260" w:lineRule="atLeast"/>
        <w:rPr>
          <w:rFonts w:eastAsia="Verdana" w:cs="Verdana"/>
        </w:rPr>
      </w:pPr>
      <w:r w:rsidRPr="00B65D57">
        <w:rPr>
          <w:rFonts w:eastAsia="Verdana" w:cs="Verdana"/>
        </w:rPr>
        <w:t>The active ingredients are delivered in 25 kg plastic bags to a storing and handling facility. Jerbor is only produced on demand according to the estimated need for a treatment. When producing Jerbor, 46.3 % disodium tetraborate pentahydrate and 53.7 % boric acid are mixed in a 30 dm</w:t>
      </w:r>
      <w:r w:rsidRPr="00B65D57">
        <w:rPr>
          <w:rFonts w:eastAsia="Verdana" w:cs="Verdana"/>
          <w:vertAlign w:val="superscript"/>
        </w:rPr>
        <w:t>3</w:t>
      </w:r>
      <w:r w:rsidRPr="00B65D57">
        <w:rPr>
          <w:rFonts w:eastAsia="Verdana" w:cs="Verdana"/>
        </w:rPr>
        <w:t xml:space="preserve"> container. To minimise dusting only granular disodium tetraborate and boric acid are used in the production of Jerbor. The packages are opened in a ventilated hood behind a transparent door, so that the content can go directly into the transport containers. Each batch (20.6 kg) is packed into UN approved transport containers with a tightly sealed lid (30 litres) and labelled according to CLP and transported to the construction site by truck.</w:t>
      </w:r>
    </w:p>
    <w:p w14:paraId="00D1E6C5" w14:textId="77777777" w:rsidR="00217978" w:rsidRPr="00B65D57" w:rsidRDefault="00217978" w:rsidP="00217978">
      <w:pPr>
        <w:spacing w:line="260" w:lineRule="atLeast"/>
      </w:pPr>
      <w:r w:rsidRPr="00B65D57">
        <w:rPr>
          <w:rFonts w:eastAsia="Verdana" w:cs="Verdana"/>
        </w:rPr>
        <w:t xml:space="preserve"> </w:t>
      </w:r>
    </w:p>
    <w:p w14:paraId="0F8EC625" w14:textId="77777777" w:rsidR="00217978" w:rsidRPr="00B65D57" w:rsidRDefault="00217978" w:rsidP="00217978">
      <w:pPr>
        <w:spacing w:line="260" w:lineRule="atLeast"/>
      </w:pPr>
      <w:r w:rsidRPr="00B65D57">
        <w:rPr>
          <w:rFonts w:eastAsia="Verdana" w:cs="Verdana"/>
        </w:rPr>
        <w:t>Only dry granules are handled. The facility has general ventilation and LEV (Local Exhaust Ventilation) at the site of opening of the bags and at the site of filling of the containers. The person performing this work should wear respiratory mask with particle filter P3, protective clothing, protective gloves of nitrile rubber and protection googles.</w:t>
      </w:r>
    </w:p>
    <w:p w14:paraId="73544438" w14:textId="77777777" w:rsidR="00217978" w:rsidRPr="00B65D57" w:rsidRDefault="00217978" w:rsidP="00217978">
      <w:pPr>
        <w:spacing w:line="260" w:lineRule="atLeast"/>
      </w:pPr>
      <w:r w:rsidRPr="00B65D57">
        <w:rPr>
          <w:rFonts w:eastAsia="Verdana" w:cs="Verdana"/>
        </w:rPr>
        <w:t xml:space="preserve"> </w:t>
      </w:r>
    </w:p>
    <w:p w14:paraId="02CA0854" w14:textId="77777777" w:rsidR="00217978" w:rsidRPr="00B65D57" w:rsidRDefault="00217978" w:rsidP="00217978">
      <w:pPr>
        <w:spacing w:line="260" w:lineRule="atLeast"/>
        <w:rPr>
          <w:rFonts w:eastAsia="Verdana" w:cs="Verdana"/>
          <w:i/>
          <w:iCs/>
        </w:rPr>
      </w:pPr>
      <w:r w:rsidRPr="00B65D57">
        <w:rPr>
          <w:rFonts w:eastAsia="Verdana" w:cs="Verdana"/>
          <w:i/>
          <w:iCs/>
        </w:rPr>
        <w:t xml:space="preserve">The production step will be done indoors, 20 days/year during 2 h, by one person. </w:t>
      </w:r>
    </w:p>
    <w:p w14:paraId="1BAE30A5" w14:textId="77777777" w:rsidR="00217978" w:rsidRPr="00B65D57" w:rsidRDefault="00217978" w:rsidP="00217978">
      <w:pPr>
        <w:spacing w:line="260" w:lineRule="atLeast"/>
      </w:pPr>
      <w:r w:rsidRPr="00B65D57">
        <w:rPr>
          <w:rFonts w:eastAsia="Verdana" w:cs="Verdana"/>
        </w:rPr>
        <w:t xml:space="preserve"> </w:t>
      </w:r>
    </w:p>
    <w:p w14:paraId="048CF148" w14:textId="77777777" w:rsidR="00217978" w:rsidRPr="00B65D57" w:rsidRDefault="00217978" w:rsidP="00217978">
      <w:pPr>
        <w:spacing w:line="260" w:lineRule="atLeast"/>
      </w:pPr>
      <w:r w:rsidRPr="00B65D57">
        <w:rPr>
          <w:rFonts w:eastAsia="Verdana" w:cs="Verdana"/>
          <w:b/>
          <w:bCs/>
          <w:i/>
          <w:iCs/>
        </w:rPr>
        <w:t>Scenarios 2.1 a-b: Loading mixing tank – Proc 8a</w:t>
      </w:r>
    </w:p>
    <w:p w14:paraId="2E10F847" w14:textId="77777777" w:rsidR="00217978" w:rsidRPr="00B65D57" w:rsidRDefault="00217978" w:rsidP="00217978">
      <w:pPr>
        <w:spacing w:line="260" w:lineRule="atLeast"/>
      </w:pPr>
      <w:r w:rsidRPr="00B65D57">
        <w:rPr>
          <w:rFonts w:eastAsia="Verdana" w:cs="Verdana"/>
        </w:rPr>
        <w:t>The equipment for Jerbor injection will be installed indoors in the building where the injection (treatment) takes place. The dry Jerbor granules is manually transferred to the mixing tank by gently tipping, to avoid splashing, the transport container with Jerbor into the hot water. When the transport container is completely emptied, the lid of the mixing tank is put on place. The work will be done by one person.</w:t>
      </w:r>
    </w:p>
    <w:p w14:paraId="5C117A35" w14:textId="77777777" w:rsidR="00217978" w:rsidRPr="00B65D57" w:rsidRDefault="00217978" w:rsidP="00217978">
      <w:pPr>
        <w:spacing w:line="260" w:lineRule="atLeast"/>
      </w:pPr>
      <w:r w:rsidRPr="00B65D57">
        <w:rPr>
          <w:rFonts w:eastAsia="Verdana" w:cs="Verdana"/>
        </w:rPr>
        <w:t xml:space="preserve"> </w:t>
      </w:r>
    </w:p>
    <w:p w14:paraId="258A28DC" w14:textId="77777777" w:rsidR="00217978" w:rsidRPr="00B65D57" w:rsidRDefault="00217978" w:rsidP="00217978">
      <w:pPr>
        <w:spacing w:line="260" w:lineRule="atLeast"/>
      </w:pPr>
      <w:r w:rsidRPr="00B65D57">
        <w:rPr>
          <w:rFonts w:eastAsia="Verdana" w:cs="Verdana"/>
        </w:rPr>
        <w:t>The building has normally general ventilation. The person performing this work should wear respiratory mask with particle filter P3, protective clothing, protective gloves of nitrile rubber and protection goggles.</w:t>
      </w:r>
    </w:p>
    <w:p w14:paraId="404E3F16" w14:textId="77777777" w:rsidR="00217978" w:rsidRPr="00B65D57" w:rsidRDefault="00217978" w:rsidP="00217978">
      <w:pPr>
        <w:spacing w:line="260" w:lineRule="atLeast"/>
      </w:pPr>
      <w:r w:rsidRPr="00B65D57">
        <w:rPr>
          <w:rFonts w:eastAsia="Verdana" w:cs="Verdana"/>
        </w:rPr>
        <w:t xml:space="preserve"> </w:t>
      </w:r>
    </w:p>
    <w:p w14:paraId="14D70D8E" w14:textId="77777777" w:rsidR="00217978" w:rsidRPr="00B65D57" w:rsidRDefault="00217978" w:rsidP="00217978">
      <w:pPr>
        <w:spacing w:line="260" w:lineRule="atLeast"/>
        <w:rPr>
          <w:i/>
          <w:iCs/>
        </w:rPr>
      </w:pPr>
      <w:r w:rsidRPr="00B65D57">
        <w:rPr>
          <w:rFonts w:eastAsia="Verdana" w:cs="Verdana"/>
          <w:i/>
          <w:iCs/>
        </w:rPr>
        <w:t>The total number of working days per year for scenario 2.1 is about 100 days. This working step will be done 5 times per day during 2 min per time which gives total 10 minutes per person and day. Working steps 2.1 to 7 are rotated between the professionals working at the site of treatment during the day.</w:t>
      </w:r>
    </w:p>
    <w:p w14:paraId="192FBCE8" w14:textId="77777777" w:rsidR="00217978" w:rsidRPr="00B65D57" w:rsidRDefault="00217978" w:rsidP="00217978">
      <w:pPr>
        <w:spacing w:line="260" w:lineRule="atLeast"/>
      </w:pPr>
      <w:r w:rsidRPr="00B65D57">
        <w:rPr>
          <w:rFonts w:eastAsia="Verdana" w:cs="Verdana"/>
          <w:b/>
          <w:bCs/>
          <w:i/>
          <w:iCs/>
        </w:rPr>
        <w:t xml:space="preserve"> </w:t>
      </w:r>
    </w:p>
    <w:p w14:paraId="576ECC39" w14:textId="77777777" w:rsidR="00217978" w:rsidRPr="00B65D57" w:rsidRDefault="00217978" w:rsidP="00217978">
      <w:pPr>
        <w:spacing w:line="260" w:lineRule="atLeast"/>
      </w:pPr>
      <w:r w:rsidRPr="00B65D57">
        <w:rPr>
          <w:rFonts w:eastAsia="Verdana" w:cs="Verdana"/>
          <w:b/>
          <w:bCs/>
          <w:i/>
          <w:iCs/>
        </w:rPr>
        <w:t>Scenarios 2.2 a-b: Mixing tank – Proc 3</w:t>
      </w:r>
    </w:p>
    <w:p w14:paraId="509D8C89" w14:textId="77777777" w:rsidR="00217978" w:rsidRPr="00B65D57" w:rsidRDefault="00217978" w:rsidP="00217978">
      <w:pPr>
        <w:spacing w:line="260" w:lineRule="atLeast"/>
      </w:pPr>
      <w:r w:rsidRPr="00B65D57">
        <w:rPr>
          <w:rFonts w:eastAsia="Verdana" w:cs="Verdana"/>
        </w:rPr>
        <w:t xml:space="preserve">In the mixing tank (denoted blandningstank med lock in Figure 2.2.6.2.2-1) Jerbor in granular form and water will be mixed automatically in a closed system. The lid will be opened, after 8 minutes of mixing, to inspect that Jerbor is fully solved. Prolonged mixing will occasionally occur if the product is not solved and a new inspection will then take place. The work will be done by one person. The mixture will contain 12.0 % Jerbor and 88.0 % warm (50 – 70°C) water. </w:t>
      </w:r>
    </w:p>
    <w:p w14:paraId="472537D7" w14:textId="77777777" w:rsidR="00217978" w:rsidRPr="00B65D57" w:rsidRDefault="00217978" w:rsidP="00217978">
      <w:pPr>
        <w:spacing w:line="260" w:lineRule="atLeast"/>
      </w:pPr>
      <w:r w:rsidRPr="00B65D57">
        <w:rPr>
          <w:rFonts w:eastAsia="Verdana" w:cs="Verdana"/>
        </w:rPr>
        <w:t>The building has normally general ventilation. The person doing this work wears respiratory mask with particle filter P3, protective clothing, protective gloves of nitrile rubber and protection goggles.</w:t>
      </w:r>
    </w:p>
    <w:p w14:paraId="79DC054C" w14:textId="77777777" w:rsidR="00217978" w:rsidRPr="00B65D57" w:rsidRDefault="00217978" w:rsidP="00217978">
      <w:pPr>
        <w:spacing w:line="260" w:lineRule="atLeast"/>
      </w:pPr>
      <w:r w:rsidRPr="00B65D57">
        <w:rPr>
          <w:rFonts w:eastAsia="Verdana" w:cs="Verdana"/>
        </w:rPr>
        <w:t xml:space="preserve"> </w:t>
      </w:r>
    </w:p>
    <w:p w14:paraId="08C43EC8" w14:textId="77777777" w:rsidR="00217978" w:rsidRPr="00B65D57" w:rsidRDefault="00217978" w:rsidP="00217978">
      <w:pPr>
        <w:spacing w:line="260" w:lineRule="atLeast"/>
      </w:pPr>
      <w:r w:rsidRPr="00B65D57">
        <w:rPr>
          <w:rFonts w:eastAsia="Verdana" w:cs="Verdana"/>
          <w:i/>
          <w:iCs/>
        </w:rPr>
        <w:t xml:space="preserve">The total number of working days per year for scenario 2.2 is about </w:t>
      </w:r>
      <w:r w:rsidRPr="00B65D57">
        <w:rPr>
          <w:rFonts w:eastAsia="Verdana" w:cs="Verdana"/>
          <w:i/>
          <w:iCs/>
          <w:color w:val="000000" w:themeColor="text1"/>
        </w:rPr>
        <w:t>100 working days. This working step will be done 5 times per day for 8 min per time which gives total</w:t>
      </w:r>
    </w:p>
    <w:p w14:paraId="6BA93008" w14:textId="77777777" w:rsidR="00217978" w:rsidRPr="00B65D57" w:rsidRDefault="00217978" w:rsidP="00217978">
      <w:pPr>
        <w:spacing w:line="260" w:lineRule="atLeast"/>
        <w:rPr>
          <w:i/>
          <w:iCs/>
        </w:rPr>
      </w:pPr>
      <w:r w:rsidRPr="00B65D57">
        <w:rPr>
          <w:rFonts w:eastAsia="Verdana" w:cs="Verdana"/>
          <w:i/>
          <w:iCs/>
          <w:color w:val="000000" w:themeColor="text1"/>
        </w:rPr>
        <w:t>40 minutes per person and day</w:t>
      </w:r>
      <w:r w:rsidRPr="00B65D57">
        <w:rPr>
          <w:rFonts w:eastAsia="Verdana" w:cs="Verdana"/>
        </w:rPr>
        <w:t xml:space="preserve">. </w:t>
      </w:r>
      <w:r w:rsidRPr="00B65D57">
        <w:rPr>
          <w:rFonts w:eastAsia="Verdana" w:cs="Verdana"/>
          <w:i/>
          <w:iCs/>
        </w:rPr>
        <w:t>Working steps 2.1 to 7 are rotated between the professionals working at the site of treatment during the day.</w:t>
      </w:r>
    </w:p>
    <w:p w14:paraId="54A497A5" w14:textId="77777777" w:rsidR="00217978" w:rsidRPr="00B65D57" w:rsidRDefault="00217978" w:rsidP="00217978">
      <w:pPr>
        <w:spacing w:line="260" w:lineRule="atLeast"/>
      </w:pPr>
      <w:r w:rsidRPr="00B65D57">
        <w:rPr>
          <w:rFonts w:eastAsia="Verdana" w:cs="Verdana"/>
          <w:i/>
          <w:iCs/>
          <w:color w:val="000000" w:themeColor="text1"/>
        </w:rPr>
        <w:t xml:space="preserve"> </w:t>
      </w:r>
    </w:p>
    <w:p w14:paraId="495A6EC8" w14:textId="77777777" w:rsidR="00217978" w:rsidRPr="00B65D57" w:rsidRDefault="00217978" w:rsidP="00217978">
      <w:pPr>
        <w:spacing w:line="260" w:lineRule="atLeast"/>
      </w:pPr>
      <w:r w:rsidRPr="00B65D57">
        <w:rPr>
          <w:rFonts w:eastAsia="Verdana" w:cs="Verdana"/>
          <w:b/>
          <w:bCs/>
          <w:i/>
          <w:iCs/>
        </w:rPr>
        <w:lastRenderedPageBreak/>
        <w:t>Scenarios 3a-b: Transfer from mixing tank to mixing barrel – Proc 8a</w:t>
      </w:r>
    </w:p>
    <w:p w14:paraId="2D58C054" w14:textId="263A7257" w:rsidR="00217978" w:rsidRPr="00B65D57" w:rsidRDefault="00217978" w:rsidP="00217978">
      <w:pPr>
        <w:spacing w:line="260" w:lineRule="atLeast"/>
      </w:pPr>
      <w:r w:rsidRPr="00B65D57">
        <w:rPr>
          <w:rFonts w:eastAsia="Verdana" w:cs="Verdana"/>
        </w:rPr>
        <w:t xml:space="preserve">The transfer of the Jerbor/water-solution from the mixing tank to the mixing barrel is performed by a transfer hose connected with a coupling to the mixing tank and the other end hanging over the edge of the mixing barrel so that the Jerbor solution will flow straight into the barrel (transfer from “blandningstank” to “högblandare med 50 liters blandningskärl” in 2.2.6.2-1). </w:t>
      </w:r>
    </w:p>
    <w:p w14:paraId="40D72FE8" w14:textId="77777777" w:rsidR="00217978" w:rsidRPr="00B65D57" w:rsidRDefault="00217978" w:rsidP="00217978">
      <w:pPr>
        <w:spacing w:line="260" w:lineRule="atLeast"/>
        <w:rPr>
          <w:rFonts w:eastAsia="Verdana" w:cs="Verdana"/>
        </w:rPr>
      </w:pPr>
    </w:p>
    <w:p w14:paraId="1A55A582" w14:textId="77777777" w:rsidR="00217978" w:rsidRPr="00B65D57" w:rsidRDefault="00217978" w:rsidP="00217978">
      <w:pPr>
        <w:spacing w:line="260" w:lineRule="atLeast"/>
      </w:pPr>
      <w:r w:rsidRPr="00B65D57">
        <w:rPr>
          <w:rFonts w:eastAsia="Verdana" w:cs="Verdana"/>
        </w:rPr>
        <w:t>The work will be done by one person. Only dissolved borates are handled in this step. The building has normally general ventilation. The person performing this work wears respiratory mask with particle filter P3, protective clothing, protective gloves of nitrile rubber and protective googles.</w:t>
      </w:r>
    </w:p>
    <w:p w14:paraId="62BB37FA" w14:textId="77777777" w:rsidR="00217978" w:rsidRPr="00B65D57" w:rsidRDefault="00217978" w:rsidP="00217978">
      <w:pPr>
        <w:spacing w:line="260" w:lineRule="atLeast"/>
      </w:pPr>
      <w:r w:rsidRPr="00B65D57">
        <w:rPr>
          <w:rFonts w:eastAsia="Verdana" w:cs="Verdana"/>
        </w:rPr>
        <w:t xml:space="preserve"> </w:t>
      </w:r>
    </w:p>
    <w:p w14:paraId="435F6429" w14:textId="77777777" w:rsidR="00217978" w:rsidRPr="00B65D57" w:rsidRDefault="00217978" w:rsidP="00217978">
      <w:pPr>
        <w:spacing w:line="260" w:lineRule="atLeast"/>
      </w:pPr>
      <w:r w:rsidRPr="00B65D57">
        <w:rPr>
          <w:rFonts w:eastAsia="Verdana" w:cs="Verdana"/>
          <w:i/>
          <w:iCs/>
        </w:rPr>
        <w:t xml:space="preserve">The total number of working days per year for scenario 3 is about </w:t>
      </w:r>
      <w:r w:rsidRPr="00B65D57">
        <w:rPr>
          <w:rFonts w:eastAsia="Verdana" w:cs="Verdana"/>
          <w:i/>
          <w:iCs/>
          <w:color w:val="000000" w:themeColor="text1"/>
        </w:rPr>
        <w:t>100 working days. This working step will be done 25 times per day, 1 min at a time, which gives total</w:t>
      </w:r>
    </w:p>
    <w:p w14:paraId="3D9259C7" w14:textId="77777777" w:rsidR="00217978" w:rsidRPr="00B65D57" w:rsidRDefault="00217978" w:rsidP="00217978">
      <w:pPr>
        <w:spacing w:line="260" w:lineRule="atLeast"/>
        <w:rPr>
          <w:i/>
          <w:iCs/>
        </w:rPr>
      </w:pPr>
      <w:r w:rsidRPr="00B65D57">
        <w:rPr>
          <w:rFonts w:eastAsia="Verdana" w:cs="Verdana"/>
          <w:i/>
          <w:iCs/>
          <w:color w:val="000000" w:themeColor="text1"/>
        </w:rPr>
        <w:t xml:space="preserve">25 minutes per day. </w:t>
      </w:r>
      <w:r w:rsidRPr="00B65D57">
        <w:rPr>
          <w:rFonts w:eastAsia="Verdana" w:cs="Verdana"/>
          <w:i/>
          <w:iCs/>
        </w:rPr>
        <w:t>Working steps 2.1 to 7 are rotated between the professionals working at the site of treatment during the day.</w:t>
      </w:r>
    </w:p>
    <w:p w14:paraId="328AFBD0" w14:textId="77777777" w:rsidR="00217978" w:rsidRPr="00B65D57" w:rsidRDefault="00217978" w:rsidP="00217978">
      <w:pPr>
        <w:spacing w:line="260" w:lineRule="atLeast"/>
      </w:pPr>
      <w:r w:rsidRPr="00B65D57">
        <w:rPr>
          <w:rFonts w:eastAsia="Verdana" w:cs="Verdana"/>
        </w:rPr>
        <w:t xml:space="preserve"> </w:t>
      </w:r>
    </w:p>
    <w:p w14:paraId="18EB3035" w14:textId="77777777" w:rsidR="00217978" w:rsidRPr="00B65D57" w:rsidRDefault="00217978" w:rsidP="00217978">
      <w:pPr>
        <w:spacing w:line="260" w:lineRule="atLeast"/>
      </w:pPr>
      <w:r w:rsidRPr="00B65D57">
        <w:rPr>
          <w:rFonts w:eastAsia="Verdana" w:cs="Verdana"/>
          <w:b/>
          <w:bCs/>
          <w:i/>
          <w:iCs/>
        </w:rPr>
        <w:t>Scenarios 4a-b: Mixing barrel – Proc 5</w:t>
      </w:r>
    </w:p>
    <w:p w14:paraId="11A52C56" w14:textId="77777777" w:rsidR="00217978" w:rsidRPr="00B65D57" w:rsidRDefault="00217978" w:rsidP="00217978">
      <w:pPr>
        <w:spacing w:line="260" w:lineRule="atLeast"/>
        <w:rPr>
          <w:rFonts w:eastAsia="Verdana" w:cs="Verdana"/>
        </w:rPr>
      </w:pPr>
      <w:r w:rsidRPr="00B65D57">
        <w:rPr>
          <w:rFonts w:eastAsia="Verdana" w:cs="Verdana"/>
        </w:rPr>
        <w:t xml:space="preserve">In the mixing barrel, 18 litres of the Jerbor water solution will be mixed with 4.8 kg of sodium bentonite with a mounted plaster and mortar mixer in an opened system (“högblandare med 50 liters blandningskärl” in Figure 2.2.6.2.2-1). The bentonite is manually poured carefully in small portions, to avoid splashing, into the Jerbor slurry. The bentonite is added to make the mixture viscous (and for it to swell after injection). The mixture will now contain 9.6 % Jerbor and 70.4 % water and 20 % bentonite (all w/w) and is ready for application. </w:t>
      </w:r>
    </w:p>
    <w:p w14:paraId="08A292DF" w14:textId="77777777" w:rsidR="00217978" w:rsidRPr="00B65D57" w:rsidRDefault="00217978" w:rsidP="00217978">
      <w:pPr>
        <w:spacing w:line="260" w:lineRule="atLeast"/>
      </w:pPr>
      <w:r w:rsidRPr="00B65D57">
        <w:rPr>
          <w:rFonts w:eastAsia="Verdana" w:cs="Verdana"/>
        </w:rPr>
        <w:t xml:space="preserve"> </w:t>
      </w:r>
    </w:p>
    <w:p w14:paraId="5FE92E41" w14:textId="77777777" w:rsidR="00217978" w:rsidRPr="00B65D57" w:rsidRDefault="00217978" w:rsidP="00217978">
      <w:pPr>
        <w:spacing w:line="260" w:lineRule="atLeast"/>
        <w:rPr>
          <w:rFonts w:eastAsia="Verdana" w:cs="Verdana"/>
        </w:rPr>
      </w:pPr>
      <w:r w:rsidRPr="00B65D57">
        <w:rPr>
          <w:rFonts w:eastAsia="Verdana" w:cs="Verdana"/>
        </w:rPr>
        <w:t>The work will be done by one person. Only dissolved borates are handled in this step. The building has normally general ventilation. The person doing this work wears respiratory mask with particle filter P3, protective clothing, protective gloves of nitrile rubber and protection googles.</w:t>
      </w:r>
    </w:p>
    <w:p w14:paraId="0FA06B21" w14:textId="77777777" w:rsidR="00217978" w:rsidRPr="00B65D57" w:rsidRDefault="00217978" w:rsidP="00217978">
      <w:pPr>
        <w:spacing w:line="260" w:lineRule="atLeast"/>
      </w:pPr>
      <w:r w:rsidRPr="00B65D57">
        <w:rPr>
          <w:rFonts w:eastAsia="Verdana" w:cs="Verdana"/>
        </w:rPr>
        <w:t xml:space="preserve"> </w:t>
      </w:r>
    </w:p>
    <w:p w14:paraId="183A799A" w14:textId="77777777" w:rsidR="00217978" w:rsidRPr="00B65D57" w:rsidRDefault="00217978" w:rsidP="00217978">
      <w:pPr>
        <w:spacing w:line="260" w:lineRule="atLeast"/>
      </w:pPr>
      <w:r w:rsidRPr="00B65D57">
        <w:rPr>
          <w:rFonts w:eastAsia="Verdana" w:cs="Verdana"/>
          <w:i/>
          <w:iCs/>
        </w:rPr>
        <w:t xml:space="preserve">The total number of working days per year for scenario 4 is about </w:t>
      </w:r>
      <w:r w:rsidRPr="00B65D57">
        <w:rPr>
          <w:rFonts w:eastAsia="Verdana" w:cs="Verdana"/>
          <w:i/>
          <w:iCs/>
          <w:color w:val="000000" w:themeColor="text1"/>
        </w:rPr>
        <w:t>100 working days. This working step will be done 25 times per day, 2 min at a time, which gives total</w:t>
      </w:r>
    </w:p>
    <w:p w14:paraId="1657CDA8" w14:textId="77777777" w:rsidR="00217978" w:rsidRPr="00B65D57" w:rsidRDefault="00217978" w:rsidP="00217978">
      <w:pPr>
        <w:spacing w:line="260" w:lineRule="atLeast"/>
        <w:rPr>
          <w:i/>
          <w:iCs/>
        </w:rPr>
      </w:pPr>
      <w:r w:rsidRPr="00B65D57">
        <w:rPr>
          <w:rFonts w:eastAsia="Verdana" w:cs="Verdana"/>
          <w:i/>
          <w:iCs/>
          <w:color w:val="000000" w:themeColor="text1"/>
        </w:rPr>
        <w:t>50 minutes per day</w:t>
      </w:r>
      <w:r w:rsidRPr="00B65D57">
        <w:rPr>
          <w:rFonts w:eastAsia="Verdana" w:cs="Verdana"/>
          <w:i/>
          <w:iCs/>
        </w:rPr>
        <w:t>. Working steps 2.1 to 7 are rotated between the professionals working at the site of treatment during the day.</w:t>
      </w:r>
    </w:p>
    <w:p w14:paraId="41796F29" w14:textId="77777777" w:rsidR="00217978" w:rsidRPr="00B65D57" w:rsidRDefault="00217978" w:rsidP="00217978">
      <w:pPr>
        <w:spacing w:line="260" w:lineRule="atLeast"/>
      </w:pPr>
      <w:r w:rsidRPr="00B65D57">
        <w:rPr>
          <w:rFonts w:ascii="Times New Roman" w:hAnsi="Times New Roman"/>
          <w:sz w:val="24"/>
          <w:szCs w:val="24"/>
        </w:rPr>
        <w:t xml:space="preserve"> </w:t>
      </w:r>
    </w:p>
    <w:p w14:paraId="6AAA5C85" w14:textId="77777777" w:rsidR="00217978" w:rsidRPr="00B65D57" w:rsidRDefault="00217978" w:rsidP="00217978">
      <w:pPr>
        <w:spacing w:line="260" w:lineRule="atLeast"/>
      </w:pPr>
      <w:r w:rsidRPr="00B65D57">
        <w:rPr>
          <w:rFonts w:eastAsia="Verdana" w:cs="Verdana"/>
          <w:b/>
          <w:bCs/>
          <w:i/>
          <w:iCs/>
        </w:rPr>
        <w:t>Scenarios 5a-b – Transfer from mixing barrel to injection pump – Proc 8a</w:t>
      </w:r>
    </w:p>
    <w:p w14:paraId="24AC5859" w14:textId="77777777" w:rsidR="00217978" w:rsidRPr="00B65D57" w:rsidRDefault="00217978" w:rsidP="00217978">
      <w:pPr>
        <w:spacing w:line="260" w:lineRule="atLeast"/>
        <w:rPr>
          <w:rFonts w:eastAsia="Verdana" w:cs="Verdana"/>
        </w:rPr>
      </w:pPr>
      <w:r w:rsidRPr="00B65D57">
        <w:rPr>
          <w:rFonts w:eastAsia="Verdana" w:cs="Verdana"/>
        </w:rPr>
        <w:t xml:space="preserve">The transfer from the mixing barrel to the injection pump (transfer from “högblandare med 50 liters blandningskärl” to “Fjärrstyrd injekteringspump” in Figure 2.2.6.2.2-1) is done by pouring 20 litres of slurry by gently tilting the mixing vessel into the remote-controlled plaster and mortar pump. </w:t>
      </w:r>
    </w:p>
    <w:p w14:paraId="02C615BE" w14:textId="77777777" w:rsidR="00217978" w:rsidRPr="00B65D57" w:rsidRDefault="00217978" w:rsidP="00217978">
      <w:pPr>
        <w:spacing w:line="260" w:lineRule="atLeast"/>
      </w:pPr>
    </w:p>
    <w:p w14:paraId="043CD179" w14:textId="77777777" w:rsidR="00217978" w:rsidRPr="00B65D57" w:rsidRDefault="00217978" w:rsidP="00217978">
      <w:pPr>
        <w:spacing w:line="260" w:lineRule="atLeast"/>
      </w:pPr>
      <w:r w:rsidRPr="00B65D57">
        <w:rPr>
          <w:rFonts w:eastAsia="Verdana" w:cs="Verdana"/>
        </w:rPr>
        <w:t>Only dissolved borates are handled in this step. The building has normally general ventilation. The person doing this work wears respiratory mask with particle filter P3, protective clothing, protective gloves of nitrile rubber and protective googles.</w:t>
      </w:r>
    </w:p>
    <w:p w14:paraId="2C3CD252" w14:textId="77777777" w:rsidR="00217978" w:rsidRPr="00B65D57" w:rsidRDefault="00217978" w:rsidP="00217978">
      <w:pPr>
        <w:spacing w:line="260" w:lineRule="atLeast"/>
      </w:pPr>
      <w:r w:rsidRPr="00B65D57">
        <w:rPr>
          <w:rFonts w:eastAsia="Verdana" w:cs="Verdana"/>
        </w:rPr>
        <w:t xml:space="preserve"> </w:t>
      </w:r>
    </w:p>
    <w:p w14:paraId="345D6993" w14:textId="77777777" w:rsidR="00217978" w:rsidRPr="00B65D57" w:rsidRDefault="00217978" w:rsidP="00217978">
      <w:pPr>
        <w:spacing w:line="260" w:lineRule="atLeast"/>
      </w:pPr>
      <w:r w:rsidRPr="00B65D57">
        <w:rPr>
          <w:rFonts w:eastAsia="Verdana" w:cs="Verdana"/>
          <w:i/>
          <w:iCs/>
        </w:rPr>
        <w:t xml:space="preserve">The total number of working days per year for scenario 5 is about </w:t>
      </w:r>
      <w:r w:rsidRPr="00B65D57">
        <w:rPr>
          <w:rFonts w:eastAsia="Verdana" w:cs="Verdana"/>
          <w:i/>
          <w:iCs/>
          <w:color w:val="000000" w:themeColor="text1"/>
        </w:rPr>
        <w:t>100 working days. This working step will be done 25 times per day, 15 sec at a time, which gives total</w:t>
      </w:r>
    </w:p>
    <w:p w14:paraId="7EA7F62A" w14:textId="77777777" w:rsidR="00217978" w:rsidRPr="00B65D57" w:rsidRDefault="00217978" w:rsidP="00217978">
      <w:pPr>
        <w:spacing w:line="260" w:lineRule="atLeast"/>
        <w:rPr>
          <w:i/>
          <w:iCs/>
        </w:rPr>
      </w:pPr>
      <w:r w:rsidRPr="00B65D57">
        <w:rPr>
          <w:rFonts w:eastAsia="Verdana" w:cs="Verdana"/>
          <w:i/>
          <w:iCs/>
          <w:color w:val="000000" w:themeColor="text1"/>
        </w:rPr>
        <w:t>6 minutes per person and day</w:t>
      </w:r>
      <w:r w:rsidRPr="00B65D57">
        <w:rPr>
          <w:rFonts w:eastAsia="Verdana" w:cs="Verdana"/>
          <w:i/>
          <w:iCs/>
        </w:rPr>
        <w:t>. Working steps 2.1 to 7 are rotated between the professionals working at the site of treatment during the day.</w:t>
      </w:r>
    </w:p>
    <w:p w14:paraId="0C9BB5F0" w14:textId="77777777" w:rsidR="00217978" w:rsidRPr="00B65D57" w:rsidRDefault="00217978" w:rsidP="00217978">
      <w:pPr>
        <w:spacing w:line="260" w:lineRule="atLeast"/>
      </w:pPr>
      <w:r w:rsidRPr="00B65D57">
        <w:rPr>
          <w:rFonts w:eastAsia="Verdana" w:cs="Verdana"/>
        </w:rPr>
        <w:t xml:space="preserve"> </w:t>
      </w:r>
    </w:p>
    <w:p w14:paraId="4C9F800B" w14:textId="77777777" w:rsidR="00217978" w:rsidRPr="00B65D57" w:rsidRDefault="00217978" w:rsidP="00217978">
      <w:pPr>
        <w:spacing w:line="260" w:lineRule="atLeast"/>
      </w:pPr>
      <w:r w:rsidRPr="00B65D57">
        <w:rPr>
          <w:rFonts w:eastAsia="Verdana" w:cs="Verdana"/>
        </w:rPr>
        <w:lastRenderedPageBreak/>
        <w:t xml:space="preserve"> </w:t>
      </w:r>
      <w:r w:rsidRPr="00B65D57">
        <w:rPr>
          <w:rFonts w:eastAsia="Verdana" w:cs="Verdana"/>
          <w:b/>
          <w:bCs/>
          <w:i/>
          <w:iCs/>
        </w:rPr>
        <w:t>Scenarios 6 a-b – Application – Proc 3</w:t>
      </w:r>
    </w:p>
    <w:p w14:paraId="1E000741" w14:textId="77777777" w:rsidR="00217978" w:rsidRPr="00B65D57" w:rsidRDefault="00217978" w:rsidP="00217978">
      <w:pPr>
        <w:spacing w:line="260" w:lineRule="atLeast"/>
        <w:rPr>
          <w:rFonts w:eastAsia="Verdana" w:cs="Verdana"/>
        </w:rPr>
      </w:pPr>
      <w:r w:rsidRPr="00B65D57">
        <w:rPr>
          <w:rFonts w:eastAsia="Verdana" w:cs="Verdana"/>
        </w:rPr>
        <w:t>Application of the product can now be performed (transfer from “Fjärrstyrd injekteringspump” to “Euroborslurry injekteras” in Figure 2.2.6.2.2-1). The transfer from the plaster and mortar pump to the injection place is always done with low pressure (usually below 1 bar and never above 3 bar) and low flow (approx. 2 litres per minute). The transfer will be done in a closed system. Communication between the injection site and installation site for the pump takes place continuously via communication radio.</w:t>
      </w:r>
    </w:p>
    <w:p w14:paraId="0223199D" w14:textId="77777777" w:rsidR="00217978" w:rsidRPr="00B65D57" w:rsidRDefault="00217978" w:rsidP="00217978">
      <w:pPr>
        <w:spacing w:line="260" w:lineRule="atLeast"/>
      </w:pPr>
    </w:p>
    <w:p w14:paraId="179A5D13" w14:textId="77777777" w:rsidR="00217978" w:rsidRPr="00B65D57" w:rsidRDefault="00217978" w:rsidP="00217978">
      <w:pPr>
        <w:spacing w:line="260" w:lineRule="atLeast"/>
      </w:pPr>
      <w:r w:rsidRPr="00B65D57">
        <w:rPr>
          <w:rFonts w:eastAsia="Verdana" w:cs="Verdana"/>
        </w:rPr>
        <w:t xml:space="preserve">Only dissolved borates are handled in this step. The building has normally general ventilation. The persons doing this work wear protective clothing and protective gloves of nitrile rubber. </w:t>
      </w:r>
    </w:p>
    <w:p w14:paraId="17F16EDC" w14:textId="77777777" w:rsidR="00217978" w:rsidRPr="00B65D57" w:rsidRDefault="00217978" w:rsidP="00217978">
      <w:pPr>
        <w:spacing w:line="260" w:lineRule="atLeast"/>
      </w:pPr>
      <w:r w:rsidRPr="00B65D57">
        <w:rPr>
          <w:rFonts w:eastAsia="Verdana" w:cs="Verdana"/>
        </w:rPr>
        <w:t xml:space="preserve"> </w:t>
      </w:r>
    </w:p>
    <w:p w14:paraId="2436A6F2" w14:textId="77777777" w:rsidR="00217978" w:rsidRPr="00B65D57" w:rsidRDefault="00217978" w:rsidP="00217978">
      <w:pPr>
        <w:spacing w:line="260" w:lineRule="atLeast"/>
        <w:rPr>
          <w:i/>
          <w:iCs/>
        </w:rPr>
      </w:pPr>
      <w:r w:rsidRPr="00B65D57">
        <w:rPr>
          <w:rFonts w:eastAsia="Verdana" w:cs="Verdana"/>
          <w:i/>
          <w:iCs/>
        </w:rPr>
        <w:t xml:space="preserve">The total number of working days per year for scenario 6 is about </w:t>
      </w:r>
      <w:r w:rsidRPr="00B65D57">
        <w:rPr>
          <w:rFonts w:eastAsia="Verdana" w:cs="Verdana"/>
          <w:i/>
          <w:iCs/>
          <w:color w:val="000000" w:themeColor="text1"/>
        </w:rPr>
        <w:t xml:space="preserve">100 working days. This application step is done during 6h/working day. </w:t>
      </w:r>
      <w:r w:rsidRPr="00B65D57">
        <w:rPr>
          <w:rFonts w:eastAsia="Verdana" w:cs="Verdana"/>
          <w:i/>
          <w:iCs/>
        </w:rPr>
        <w:t xml:space="preserve"> Working steps 2.1 to 7 are rotated between the professionals working at the site of treatment during the day.</w:t>
      </w:r>
    </w:p>
    <w:p w14:paraId="5FAF4E28" w14:textId="77777777" w:rsidR="00217978" w:rsidRPr="00B65D57" w:rsidRDefault="00217978" w:rsidP="00217978">
      <w:pPr>
        <w:spacing w:line="260" w:lineRule="atLeast"/>
      </w:pPr>
      <w:r w:rsidRPr="00B65D57">
        <w:rPr>
          <w:rFonts w:eastAsia="Verdana" w:cs="Verdana"/>
        </w:rPr>
        <w:t xml:space="preserve"> </w:t>
      </w:r>
    </w:p>
    <w:p w14:paraId="63562FDE" w14:textId="77777777" w:rsidR="00217978" w:rsidRPr="00B65D57" w:rsidRDefault="00217978" w:rsidP="00217978">
      <w:pPr>
        <w:spacing w:line="260" w:lineRule="atLeast"/>
      </w:pPr>
      <w:r w:rsidRPr="00B65D57">
        <w:rPr>
          <w:rFonts w:eastAsia="Verdana" w:cs="Verdana"/>
          <w:b/>
          <w:bCs/>
          <w:i/>
          <w:iCs/>
        </w:rPr>
        <w:t>Scenarios 7 a-b – Daily cleaning – Proc 8a</w:t>
      </w:r>
    </w:p>
    <w:p w14:paraId="7C774198" w14:textId="77777777" w:rsidR="00217978" w:rsidRPr="00B65D57" w:rsidRDefault="00217978" w:rsidP="00217978">
      <w:pPr>
        <w:spacing w:line="260" w:lineRule="atLeast"/>
      </w:pPr>
      <w:r w:rsidRPr="00B65D57">
        <w:rPr>
          <w:rFonts w:eastAsia="Verdana" w:cs="Verdana"/>
        </w:rPr>
        <w:t xml:space="preserve">The working day ends with cleaning of the equipment. First, the mixing barrel is rinsed out with hot water. The wash water is then transferred to the plaster and mortar pump, and from there it will be discarded to the injection site. The plaster and mortar pump are then also rinsed out with hot water and the wash water is disposed in the same way. Finally, the hoses and the injection packer are flushed out with hot water, and this wash water is also disposed to the treatment zone of the foundation. </w:t>
      </w:r>
    </w:p>
    <w:p w14:paraId="061C5E48" w14:textId="77777777" w:rsidR="00217978" w:rsidRPr="00B65D57" w:rsidRDefault="00217978" w:rsidP="00217978">
      <w:pPr>
        <w:spacing w:line="260" w:lineRule="atLeast"/>
      </w:pPr>
    </w:p>
    <w:p w14:paraId="09599F97" w14:textId="77777777" w:rsidR="00217978" w:rsidRPr="00B65D57" w:rsidRDefault="00217978" w:rsidP="00217978">
      <w:pPr>
        <w:spacing w:line="260" w:lineRule="atLeast"/>
      </w:pPr>
      <w:r w:rsidRPr="00B65D57">
        <w:rPr>
          <w:rFonts w:eastAsia="Verdana" w:cs="Verdana"/>
        </w:rPr>
        <w:t xml:space="preserve">This step is performed by one person (one of the persons doing the injection work in scenario 6) and takes about 10 minutes/day. </w:t>
      </w:r>
    </w:p>
    <w:p w14:paraId="4E4C1682" w14:textId="77777777" w:rsidR="00217978" w:rsidRPr="00B65D57" w:rsidRDefault="00217978" w:rsidP="00217978">
      <w:pPr>
        <w:spacing w:line="260" w:lineRule="atLeast"/>
      </w:pPr>
      <w:r w:rsidRPr="00B65D57">
        <w:rPr>
          <w:rFonts w:eastAsia="Verdana" w:cs="Verdana"/>
        </w:rPr>
        <w:t xml:space="preserve"> </w:t>
      </w:r>
    </w:p>
    <w:p w14:paraId="58084AF9" w14:textId="77777777" w:rsidR="00217978" w:rsidRPr="00B65D57" w:rsidRDefault="00217978" w:rsidP="00217978">
      <w:pPr>
        <w:spacing w:line="260" w:lineRule="atLeast"/>
        <w:rPr>
          <w:rFonts w:eastAsia="Verdana" w:cs="Verdana"/>
        </w:rPr>
      </w:pPr>
      <w:r w:rsidRPr="00B65D57">
        <w:rPr>
          <w:rFonts w:eastAsia="Verdana" w:cs="Verdana"/>
        </w:rPr>
        <w:t>Only dissolved borates are handled in this step. The person doing this work wears protective clothing, protective gloves of nitrile rubber and protection googles.</w:t>
      </w:r>
    </w:p>
    <w:p w14:paraId="513112D0" w14:textId="77777777" w:rsidR="00217978" w:rsidRPr="00B65D57" w:rsidRDefault="00217978" w:rsidP="00217978">
      <w:pPr>
        <w:spacing w:line="260" w:lineRule="atLeast"/>
      </w:pPr>
      <w:r w:rsidRPr="00B65D57">
        <w:rPr>
          <w:rFonts w:eastAsia="Verdana" w:cs="Verdana"/>
        </w:rPr>
        <w:t xml:space="preserve"> </w:t>
      </w:r>
    </w:p>
    <w:p w14:paraId="62ABA607" w14:textId="77777777" w:rsidR="00217978" w:rsidRPr="00B65D57" w:rsidRDefault="00217978" w:rsidP="00217978">
      <w:pPr>
        <w:spacing w:line="260" w:lineRule="atLeast"/>
        <w:rPr>
          <w:i/>
          <w:iCs/>
        </w:rPr>
      </w:pPr>
      <w:r w:rsidRPr="00B65D57">
        <w:rPr>
          <w:rFonts w:eastAsia="Verdana" w:cs="Verdana"/>
          <w:i/>
          <w:iCs/>
        </w:rPr>
        <w:t xml:space="preserve">The total number of working days per year for scenario 7 is about </w:t>
      </w:r>
      <w:r w:rsidRPr="00B65D57">
        <w:rPr>
          <w:rFonts w:eastAsia="Verdana" w:cs="Verdana"/>
          <w:i/>
          <w:iCs/>
          <w:color w:val="000000" w:themeColor="text1"/>
        </w:rPr>
        <w:t xml:space="preserve">100 working days. This working step will be done for 10 minutes and day. </w:t>
      </w:r>
      <w:r w:rsidRPr="00B65D57">
        <w:rPr>
          <w:rFonts w:eastAsia="Verdana" w:cs="Verdana"/>
          <w:i/>
          <w:iCs/>
        </w:rPr>
        <w:t>Working steps 2.1 to 7 are rotated between the professionals working at the site of treatment during the day.</w:t>
      </w:r>
    </w:p>
    <w:p w14:paraId="6E0D4D08" w14:textId="77777777" w:rsidR="00217978" w:rsidRPr="00B65D57" w:rsidRDefault="00217978" w:rsidP="00217978">
      <w:pPr>
        <w:spacing w:line="260" w:lineRule="atLeast"/>
      </w:pPr>
    </w:p>
    <w:p w14:paraId="0F511ABA" w14:textId="77777777" w:rsidR="00217978" w:rsidRPr="00B65D57" w:rsidRDefault="00217978" w:rsidP="00217978">
      <w:pPr>
        <w:spacing w:line="260" w:lineRule="atLeast"/>
      </w:pPr>
      <w:r w:rsidRPr="00B65D57">
        <w:rPr>
          <w:rFonts w:eastAsia="Verdana" w:cs="Verdana"/>
        </w:rPr>
        <w:t xml:space="preserve"> </w:t>
      </w:r>
    </w:p>
    <w:p w14:paraId="357B1DEC" w14:textId="77777777" w:rsidR="00217978" w:rsidRPr="00B65D57" w:rsidRDefault="00217978" w:rsidP="00217978">
      <w:pPr>
        <w:spacing w:line="260" w:lineRule="atLeast"/>
      </w:pPr>
      <w:r w:rsidRPr="00B65D57">
        <w:rPr>
          <w:rFonts w:eastAsia="Verdana" w:cs="Verdana"/>
          <w:b/>
          <w:bCs/>
          <w:i/>
          <w:iCs/>
        </w:rPr>
        <w:t>Scenarios 8 a-b – Final cleaning after completed project -Proc 8a</w:t>
      </w:r>
    </w:p>
    <w:p w14:paraId="4F37C418" w14:textId="77777777" w:rsidR="00217978" w:rsidRPr="00B65D57" w:rsidRDefault="00217978" w:rsidP="00217978">
      <w:pPr>
        <w:spacing w:line="260" w:lineRule="atLeast"/>
        <w:rPr>
          <w:rFonts w:eastAsia="Verdana" w:cs="Verdana"/>
        </w:rPr>
      </w:pPr>
      <w:r w:rsidRPr="00B65D57">
        <w:rPr>
          <w:rFonts w:eastAsia="Verdana" w:cs="Verdana"/>
        </w:rPr>
        <w:t>More careful cleaning is performed after the treatment with Jerbor are completed. The equipment and hoses are transferred to a storehouse and cleaned thoroughly with water. This step is performed by one person and takes about 2h each time and is done approximately 10 times a year. The person doing this work wears protective clothing, protective gloves of nitrile rubber and protective googles.</w:t>
      </w:r>
    </w:p>
    <w:p w14:paraId="296AB2FF" w14:textId="77777777" w:rsidR="00217978" w:rsidRPr="00B65D57" w:rsidRDefault="00217978" w:rsidP="00217978">
      <w:pPr>
        <w:spacing w:line="260" w:lineRule="atLeast"/>
      </w:pPr>
      <w:r w:rsidRPr="00B65D57">
        <w:rPr>
          <w:rFonts w:eastAsia="Verdana" w:cs="Verdana"/>
        </w:rPr>
        <w:t xml:space="preserve"> </w:t>
      </w:r>
    </w:p>
    <w:p w14:paraId="7D61B826" w14:textId="77777777" w:rsidR="00217978" w:rsidRPr="00B65D57" w:rsidRDefault="00217978" w:rsidP="00217978">
      <w:pPr>
        <w:spacing w:line="260" w:lineRule="atLeast"/>
        <w:rPr>
          <w:rFonts w:eastAsia="Verdana" w:cs="Verdana"/>
          <w:i/>
          <w:iCs/>
          <w:color w:val="000000" w:themeColor="text1"/>
        </w:rPr>
      </w:pPr>
      <w:r w:rsidRPr="00B65D57">
        <w:rPr>
          <w:rFonts w:eastAsia="Verdana" w:cs="Verdana"/>
          <w:i/>
          <w:iCs/>
        </w:rPr>
        <w:t>The total number of working days per year for Scenario 8 is 10 working days. The final cleaning takes about</w:t>
      </w:r>
      <w:r w:rsidRPr="00B65D57">
        <w:rPr>
          <w:rFonts w:eastAsia="Verdana" w:cs="Verdana"/>
          <w:i/>
          <w:iCs/>
          <w:color w:val="000000" w:themeColor="text1"/>
        </w:rPr>
        <w:t xml:space="preserve"> 2h per day. </w:t>
      </w:r>
    </w:p>
    <w:p w14:paraId="28E29001" w14:textId="77777777" w:rsidR="00217978" w:rsidRPr="00B65D57" w:rsidRDefault="00217978" w:rsidP="00217978">
      <w:pPr>
        <w:spacing w:line="260" w:lineRule="atLeast"/>
        <w:rPr>
          <w:rFonts w:eastAsia="Verdana" w:cs="Verdana"/>
          <w:i/>
          <w:iCs/>
          <w:color w:val="000000" w:themeColor="text1"/>
        </w:rPr>
      </w:pPr>
    </w:p>
    <w:p w14:paraId="16BB3621" w14:textId="77777777" w:rsidR="00217978" w:rsidRPr="00B65D57" w:rsidRDefault="00217978" w:rsidP="00217978">
      <w:pPr>
        <w:spacing w:line="260" w:lineRule="atLeast"/>
        <w:rPr>
          <w:rFonts w:eastAsia="Verdana" w:cs="Verdana"/>
          <w:b/>
          <w:bCs/>
          <w:i/>
          <w:iCs/>
        </w:rPr>
      </w:pPr>
      <w:bookmarkStart w:id="1565" w:name="_Hlk107832458"/>
      <w:r w:rsidRPr="00B65D57">
        <w:rPr>
          <w:rFonts w:eastAsia="Verdana" w:cs="Verdana"/>
          <w:b/>
          <w:bCs/>
          <w:i/>
          <w:iCs/>
        </w:rPr>
        <w:t>Scenarios 9 a-b – Maintenance/repair -Proc 8a</w:t>
      </w:r>
    </w:p>
    <w:p w14:paraId="27185992" w14:textId="15D9A357" w:rsidR="00217978" w:rsidRPr="00B65D57" w:rsidRDefault="00217978" w:rsidP="00217978">
      <w:pPr>
        <w:spacing w:line="260" w:lineRule="atLeast"/>
      </w:pPr>
      <w:r w:rsidRPr="00B65D57">
        <w:t>This scenario could be considered to be covered by scenarios 7 and 8 as the main part of the maintenance/repair is made during the daily/final cleaning.</w:t>
      </w:r>
    </w:p>
    <w:p w14:paraId="6C30F7C0" w14:textId="77777777" w:rsidR="00217978" w:rsidRPr="00B65D57" w:rsidRDefault="00217978" w:rsidP="00217978">
      <w:pPr>
        <w:spacing w:line="260" w:lineRule="atLeast"/>
        <w:rPr>
          <w:rFonts w:eastAsia="Verdana" w:cs="Verdana"/>
        </w:rPr>
      </w:pPr>
    </w:p>
    <w:p w14:paraId="2D9D660E" w14:textId="77777777" w:rsidR="00217978" w:rsidRPr="00B65D57" w:rsidRDefault="00217978" w:rsidP="00217978">
      <w:pPr>
        <w:spacing w:line="260" w:lineRule="atLeast"/>
        <w:rPr>
          <w:rFonts w:eastAsia="Calibri"/>
          <w:lang w:eastAsia="en-US"/>
        </w:rPr>
      </w:pPr>
      <w:r w:rsidRPr="00B65D57">
        <w:rPr>
          <w:rFonts w:eastAsia="Verdana" w:cs="Verdana"/>
        </w:rPr>
        <w:t>The person doing this work wears protective clothing, protective gloves of nitrile rubber and protection googles.</w:t>
      </w:r>
    </w:p>
    <w:bookmarkEnd w:id="1565"/>
    <w:p w14:paraId="46E2F361" w14:textId="015A14B4" w:rsidR="00BD4323" w:rsidRPr="00B65D57" w:rsidRDefault="00BD4323" w:rsidP="00BD4323">
      <w:pPr>
        <w:spacing w:line="260" w:lineRule="atLeast"/>
        <w:rPr>
          <w:rFonts w:eastAsia="Calibri"/>
          <w:lang w:eastAsia="en-US"/>
        </w:rPr>
      </w:pPr>
    </w:p>
    <w:p w14:paraId="4D3F0CA6" w14:textId="77777777" w:rsidR="00BD4323" w:rsidRPr="00B65D57" w:rsidRDefault="00BD4323" w:rsidP="00BD4323">
      <w:pPr>
        <w:spacing w:line="260" w:lineRule="atLeast"/>
        <w:rPr>
          <w:rFonts w:eastAsia="Calibri"/>
          <w:bCs/>
          <w:i/>
          <w:sz w:val="22"/>
          <w:szCs w:val="22"/>
          <w:u w:val="single"/>
          <w:lang w:eastAsia="en-US"/>
        </w:rPr>
      </w:pPr>
      <w:bookmarkStart w:id="1566" w:name="_Hlk21695225"/>
      <w:bookmarkStart w:id="1567" w:name="_Hlk18413075"/>
      <w:bookmarkEnd w:id="1564"/>
      <w:r w:rsidRPr="00B65D57">
        <w:rPr>
          <w:rFonts w:eastAsia="Calibri"/>
          <w:bCs/>
          <w:i/>
          <w:sz w:val="22"/>
          <w:szCs w:val="22"/>
          <w:u w:val="single"/>
          <w:lang w:eastAsia="en-US"/>
        </w:rPr>
        <w:t xml:space="preserve">Critical endpoints and assessment factors used for calculation of AOEL </w:t>
      </w:r>
      <w:bookmarkEnd w:id="1566"/>
    </w:p>
    <w:p w14:paraId="54C1E0C8" w14:textId="77777777" w:rsidR="00217978" w:rsidRPr="00B65D57" w:rsidRDefault="00217978" w:rsidP="00217978">
      <w:pPr>
        <w:spacing w:line="260" w:lineRule="atLeast"/>
        <w:rPr>
          <w:rFonts w:eastAsia="Calibri"/>
          <w:b/>
          <w:bCs/>
          <w:i/>
          <w:lang w:eastAsia="en-US"/>
        </w:rPr>
      </w:pPr>
      <w:r w:rsidRPr="00B65D57">
        <w:rPr>
          <w:rFonts w:eastAsia="Calibri"/>
          <w:b/>
          <w:bCs/>
          <w:i/>
          <w:lang w:eastAsia="en-US"/>
        </w:rPr>
        <w:t>Overall NOAEL</w:t>
      </w:r>
    </w:p>
    <w:p w14:paraId="2CD94CB9" w14:textId="17ED7F79" w:rsidR="00217978" w:rsidRPr="00B65D57" w:rsidRDefault="00217978" w:rsidP="00217978">
      <w:pPr>
        <w:spacing w:line="260" w:lineRule="atLeast"/>
        <w:rPr>
          <w:rFonts w:eastAsia="Calibri"/>
          <w:lang w:eastAsia="en-US"/>
        </w:rPr>
      </w:pPr>
      <w:r w:rsidRPr="00B65D57">
        <w:rPr>
          <w:rFonts w:eastAsia="Calibri"/>
          <w:lang w:eastAsia="en-US"/>
        </w:rPr>
        <w:t xml:space="preserve">The major targets for toxicity of borates are the testes and the blood. In the repeated dose studies with mouse, rat and dog, consistently effects on the testes and on blood parameters were found. In a </w:t>
      </w:r>
      <w:r w:rsidRPr="00B65D57" w:rsidDel="2C735B50">
        <w:rPr>
          <w:rFonts w:eastAsia="Calibri"/>
          <w:lang w:eastAsia="en-US"/>
        </w:rPr>
        <w:t>90</w:t>
      </w:r>
      <w:r w:rsidRPr="00B65D57">
        <w:rPr>
          <w:rFonts w:eastAsia="Calibri"/>
          <w:lang w:eastAsia="en-US"/>
        </w:rPr>
        <w:t xml:space="preserve">-day study in mouse, the animals appeared to be more sensitive to the effects on the haematopoietic system than on the testes. In the rat effects on both the testes and on the blood were observed at dose levels of 334 mg boric acid/kg bw/day. The NOAEL in this study was 100 mg/kg bw/day (17.5 mg boron/kg bw/day). Based on the NOAEL, from </w:t>
      </w:r>
      <w:r w:rsidR="008B3097" w:rsidRPr="00B65D57">
        <w:rPr>
          <w:rFonts w:eastAsia="Calibri"/>
          <w:lang w:eastAsia="en-US"/>
        </w:rPr>
        <w:t>the</w:t>
      </w:r>
      <w:r w:rsidRPr="00B65D57">
        <w:rPr>
          <w:rFonts w:eastAsia="Calibri"/>
          <w:lang w:eastAsia="en-US"/>
        </w:rPr>
        <w:t xml:space="preserve"> rat study, for embryotoxic/teratogenic effects of boric acid of 55 mg/kg bw/day (9.6 mg boron/kg bw/day) the overall NOAEL is 9.6 mg boron/kg bw/day.  Similar results were obtained from studies with disodium tetraborate at equimolar doses of boron (Assessment Reports (CARs) for Boric acid and Disodium tetraborate 2009).</w:t>
      </w:r>
    </w:p>
    <w:p w14:paraId="2761168C" w14:textId="77777777" w:rsidR="00217978" w:rsidRPr="00B65D57" w:rsidRDefault="00217978" w:rsidP="00217978">
      <w:pPr>
        <w:spacing w:line="260" w:lineRule="atLeast"/>
        <w:rPr>
          <w:rFonts w:eastAsia="Calibri"/>
          <w:lang w:eastAsia="en-US"/>
        </w:rPr>
      </w:pPr>
    </w:p>
    <w:p w14:paraId="52AABB52" w14:textId="77777777" w:rsidR="00217978" w:rsidRPr="00B65D57" w:rsidRDefault="00217978" w:rsidP="00217978">
      <w:pPr>
        <w:spacing w:line="260" w:lineRule="atLeast"/>
        <w:rPr>
          <w:rFonts w:eastAsia="Calibri"/>
          <w:b/>
          <w:bCs/>
          <w:i/>
          <w:lang w:eastAsia="en-US"/>
        </w:rPr>
      </w:pPr>
      <w:r w:rsidRPr="00B65D57">
        <w:rPr>
          <w:rFonts w:eastAsia="Calibri"/>
          <w:b/>
          <w:bCs/>
          <w:i/>
          <w:lang w:eastAsia="en-US"/>
        </w:rPr>
        <w:t>Total assessment factor</w:t>
      </w:r>
    </w:p>
    <w:p w14:paraId="7AE1170C" w14:textId="77777777" w:rsidR="00217978" w:rsidRPr="00B65D57" w:rsidRDefault="00217978" w:rsidP="00217978">
      <w:pPr>
        <w:spacing w:line="260" w:lineRule="atLeast"/>
        <w:rPr>
          <w:rFonts w:eastAsia="Calibri"/>
          <w:lang w:eastAsia="en-US"/>
        </w:rPr>
      </w:pPr>
      <w:r w:rsidRPr="00B65D57">
        <w:rPr>
          <w:rFonts w:eastAsia="Calibri"/>
          <w:lang w:eastAsia="en-US"/>
        </w:rPr>
        <w:t>The available information on kinetics and dynamics does not allow refinement of the standard assessment factors (10 for interspecies variation and 10 for intraspecies variation). There are indications that the sensitivity for the effects on the testes does not differ markedly between subchronic and chronic exposure. Therefore, the application of an additional assessment factor for extrapolation from subchronic to chronic exposure is not required (Assessment Reports (CARs) for Boric acid and Disodium tetraborate 2009).</w:t>
      </w:r>
    </w:p>
    <w:p w14:paraId="283E1488" w14:textId="77777777" w:rsidR="00217978" w:rsidRPr="00B65D57" w:rsidRDefault="00217978" w:rsidP="00217978">
      <w:pPr>
        <w:spacing w:line="260" w:lineRule="atLeast"/>
        <w:rPr>
          <w:rFonts w:eastAsia="Calibri"/>
          <w:lang w:eastAsia="en-US"/>
        </w:rPr>
      </w:pPr>
    </w:p>
    <w:p w14:paraId="70A671E8" w14:textId="77777777" w:rsidR="00217978" w:rsidRPr="00B65D57" w:rsidRDefault="00217978" w:rsidP="00217978">
      <w:pPr>
        <w:spacing w:line="260" w:lineRule="atLeast"/>
        <w:rPr>
          <w:rFonts w:eastAsia="Calibri"/>
          <w:b/>
          <w:bCs/>
          <w:i/>
          <w:lang w:eastAsia="en-US"/>
        </w:rPr>
      </w:pPr>
      <w:r w:rsidRPr="00B65D57">
        <w:rPr>
          <w:rFonts w:eastAsia="Calibri"/>
          <w:b/>
          <w:bCs/>
          <w:i/>
          <w:lang w:eastAsia="en-US"/>
        </w:rPr>
        <w:t>AOEL (acceptable operator exposure level)</w:t>
      </w:r>
    </w:p>
    <w:p w14:paraId="3C6CBC94" w14:textId="77777777" w:rsidR="00217978" w:rsidRPr="00B65D57" w:rsidRDefault="00217978" w:rsidP="00217978">
      <w:pPr>
        <w:spacing w:line="260" w:lineRule="atLeast"/>
        <w:rPr>
          <w:rFonts w:eastAsia="Calibri"/>
          <w:lang w:eastAsia="en-US"/>
        </w:rPr>
      </w:pPr>
      <w:r w:rsidRPr="00B65D57">
        <w:rPr>
          <w:rFonts w:eastAsia="Calibri"/>
          <w:lang w:eastAsia="en-US"/>
        </w:rPr>
        <w:t xml:space="preserve">Using the standard assessment factor of 100 an oral AOEL of 0.096 mg B/kg bw/day can be derived based on the NOAEL for embryotoxic/teratogenic effects of boric acid of 9.6 mg B/kg bw/day. </w:t>
      </w:r>
    </w:p>
    <w:p w14:paraId="328B57CD" w14:textId="77777777" w:rsidR="00217978" w:rsidRPr="00B65D57" w:rsidRDefault="00217978" w:rsidP="00217978">
      <w:pPr>
        <w:spacing w:line="260" w:lineRule="atLeast"/>
        <w:rPr>
          <w:rFonts w:eastAsia="Calibri"/>
          <w:lang w:eastAsia="en-US"/>
        </w:rPr>
      </w:pPr>
    </w:p>
    <w:p w14:paraId="26B42BBD" w14:textId="77777777" w:rsidR="00217978" w:rsidRPr="00B65D57" w:rsidRDefault="00217978" w:rsidP="00217978">
      <w:pPr>
        <w:spacing w:line="260" w:lineRule="atLeast"/>
        <w:rPr>
          <w:rFonts w:eastAsia="Calibri"/>
          <w:lang w:eastAsia="en-US"/>
        </w:rPr>
      </w:pPr>
      <w:r w:rsidRPr="00B65D57">
        <w:rPr>
          <w:rFonts w:eastAsia="Calibri"/>
          <w:b/>
          <w:bCs/>
          <w:lang w:eastAsia="en-US"/>
        </w:rPr>
        <w:t>AOEL = 0.1 mg B/kg bw/day</w:t>
      </w:r>
      <w:r w:rsidRPr="00B65D57">
        <w:rPr>
          <w:rFonts w:eastAsia="Calibri"/>
          <w:lang w:eastAsia="en-US"/>
        </w:rPr>
        <w:t xml:space="preserve"> (Assessment Reports (CARs) for Boric acid and Disodium tetraborate 2009).</w:t>
      </w:r>
    </w:p>
    <w:p w14:paraId="02137605" w14:textId="77777777" w:rsidR="00BD4323" w:rsidRPr="00B65D57" w:rsidRDefault="00BD4323" w:rsidP="00BD4323">
      <w:pPr>
        <w:spacing w:line="260" w:lineRule="atLeast"/>
        <w:rPr>
          <w:rFonts w:eastAsia="Calibri"/>
          <w:lang w:eastAsia="en-US"/>
        </w:rPr>
      </w:pPr>
    </w:p>
    <w:p w14:paraId="5DF3F0D1" w14:textId="77777777" w:rsidR="00217978" w:rsidRPr="00B65D57" w:rsidRDefault="00217978" w:rsidP="00217978">
      <w:pPr>
        <w:spacing w:line="260" w:lineRule="atLeast"/>
        <w:rPr>
          <w:rFonts w:eastAsia="Calibri"/>
          <w:bCs/>
          <w:i/>
          <w:sz w:val="22"/>
          <w:szCs w:val="22"/>
          <w:u w:val="single"/>
          <w:lang w:eastAsia="en-US"/>
        </w:rPr>
      </w:pPr>
      <w:r w:rsidRPr="00B65D57">
        <w:rPr>
          <w:rFonts w:eastAsia="Calibri"/>
          <w:bCs/>
          <w:i/>
          <w:sz w:val="22"/>
          <w:szCs w:val="22"/>
          <w:u w:val="single"/>
          <w:lang w:eastAsia="en-US"/>
        </w:rPr>
        <w:t>Primary exposure</w:t>
      </w:r>
    </w:p>
    <w:p w14:paraId="726A57DE" w14:textId="77777777" w:rsidR="00217978" w:rsidRPr="00B65D57" w:rsidRDefault="00217978" w:rsidP="00217978">
      <w:pPr>
        <w:spacing w:after="120" w:line="260" w:lineRule="atLeast"/>
        <w:rPr>
          <w:rFonts w:eastAsia="Calibri"/>
          <w:bCs/>
          <w:lang w:eastAsia="en-US"/>
        </w:rPr>
      </w:pPr>
      <w:r w:rsidRPr="00B65D57">
        <w:rPr>
          <w:rFonts w:eastAsia="Calibri"/>
          <w:bCs/>
          <w:lang w:eastAsia="en-US"/>
        </w:rPr>
        <w:t>Assumption used in the estimation of exposure in TRA:</w:t>
      </w:r>
    </w:p>
    <w:p w14:paraId="74B9C699" w14:textId="77777777" w:rsidR="00217978" w:rsidRPr="00B65D57" w:rsidRDefault="00217978" w:rsidP="001F5CF2">
      <w:pPr>
        <w:numPr>
          <w:ilvl w:val="0"/>
          <w:numId w:val="11"/>
        </w:numPr>
        <w:spacing w:line="260" w:lineRule="atLeast"/>
        <w:rPr>
          <w:rFonts w:eastAsia="Calibri"/>
          <w:lang w:eastAsia="en-US"/>
        </w:rPr>
      </w:pPr>
      <w:r w:rsidRPr="00B65D57">
        <w:rPr>
          <w:rFonts w:eastAsia="Calibri"/>
          <w:lang w:eastAsia="en-US"/>
        </w:rPr>
        <w:t>Adult bodyweight 60 kg</w:t>
      </w:r>
    </w:p>
    <w:p w14:paraId="1604CB9A" w14:textId="77777777" w:rsidR="00217978" w:rsidRPr="00B65D57" w:rsidRDefault="00217978" w:rsidP="001F5CF2">
      <w:pPr>
        <w:numPr>
          <w:ilvl w:val="0"/>
          <w:numId w:val="11"/>
        </w:numPr>
        <w:spacing w:line="260" w:lineRule="atLeast"/>
        <w:rPr>
          <w:rFonts w:eastAsia="Calibri"/>
          <w:lang w:eastAsia="en-US"/>
        </w:rPr>
      </w:pPr>
      <w:r w:rsidRPr="00B65D57">
        <w:rPr>
          <w:rFonts w:eastAsia="Calibri"/>
          <w:lang w:eastAsia="en-US"/>
        </w:rPr>
        <w:t>Given that this product is solely used by professionals PPE has been included</w:t>
      </w:r>
    </w:p>
    <w:p w14:paraId="51039BB3" w14:textId="77777777" w:rsidR="00217978" w:rsidRPr="00B65D57" w:rsidRDefault="00217978" w:rsidP="001F5CF2">
      <w:pPr>
        <w:numPr>
          <w:ilvl w:val="0"/>
          <w:numId w:val="11"/>
        </w:numPr>
        <w:spacing w:line="260" w:lineRule="atLeast"/>
        <w:rPr>
          <w:rFonts w:eastAsia="Calibri"/>
          <w:lang w:eastAsia="en-US"/>
        </w:rPr>
      </w:pPr>
      <w:r w:rsidRPr="00B65D57">
        <w:rPr>
          <w:rFonts w:eastAsia="Calibri"/>
          <w:lang w:eastAsia="en-US"/>
        </w:rPr>
        <w:t>Dermal PPE (gloves); 90% protection</w:t>
      </w:r>
    </w:p>
    <w:p w14:paraId="12790A2E" w14:textId="77777777" w:rsidR="00217978" w:rsidRPr="00B65D57" w:rsidRDefault="00217978" w:rsidP="001F5CF2">
      <w:pPr>
        <w:numPr>
          <w:ilvl w:val="0"/>
          <w:numId w:val="11"/>
        </w:numPr>
        <w:spacing w:line="260" w:lineRule="atLeast"/>
        <w:rPr>
          <w:rFonts w:eastAsia="Calibri"/>
          <w:lang w:eastAsia="en-US"/>
        </w:rPr>
      </w:pPr>
      <w:r w:rsidRPr="00B65D57">
        <w:rPr>
          <w:rFonts w:eastAsia="Calibri"/>
          <w:lang w:eastAsia="en-US"/>
        </w:rPr>
        <w:t>Respiratory PPE; 90% protection</w:t>
      </w:r>
    </w:p>
    <w:p w14:paraId="48884C9E" w14:textId="77777777" w:rsidR="00217978" w:rsidRPr="00B65D57" w:rsidRDefault="00217978" w:rsidP="001F5CF2">
      <w:pPr>
        <w:numPr>
          <w:ilvl w:val="0"/>
          <w:numId w:val="11"/>
        </w:numPr>
        <w:spacing w:line="260" w:lineRule="atLeast"/>
        <w:rPr>
          <w:rFonts w:eastAsia="Calibri"/>
          <w:lang w:eastAsia="en-US"/>
        </w:rPr>
      </w:pPr>
      <w:r w:rsidRPr="00B65D57">
        <w:rPr>
          <w:rFonts w:eastAsia="Calibri"/>
          <w:lang w:eastAsia="en-US"/>
        </w:rPr>
        <w:t>Inhalation rate 1.25 m</w:t>
      </w:r>
      <w:r w:rsidRPr="00B65D57">
        <w:rPr>
          <w:rFonts w:eastAsia="Calibri"/>
          <w:vertAlign w:val="superscript"/>
          <w:lang w:eastAsia="en-US"/>
        </w:rPr>
        <w:t>3</w:t>
      </w:r>
      <w:r w:rsidRPr="00B65D57">
        <w:rPr>
          <w:rFonts w:eastAsia="Calibri"/>
          <w:lang w:eastAsia="en-US"/>
        </w:rPr>
        <w:t>/h, inhalation uptake 100%; 10 m</w:t>
      </w:r>
      <w:r w:rsidRPr="00B65D57">
        <w:rPr>
          <w:rFonts w:eastAsia="Calibri"/>
          <w:vertAlign w:val="superscript"/>
          <w:lang w:eastAsia="en-US"/>
        </w:rPr>
        <w:t>3</w:t>
      </w:r>
      <w:r w:rsidRPr="00B65D57">
        <w:rPr>
          <w:rFonts w:eastAsia="Calibri"/>
          <w:lang w:eastAsia="en-US"/>
        </w:rPr>
        <w:t xml:space="preserve"> during a working day (8 h)</w:t>
      </w:r>
    </w:p>
    <w:p w14:paraId="2FF0354C" w14:textId="77777777" w:rsidR="00217978" w:rsidRPr="00B65D57" w:rsidRDefault="00217978" w:rsidP="001F5CF2">
      <w:pPr>
        <w:numPr>
          <w:ilvl w:val="0"/>
          <w:numId w:val="11"/>
        </w:numPr>
        <w:spacing w:line="260" w:lineRule="atLeast"/>
        <w:rPr>
          <w:rFonts w:eastAsia="Calibri"/>
          <w:lang w:eastAsia="en-US"/>
        </w:rPr>
      </w:pPr>
      <w:r w:rsidRPr="00B65D57">
        <w:rPr>
          <w:rFonts w:eastAsia="Calibri"/>
          <w:lang w:eastAsia="en-US"/>
        </w:rPr>
        <w:t>Dermal absorption for borates from Jerbor granulates (dry):</w:t>
      </w:r>
      <w:r w:rsidRPr="00B65D57" w:rsidDel="59431789">
        <w:rPr>
          <w:rFonts w:eastAsia="Calibri"/>
          <w:lang w:eastAsia="en-US"/>
        </w:rPr>
        <w:t xml:space="preserve"> </w:t>
      </w:r>
      <w:r w:rsidRPr="00B65D57">
        <w:rPr>
          <w:rFonts w:eastAsia="Calibri"/>
          <w:lang w:eastAsia="en-US"/>
        </w:rPr>
        <w:t xml:space="preserve">10%. </w:t>
      </w:r>
    </w:p>
    <w:p w14:paraId="2D396DAA" w14:textId="77777777" w:rsidR="00217978" w:rsidRPr="00B65D57" w:rsidRDefault="00217978" w:rsidP="001F5CF2">
      <w:pPr>
        <w:numPr>
          <w:ilvl w:val="0"/>
          <w:numId w:val="11"/>
        </w:numPr>
        <w:spacing w:line="260" w:lineRule="atLeast"/>
        <w:rPr>
          <w:rFonts w:eastAsia="Verdana" w:cs="Verdana"/>
          <w:lang w:eastAsia="en-US"/>
        </w:rPr>
      </w:pPr>
      <w:r w:rsidRPr="00B65D57">
        <w:rPr>
          <w:rFonts w:eastAsia="Verdana" w:cs="Verdana"/>
          <w:lang w:eastAsia="en-US"/>
        </w:rPr>
        <w:t xml:space="preserve">Dermal absorption for </w:t>
      </w:r>
      <w:r w:rsidRPr="00B65D57">
        <w:rPr>
          <w:rFonts w:eastAsia="Calibri"/>
          <w:lang w:eastAsia="en-US"/>
        </w:rPr>
        <w:t>borates from</w:t>
      </w:r>
      <w:r w:rsidRPr="00B65D57">
        <w:rPr>
          <w:rFonts w:eastAsia="Verdana" w:cs="Verdana"/>
          <w:lang w:eastAsia="en-US"/>
        </w:rPr>
        <w:t xml:space="preserve"> Jerbor slurry (wet): 5%</w:t>
      </w:r>
      <w:r w:rsidRPr="00B65D57">
        <w:rPr>
          <w:rFonts w:eastAsia="Verdana" w:cs="Verdana"/>
        </w:rPr>
        <w:t>.</w:t>
      </w:r>
      <w:r w:rsidRPr="00B65D57">
        <w:rPr>
          <w:rFonts w:eastAsia="Verdana" w:cs="Verdana"/>
          <w:lang w:eastAsia="en-US"/>
        </w:rPr>
        <w:t xml:space="preserve"> </w:t>
      </w:r>
    </w:p>
    <w:p w14:paraId="0F30F06C" w14:textId="77777777" w:rsidR="00217978" w:rsidRPr="00B65D57" w:rsidRDefault="00217978" w:rsidP="001F5CF2">
      <w:pPr>
        <w:numPr>
          <w:ilvl w:val="0"/>
          <w:numId w:val="11"/>
        </w:numPr>
        <w:spacing w:line="260" w:lineRule="atLeast"/>
        <w:rPr>
          <w:rFonts w:eastAsia="Verdana" w:cs="Verdana"/>
          <w:lang w:eastAsia="en-US"/>
        </w:rPr>
      </w:pPr>
      <w:r w:rsidRPr="00B65D57">
        <w:rPr>
          <w:rFonts w:eastAsia="Verdana" w:cs="Verdana"/>
          <w:lang w:eastAsia="en-US"/>
        </w:rPr>
        <w:t>AOEL = 0.1 mg B/kg bw/day which gives:</w:t>
      </w:r>
    </w:p>
    <w:p w14:paraId="638414A8" w14:textId="77777777" w:rsidR="00217978" w:rsidRPr="00B65D57" w:rsidRDefault="00217978" w:rsidP="001F5CF2">
      <w:pPr>
        <w:numPr>
          <w:ilvl w:val="0"/>
          <w:numId w:val="11"/>
        </w:numPr>
        <w:spacing w:line="260" w:lineRule="atLeast"/>
        <w:rPr>
          <w:rFonts w:eastAsia="Verdana" w:cs="Verdana"/>
          <w:lang w:eastAsia="en-US"/>
        </w:rPr>
      </w:pPr>
      <w:r w:rsidRPr="00B65D57">
        <w:rPr>
          <w:rFonts w:eastAsia="Calibri"/>
          <w:b/>
          <w:bCs/>
          <w:lang w:eastAsia="en-US"/>
        </w:rPr>
        <w:t xml:space="preserve">TRA input Threshold value </w:t>
      </w:r>
      <w:r w:rsidRPr="00B65D57">
        <w:rPr>
          <w:rFonts w:eastAsia="Calibri"/>
          <w:b/>
          <w:bCs/>
          <w:vertAlign w:val="subscript"/>
          <w:lang w:eastAsia="en-US"/>
        </w:rPr>
        <w:t>long-term dermal, systemic</w:t>
      </w:r>
      <w:r w:rsidRPr="00B65D57">
        <w:rPr>
          <w:rFonts w:eastAsia="Calibri"/>
          <w:vertAlign w:val="subscript"/>
          <w:lang w:eastAsia="en-US"/>
        </w:rPr>
        <w:t xml:space="preserve"> </w:t>
      </w:r>
      <w:r w:rsidRPr="00B65D57">
        <w:rPr>
          <w:rFonts w:eastAsia="Calibri"/>
          <w:b/>
          <w:bCs/>
          <w:lang w:eastAsia="en-US"/>
        </w:rPr>
        <w:t>for Jerbor slurry</w:t>
      </w:r>
      <w:r w:rsidRPr="00B65D57">
        <w:rPr>
          <w:rFonts w:eastAsia="Calibri"/>
          <w:lang w:eastAsia="en-US"/>
        </w:rPr>
        <w:t xml:space="preserve">= AOEL (mg B/kg bw/day)/dermal absorption (5%) = 0.1 mg/kg/day/0.05 = </w:t>
      </w:r>
      <w:r w:rsidRPr="00B65D57">
        <w:rPr>
          <w:rFonts w:eastAsia="Calibri"/>
          <w:b/>
          <w:bCs/>
          <w:lang w:eastAsia="en-US"/>
        </w:rPr>
        <w:t>2 mg B/kg bw/day</w:t>
      </w:r>
    </w:p>
    <w:p w14:paraId="5D195E6D" w14:textId="77777777" w:rsidR="00217978" w:rsidRPr="00B65D57" w:rsidRDefault="00217978" w:rsidP="001F5CF2">
      <w:pPr>
        <w:numPr>
          <w:ilvl w:val="0"/>
          <w:numId w:val="11"/>
        </w:numPr>
        <w:spacing w:line="260" w:lineRule="atLeast"/>
        <w:rPr>
          <w:rFonts w:eastAsia="Calibri"/>
          <w:lang w:eastAsia="en-US"/>
        </w:rPr>
      </w:pPr>
      <w:r w:rsidRPr="00B65D57">
        <w:rPr>
          <w:rFonts w:eastAsia="Calibri"/>
          <w:b/>
          <w:bCs/>
          <w:lang w:eastAsia="en-US"/>
        </w:rPr>
        <w:t xml:space="preserve">TRA input Threshold value </w:t>
      </w:r>
      <w:r w:rsidRPr="00B65D57">
        <w:rPr>
          <w:rFonts w:eastAsia="Calibri"/>
          <w:b/>
          <w:bCs/>
          <w:vertAlign w:val="subscript"/>
          <w:lang w:eastAsia="en-US"/>
        </w:rPr>
        <w:t>long-term dermal, systemic</w:t>
      </w:r>
      <w:r w:rsidRPr="00B65D57">
        <w:rPr>
          <w:rFonts w:eastAsia="Calibri"/>
          <w:vertAlign w:val="subscript"/>
          <w:lang w:eastAsia="en-US"/>
        </w:rPr>
        <w:t xml:space="preserve"> </w:t>
      </w:r>
      <w:r w:rsidRPr="00B65D57">
        <w:rPr>
          <w:rFonts w:eastAsia="Calibri"/>
          <w:b/>
          <w:bCs/>
          <w:lang w:eastAsia="en-US"/>
        </w:rPr>
        <w:t xml:space="preserve">for Jerbor granulate= </w:t>
      </w:r>
      <w:r w:rsidRPr="00B65D57">
        <w:rPr>
          <w:rFonts w:eastAsia="Calibri"/>
          <w:lang w:eastAsia="en-US"/>
        </w:rPr>
        <w:t>AOEL (mg B/kg bw/day)/dermal absorption (10%) = 0.1 mg/kg/day/0.1 = 1</w:t>
      </w:r>
      <w:r w:rsidRPr="00B65D57">
        <w:rPr>
          <w:rFonts w:eastAsia="Calibri"/>
          <w:b/>
          <w:bCs/>
          <w:lang w:eastAsia="en-US"/>
        </w:rPr>
        <w:t xml:space="preserve"> mg B/kg bw/day</w:t>
      </w:r>
    </w:p>
    <w:p w14:paraId="31485CEE" w14:textId="77777777" w:rsidR="00217978" w:rsidRPr="00B65D57" w:rsidRDefault="00217978" w:rsidP="001F5CF2">
      <w:pPr>
        <w:numPr>
          <w:ilvl w:val="0"/>
          <w:numId w:val="11"/>
        </w:numPr>
        <w:spacing w:line="260" w:lineRule="atLeast"/>
        <w:rPr>
          <w:rFonts w:eastAsia="Calibri"/>
          <w:lang w:eastAsia="en-US"/>
        </w:rPr>
      </w:pPr>
      <w:r w:rsidRPr="00B65D57">
        <w:rPr>
          <w:rFonts w:eastAsia="Calibri"/>
          <w:b/>
          <w:bCs/>
          <w:lang w:eastAsia="en-US"/>
        </w:rPr>
        <w:lastRenderedPageBreak/>
        <w:t xml:space="preserve">TRA input Threshold value </w:t>
      </w:r>
      <w:r w:rsidRPr="00B65D57">
        <w:rPr>
          <w:rFonts w:eastAsia="Calibri"/>
          <w:b/>
          <w:bCs/>
          <w:vertAlign w:val="subscript"/>
          <w:lang w:eastAsia="en-US"/>
        </w:rPr>
        <w:t>long-term inhalation, systemic</w:t>
      </w:r>
      <w:r w:rsidRPr="00B65D57">
        <w:rPr>
          <w:rFonts w:eastAsia="Calibri"/>
          <w:lang w:eastAsia="en-US"/>
        </w:rPr>
        <w:t xml:space="preserve"> = AOEL (mg B/kg bw/day) x body weight (kg)/inhaled volume air (m</w:t>
      </w:r>
      <w:r w:rsidRPr="00B65D57">
        <w:rPr>
          <w:rFonts w:eastAsia="Calibri"/>
          <w:vertAlign w:val="superscript"/>
          <w:lang w:eastAsia="en-US"/>
        </w:rPr>
        <w:t>3</w:t>
      </w:r>
      <w:r w:rsidRPr="00B65D57">
        <w:rPr>
          <w:rFonts w:eastAsia="Calibri"/>
          <w:lang w:eastAsia="en-US"/>
        </w:rPr>
        <w:t>/day) = 0.1 mg B/kg bw/day x 60 kg/10 m</w:t>
      </w:r>
      <w:r w:rsidRPr="00B65D57">
        <w:rPr>
          <w:rFonts w:eastAsia="Calibri"/>
          <w:vertAlign w:val="superscript"/>
          <w:lang w:eastAsia="en-US"/>
        </w:rPr>
        <w:t>3</w:t>
      </w:r>
      <w:r w:rsidRPr="00B65D57">
        <w:rPr>
          <w:rFonts w:eastAsia="Calibri"/>
          <w:lang w:eastAsia="en-US"/>
        </w:rPr>
        <w:t xml:space="preserve">/day = </w:t>
      </w:r>
      <w:r w:rsidRPr="00B65D57">
        <w:rPr>
          <w:rFonts w:eastAsia="Calibri"/>
          <w:b/>
          <w:bCs/>
          <w:lang w:eastAsia="en-US"/>
        </w:rPr>
        <w:t>0.6 mg B/m</w:t>
      </w:r>
      <w:r w:rsidRPr="00B65D57">
        <w:rPr>
          <w:rFonts w:eastAsia="Calibri"/>
          <w:b/>
          <w:bCs/>
          <w:vertAlign w:val="superscript"/>
          <w:lang w:eastAsia="en-US"/>
        </w:rPr>
        <w:t>3</w:t>
      </w:r>
    </w:p>
    <w:p w14:paraId="155E8685" w14:textId="77777777" w:rsidR="00217978" w:rsidRPr="00B65D57" w:rsidRDefault="00217978" w:rsidP="00217978">
      <w:pPr>
        <w:pStyle w:val="Liststycke"/>
        <w:spacing w:line="260" w:lineRule="atLeast"/>
        <w:ind w:left="0"/>
        <w:contextualSpacing/>
        <w:rPr>
          <w:rFonts w:eastAsia="Calibri"/>
          <w:lang w:eastAsia="en-US"/>
        </w:rPr>
      </w:pPr>
      <w:r w:rsidRPr="00B65D57">
        <w:rPr>
          <w:rFonts w:eastAsia="Calibri"/>
          <w:lang w:eastAsia="en-US"/>
        </w:rPr>
        <w:t>The toxicokinetics and toxicological effects of boric acid and disodium tetraborate pentahydrate are likely to be similar on a boron equivalents basis, therefore, the active substances are converted to equivalents of boron, see below.</w:t>
      </w:r>
    </w:p>
    <w:p w14:paraId="665B63CC" w14:textId="77777777" w:rsidR="00217978" w:rsidRPr="00B65D57" w:rsidRDefault="00217978" w:rsidP="00217978">
      <w:pPr>
        <w:pStyle w:val="Liststycke"/>
        <w:spacing w:line="260" w:lineRule="atLeast"/>
        <w:rPr>
          <w:rFonts w:eastAsia="Calibri"/>
          <w:b/>
          <w:bCs/>
          <w:vertAlign w:val="superscript"/>
          <w:lang w:eastAsia="en-US"/>
        </w:rPr>
      </w:pPr>
    </w:p>
    <w:tbl>
      <w:tblPr>
        <w:tblW w:w="8856" w:type="dxa"/>
        <w:tblInd w:w="70" w:type="dxa"/>
        <w:tblCellMar>
          <w:left w:w="70" w:type="dxa"/>
          <w:right w:w="70" w:type="dxa"/>
        </w:tblCellMar>
        <w:tblLook w:val="04A0" w:firstRow="1" w:lastRow="0" w:firstColumn="1" w:lastColumn="0" w:noHBand="0" w:noVBand="1"/>
      </w:tblPr>
      <w:tblGrid>
        <w:gridCol w:w="2193"/>
        <w:gridCol w:w="1560"/>
        <w:gridCol w:w="1984"/>
        <w:gridCol w:w="3119"/>
      </w:tblGrid>
      <w:tr w:rsidR="00217978" w:rsidRPr="00B65D57" w14:paraId="20548312" w14:textId="77777777" w:rsidTr="00760DCC">
        <w:trPr>
          <w:trHeight w:val="960"/>
        </w:trPr>
        <w:tc>
          <w:tcPr>
            <w:tcW w:w="8856"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B106DE3" w14:textId="77777777" w:rsidR="00217978" w:rsidRPr="00B65D57" w:rsidRDefault="00217978" w:rsidP="00760DCC">
            <w:pPr>
              <w:jc w:val="center"/>
              <w:rPr>
                <w:rFonts w:cs="Calibri"/>
                <w:b/>
                <w:bCs/>
                <w:color w:val="000000"/>
                <w:sz w:val="18"/>
                <w:szCs w:val="18"/>
                <w:lang w:eastAsia="sv-SE"/>
              </w:rPr>
            </w:pPr>
            <w:r w:rsidRPr="00B65D57">
              <w:rPr>
                <w:rFonts w:cs="Calibri"/>
                <w:b/>
                <w:bCs/>
                <w:color w:val="000000"/>
                <w:sz w:val="18"/>
                <w:szCs w:val="18"/>
                <w:lang w:eastAsia="sv-SE"/>
              </w:rPr>
              <w:t>Conversion factors for boron species into equivalent doses of boric acid equivalents or boron </w:t>
            </w:r>
          </w:p>
        </w:tc>
      </w:tr>
      <w:tr w:rsidR="00217978" w:rsidRPr="00B65D57" w14:paraId="1EE6B887" w14:textId="77777777" w:rsidTr="00760DCC">
        <w:trPr>
          <w:trHeight w:val="853"/>
        </w:trPr>
        <w:tc>
          <w:tcPr>
            <w:tcW w:w="2193" w:type="dxa"/>
            <w:tcBorders>
              <w:top w:val="nil"/>
              <w:left w:val="single" w:sz="4" w:space="0" w:color="auto"/>
              <w:bottom w:val="single" w:sz="4" w:space="0" w:color="auto"/>
              <w:right w:val="single" w:sz="4" w:space="0" w:color="auto"/>
            </w:tcBorders>
            <w:shd w:val="clear" w:color="auto" w:fill="auto"/>
            <w:hideMark/>
          </w:tcPr>
          <w:p w14:paraId="653508B4" w14:textId="77777777" w:rsidR="00217978" w:rsidRPr="00B65D57" w:rsidRDefault="00217978" w:rsidP="00760DCC">
            <w:pPr>
              <w:rPr>
                <w:rFonts w:cs="Calibri"/>
                <w:b/>
                <w:bCs/>
                <w:color w:val="000000"/>
                <w:sz w:val="18"/>
                <w:szCs w:val="18"/>
                <w:lang w:eastAsia="sv-SE"/>
              </w:rPr>
            </w:pPr>
          </w:p>
        </w:tc>
        <w:tc>
          <w:tcPr>
            <w:tcW w:w="1560" w:type="dxa"/>
            <w:tcBorders>
              <w:top w:val="nil"/>
              <w:left w:val="nil"/>
              <w:bottom w:val="single" w:sz="4" w:space="0" w:color="auto"/>
              <w:right w:val="single" w:sz="4" w:space="0" w:color="auto"/>
            </w:tcBorders>
            <w:shd w:val="clear" w:color="auto" w:fill="auto"/>
            <w:hideMark/>
          </w:tcPr>
          <w:p w14:paraId="3E9BBFF3" w14:textId="77777777" w:rsidR="00217978" w:rsidRPr="00B65D57" w:rsidRDefault="00217978" w:rsidP="00760DCC">
            <w:pPr>
              <w:rPr>
                <w:rFonts w:cs="Calibri"/>
                <w:b/>
                <w:bCs/>
                <w:color w:val="000000"/>
                <w:sz w:val="18"/>
                <w:szCs w:val="18"/>
                <w:lang w:eastAsia="sv-SE"/>
              </w:rPr>
            </w:pPr>
            <w:r w:rsidRPr="00B65D57">
              <w:rPr>
                <w:rFonts w:cs="Calibri"/>
                <w:b/>
                <w:bCs/>
                <w:color w:val="000000"/>
                <w:sz w:val="18"/>
                <w:szCs w:val="18"/>
                <w:lang w:eastAsia="sv-SE"/>
              </w:rPr>
              <w:t>Molecular formula</w:t>
            </w:r>
          </w:p>
        </w:tc>
        <w:tc>
          <w:tcPr>
            <w:tcW w:w="1984" w:type="dxa"/>
            <w:tcBorders>
              <w:top w:val="nil"/>
              <w:left w:val="nil"/>
              <w:bottom w:val="single" w:sz="4" w:space="0" w:color="auto"/>
              <w:right w:val="single" w:sz="4" w:space="0" w:color="auto"/>
            </w:tcBorders>
            <w:shd w:val="clear" w:color="auto" w:fill="auto"/>
            <w:hideMark/>
          </w:tcPr>
          <w:p w14:paraId="781FAFF4" w14:textId="77777777" w:rsidR="00217978" w:rsidRPr="00B65D57" w:rsidRDefault="00217978" w:rsidP="00760DCC">
            <w:pPr>
              <w:rPr>
                <w:rFonts w:cs="Calibri"/>
                <w:b/>
                <w:bCs/>
                <w:color w:val="000000"/>
                <w:sz w:val="18"/>
                <w:szCs w:val="18"/>
                <w:lang w:eastAsia="sv-SE"/>
              </w:rPr>
            </w:pPr>
            <w:r w:rsidRPr="00B65D57">
              <w:rPr>
                <w:rFonts w:cs="Calibri"/>
                <w:b/>
                <w:bCs/>
                <w:color w:val="000000"/>
                <w:sz w:val="18"/>
                <w:szCs w:val="18"/>
                <w:lang w:eastAsia="sv-SE"/>
              </w:rPr>
              <w:t>Molecular weight (g/mol)</w:t>
            </w:r>
          </w:p>
        </w:tc>
        <w:tc>
          <w:tcPr>
            <w:tcW w:w="3119" w:type="dxa"/>
            <w:tcBorders>
              <w:top w:val="nil"/>
              <w:left w:val="nil"/>
              <w:bottom w:val="single" w:sz="4" w:space="0" w:color="auto"/>
              <w:right w:val="single" w:sz="4" w:space="0" w:color="auto"/>
            </w:tcBorders>
            <w:shd w:val="clear" w:color="auto" w:fill="auto"/>
            <w:hideMark/>
          </w:tcPr>
          <w:p w14:paraId="72AE2C4F" w14:textId="77777777" w:rsidR="00217978" w:rsidRPr="00B65D57" w:rsidRDefault="00217978" w:rsidP="00760DCC">
            <w:pPr>
              <w:rPr>
                <w:rFonts w:cs="Calibri"/>
                <w:b/>
                <w:bCs/>
                <w:color w:val="000000"/>
                <w:sz w:val="18"/>
                <w:szCs w:val="18"/>
                <w:lang w:eastAsia="sv-SE"/>
              </w:rPr>
            </w:pPr>
            <w:r w:rsidRPr="00B65D57">
              <w:rPr>
                <w:rFonts w:cs="Calibri"/>
                <w:b/>
                <w:bCs/>
                <w:color w:val="000000"/>
                <w:sz w:val="18"/>
                <w:szCs w:val="18"/>
                <w:lang w:eastAsia="sv-SE"/>
              </w:rPr>
              <w:t>Conversion factor for equivalent dose of boron (B), multiply by</w:t>
            </w:r>
          </w:p>
        </w:tc>
      </w:tr>
      <w:tr w:rsidR="00217978" w:rsidRPr="00B65D57" w14:paraId="75F5B129" w14:textId="77777777" w:rsidTr="00760DCC">
        <w:trPr>
          <w:trHeight w:val="312"/>
        </w:trPr>
        <w:tc>
          <w:tcPr>
            <w:tcW w:w="2193" w:type="dxa"/>
            <w:tcBorders>
              <w:top w:val="nil"/>
              <w:left w:val="single" w:sz="4" w:space="0" w:color="auto"/>
              <w:bottom w:val="single" w:sz="4" w:space="0" w:color="auto"/>
              <w:right w:val="single" w:sz="4" w:space="0" w:color="auto"/>
            </w:tcBorders>
            <w:shd w:val="clear" w:color="auto" w:fill="auto"/>
            <w:hideMark/>
          </w:tcPr>
          <w:p w14:paraId="1441E731"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Boric acid</w:t>
            </w:r>
          </w:p>
        </w:tc>
        <w:tc>
          <w:tcPr>
            <w:tcW w:w="1560" w:type="dxa"/>
            <w:tcBorders>
              <w:top w:val="nil"/>
              <w:left w:val="nil"/>
              <w:bottom w:val="single" w:sz="4" w:space="0" w:color="auto"/>
              <w:right w:val="single" w:sz="4" w:space="0" w:color="auto"/>
            </w:tcBorders>
            <w:shd w:val="clear" w:color="auto" w:fill="auto"/>
            <w:hideMark/>
          </w:tcPr>
          <w:p w14:paraId="3F4EF59A"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H</w:t>
            </w:r>
            <w:r w:rsidRPr="00B65D57">
              <w:rPr>
                <w:rFonts w:cs="Calibri"/>
                <w:color w:val="000000"/>
                <w:sz w:val="18"/>
                <w:szCs w:val="18"/>
                <w:vertAlign w:val="subscript"/>
                <w:lang w:eastAsia="sv-SE"/>
              </w:rPr>
              <w:t>3</w:t>
            </w:r>
            <w:r w:rsidRPr="00B65D57">
              <w:rPr>
                <w:rFonts w:cs="Calibri"/>
                <w:color w:val="000000"/>
                <w:sz w:val="18"/>
                <w:szCs w:val="18"/>
                <w:lang w:eastAsia="sv-SE"/>
              </w:rPr>
              <w:t>BO</w:t>
            </w:r>
            <w:r w:rsidRPr="00B65D57">
              <w:rPr>
                <w:rFonts w:cs="Calibri"/>
                <w:color w:val="000000"/>
                <w:sz w:val="18"/>
                <w:szCs w:val="18"/>
                <w:vertAlign w:val="subscript"/>
                <w:lang w:eastAsia="sv-SE"/>
              </w:rPr>
              <w:t>3</w:t>
            </w:r>
          </w:p>
        </w:tc>
        <w:tc>
          <w:tcPr>
            <w:tcW w:w="1984" w:type="dxa"/>
            <w:tcBorders>
              <w:top w:val="nil"/>
              <w:left w:val="nil"/>
              <w:bottom w:val="single" w:sz="4" w:space="0" w:color="auto"/>
              <w:right w:val="single" w:sz="4" w:space="0" w:color="auto"/>
            </w:tcBorders>
            <w:shd w:val="clear" w:color="auto" w:fill="auto"/>
            <w:hideMark/>
          </w:tcPr>
          <w:p w14:paraId="5330F4A1"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61.83</w:t>
            </w:r>
          </w:p>
        </w:tc>
        <w:tc>
          <w:tcPr>
            <w:tcW w:w="3119" w:type="dxa"/>
            <w:tcBorders>
              <w:top w:val="nil"/>
              <w:left w:val="nil"/>
              <w:bottom w:val="single" w:sz="4" w:space="0" w:color="auto"/>
              <w:right w:val="single" w:sz="4" w:space="0" w:color="auto"/>
            </w:tcBorders>
            <w:shd w:val="clear" w:color="auto" w:fill="auto"/>
            <w:hideMark/>
          </w:tcPr>
          <w:p w14:paraId="18259C9B"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0.175</w:t>
            </w:r>
          </w:p>
        </w:tc>
      </w:tr>
      <w:tr w:rsidR="00217978" w:rsidRPr="00B65D57" w14:paraId="2FC98532" w14:textId="77777777" w:rsidTr="00760DCC">
        <w:trPr>
          <w:trHeight w:val="361"/>
        </w:trPr>
        <w:tc>
          <w:tcPr>
            <w:tcW w:w="2193" w:type="dxa"/>
            <w:tcBorders>
              <w:top w:val="nil"/>
              <w:left w:val="single" w:sz="4" w:space="0" w:color="auto"/>
              <w:bottom w:val="single" w:sz="4" w:space="0" w:color="auto"/>
              <w:right w:val="single" w:sz="4" w:space="0" w:color="auto"/>
            </w:tcBorders>
            <w:shd w:val="clear" w:color="auto" w:fill="auto"/>
            <w:hideMark/>
          </w:tcPr>
          <w:p w14:paraId="6D9A5D57"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Disodium tetraborate pentahydrate</w:t>
            </w:r>
          </w:p>
        </w:tc>
        <w:tc>
          <w:tcPr>
            <w:tcW w:w="1560" w:type="dxa"/>
            <w:tcBorders>
              <w:top w:val="nil"/>
              <w:left w:val="nil"/>
              <w:bottom w:val="single" w:sz="4" w:space="0" w:color="auto"/>
              <w:right w:val="single" w:sz="4" w:space="0" w:color="auto"/>
            </w:tcBorders>
            <w:shd w:val="clear" w:color="auto" w:fill="auto"/>
            <w:hideMark/>
          </w:tcPr>
          <w:p w14:paraId="55FBBEBA"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Na</w:t>
            </w:r>
            <w:r w:rsidRPr="00B65D57">
              <w:rPr>
                <w:rFonts w:cs="Calibri"/>
                <w:color w:val="000000" w:themeColor="text1"/>
                <w:sz w:val="18"/>
                <w:szCs w:val="18"/>
                <w:vertAlign w:val="subscript"/>
                <w:lang w:eastAsia="sv-SE"/>
              </w:rPr>
              <w:t>2</w:t>
            </w:r>
            <w:r w:rsidRPr="00B65D57">
              <w:rPr>
                <w:rFonts w:cs="Calibri"/>
                <w:color w:val="000000" w:themeColor="text1"/>
                <w:sz w:val="18"/>
                <w:szCs w:val="18"/>
                <w:lang w:eastAsia="sv-SE"/>
              </w:rPr>
              <w:t>B</w:t>
            </w:r>
            <w:r w:rsidRPr="00B65D57">
              <w:rPr>
                <w:rFonts w:cs="Calibri"/>
                <w:color w:val="000000" w:themeColor="text1"/>
                <w:sz w:val="18"/>
                <w:szCs w:val="18"/>
                <w:vertAlign w:val="subscript"/>
                <w:lang w:eastAsia="sv-SE"/>
              </w:rPr>
              <w:t>4</w:t>
            </w:r>
            <w:r w:rsidRPr="00B65D57">
              <w:rPr>
                <w:rFonts w:cs="Calibri"/>
                <w:color w:val="000000" w:themeColor="text1"/>
                <w:sz w:val="18"/>
                <w:szCs w:val="18"/>
                <w:lang w:eastAsia="sv-SE"/>
              </w:rPr>
              <w:t>O</w:t>
            </w:r>
            <w:r w:rsidRPr="00B65D57">
              <w:rPr>
                <w:rFonts w:cs="Calibri"/>
                <w:color w:val="000000" w:themeColor="text1"/>
                <w:sz w:val="18"/>
                <w:szCs w:val="18"/>
                <w:vertAlign w:val="subscript"/>
                <w:lang w:eastAsia="sv-SE"/>
              </w:rPr>
              <w:t>7</w:t>
            </w:r>
            <w:r w:rsidRPr="00B65D57">
              <w:rPr>
                <w:rFonts w:cs="Calibri"/>
                <w:color w:val="000000" w:themeColor="text1"/>
                <w:sz w:val="18"/>
                <w:szCs w:val="18"/>
                <w:lang w:eastAsia="sv-SE"/>
              </w:rPr>
              <w:t>5H</w:t>
            </w:r>
            <w:r w:rsidRPr="00B65D57">
              <w:rPr>
                <w:rFonts w:cs="Calibri"/>
                <w:color w:val="000000" w:themeColor="text1"/>
                <w:sz w:val="18"/>
                <w:szCs w:val="18"/>
                <w:vertAlign w:val="subscript"/>
                <w:lang w:eastAsia="sv-SE"/>
              </w:rPr>
              <w:t>2</w:t>
            </w:r>
            <w:r w:rsidRPr="00B65D57">
              <w:rPr>
                <w:rFonts w:cs="Calibri"/>
                <w:color w:val="000000" w:themeColor="text1"/>
                <w:sz w:val="18"/>
                <w:szCs w:val="18"/>
                <w:lang w:eastAsia="sv-SE"/>
              </w:rPr>
              <w:t>O</w:t>
            </w:r>
          </w:p>
        </w:tc>
        <w:tc>
          <w:tcPr>
            <w:tcW w:w="1984" w:type="dxa"/>
            <w:tcBorders>
              <w:top w:val="nil"/>
              <w:left w:val="nil"/>
              <w:bottom w:val="single" w:sz="4" w:space="0" w:color="auto"/>
              <w:right w:val="single" w:sz="4" w:space="0" w:color="auto"/>
            </w:tcBorders>
            <w:shd w:val="clear" w:color="auto" w:fill="auto"/>
            <w:hideMark/>
          </w:tcPr>
          <w:p w14:paraId="35D0C39B"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 xml:space="preserve">291.296 </w:t>
            </w:r>
          </w:p>
        </w:tc>
        <w:tc>
          <w:tcPr>
            <w:tcW w:w="3119" w:type="dxa"/>
            <w:tcBorders>
              <w:top w:val="nil"/>
              <w:left w:val="nil"/>
              <w:bottom w:val="single" w:sz="4" w:space="0" w:color="auto"/>
              <w:right w:val="single" w:sz="4" w:space="0" w:color="auto"/>
            </w:tcBorders>
            <w:shd w:val="clear" w:color="auto" w:fill="auto"/>
            <w:hideMark/>
          </w:tcPr>
          <w:p w14:paraId="24ECE993"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0.148</w:t>
            </w:r>
          </w:p>
        </w:tc>
      </w:tr>
    </w:tbl>
    <w:p w14:paraId="61078C01" w14:textId="0D40021A" w:rsidR="00217978" w:rsidRPr="00B65D57" w:rsidRDefault="00217978" w:rsidP="00217978">
      <w:pPr>
        <w:pStyle w:val="Liststycke"/>
        <w:spacing w:line="260" w:lineRule="atLeast"/>
        <w:rPr>
          <w:rFonts w:eastAsia="Calibri"/>
          <w:b/>
          <w:bCs/>
          <w:lang w:eastAsia="en-US"/>
        </w:rPr>
      </w:pPr>
    </w:p>
    <w:p w14:paraId="6B9D5B50" w14:textId="77777777" w:rsidR="008B3097" w:rsidRPr="00B65D57" w:rsidRDefault="008B3097" w:rsidP="00217978">
      <w:pPr>
        <w:pStyle w:val="Liststycke"/>
        <w:spacing w:line="260" w:lineRule="atLeast"/>
        <w:rPr>
          <w:rFonts w:eastAsia="Calibri"/>
          <w:b/>
          <w:bCs/>
          <w:lang w:eastAsia="en-US"/>
        </w:rPr>
      </w:pPr>
    </w:p>
    <w:tbl>
      <w:tblPr>
        <w:tblW w:w="8851" w:type="dxa"/>
        <w:tblInd w:w="75" w:type="dxa"/>
        <w:tblCellMar>
          <w:left w:w="70" w:type="dxa"/>
          <w:right w:w="70" w:type="dxa"/>
        </w:tblCellMar>
        <w:tblLook w:val="04A0" w:firstRow="1" w:lastRow="0" w:firstColumn="1" w:lastColumn="0" w:noHBand="0" w:noVBand="1"/>
      </w:tblPr>
      <w:tblGrid>
        <w:gridCol w:w="2047"/>
        <w:gridCol w:w="1984"/>
        <w:gridCol w:w="4820"/>
      </w:tblGrid>
      <w:tr w:rsidR="00217978" w:rsidRPr="00B65D57" w14:paraId="2014DB75" w14:textId="77777777" w:rsidTr="00760DCC">
        <w:trPr>
          <w:trHeight w:val="397"/>
        </w:trPr>
        <w:tc>
          <w:tcPr>
            <w:tcW w:w="8851" w:type="dxa"/>
            <w:gridSpan w:val="3"/>
            <w:tcBorders>
              <w:top w:val="single" w:sz="4" w:space="0" w:color="auto"/>
              <w:left w:val="single" w:sz="4" w:space="0" w:color="auto"/>
              <w:bottom w:val="single" w:sz="4" w:space="0" w:color="auto"/>
            </w:tcBorders>
            <w:shd w:val="clear" w:color="auto" w:fill="FFF2CC" w:themeFill="accent4" w:themeFillTint="33"/>
            <w:hideMark/>
          </w:tcPr>
          <w:p w14:paraId="7992EF15" w14:textId="77777777" w:rsidR="00217978" w:rsidRPr="00B65D57" w:rsidRDefault="00217978" w:rsidP="00760DCC">
            <w:pPr>
              <w:jc w:val="center"/>
              <w:rPr>
                <w:rFonts w:eastAsia="Calibri"/>
                <w:b/>
                <w:bCs/>
                <w:lang w:eastAsia="en-US"/>
              </w:rPr>
            </w:pPr>
          </w:p>
          <w:p w14:paraId="14EAE7FA" w14:textId="77777777" w:rsidR="00217978" w:rsidRPr="00B65D57" w:rsidRDefault="00217978" w:rsidP="00760DCC">
            <w:pPr>
              <w:jc w:val="center"/>
              <w:rPr>
                <w:rFonts w:eastAsia="Calibri"/>
                <w:b/>
                <w:bCs/>
                <w:lang w:eastAsia="en-US"/>
              </w:rPr>
            </w:pPr>
            <w:r w:rsidRPr="00B65D57">
              <w:rPr>
                <w:rFonts w:eastAsia="Calibri"/>
                <w:b/>
                <w:bCs/>
                <w:lang w:eastAsia="en-US"/>
              </w:rPr>
              <w:t>The used input parameters in ECETOC TRA for exposure times and boron equivalent concentrations per exposure scenario 1 – 8*</w:t>
            </w:r>
          </w:p>
          <w:p w14:paraId="12D2124D" w14:textId="77777777" w:rsidR="00217978" w:rsidRPr="00B65D57" w:rsidRDefault="00217978" w:rsidP="00760DCC">
            <w:pPr>
              <w:jc w:val="center"/>
              <w:rPr>
                <w:rFonts w:cs="Calibri"/>
                <w:b/>
                <w:bCs/>
                <w:color w:val="000000"/>
                <w:sz w:val="18"/>
                <w:szCs w:val="18"/>
                <w:lang w:eastAsia="sv-SE"/>
              </w:rPr>
            </w:pPr>
          </w:p>
        </w:tc>
      </w:tr>
      <w:tr w:rsidR="00217978" w:rsidRPr="00B65D57" w14:paraId="5A310F57" w14:textId="77777777" w:rsidTr="00760DCC">
        <w:trPr>
          <w:trHeight w:val="397"/>
        </w:trPr>
        <w:tc>
          <w:tcPr>
            <w:tcW w:w="2047" w:type="dxa"/>
            <w:tcBorders>
              <w:top w:val="single" w:sz="4" w:space="0" w:color="auto"/>
              <w:left w:val="single" w:sz="4" w:space="0" w:color="auto"/>
              <w:bottom w:val="single" w:sz="4" w:space="0" w:color="auto"/>
              <w:right w:val="single" w:sz="4" w:space="0" w:color="auto"/>
            </w:tcBorders>
            <w:shd w:val="clear" w:color="auto" w:fill="auto"/>
          </w:tcPr>
          <w:p w14:paraId="5B33D5EB" w14:textId="77777777" w:rsidR="00217978" w:rsidRPr="00B65D57" w:rsidRDefault="00217978" w:rsidP="00760DCC">
            <w:pPr>
              <w:jc w:val="center"/>
              <w:rPr>
                <w:rFonts w:cs="Calibri"/>
                <w:b/>
                <w:bCs/>
                <w:color w:val="000000"/>
                <w:sz w:val="18"/>
                <w:szCs w:val="18"/>
                <w:lang w:eastAsia="sv-SE"/>
              </w:rPr>
            </w:pPr>
          </w:p>
          <w:p w14:paraId="6EA27DF9" w14:textId="77777777" w:rsidR="00217978" w:rsidRPr="00B65D57" w:rsidRDefault="00217978" w:rsidP="00760DCC">
            <w:pPr>
              <w:jc w:val="center"/>
              <w:rPr>
                <w:rFonts w:cs="Calibri"/>
                <w:b/>
                <w:bCs/>
                <w:color w:val="000000"/>
                <w:sz w:val="18"/>
                <w:szCs w:val="18"/>
                <w:lang w:eastAsia="sv-SE"/>
              </w:rPr>
            </w:pPr>
            <w:r w:rsidRPr="00B65D57">
              <w:rPr>
                <w:rFonts w:cs="Calibri"/>
                <w:b/>
                <w:bCs/>
                <w:color w:val="000000"/>
                <w:sz w:val="18"/>
                <w:szCs w:val="18"/>
                <w:lang w:eastAsia="sv-SE"/>
              </w:rPr>
              <w:t>Exposure scenario</w:t>
            </w:r>
          </w:p>
          <w:p w14:paraId="6AC79EFC" w14:textId="77777777" w:rsidR="00217978" w:rsidRPr="00B65D57" w:rsidRDefault="00217978" w:rsidP="00760DCC">
            <w:pPr>
              <w:jc w:val="center"/>
              <w:rPr>
                <w:rFonts w:cs="Calibri"/>
                <w:b/>
                <w:bCs/>
                <w:color w:val="000000"/>
                <w:sz w:val="18"/>
                <w:szCs w:val="18"/>
                <w:lang w:eastAsia="sv-SE"/>
              </w:rPr>
            </w:pPr>
          </w:p>
        </w:tc>
        <w:tc>
          <w:tcPr>
            <w:tcW w:w="1984" w:type="dxa"/>
            <w:tcBorders>
              <w:top w:val="single" w:sz="4" w:space="0" w:color="auto"/>
              <w:left w:val="nil"/>
              <w:bottom w:val="single" w:sz="4" w:space="0" w:color="auto"/>
              <w:right w:val="single" w:sz="4" w:space="0" w:color="auto"/>
            </w:tcBorders>
            <w:shd w:val="clear" w:color="auto" w:fill="auto"/>
          </w:tcPr>
          <w:p w14:paraId="072B082F" w14:textId="77777777" w:rsidR="00217978" w:rsidRPr="00B65D57" w:rsidRDefault="00217978" w:rsidP="00760DCC">
            <w:pPr>
              <w:rPr>
                <w:rFonts w:cs="Calibri"/>
                <w:b/>
                <w:bCs/>
                <w:color w:val="000000"/>
                <w:sz w:val="18"/>
                <w:szCs w:val="18"/>
                <w:lang w:eastAsia="sv-SE"/>
              </w:rPr>
            </w:pPr>
          </w:p>
          <w:p w14:paraId="18E5B670" w14:textId="77777777" w:rsidR="00217978" w:rsidRPr="00B65D57" w:rsidRDefault="00217978" w:rsidP="00760DCC">
            <w:pPr>
              <w:rPr>
                <w:rFonts w:cs="Calibri"/>
                <w:b/>
                <w:bCs/>
                <w:color w:val="000000"/>
                <w:sz w:val="18"/>
                <w:szCs w:val="18"/>
                <w:lang w:eastAsia="sv-SE"/>
              </w:rPr>
            </w:pPr>
            <w:r w:rsidRPr="00B65D57">
              <w:rPr>
                <w:rFonts w:cs="Calibri"/>
                <w:b/>
                <w:bCs/>
                <w:color w:val="000000"/>
                <w:sz w:val="18"/>
                <w:szCs w:val="18"/>
                <w:lang w:eastAsia="sv-SE"/>
              </w:rPr>
              <w:t>Exposure time</w:t>
            </w:r>
          </w:p>
        </w:tc>
        <w:tc>
          <w:tcPr>
            <w:tcW w:w="4820" w:type="dxa"/>
            <w:tcBorders>
              <w:top w:val="single" w:sz="4" w:space="0" w:color="auto"/>
              <w:left w:val="nil"/>
              <w:bottom w:val="single" w:sz="4" w:space="0" w:color="auto"/>
              <w:right w:val="single" w:sz="4" w:space="0" w:color="auto"/>
            </w:tcBorders>
            <w:shd w:val="clear" w:color="auto" w:fill="auto"/>
          </w:tcPr>
          <w:p w14:paraId="3F94A57A" w14:textId="77777777" w:rsidR="00217978" w:rsidRPr="00B65D57" w:rsidRDefault="00217978" w:rsidP="00760DCC">
            <w:pPr>
              <w:rPr>
                <w:rFonts w:cs="Calibri"/>
                <w:b/>
                <w:bCs/>
                <w:color w:val="000000"/>
                <w:sz w:val="18"/>
                <w:szCs w:val="18"/>
                <w:lang w:eastAsia="sv-SE"/>
              </w:rPr>
            </w:pPr>
          </w:p>
          <w:p w14:paraId="449D1B67" w14:textId="77777777" w:rsidR="00217978" w:rsidRPr="00B65D57" w:rsidRDefault="00217978" w:rsidP="00760DCC">
            <w:pPr>
              <w:rPr>
                <w:rFonts w:cs="Calibri"/>
                <w:b/>
                <w:bCs/>
                <w:color w:val="000000"/>
                <w:sz w:val="18"/>
                <w:szCs w:val="18"/>
                <w:lang w:eastAsia="sv-SE"/>
              </w:rPr>
            </w:pPr>
            <w:r w:rsidRPr="00B65D57">
              <w:rPr>
                <w:rFonts w:cs="Calibri"/>
                <w:b/>
                <w:bCs/>
                <w:color w:val="000000"/>
                <w:sz w:val="18"/>
                <w:szCs w:val="18"/>
                <w:lang w:eastAsia="sv-SE"/>
              </w:rPr>
              <w:t>Boron equivalents</w:t>
            </w:r>
          </w:p>
        </w:tc>
      </w:tr>
      <w:tr w:rsidR="00217978" w:rsidRPr="00B65D57" w14:paraId="01F2C83F" w14:textId="77777777" w:rsidTr="00760DCC">
        <w:trPr>
          <w:trHeight w:val="652"/>
        </w:trPr>
        <w:tc>
          <w:tcPr>
            <w:tcW w:w="2047" w:type="dxa"/>
            <w:tcBorders>
              <w:top w:val="nil"/>
              <w:left w:val="single" w:sz="4" w:space="0" w:color="auto"/>
              <w:bottom w:val="single" w:sz="4" w:space="0" w:color="auto"/>
              <w:right w:val="single" w:sz="4" w:space="0" w:color="auto"/>
            </w:tcBorders>
            <w:shd w:val="clear" w:color="auto" w:fill="auto"/>
            <w:hideMark/>
          </w:tcPr>
          <w:p w14:paraId="27265D0A"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Scenario 1</w:t>
            </w:r>
          </w:p>
          <w:p w14:paraId="05CC19B6"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Production</w:t>
            </w:r>
          </w:p>
        </w:tc>
        <w:tc>
          <w:tcPr>
            <w:tcW w:w="1984" w:type="dxa"/>
            <w:tcBorders>
              <w:top w:val="nil"/>
              <w:left w:val="nil"/>
              <w:bottom w:val="single" w:sz="4" w:space="0" w:color="auto"/>
              <w:right w:val="single" w:sz="4" w:space="0" w:color="auto"/>
            </w:tcBorders>
            <w:shd w:val="clear" w:color="auto" w:fill="auto"/>
            <w:hideMark/>
          </w:tcPr>
          <w:p w14:paraId="0202FCC4" w14:textId="77777777" w:rsidR="00217978" w:rsidRPr="00B65D57" w:rsidRDefault="00217978" w:rsidP="00760DCC">
            <w:pPr>
              <w:spacing w:line="259" w:lineRule="auto"/>
              <w:rPr>
                <w:color w:val="000000" w:themeColor="text1"/>
                <w:sz w:val="18"/>
                <w:szCs w:val="18"/>
                <w:lang w:eastAsia="sv-SE"/>
              </w:rPr>
            </w:pPr>
            <w:r w:rsidRPr="00B65D57">
              <w:rPr>
                <w:rFonts w:cs="Calibri"/>
                <w:color w:val="000000" w:themeColor="text1"/>
                <w:sz w:val="18"/>
                <w:szCs w:val="18"/>
                <w:lang w:eastAsia="sv-SE"/>
              </w:rPr>
              <w:t>1-4 hours</w:t>
            </w:r>
          </w:p>
        </w:tc>
        <w:tc>
          <w:tcPr>
            <w:tcW w:w="4820" w:type="dxa"/>
            <w:tcBorders>
              <w:top w:val="nil"/>
              <w:left w:val="nil"/>
              <w:bottom w:val="single" w:sz="4" w:space="0" w:color="auto"/>
              <w:right w:val="single" w:sz="4" w:space="0" w:color="auto"/>
            </w:tcBorders>
            <w:shd w:val="clear" w:color="auto" w:fill="auto"/>
            <w:hideMark/>
          </w:tcPr>
          <w:p w14:paraId="47A78DAC"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46.3 % borax x 0.148 + 53.7 % boric acid x 0.175 = 6.85 + 9.39 =</w:t>
            </w:r>
            <w:r w:rsidRPr="00B65D57">
              <w:rPr>
                <w:rFonts w:cs="Calibri"/>
                <w:b/>
                <w:color w:val="000000" w:themeColor="text1"/>
                <w:sz w:val="18"/>
                <w:szCs w:val="18"/>
                <w:lang w:eastAsia="sv-SE"/>
              </w:rPr>
              <w:t xml:space="preserve"> </w:t>
            </w:r>
            <w:r w:rsidRPr="00B65D57">
              <w:rPr>
                <w:rFonts w:cs="Calibri"/>
                <w:b/>
                <w:bCs/>
                <w:color w:val="000000" w:themeColor="text1"/>
                <w:sz w:val="18"/>
                <w:szCs w:val="18"/>
                <w:lang w:eastAsia="sv-SE"/>
              </w:rPr>
              <w:t>16.24%</w:t>
            </w:r>
            <w:r w:rsidRPr="00B65D57">
              <w:rPr>
                <w:rFonts w:cs="Calibri"/>
                <w:b/>
                <w:color w:val="000000" w:themeColor="text1"/>
                <w:sz w:val="18"/>
                <w:szCs w:val="18"/>
                <w:lang w:eastAsia="sv-SE"/>
              </w:rPr>
              <w:t xml:space="preserve"> boron equivalents</w:t>
            </w:r>
          </w:p>
        </w:tc>
      </w:tr>
      <w:tr w:rsidR="00217978" w:rsidRPr="00B65D57" w14:paraId="61EAD888" w14:textId="77777777" w:rsidTr="00760DCC">
        <w:trPr>
          <w:trHeight w:val="549"/>
        </w:trPr>
        <w:tc>
          <w:tcPr>
            <w:tcW w:w="2047" w:type="dxa"/>
            <w:tcBorders>
              <w:top w:val="nil"/>
              <w:left w:val="single" w:sz="4" w:space="0" w:color="auto"/>
              <w:bottom w:val="single" w:sz="4" w:space="0" w:color="auto"/>
              <w:right w:val="single" w:sz="4" w:space="0" w:color="auto"/>
            </w:tcBorders>
            <w:shd w:val="clear" w:color="auto" w:fill="auto"/>
            <w:hideMark/>
          </w:tcPr>
          <w:p w14:paraId="59F8CB50" w14:textId="77777777" w:rsidR="00217978" w:rsidRPr="00B65D57" w:rsidRDefault="00217978" w:rsidP="00760DCC">
            <w:pPr>
              <w:rPr>
                <w:rFonts w:cs="Calibri"/>
                <w:color w:val="000000" w:themeColor="text1"/>
                <w:sz w:val="18"/>
                <w:szCs w:val="18"/>
                <w:lang w:eastAsia="sv-SE"/>
              </w:rPr>
            </w:pPr>
            <w:r w:rsidRPr="00B65D57">
              <w:rPr>
                <w:rFonts w:cs="Calibri"/>
                <w:color w:val="000000" w:themeColor="text1"/>
                <w:sz w:val="18"/>
                <w:szCs w:val="18"/>
                <w:lang w:eastAsia="sv-SE"/>
              </w:rPr>
              <w:t>Scenario 2.1</w:t>
            </w:r>
          </w:p>
          <w:p w14:paraId="389C9F45"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Loading mixing tank</w:t>
            </w:r>
          </w:p>
          <w:p w14:paraId="6B96F76D" w14:textId="77777777" w:rsidR="00217978" w:rsidRPr="00B65D57" w:rsidRDefault="00217978" w:rsidP="00760DCC">
            <w:pPr>
              <w:rPr>
                <w:rFonts w:cs="Calibri"/>
                <w:color w:val="000000"/>
                <w:sz w:val="18"/>
                <w:szCs w:val="18"/>
                <w:lang w:eastAsia="sv-SE"/>
              </w:rPr>
            </w:pPr>
          </w:p>
        </w:tc>
        <w:tc>
          <w:tcPr>
            <w:tcW w:w="1984" w:type="dxa"/>
            <w:tcBorders>
              <w:top w:val="nil"/>
              <w:left w:val="nil"/>
              <w:bottom w:val="single" w:sz="4" w:space="0" w:color="auto"/>
              <w:right w:val="single" w:sz="4" w:space="0" w:color="auto"/>
            </w:tcBorders>
            <w:shd w:val="clear" w:color="auto" w:fill="auto"/>
            <w:hideMark/>
          </w:tcPr>
          <w:p w14:paraId="199EF6E1"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Less than 15 min</w:t>
            </w:r>
          </w:p>
        </w:tc>
        <w:tc>
          <w:tcPr>
            <w:tcW w:w="4820" w:type="dxa"/>
            <w:tcBorders>
              <w:top w:val="nil"/>
              <w:left w:val="nil"/>
              <w:bottom w:val="single" w:sz="4" w:space="0" w:color="auto"/>
              <w:right w:val="single" w:sz="4" w:space="0" w:color="auto"/>
            </w:tcBorders>
            <w:shd w:val="clear" w:color="auto" w:fill="auto"/>
            <w:hideMark/>
          </w:tcPr>
          <w:p w14:paraId="0271C6F8"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Same as Scenario 1:</w:t>
            </w:r>
            <w:r w:rsidRPr="00B65D57">
              <w:rPr>
                <w:rFonts w:cs="Calibri"/>
                <w:b/>
                <w:color w:val="000000" w:themeColor="text1"/>
                <w:sz w:val="18"/>
                <w:szCs w:val="18"/>
                <w:lang w:eastAsia="sv-SE"/>
              </w:rPr>
              <w:t xml:space="preserve"> </w:t>
            </w:r>
            <w:r w:rsidRPr="00B65D57">
              <w:rPr>
                <w:rFonts w:cs="Calibri"/>
                <w:b/>
                <w:bCs/>
                <w:color w:val="000000" w:themeColor="text1"/>
                <w:sz w:val="18"/>
                <w:szCs w:val="18"/>
                <w:lang w:eastAsia="sv-SE"/>
              </w:rPr>
              <w:t>16.24%</w:t>
            </w:r>
            <w:r w:rsidRPr="00B65D57">
              <w:rPr>
                <w:rFonts w:cs="Calibri"/>
                <w:b/>
                <w:color w:val="000000" w:themeColor="text1"/>
                <w:sz w:val="18"/>
                <w:szCs w:val="18"/>
                <w:lang w:eastAsia="sv-SE"/>
              </w:rPr>
              <w:t xml:space="preserve"> boron equivalents</w:t>
            </w:r>
          </w:p>
        </w:tc>
      </w:tr>
      <w:tr w:rsidR="00217978" w:rsidRPr="00B65D57" w14:paraId="4215083C" w14:textId="77777777" w:rsidTr="00760DCC">
        <w:trPr>
          <w:trHeight w:val="618"/>
        </w:trPr>
        <w:tc>
          <w:tcPr>
            <w:tcW w:w="2047" w:type="dxa"/>
            <w:tcBorders>
              <w:top w:val="nil"/>
              <w:left w:val="single" w:sz="4" w:space="0" w:color="auto"/>
              <w:bottom w:val="single" w:sz="4" w:space="0" w:color="auto"/>
              <w:right w:val="single" w:sz="4" w:space="0" w:color="auto"/>
            </w:tcBorders>
            <w:shd w:val="clear" w:color="auto" w:fill="auto"/>
            <w:hideMark/>
          </w:tcPr>
          <w:p w14:paraId="0981BB58" w14:textId="77777777" w:rsidR="00217978" w:rsidRPr="00B65D57" w:rsidRDefault="00217978" w:rsidP="00760DCC">
            <w:pPr>
              <w:rPr>
                <w:color w:val="000000" w:themeColor="text1"/>
                <w:sz w:val="18"/>
                <w:szCs w:val="18"/>
                <w:lang w:eastAsia="sv-SE"/>
              </w:rPr>
            </w:pPr>
            <w:r w:rsidRPr="00B65D57">
              <w:rPr>
                <w:color w:val="000000" w:themeColor="text1"/>
                <w:sz w:val="18"/>
                <w:szCs w:val="18"/>
                <w:lang w:eastAsia="sv-SE"/>
              </w:rPr>
              <w:t>Scenario 2.2</w:t>
            </w:r>
          </w:p>
          <w:p w14:paraId="50FCD298" w14:textId="77777777" w:rsidR="00217978" w:rsidRPr="00B65D57" w:rsidRDefault="00217978" w:rsidP="00760DCC">
            <w:pPr>
              <w:rPr>
                <w:color w:val="000000" w:themeColor="text1"/>
                <w:sz w:val="18"/>
                <w:szCs w:val="18"/>
                <w:lang w:eastAsia="sv-SE"/>
              </w:rPr>
            </w:pPr>
            <w:r w:rsidRPr="00B65D57">
              <w:rPr>
                <w:color w:val="000000" w:themeColor="text1"/>
                <w:sz w:val="18"/>
                <w:szCs w:val="18"/>
                <w:lang w:eastAsia="sv-SE"/>
              </w:rPr>
              <w:t>Mixing tank</w:t>
            </w:r>
          </w:p>
        </w:tc>
        <w:tc>
          <w:tcPr>
            <w:tcW w:w="1984" w:type="dxa"/>
            <w:tcBorders>
              <w:top w:val="nil"/>
              <w:left w:val="nil"/>
              <w:bottom w:val="single" w:sz="4" w:space="0" w:color="auto"/>
              <w:right w:val="single" w:sz="4" w:space="0" w:color="auto"/>
            </w:tcBorders>
            <w:shd w:val="clear" w:color="auto" w:fill="auto"/>
            <w:hideMark/>
          </w:tcPr>
          <w:p w14:paraId="0E27F0D5" w14:textId="77777777" w:rsidR="00217978" w:rsidRPr="00B65D57" w:rsidRDefault="00217978" w:rsidP="00760DCC">
            <w:pPr>
              <w:rPr>
                <w:color w:val="000000" w:themeColor="text1"/>
                <w:sz w:val="18"/>
                <w:szCs w:val="18"/>
                <w:lang w:eastAsia="sv-SE"/>
              </w:rPr>
            </w:pPr>
            <w:r w:rsidRPr="00B65D57">
              <w:rPr>
                <w:color w:val="000000" w:themeColor="text1"/>
                <w:sz w:val="18"/>
                <w:szCs w:val="18"/>
                <w:lang w:eastAsia="sv-SE"/>
              </w:rPr>
              <w:t>15-60 min</w:t>
            </w:r>
          </w:p>
        </w:tc>
        <w:tc>
          <w:tcPr>
            <w:tcW w:w="4820" w:type="dxa"/>
            <w:tcBorders>
              <w:top w:val="nil"/>
              <w:left w:val="nil"/>
              <w:bottom w:val="single" w:sz="4" w:space="0" w:color="auto"/>
              <w:right w:val="single" w:sz="4" w:space="0" w:color="auto"/>
            </w:tcBorders>
            <w:shd w:val="clear" w:color="auto" w:fill="auto"/>
            <w:hideMark/>
          </w:tcPr>
          <w:p w14:paraId="2D4EC62A" w14:textId="77777777" w:rsidR="00217978" w:rsidRPr="00B65D57" w:rsidRDefault="00217978" w:rsidP="00760DCC">
            <w:pPr>
              <w:rPr>
                <w:color w:val="000000" w:themeColor="text1"/>
                <w:sz w:val="18"/>
                <w:szCs w:val="18"/>
                <w:lang w:eastAsia="sv-SE"/>
              </w:rPr>
            </w:pPr>
            <w:r w:rsidRPr="00B65D57">
              <w:rPr>
                <w:color w:val="000000" w:themeColor="text1"/>
                <w:sz w:val="18"/>
                <w:szCs w:val="18"/>
                <w:lang w:eastAsia="sv-SE"/>
              </w:rPr>
              <w:t xml:space="preserve">5.56% borax x 0.148 + 6.45% boric acid x 0.175 = 0.82 + 1.13 = </w:t>
            </w:r>
            <w:r w:rsidRPr="00B65D57">
              <w:rPr>
                <w:b/>
                <w:color w:val="000000" w:themeColor="text1"/>
                <w:sz w:val="18"/>
                <w:szCs w:val="18"/>
                <w:lang w:eastAsia="sv-SE"/>
              </w:rPr>
              <w:t>1.95% boron equivalents</w:t>
            </w:r>
          </w:p>
        </w:tc>
      </w:tr>
      <w:tr w:rsidR="00217978" w:rsidRPr="00B65D57" w14:paraId="60A25F4A" w14:textId="77777777" w:rsidTr="00760DCC">
        <w:trPr>
          <w:trHeight w:val="525"/>
        </w:trPr>
        <w:tc>
          <w:tcPr>
            <w:tcW w:w="2047" w:type="dxa"/>
            <w:tcBorders>
              <w:top w:val="nil"/>
              <w:left w:val="single" w:sz="4" w:space="0" w:color="auto"/>
              <w:bottom w:val="single" w:sz="4" w:space="0" w:color="auto"/>
              <w:right w:val="single" w:sz="4" w:space="0" w:color="auto"/>
            </w:tcBorders>
            <w:shd w:val="clear" w:color="auto" w:fill="auto"/>
            <w:hideMark/>
          </w:tcPr>
          <w:p w14:paraId="3BE9AA82"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Scenario 3</w:t>
            </w:r>
          </w:p>
          <w:p w14:paraId="0E3F065C"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Transfer to mixing barrel</w:t>
            </w:r>
          </w:p>
        </w:tc>
        <w:tc>
          <w:tcPr>
            <w:tcW w:w="1984" w:type="dxa"/>
            <w:tcBorders>
              <w:top w:val="nil"/>
              <w:left w:val="nil"/>
              <w:bottom w:val="single" w:sz="4" w:space="0" w:color="auto"/>
              <w:right w:val="single" w:sz="4" w:space="0" w:color="auto"/>
            </w:tcBorders>
            <w:shd w:val="clear" w:color="auto" w:fill="auto"/>
            <w:hideMark/>
          </w:tcPr>
          <w:p w14:paraId="22E3B5B0" w14:textId="77777777" w:rsidR="00217978" w:rsidRPr="00B65D57" w:rsidRDefault="00217978" w:rsidP="00760DCC">
            <w:pPr>
              <w:rPr>
                <w:color w:val="000000" w:themeColor="text1"/>
                <w:sz w:val="18"/>
                <w:szCs w:val="18"/>
                <w:lang w:eastAsia="sv-SE"/>
              </w:rPr>
            </w:pPr>
            <w:r w:rsidRPr="00B65D57">
              <w:rPr>
                <w:color w:val="000000" w:themeColor="text1"/>
                <w:sz w:val="18"/>
                <w:szCs w:val="18"/>
                <w:lang w:eastAsia="sv-SE"/>
              </w:rPr>
              <w:t>15-60 min</w:t>
            </w:r>
          </w:p>
          <w:p w14:paraId="14BDF89B" w14:textId="77777777" w:rsidR="00217978" w:rsidRPr="00B65D57" w:rsidRDefault="00217978" w:rsidP="00760DCC">
            <w:pPr>
              <w:rPr>
                <w:color w:val="000000"/>
                <w:sz w:val="18"/>
                <w:szCs w:val="18"/>
                <w:lang w:eastAsia="sv-SE"/>
              </w:rPr>
            </w:pPr>
          </w:p>
        </w:tc>
        <w:tc>
          <w:tcPr>
            <w:tcW w:w="4820" w:type="dxa"/>
            <w:tcBorders>
              <w:top w:val="nil"/>
              <w:left w:val="nil"/>
              <w:bottom w:val="single" w:sz="4" w:space="0" w:color="auto"/>
              <w:right w:val="single" w:sz="4" w:space="0" w:color="auto"/>
            </w:tcBorders>
            <w:shd w:val="clear" w:color="auto" w:fill="auto"/>
            <w:hideMark/>
          </w:tcPr>
          <w:p w14:paraId="56F719B7"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 xml:space="preserve">Same as Scenario 2b: </w:t>
            </w:r>
            <w:r w:rsidRPr="00B65D57">
              <w:rPr>
                <w:rFonts w:cs="Calibri"/>
                <w:b/>
                <w:bCs/>
                <w:color w:val="000000" w:themeColor="text1"/>
                <w:sz w:val="18"/>
                <w:szCs w:val="18"/>
                <w:lang w:eastAsia="sv-SE"/>
              </w:rPr>
              <w:t>1.95% boron equivalents</w:t>
            </w:r>
          </w:p>
        </w:tc>
      </w:tr>
      <w:tr w:rsidR="00217978" w:rsidRPr="00B65D57" w14:paraId="6FA291F5" w14:textId="77777777" w:rsidTr="00760DCC">
        <w:trPr>
          <w:trHeight w:val="626"/>
        </w:trPr>
        <w:tc>
          <w:tcPr>
            <w:tcW w:w="2047" w:type="dxa"/>
            <w:tcBorders>
              <w:top w:val="nil"/>
              <w:left w:val="single" w:sz="4" w:space="0" w:color="auto"/>
              <w:bottom w:val="single" w:sz="4" w:space="0" w:color="auto"/>
              <w:right w:val="single" w:sz="4" w:space="0" w:color="auto"/>
            </w:tcBorders>
            <w:shd w:val="clear" w:color="auto" w:fill="auto"/>
            <w:hideMark/>
          </w:tcPr>
          <w:p w14:paraId="502E839B"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Scenario 4</w:t>
            </w:r>
          </w:p>
          <w:p w14:paraId="237BB677"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Mixing barrel</w:t>
            </w:r>
          </w:p>
        </w:tc>
        <w:tc>
          <w:tcPr>
            <w:tcW w:w="1984" w:type="dxa"/>
            <w:tcBorders>
              <w:top w:val="nil"/>
              <w:left w:val="nil"/>
              <w:bottom w:val="single" w:sz="4" w:space="0" w:color="auto"/>
              <w:right w:val="single" w:sz="4" w:space="0" w:color="auto"/>
            </w:tcBorders>
            <w:shd w:val="clear" w:color="auto" w:fill="auto"/>
            <w:hideMark/>
          </w:tcPr>
          <w:p w14:paraId="5C13AEF2"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15-60 min</w:t>
            </w:r>
          </w:p>
        </w:tc>
        <w:tc>
          <w:tcPr>
            <w:tcW w:w="4820" w:type="dxa"/>
            <w:tcBorders>
              <w:top w:val="nil"/>
              <w:left w:val="nil"/>
              <w:bottom w:val="single" w:sz="4" w:space="0" w:color="auto"/>
              <w:right w:val="single" w:sz="4" w:space="0" w:color="auto"/>
            </w:tcBorders>
            <w:shd w:val="clear" w:color="auto" w:fill="auto"/>
            <w:hideMark/>
          </w:tcPr>
          <w:p w14:paraId="7A2B7132"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4.44 % borax x 0.148 + 5.16 % boric acid x 0.175 = 0.</w:t>
            </w:r>
            <w:r w:rsidRPr="00B65D57" w:rsidDel="002505AB">
              <w:rPr>
                <w:rFonts w:cs="Calibri"/>
                <w:color w:val="000000" w:themeColor="text1"/>
                <w:sz w:val="18"/>
                <w:szCs w:val="18"/>
                <w:lang w:eastAsia="sv-SE"/>
              </w:rPr>
              <w:t xml:space="preserve">66 </w:t>
            </w:r>
            <w:r w:rsidRPr="00B65D57">
              <w:rPr>
                <w:rFonts w:cs="Calibri"/>
                <w:color w:val="000000" w:themeColor="text1"/>
                <w:sz w:val="18"/>
                <w:szCs w:val="18"/>
                <w:lang w:eastAsia="sv-SE"/>
              </w:rPr>
              <w:t xml:space="preserve">+ 0.90 = </w:t>
            </w:r>
            <w:r w:rsidRPr="00B65D57">
              <w:rPr>
                <w:rFonts w:cs="Calibri"/>
                <w:b/>
                <w:color w:val="000000" w:themeColor="text1"/>
                <w:sz w:val="18"/>
                <w:szCs w:val="18"/>
                <w:lang w:eastAsia="sv-SE"/>
              </w:rPr>
              <w:t>1.</w:t>
            </w:r>
            <w:r w:rsidRPr="00B65D57">
              <w:rPr>
                <w:rFonts w:cs="Calibri"/>
                <w:b/>
                <w:bCs/>
                <w:color w:val="000000" w:themeColor="text1"/>
                <w:sz w:val="18"/>
                <w:szCs w:val="18"/>
                <w:lang w:eastAsia="sv-SE"/>
              </w:rPr>
              <w:t>56%</w:t>
            </w:r>
            <w:r w:rsidRPr="00B65D57">
              <w:rPr>
                <w:rFonts w:cs="Calibri"/>
                <w:b/>
                <w:color w:val="000000" w:themeColor="text1"/>
                <w:sz w:val="18"/>
                <w:szCs w:val="18"/>
                <w:lang w:eastAsia="sv-SE"/>
              </w:rPr>
              <w:t xml:space="preserve"> boron equivalents</w:t>
            </w:r>
          </w:p>
        </w:tc>
      </w:tr>
      <w:tr w:rsidR="00217978" w:rsidRPr="00B65D57" w14:paraId="11EE2C4C" w14:textId="77777777" w:rsidTr="00760DCC">
        <w:trPr>
          <w:trHeight w:val="564"/>
        </w:trPr>
        <w:tc>
          <w:tcPr>
            <w:tcW w:w="2047" w:type="dxa"/>
            <w:tcBorders>
              <w:top w:val="nil"/>
              <w:left w:val="single" w:sz="4" w:space="0" w:color="auto"/>
              <w:bottom w:val="single" w:sz="4" w:space="0" w:color="auto"/>
              <w:right w:val="single" w:sz="4" w:space="0" w:color="auto"/>
            </w:tcBorders>
            <w:shd w:val="clear" w:color="auto" w:fill="auto"/>
            <w:hideMark/>
          </w:tcPr>
          <w:p w14:paraId="4AC65B84"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Scenario 5</w:t>
            </w:r>
          </w:p>
          <w:p w14:paraId="36B1A601"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Transfer to injection pump</w:t>
            </w:r>
          </w:p>
          <w:p w14:paraId="583A400A" w14:textId="77777777" w:rsidR="00217978" w:rsidRPr="00B65D57" w:rsidRDefault="00217978" w:rsidP="00760DCC">
            <w:pPr>
              <w:rPr>
                <w:rFonts w:cs="Calibri"/>
                <w:color w:val="000000"/>
                <w:sz w:val="18"/>
                <w:szCs w:val="18"/>
                <w:lang w:eastAsia="sv-SE"/>
              </w:rPr>
            </w:pPr>
          </w:p>
        </w:tc>
        <w:tc>
          <w:tcPr>
            <w:tcW w:w="1984" w:type="dxa"/>
            <w:tcBorders>
              <w:top w:val="nil"/>
              <w:left w:val="nil"/>
              <w:bottom w:val="single" w:sz="4" w:space="0" w:color="auto"/>
              <w:right w:val="single" w:sz="4" w:space="0" w:color="auto"/>
            </w:tcBorders>
            <w:shd w:val="clear" w:color="auto" w:fill="auto"/>
            <w:hideMark/>
          </w:tcPr>
          <w:p w14:paraId="4DB7AB01"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Less than 15 min</w:t>
            </w:r>
          </w:p>
        </w:tc>
        <w:tc>
          <w:tcPr>
            <w:tcW w:w="4820" w:type="dxa"/>
            <w:tcBorders>
              <w:top w:val="nil"/>
              <w:left w:val="nil"/>
              <w:bottom w:val="single" w:sz="4" w:space="0" w:color="auto"/>
              <w:right w:val="single" w:sz="4" w:space="0" w:color="auto"/>
            </w:tcBorders>
            <w:shd w:val="clear" w:color="auto" w:fill="auto"/>
            <w:hideMark/>
          </w:tcPr>
          <w:p w14:paraId="1A282A5F"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 xml:space="preserve">Same as scenario 4: </w:t>
            </w:r>
            <w:r w:rsidRPr="00B65D57">
              <w:rPr>
                <w:rFonts w:cs="Calibri"/>
                <w:b/>
                <w:color w:val="000000" w:themeColor="text1"/>
                <w:sz w:val="18"/>
                <w:szCs w:val="18"/>
                <w:lang w:eastAsia="sv-SE"/>
              </w:rPr>
              <w:t>1.</w:t>
            </w:r>
            <w:r w:rsidRPr="00B65D57">
              <w:rPr>
                <w:rFonts w:cs="Calibri"/>
                <w:b/>
                <w:bCs/>
                <w:color w:val="000000" w:themeColor="text1"/>
                <w:sz w:val="18"/>
                <w:szCs w:val="18"/>
                <w:lang w:eastAsia="sv-SE"/>
              </w:rPr>
              <w:t>56%</w:t>
            </w:r>
            <w:r w:rsidRPr="00B65D57">
              <w:rPr>
                <w:rFonts w:cs="Calibri"/>
                <w:b/>
                <w:color w:val="000000" w:themeColor="text1"/>
                <w:sz w:val="18"/>
                <w:szCs w:val="18"/>
                <w:lang w:eastAsia="sv-SE"/>
              </w:rPr>
              <w:t xml:space="preserve"> boron equivalents</w:t>
            </w:r>
          </w:p>
        </w:tc>
      </w:tr>
      <w:tr w:rsidR="00217978" w:rsidRPr="00B65D57" w14:paraId="0A76953B" w14:textId="77777777" w:rsidTr="00760DCC">
        <w:trPr>
          <w:trHeight w:val="541"/>
        </w:trPr>
        <w:tc>
          <w:tcPr>
            <w:tcW w:w="2047" w:type="dxa"/>
            <w:tcBorders>
              <w:top w:val="nil"/>
              <w:left w:val="single" w:sz="4" w:space="0" w:color="auto"/>
              <w:bottom w:val="single" w:sz="4" w:space="0" w:color="auto"/>
              <w:right w:val="single" w:sz="4" w:space="0" w:color="auto"/>
            </w:tcBorders>
            <w:shd w:val="clear" w:color="auto" w:fill="auto"/>
            <w:hideMark/>
          </w:tcPr>
          <w:p w14:paraId="79261268" w14:textId="77777777" w:rsidR="00217978" w:rsidRPr="00B65D57" w:rsidRDefault="00217978" w:rsidP="00760DCC">
            <w:pPr>
              <w:rPr>
                <w:rFonts w:cs="Calibri"/>
                <w:color w:val="000000" w:themeColor="text1"/>
                <w:sz w:val="18"/>
                <w:szCs w:val="18"/>
                <w:lang w:eastAsia="sv-SE"/>
              </w:rPr>
            </w:pPr>
            <w:r w:rsidRPr="00B65D57">
              <w:rPr>
                <w:rFonts w:cs="Calibri"/>
                <w:color w:val="000000" w:themeColor="text1"/>
                <w:sz w:val="18"/>
                <w:szCs w:val="18"/>
                <w:lang w:eastAsia="sv-SE"/>
              </w:rPr>
              <w:t>Scenario 6</w:t>
            </w:r>
          </w:p>
          <w:p w14:paraId="449D25D4"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Application</w:t>
            </w:r>
          </w:p>
        </w:tc>
        <w:tc>
          <w:tcPr>
            <w:tcW w:w="1984" w:type="dxa"/>
            <w:tcBorders>
              <w:top w:val="nil"/>
              <w:left w:val="nil"/>
              <w:bottom w:val="single" w:sz="4" w:space="0" w:color="auto"/>
              <w:right w:val="single" w:sz="4" w:space="0" w:color="auto"/>
            </w:tcBorders>
            <w:shd w:val="clear" w:color="auto" w:fill="auto"/>
            <w:hideMark/>
          </w:tcPr>
          <w:p w14:paraId="5BC10E34"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&gt;4 hours</w:t>
            </w:r>
          </w:p>
        </w:tc>
        <w:tc>
          <w:tcPr>
            <w:tcW w:w="4820" w:type="dxa"/>
            <w:tcBorders>
              <w:top w:val="nil"/>
              <w:left w:val="nil"/>
              <w:bottom w:val="single" w:sz="4" w:space="0" w:color="auto"/>
              <w:right w:val="single" w:sz="4" w:space="0" w:color="auto"/>
            </w:tcBorders>
            <w:shd w:val="clear" w:color="auto" w:fill="auto"/>
            <w:hideMark/>
          </w:tcPr>
          <w:p w14:paraId="184AD914" w14:textId="77777777" w:rsidR="00217978" w:rsidRPr="00B65D57" w:rsidRDefault="00217978" w:rsidP="00760DCC">
            <w:pPr>
              <w:rPr>
                <w:rFonts w:cs="Calibri"/>
                <w:b/>
                <w:bCs/>
                <w:color w:val="000000"/>
                <w:sz w:val="18"/>
                <w:szCs w:val="18"/>
                <w:lang w:eastAsia="sv-SE"/>
              </w:rPr>
            </w:pPr>
            <w:r w:rsidRPr="00B65D57">
              <w:rPr>
                <w:rFonts w:cs="Calibri"/>
                <w:color w:val="000000"/>
                <w:sz w:val="18"/>
                <w:szCs w:val="18"/>
                <w:lang w:eastAsia="sv-SE"/>
              </w:rPr>
              <w:t xml:space="preserve">Same as scenario 4: </w:t>
            </w:r>
            <w:r w:rsidRPr="00B65D57">
              <w:rPr>
                <w:rFonts w:cs="Calibri"/>
                <w:b/>
                <w:color w:val="000000" w:themeColor="text1"/>
                <w:sz w:val="18"/>
                <w:szCs w:val="18"/>
                <w:lang w:eastAsia="sv-SE"/>
              </w:rPr>
              <w:t>1.</w:t>
            </w:r>
            <w:r w:rsidRPr="00B65D57">
              <w:rPr>
                <w:rFonts w:cs="Calibri"/>
                <w:b/>
                <w:bCs/>
                <w:color w:val="000000" w:themeColor="text1"/>
                <w:sz w:val="18"/>
                <w:szCs w:val="18"/>
                <w:lang w:eastAsia="sv-SE"/>
              </w:rPr>
              <w:t>56%</w:t>
            </w:r>
            <w:r w:rsidRPr="00B65D57">
              <w:rPr>
                <w:rFonts w:cs="Calibri"/>
                <w:b/>
                <w:color w:val="000000" w:themeColor="text1"/>
                <w:sz w:val="18"/>
                <w:szCs w:val="18"/>
                <w:lang w:eastAsia="sv-SE"/>
              </w:rPr>
              <w:t xml:space="preserve"> boron equivalents</w:t>
            </w:r>
          </w:p>
        </w:tc>
      </w:tr>
      <w:tr w:rsidR="00217978" w:rsidRPr="00B65D57" w14:paraId="4C604CCF" w14:textId="77777777" w:rsidTr="00760DCC">
        <w:trPr>
          <w:trHeight w:val="549"/>
        </w:trPr>
        <w:tc>
          <w:tcPr>
            <w:tcW w:w="2047" w:type="dxa"/>
            <w:tcBorders>
              <w:top w:val="nil"/>
              <w:left w:val="single" w:sz="4" w:space="0" w:color="auto"/>
              <w:bottom w:val="single" w:sz="4" w:space="0" w:color="auto"/>
              <w:right w:val="single" w:sz="4" w:space="0" w:color="auto"/>
            </w:tcBorders>
            <w:shd w:val="clear" w:color="auto" w:fill="auto"/>
            <w:hideMark/>
          </w:tcPr>
          <w:p w14:paraId="0247BE6C" w14:textId="77777777" w:rsidR="00217978" w:rsidRPr="00B65D57" w:rsidRDefault="00217978" w:rsidP="00760DCC">
            <w:pPr>
              <w:rPr>
                <w:rFonts w:cs="Calibri"/>
                <w:color w:val="000000" w:themeColor="text1"/>
                <w:sz w:val="18"/>
                <w:szCs w:val="18"/>
                <w:lang w:eastAsia="sv-SE"/>
              </w:rPr>
            </w:pPr>
            <w:r w:rsidRPr="00B65D57">
              <w:rPr>
                <w:rFonts w:cs="Calibri"/>
                <w:color w:val="000000" w:themeColor="text1"/>
                <w:sz w:val="18"/>
                <w:szCs w:val="18"/>
                <w:lang w:eastAsia="sv-SE"/>
              </w:rPr>
              <w:t>Scenario 7</w:t>
            </w:r>
          </w:p>
          <w:p w14:paraId="1560DB60" w14:textId="77777777" w:rsidR="00217978" w:rsidRPr="00B65D57" w:rsidRDefault="00217978" w:rsidP="00760DCC">
            <w:pPr>
              <w:rPr>
                <w:rFonts w:cs="Calibri"/>
                <w:color w:val="000000" w:themeColor="text1"/>
                <w:sz w:val="18"/>
                <w:szCs w:val="18"/>
                <w:lang w:eastAsia="sv-SE"/>
              </w:rPr>
            </w:pPr>
            <w:r w:rsidRPr="00B65D57">
              <w:rPr>
                <w:rFonts w:cs="Calibri"/>
                <w:color w:val="000000" w:themeColor="text1"/>
                <w:sz w:val="18"/>
                <w:szCs w:val="18"/>
                <w:lang w:eastAsia="sv-SE"/>
              </w:rPr>
              <w:t>Daily cleaning</w:t>
            </w:r>
          </w:p>
          <w:p w14:paraId="3FCCB6D0" w14:textId="77777777" w:rsidR="00217978" w:rsidRPr="00B65D57" w:rsidRDefault="00217978" w:rsidP="00760DCC">
            <w:pPr>
              <w:rPr>
                <w:color w:val="000000" w:themeColor="text1"/>
                <w:sz w:val="18"/>
                <w:szCs w:val="18"/>
                <w:lang w:eastAsia="sv-SE"/>
              </w:rPr>
            </w:pPr>
          </w:p>
        </w:tc>
        <w:tc>
          <w:tcPr>
            <w:tcW w:w="1984" w:type="dxa"/>
            <w:tcBorders>
              <w:top w:val="nil"/>
              <w:left w:val="nil"/>
              <w:bottom w:val="single" w:sz="4" w:space="0" w:color="auto"/>
              <w:right w:val="single" w:sz="4" w:space="0" w:color="auto"/>
            </w:tcBorders>
            <w:shd w:val="clear" w:color="auto" w:fill="auto"/>
            <w:hideMark/>
          </w:tcPr>
          <w:p w14:paraId="2B8E183D" w14:textId="77777777" w:rsidR="00217978" w:rsidRPr="00B65D57" w:rsidRDefault="00217978" w:rsidP="00760DCC">
            <w:pPr>
              <w:rPr>
                <w:rFonts w:cs="Calibri"/>
                <w:color w:val="000000" w:themeColor="text1"/>
                <w:sz w:val="18"/>
                <w:szCs w:val="18"/>
                <w:lang w:eastAsia="sv-SE"/>
              </w:rPr>
            </w:pPr>
            <w:r w:rsidRPr="00B65D57">
              <w:rPr>
                <w:rFonts w:cs="Calibri"/>
                <w:color w:val="000000" w:themeColor="text1"/>
                <w:sz w:val="18"/>
                <w:szCs w:val="18"/>
                <w:lang w:eastAsia="sv-SE"/>
              </w:rPr>
              <w:t>Less than 15 min</w:t>
            </w:r>
          </w:p>
          <w:p w14:paraId="0544AB5D" w14:textId="77777777" w:rsidR="00217978" w:rsidRPr="00B65D57" w:rsidRDefault="00217978" w:rsidP="00760DCC">
            <w:pPr>
              <w:rPr>
                <w:color w:val="000000" w:themeColor="text1"/>
                <w:sz w:val="18"/>
                <w:szCs w:val="18"/>
                <w:lang w:eastAsia="sv-SE"/>
              </w:rPr>
            </w:pPr>
          </w:p>
        </w:tc>
        <w:tc>
          <w:tcPr>
            <w:tcW w:w="4820" w:type="dxa"/>
            <w:tcBorders>
              <w:top w:val="nil"/>
              <w:left w:val="nil"/>
              <w:bottom w:val="single" w:sz="4" w:space="0" w:color="auto"/>
              <w:right w:val="single" w:sz="4" w:space="0" w:color="auto"/>
            </w:tcBorders>
            <w:shd w:val="clear" w:color="auto" w:fill="auto"/>
            <w:hideMark/>
          </w:tcPr>
          <w:p w14:paraId="366EC209" w14:textId="77777777" w:rsidR="00217978" w:rsidRPr="00B65D57" w:rsidRDefault="00217978" w:rsidP="00760DCC">
            <w:pPr>
              <w:rPr>
                <w:rFonts w:cs="Calibri"/>
                <w:b/>
                <w:bCs/>
                <w:color w:val="000000" w:themeColor="text1"/>
                <w:sz w:val="18"/>
                <w:szCs w:val="18"/>
                <w:lang w:eastAsia="sv-SE"/>
              </w:rPr>
            </w:pPr>
            <w:r w:rsidRPr="00B65D57">
              <w:rPr>
                <w:rFonts w:cs="Calibri"/>
                <w:color w:val="000000" w:themeColor="text1"/>
                <w:sz w:val="18"/>
                <w:szCs w:val="18"/>
                <w:lang w:eastAsia="sv-SE"/>
              </w:rPr>
              <w:t xml:space="preserve">Same as scenario 4: </w:t>
            </w:r>
            <w:r w:rsidRPr="00B65D57">
              <w:rPr>
                <w:rFonts w:cs="Calibri"/>
                <w:b/>
                <w:bCs/>
                <w:color w:val="000000" w:themeColor="text1"/>
                <w:sz w:val="18"/>
                <w:szCs w:val="18"/>
                <w:lang w:eastAsia="sv-SE"/>
              </w:rPr>
              <w:t>1.56% boron equivalents</w:t>
            </w:r>
          </w:p>
          <w:p w14:paraId="5216B666" w14:textId="77777777" w:rsidR="00217978" w:rsidRPr="00B65D57" w:rsidRDefault="00217978" w:rsidP="00760DCC">
            <w:pPr>
              <w:rPr>
                <w:color w:val="000000" w:themeColor="text1"/>
                <w:sz w:val="18"/>
                <w:szCs w:val="18"/>
                <w:lang w:eastAsia="sv-SE"/>
              </w:rPr>
            </w:pPr>
          </w:p>
        </w:tc>
      </w:tr>
      <w:tr w:rsidR="00217978" w:rsidRPr="00B65D57" w14:paraId="7ACFC72A" w14:textId="77777777" w:rsidTr="00760DCC">
        <w:trPr>
          <w:trHeight w:val="479"/>
        </w:trPr>
        <w:tc>
          <w:tcPr>
            <w:tcW w:w="2047" w:type="dxa"/>
            <w:tcBorders>
              <w:top w:val="nil"/>
              <w:left w:val="single" w:sz="4" w:space="0" w:color="auto"/>
              <w:bottom w:val="single" w:sz="4" w:space="0" w:color="auto"/>
              <w:right w:val="single" w:sz="4" w:space="0" w:color="auto"/>
            </w:tcBorders>
            <w:shd w:val="clear" w:color="auto" w:fill="auto"/>
            <w:hideMark/>
          </w:tcPr>
          <w:p w14:paraId="256F6E4D"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Scenario 8</w:t>
            </w:r>
          </w:p>
          <w:p w14:paraId="3EE7564A" w14:textId="77777777" w:rsidR="00217978" w:rsidRPr="00B65D57" w:rsidRDefault="00217978" w:rsidP="00760DCC">
            <w:pPr>
              <w:rPr>
                <w:rFonts w:cs="Calibri"/>
                <w:color w:val="000000"/>
                <w:sz w:val="18"/>
                <w:szCs w:val="18"/>
                <w:lang w:eastAsia="sv-SE"/>
              </w:rPr>
            </w:pPr>
            <w:r w:rsidRPr="00B65D57">
              <w:rPr>
                <w:rFonts w:cs="Calibri"/>
                <w:color w:val="000000"/>
                <w:sz w:val="18"/>
                <w:szCs w:val="18"/>
                <w:lang w:eastAsia="sv-SE"/>
              </w:rPr>
              <w:t>Final cleaning</w:t>
            </w:r>
          </w:p>
        </w:tc>
        <w:tc>
          <w:tcPr>
            <w:tcW w:w="1984" w:type="dxa"/>
            <w:tcBorders>
              <w:top w:val="nil"/>
              <w:left w:val="nil"/>
              <w:bottom w:val="single" w:sz="4" w:space="0" w:color="auto"/>
              <w:right w:val="single" w:sz="4" w:space="0" w:color="auto"/>
            </w:tcBorders>
            <w:shd w:val="clear" w:color="auto" w:fill="auto"/>
            <w:hideMark/>
          </w:tcPr>
          <w:p w14:paraId="4BE63850" w14:textId="77777777" w:rsidR="00217978" w:rsidRPr="00B65D57" w:rsidRDefault="00217978" w:rsidP="00760DCC">
            <w:pPr>
              <w:spacing w:line="259" w:lineRule="auto"/>
              <w:rPr>
                <w:color w:val="000000" w:themeColor="text1"/>
                <w:sz w:val="18"/>
                <w:szCs w:val="18"/>
                <w:lang w:eastAsia="sv-SE"/>
              </w:rPr>
            </w:pPr>
            <w:r w:rsidRPr="00B65D57">
              <w:rPr>
                <w:rFonts w:cs="Calibri"/>
                <w:color w:val="000000" w:themeColor="text1"/>
                <w:sz w:val="18"/>
                <w:szCs w:val="18"/>
                <w:lang w:eastAsia="sv-SE"/>
              </w:rPr>
              <w:t>1-4 hours</w:t>
            </w:r>
          </w:p>
          <w:p w14:paraId="5A0B3053" w14:textId="77777777" w:rsidR="00217978" w:rsidRPr="00B65D57" w:rsidRDefault="00217978" w:rsidP="00760DCC">
            <w:pPr>
              <w:rPr>
                <w:color w:val="000000"/>
                <w:sz w:val="18"/>
                <w:szCs w:val="18"/>
                <w:lang w:eastAsia="sv-SE"/>
              </w:rPr>
            </w:pPr>
          </w:p>
        </w:tc>
        <w:tc>
          <w:tcPr>
            <w:tcW w:w="4820" w:type="dxa"/>
            <w:tcBorders>
              <w:top w:val="nil"/>
              <w:left w:val="nil"/>
              <w:bottom w:val="single" w:sz="4" w:space="0" w:color="auto"/>
              <w:right w:val="single" w:sz="4" w:space="0" w:color="auto"/>
            </w:tcBorders>
            <w:shd w:val="clear" w:color="auto" w:fill="auto"/>
            <w:hideMark/>
          </w:tcPr>
          <w:p w14:paraId="7A49C321" w14:textId="77777777" w:rsidR="00217978" w:rsidRPr="00B65D57" w:rsidRDefault="00217978" w:rsidP="00760DCC">
            <w:pPr>
              <w:rPr>
                <w:rFonts w:cs="Calibri"/>
                <w:color w:val="000000"/>
                <w:sz w:val="18"/>
                <w:szCs w:val="18"/>
                <w:lang w:eastAsia="sv-SE"/>
              </w:rPr>
            </w:pPr>
            <w:r w:rsidRPr="00B65D57">
              <w:rPr>
                <w:rFonts w:cs="Calibri"/>
                <w:color w:val="000000" w:themeColor="text1"/>
                <w:sz w:val="18"/>
                <w:szCs w:val="18"/>
                <w:lang w:eastAsia="sv-SE"/>
              </w:rPr>
              <w:t xml:space="preserve">Same as scenario 4: </w:t>
            </w:r>
            <w:r w:rsidRPr="00B65D57">
              <w:rPr>
                <w:rFonts w:cs="Calibri"/>
                <w:b/>
                <w:color w:val="000000" w:themeColor="text1"/>
                <w:sz w:val="18"/>
                <w:szCs w:val="18"/>
                <w:lang w:eastAsia="sv-SE"/>
              </w:rPr>
              <w:t>1.</w:t>
            </w:r>
            <w:r w:rsidRPr="00B65D57">
              <w:rPr>
                <w:rFonts w:cs="Calibri"/>
                <w:b/>
                <w:bCs/>
                <w:color w:val="000000" w:themeColor="text1"/>
                <w:sz w:val="18"/>
                <w:szCs w:val="18"/>
                <w:lang w:eastAsia="sv-SE"/>
              </w:rPr>
              <w:t>56%</w:t>
            </w:r>
            <w:r w:rsidRPr="00B65D57">
              <w:rPr>
                <w:rFonts w:cs="Calibri"/>
                <w:b/>
                <w:color w:val="000000" w:themeColor="text1"/>
                <w:sz w:val="18"/>
                <w:szCs w:val="18"/>
                <w:lang w:eastAsia="sv-SE"/>
              </w:rPr>
              <w:t xml:space="preserve"> boron equivalents</w:t>
            </w:r>
          </w:p>
        </w:tc>
      </w:tr>
    </w:tbl>
    <w:p w14:paraId="101891F8" w14:textId="77777777" w:rsidR="00217978" w:rsidRPr="00B65D57" w:rsidRDefault="00217978" w:rsidP="00217978">
      <w:pPr>
        <w:pStyle w:val="Liststycke"/>
        <w:spacing w:line="257" w:lineRule="auto"/>
        <w:rPr>
          <w:rFonts w:eastAsia="Verdana" w:cs="Verdana"/>
          <w:color w:val="000000" w:themeColor="text1"/>
          <w:sz w:val="18"/>
          <w:szCs w:val="18"/>
        </w:rPr>
      </w:pPr>
      <w:r w:rsidRPr="00B65D57">
        <w:rPr>
          <w:rFonts w:eastAsia="Verdana" w:cs="Verdana"/>
          <w:color w:val="000000" w:themeColor="text1"/>
          <w:sz w:val="18"/>
          <w:szCs w:val="18"/>
        </w:rPr>
        <w:t>*No calculations for scenario 9 (maintenance/repair) have been performed as the exposure is covered by scenario 7 and 8.</w:t>
      </w:r>
    </w:p>
    <w:p w14:paraId="78580C60" w14:textId="77777777" w:rsidR="00BD4323" w:rsidRPr="00B65D57" w:rsidRDefault="00BD4323" w:rsidP="00BD4323">
      <w:pPr>
        <w:spacing w:line="260" w:lineRule="atLeast"/>
        <w:rPr>
          <w:rFonts w:eastAsia="Calibri"/>
          <w:b/>
          <w:bCs/>
          <w:lang w:eastAsia="en-US"/>
        </w:rPr>
      </w:pPr>
    </w:p>
    <w:bookmarkEnd w:id="1567"/>
    <w:p w14:paraId="1A9605F3" w14:textId="77777777" w:rsidR="00217978" w:rsidRPr="00B65D57" w:rsidRDefault="00217978" w:rsidP="00217978">
      <w:pPr>
        <w:rPr>
          <w:rFonts w:eastAsia="Calibri"/>
          <w:b/>
          <w:bCs/>
          <w:iCs/>
          <w:sz w:val="22"/>
          <w:szCs w:val="22"/>
          <w:lang w:eastAsia="en-US"/>
        </w:rPr>
      </w:pPr>
      <w:r w:rsidRPr="00B65D57">
        <w:rPr>
          <w:rFonts w:eastAsia="Calibri"/>
          <w:b/>
          <w:bCs/>
          <w:iCs/>
          <w:sz w:val="22"/>
          <w:szCs w:val="22"/>
          <w:lang w:eastAsia="en-US"/>
        </w:rPr>
        <w:t>Calculations for Scenario [1-9]</w:t>
      </w:r>
    </w:p>
    <w:p w14:paraId="086F07A2" w14:textId="77777777" w:rsidR="00217978" w:rsidRPr="00B65D57" w:rsidRDefault="00217978" w:rsidP="00217978">
      <w:pPr>
        <w:rPr>
          <w:rFonts w:eastAsia="Calibri"/>
          <w:bCs/>
          <w:lang w:eastAsia="en-US"/>
        </w:rPr>
      </w:pPr>
      <w:r w:rsidRPr="00B65D57">
        <w:rPr>
          <w:rFonts w:eastAsia="Calibri"/>
          <w:bCs/>
          <w:lang w:eastAsia="en-US"/>
        </w:rPr>
        <w:t xml:space="preserve">For the calculations of the exposures see Appendix 3.3. Ecetoc TRA calculations professionals. </w:t>
      </w:r>
    </w:p>
    <w:p w14:paraId="268488DA" w14:textId="77777777" w:rsidR="00217978" w:rsidRPr="00B65D57" w:rsidRDefault="00217978" w:rsidP="00217978"/>
    <w:tbl>
      <w:tblPr>
        <w:tblW w:w="9498" w:type="dxa"/>
        <w:tblInd w:w="-577" w:type="dxa"/>
        <w:tblLayout w:type="fixed"/>
        <w:tblCellMar>
          <w:left w:w="70" w:type="dxa"/>
          <w:right w:w="70" w:type="dxa"/>
        </w:tblCellMar>
        <w:tblLook w:val="04A0" w:firstRow="1" w:lastRow="0" w:firstColumn="1" w:lastColumn="0" w:noHBand="0" w:noVBand="1"/>
      </w:tblPr>
      <w:tblGrid>
        <w:gridCol w:w="1133"/>
        <w:gridCol w:w="1561"/>
        <w:gridCol w:w="1701"/>
        <w:gridCol w:w="1701"/>
        <w:gridCol w:w="1701"/>
        <w:gridCol w:w="1701"/>
      </w:tblGrid>
      <w:tr w:rsidR="00217978" w:rsidRPr="00B65D57" w14:paraId="7723AEBF" w14:textId="77777777" w:rsidTr="00760DCC">
        <w:trPr>
          <w:trHeight w:val="1845"/>
        </w:trPr>
        <w:tc>
          <w:tcPr>
            <w:tcW w:w="1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82D31C" w14:textId="77777777" w:rsidR="00217978" w:rsidRPr="00B65D57" w:rsidRDefault="00217978" w:rsidP="00760DCC">
            <w:pPr>
              <w:rPr>
                <w:sz w:val="16"/>
                <w:szCs w:val="16"/>
              </w:rPr>
            </w:pPr>
            <w:r w:rsidRPr="00B65D57">
              <w:rPr>
                <w:rFonts w:eastAsia="Verdana" w:cs="Verdana"/>
                <w:b/>
                <w:bCs/>
                <w:color w:val="000000" w:themeColor="text1"/>
                <w:sz w:val="16"/>
                <w:szCs w:val="16"/>
              </w:rPr>
              <w:t>Exposure scenario</w:t>
            </w:r>
            <w:r w:rsidRPr="00B65D57">
              <w:rPr>
                <w:rFonts w:eastAsia="Verdana" w:cs="Verdana"/>
                <w:color w:val="000000" w:themeColor="text1"/>
                <w:sz w:val="16"/>
                <w:szCs w:val="16"/>
              </w:rPr>
              <w:t xml:space="preserve"> </w:t>
            </w:r>
          </w:p>
        </w:tc>
        <w:tc>
          <w:tcPr>
            <w:tcW w:w="1561" w:type="dxa"/>
            <w:tcBorders>
              <w:top w:val="nil"/>
              <w:left w:val="single" w:sz="8" w:space="0" w:color="auto"/>
              <w:bottom w:val="single" w:sz="8" w:space="0" w:color="auto"/>
              <w:right w:val="single" w:sz="8" w:space="0" w:color="auto"/>
            </w:tcBorders>
            <w:shd w:val="clear" w:color="auto" w:fill="D9D9D9" w:themeFill="background1" w:themeFillShade="D9"/>
          </w:tcPr>
          <w:p w14:paraId="46E9B0B0" w14:textId="77777777" w:rsidR="00217978" w:rsidRPr="00B65D57" w:rsidRDefault="00217978" w:rsidP="00760DCC">
            <w:pPr>
              <w:rPr>
                <w:sz w:val="16"/>
                <w:szCs w:val="16"/>
              </w:rPr>
            </w:pPr>
            <w:r w:rsidRPr="00B65D57">
              <w:rPr>
                <w:rFonts w:eastAsia="Verdana" w:cs="Verdana"/>
                <w:b/>
                <w:bCs/>
                <w:color w:val="000000" w:themeColor="text1"/>
                <w:sz w:val="16"/>
                <w:szCs w:val="16"/>
              </w:rPr>
              <w:t>Tier/PPE</w:t>
            </w:r>
            <w:r w:rsidRPr="00B65D57">
              <w:rPr>
                <w:rFonts w:eastAsia="Verdana" w:cs="Verdana"/>
                <w:color w:val="000000" w:themeColor="text1"/>
                <w:sz w:val="16"/>
                <w:szCs w:val="16"/>
              </w:rPr>
              <w:t xml:space="preserve"> </w:t>
            </w: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tcPr>
          <w:p w14:paraId="0E2C2FC6" w14:textId="77777777" w:rsidR="00217978" w:rsidRPr="00B65D57" w:rsidRDefault="00217978" w:rsidP="00760DCC">
            <w:pPr>
              <w:rPr>
                <w:sz w:val="16"/>
                <w:szCs w:val="16"/>
              </w:rPr>
            </w:pPr>
            <w:r w:rsidRPr="00B65D57">
              <w:rPr>
                <w:rFonts w:eastAsia="Verdana" w:cs="Verdana"/>
                <w:b/>
                <w:bCs/>
                <w:color w:val="000000" w:themeColor="text1"/>
                <w:sz w:val="16"/>
                <w:szCs w:val="16"/>
              </w:rPr>
              <w:t xml:space="preserve">Estimatedlong-term inhalation uptake (mg/m3) </w:t>
            </w:r>
            <w:r w:rsidRPr="00B65D57">
              <w:rPr>
                <w:rFonts w:eastAsia="Verdana" w:cs="Verdana"/>
                <w:color w:val="000000" w:themeColor="text1"/>
                <w:sz w:val="16"/>
                <w:szCs w:val="16"/>
              </w:rPr>
              <w:t xml:space="preserve"> </w:t>
            </w: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tcPr>
          <w:p w14:paraId="50317E9E" w14:textId="77777777" w:rsidR="00217978" w:rsidRPr="00B65D57" w:rsidRDefault="00217978" w:rsidP="00760DCC">
            <w:pPr>
              <w:rPr>
                <w:sz w:val="16"/>
                <w:szCs w:val="16"/>
              </w:rPr>
            </w:pPr>
            <w:r w:rsidRPr="00B65D57">
              <w:rPr>
                <w:rFonts w:eastAsia="Verdana" w:cs="Verdana"/>
                <w:b/>
                <w:bCs/>
                <w:color w:val="000000" w:themeColor="text1"/>
                <w:sz w:val="16"/>
                <w:szCs w:val="16"/>
              </w:rPr>
              <w:t>Estimated long-term inhalation  uptake (mg/kg/</w:t>
            </w:r>
            <w:r w:rsidRPr="00B65D57">
              <w:rPr>
                <w:rFonts w:eastAsia="Verdana" w:cs="Verdana"/>
                <w:b/>
                <w:bCs/>
                <w:color w:val="000000" w:themeColor="text1"/>
                <w:sz w:val="16"/>
                <w:szCs w:val="16"/>
              </w:rPr>
              <w:br/>
              <w:t xml:space="preserve">day)* </w:t>
            </w:r>
            <w:r w:rsidRPr="00B65D57">
              <w:rPr>
                <w:rFonts w:eastAsia="Verdana" w:cs="Verdana"/>
                <w:color w:val="000000" w:themeColor="text1"/>
                <w:sz w:val="16"/>
                <w:szCs w:val="16"/>
              </w:rPr>
              <w:t xml:space="preserve"> </w:t>
            </w: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tcPr>
          <w:p w14:paraId="15D35C60" w14:textId="77777777" w:rsidR="00217978" w:rsidRPr="00B65D57" w:rsidRDefault="00217978" w:rsidP="00760DCC">
            <w:pPr>
              <w:rPr>
                <w:rFonts w:eastAsia="Verdana" w:cs="Verdana"/>
                <w:color w:val="000000" w:themeColor="text1"/>
                <w:sz w:val="16"/>
                <w:szCs w:val="16"/>
              </w:rPr>
            </w:pPr>
            <w:r w:rsidRPr="00B65D57">
              <w:rPr>
                <w:rFonts w:eastAsia="Verdana" w:cs="Verdana"/>
                <w:b/>
                <w:bCs/>
                <w:color w:val="000000" w:themeColor="text1"/>
                <w:sz w:val="16"/>
                <w:szCs w:val="16"/>
              </w:rPr>
              <w:t xml:space="preserve">Estimated long-term dermal  uptake(mg/kg/day) </w:t>
            </w:r>
            <w:r w:rsidRPr="00B65D57">
              <w:rPr>
                <w:rFonts w:eastAsia="Verdana" w:cs="Verdana"/>
                <w:color w:val="000000" w:themeColor="text1"/>
                <w:sz w:val="16"/>
                <w:szCs w:val="16"/>
              </w:rPr>
              <w:t xml:space="preserve"> </w:t>
            </w:r>
          </w:p>
          <w:p w14:paraId="688B94B5" w14:textId="77777777" w:rsidR="00217978" w:rsidRPr="00B65D57" w:rsidRDefault="00217978" w:rsidP="00760DCC">
            <w:pPr>
              <w:rPr>
                <w:sz w:val="16"/>
                <w:szCs w:val="16"/>
              </w:rPr>
            </w:pPr>
            <w:r w:rsidRPr="00B65D57">
              <w:rPr>
                <w:rFonts w:eastAsia="Verdana" w:cs="Verdana"/>
                <w:color w:val="000000" w:themeColor="text1"/>
                <w:sz w:val="16"/>
                <w:szCs w:val="16"/>
              </w:rPr>
              <w:t>**</w:t>
            </w: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tcPr>
          <w:p w14:paraId="4DD4C8AF" w14:textId="77777777" w:rsidR="00217978" w:rsidRPr="00B65D57" w:rsidRDefault="00217978" w:rsidP="00760DCC">
            <w:pPr>
              <w:rPr>
                <w:sz w:val="16"/>
                <w:szCs w:val="16"/>
              </w:rPr>
            </w:pPr>
            <w:r w:rsidRPr="00B65D57">
              <w:rPr>
                <w:rFonts w:eastAsia="Verdana" w:cs="Verdana"/>
                <w:b/>
                <w:bCs/>
                <w:color w:val="000000" w:themeColor="text1"/>
                <w:sz w:val="16"/>
                <w:szCs w:val="16"/>
              </w:rPr>
              <w:t>Estimated total systemic long-term uptake (Dermal &amp; Inhalation Exposure) (mg/kg/day)</w:t>
            </w:r>
            <w:r w:rsidRPr="00B65D57">
              <w:rPr>
                <w:rFonts w:eastAsia="Verdana" w:cs="Verdana"/>
                <w:color w:val="000000" w:themeColor="text1"/>
                <w:sz w:val="16"/>
                <w:szCs w:val="16"/>
              </w:rPr>
              <w:t xml:space="preserve"> </w:t>
            </w:r>
          </w:p>
        </w:tc>
      </w:tr>
      <w:tr w:rsidR="00217978" w:rsidRPr="00B65D57" w14:paraId="10C15E15" w14:textId="77777777" w:rsidTr="00760DCC">
        <w:trPr>
          <w:trHeight w:val="1965"/>
        </w:trPr>
        <w:tc>
          <w:tcPr>
            <w:tcW w:w="1133" w:type="dxa"/>
            <w:tcBorders>
              <w:top w:val="single" w:sz="8" w:space="0" w:color="auto"/>
              <w:left w:val="single" w:sz="8" w:space="0" w:color="auto"/>
              <w:bottom w:val="single" w:sz="8" w:space="0" w:color="auto"/>
              <w:right w:val="single" w:sz="8" w:space="0" w:color="auto"/>
            </w:tcBorders>
          </w:tcPr>
          <w:p w14:paraId="2EF3D909" w14:textId="77777777" w:rsidR="00217978" w:rsidRPr="00B65D57" w:rsidRDefault="00217978" w:rsidP="00760DCC">
            <w:r w:rsidRPr="00B65D57">
              <w:rPr>
                <w:rFonts w:eastAsia="Verdana" w:cs="Verdana"/>
                <w:color w:val="000000" w:themeColor="text1"/>
                <w:sz w:val="18"/>
                <w:szCs w:val="18"/>
              </w:rPr>
              <w:t xml:space="preserve">1 a-d Production  </w:t>
            </w:r>
          </w:p>
        </w:tc>
        <w:tc>
          <w:tcPr>
            <w:tcW w:w="1561" w:type="dxa"/>
            <w:tcBorders>
              <w:top w:val="single" w:sz="8" w:space="0" w:color="auto"/>
              <w:left w:val="single" w:sz="8" w:space="0" w:color="auto"/>
              <w:bottom w:val="single" w:sz="8" w:space="0" w:color="auto"/>
              <w:right w:val="single" w:sz="8" w:space="0" w:color="auto"/>
            </w:tcBorders>
          </w:tcPr>
          <w:p w14:paraId="5BDA0DA7" w14:textId="77777777" w:rsidR="00217978" w:rsidRPr="00B65D57" w:rsidRDefault="00217978" w:rsidP="00760DCC">
            <w:r w:rsidRPr="00B65D57">
              <w:rPr>
                <w:rFonts w:eastAsia="Verdana" w:cs="Verdana"/>
                <w:color w:val="000000" w:themeColor="text1"/>
                <w:sz w:val="18"/>
                <w:szCs w:val="18"/>
              </w:rPr>
              <w:t>LEV efficiency [%]: 80, Respiratory mask with particle filter P3, protective clothing and protective gloves of nitrile rubber, Protective goggles</w:t>
            </w:r>
          </w:p>
        </w:tc>
        <w:tc>
          <w:tcPr>
            <w:tcW w:w="1701" w:type="dxa"/>
            <w:tcBorders>
              <w:top w:val="single" w:sz="8" w:space="0" w:color="auto"/>
              <w:left w:val="single" w:sz="8" w:space="0" w:color="auto"/>
              <w:bottom w:val="single" w:sz="8" w:space="0" w:color="auto"/>
              <w:right w:val="single" w:sz="8" w:space="0" w:color="auto"/>
            </w:tcBorders>
          </w:tcPr>
          <w:p w14:paraId="574AA246" w14:textId="77777777" w:rsidR="00217978" w:rsidRPr="00B65D57" w:rsidRDefault="00217978" w:rsidP="00760DCC">
            <w:r w:rsidRPr="00B65D57">
              <w:rPr>
                <w:rFonts w:eastAsia="Verdana" w:cs="Verdana"/>
                <w:color w:val="000000" w:themeColor="text1"/>
                <w:sz w:val="18"/>
                <w:szCs w:val="18"/>
              </w:rPr>
              <w:t xml:space="preserve">0.0072    </w:t>
            </w:r>
          </w:p>
        </w:tc>
        <w:tc>
          <w:tcPr>
            <w:tcW w:w="1701" w:type="dxa"/>
            <w:tcBorders>
              <w:top w:val="single" w:sz="8" w:space="0" w:color="auto"/>
              <w:left w:val="single" w:sz="8" w:space="0" w:color="auto"/>
              <w:bottom w:val="single" w:sz="8" w:space="0" w:color="auto"/>
              <w:right w:val="single" w:sz="8" w:space="0" w:color="auto"/>
            </w:tcBorders>
          </w:tcPr>
          <w:p w14:paraId="654032C4" w14:textId="77777777" w:rsidR="00217978" w:rsidRPr="00B65D57" w:rsidRDefault="00217978" w:rsidP="00760DCC">
            <w:r w:rsidRPr="00B65D57">
              <w:rPr>
                <w:rFonts w:eastAsia="Verdana" w:cs="Verdana"/>
                <w:sz w:val="18"/>
                <w:szCs w:val="18"/>
              </w:rPr>
              <w:t>0.0006 (4h)</w:t>
            </w:r>
          </w:p>
        </w:tc>
        <w:tc>
          <w:tcPr>
            <w:tcW w:w="1701" w:type="dxa"/>
            <w:tcBorders>
              <w:top w:val="single" w:sz="8" w:space="0" w:color="auto"/>
              <w:left w:val="single" w:sz="8" w:space="0" w:color="auto"/>
              <w:bottom w:val="single" w:sz="8" w:space="0" w:color="auto"/>
              <w:right w:val="single" w:sz="8" w:space="0" w:color="auto"/>
            </w:tcBorders>
          </w:tcPr>
          <w:p w14:paraId="6AE87326" w14:textId="77777777" w:rsidR="00217978" w:rsidRPr="00B65D57" w:rsidRDefault="00217978" w:rsidP="00760DCC">
            <w:r w:rsidRPr="00B65D57">
              <w:rPr>
                <w:rFonts w:eastAsia="Verdana" w:cs="Verdana"/>
                <w:color w:val="000000" w:themeColor="text1"/>
                <w:sz w:val="18"/>
                <w:szCs w:val="18"/>
              </w:rPr>
              <w:t>0.0494</w:t>
            </w:r>
          </w:p>
        </w:tc>
        <w:tc>
          <w:tcPr>
            <w:tcW w:w="1701" w:type="dxa"/>
            <w:tcBorders>
              <w:top w:val="single" w:sz="8" w:space="0" w:color="auto"/>
              <w:left w:val="single" w:sz="8" w:space="0" w:color="auto"/>
              <w:bottom w:val="single" w:sz="8" w:space="0" w:color="auto"/>
              <w:right w:val="single" w:sz="8" w:space="0" w:color="auto"/>
            </w:tcBorders>
          </w:tcPr>
          <w:p w14:paraId="729672DC" w14:textId="77777777" w:rsidR="00217978" w:rsidRPr="00B65D57" w:rsidRDefault="00217978" w:rsidP="00760DCC">
            <w:r w:rsidRPr="00B65D57">
              <w:rPr>
                <w:rFonts w:eastAsia="Verdana" w:cs="Verdana"/>
                <w:color w:val="000000" w:themeColor="text1"/>
                <w:sz w:val="18"/>
                <w:szCs w:val="18"/>
              </w:rPr>
              <w:t>0.05</w:t>
            </w:r>
          </w:p>
        </w:tc>
      </w:tr>
      <w:tr w:rsidR="00217978" w:rsidRPr="00B65D57" w14:paraId="3CDB6057" w14:textId="77777777" w:rsidTr="00760DCC">
        <w:trPr>
          <w:trHeight w:val="1965"/>
        </w:trPr>
        <w:tc>
          <w:tcPr>
            <w:tcW w:w="1133" w:type="dxa"/>
            <w:tcBorders>
              <w:top w:val="single" w:sz="8" w:space="0" w:color="auto"/>
              <w:left w:val="single" w:sz="8" w:space="0" w:color="auto"/>
              <w:bottom w:val="single" w:sz="8" w:space="0" w:color="auto"/>
              <w:right w:val="single" w:sz="8" w:space="0" w:color="auto"/>
            </w:tcBorders>
          </w:tcPr>
          <w:p w14:paraId="6542FE5A" w14:textId="77777777" w:rsidR="00217978" w:rsidRPr="00B65D57" w:rsidRDefault="00217978" w:rsidP="00760DCC">
            <w:r w:rsidRPr="00B65D57">
              <w:rPr>
                <w:rFonts w:eastAsia="Verdana" w:cs="Verdana"/>
                <w:color w:val="000000" w:themeColor="text1"/>
                <w:sz w:val="18"/>
                <w:szCs w:val="18"/>
              </w:rPr>
              <w:t xml:space="preserve">2.1 a-b Transfer to mixing tank </w:t>
            </w:r>
          </w:p>
        </w:tc>
        <w:tc>
          <w:tcPr>
            <w:tcW w:w="1561" w:type="dxa"/>
            <w:tcBorders>
              <w:top w:val="single" w:sz="8" w:space="0" w:color="auto"/>
              <w:left w:val="single" w:sz="8" w:space="0" w:color="auto"/>
              <w:bottom w:val="single" w:sz="8" w:space="0" w:color="auto"/>
              <w:right w:val="single" w:sz="8" w:space="0" w:color="auto"/>
            </w:tcBorders>
            <w:vAlign w:val="center"/>
          </w:tcPr>
          <w:p w14:paraId="5624C1C6" w14:textId="77777777" w:rsidR="00217978" w:rsidRPr="00B65D57" w:rsidRDefault="00217978" w:rsidP="00760DCC">
            <w:r w:rsidRPr="00B65D57">
              <w:rPr>
                <w:rFonts w:eastAsia="Verdana" w:cs="Verdana"/>
                <w:color w:val="000000" w:themeColor="text1"/>
                <w:sz w:val="18"/>
                <w:szCs w:val="18"/>
              </w:rPr>
              <w:t>Respiratory mask with particle filter P3, protective clothing, protective gloves of nitrile rubber, Protective goggles</w:t>
            </w:r>
          </w:p>
        </w:tc>
        <w:tc>
          <w:tcPr>
            <w:tcW w:w="1701" w:type="dxa"/>
            <w:tcBorders>
              <w:top w:val="single" w:sz="8" w:space="0" w:color="auto"/>
              <w:left w:val="single" w:sz="8" w:space="0" w:color="auto"/>
              <w:bottom w:val="single" w:sz="8" w:space="0" w:color="auto"/>
              <w:right w:val="single" w:sz="8" w:space="0" w:color="auto"/>
            </w:tcBorders>
          </w:tcPr>
          <w:p w14:paraId="5B2AA52A" w14:textId="77777777" w:rsidR="00217978" w:rsidRPr="00B65D57" w:rsidRDefault="00217978" w:rsidP="00760DCC">
            <w:r w:rsidRPr="00B65D57">
              <w:rPr>
                <w:rFonts w:eastAsia="Verdana" w:cs="Verdana"/>
                <w:color w:val="000000" w:themeColor="text1"/>
                <w:sz w:val="18"/>
                <w:szCs w:val="18"/>
              </w:rPr>
              <w:t>0.003</w:t>
            </w:r>
          </w:p>
        </w:tc>
        <w:tc>
          <w:tcPr>
            <w:tcW w:w="1701" w:type="dxa"/>
            <w:tcBorders>
              <w:top w:val="single" w:sz="8" w:space="0" w:color="auto"/>
              <w:left w:val="single" w:sz="8" w:space="0" w:color="auto"/>
              <w:bottom w:val="single" w:sz="8" w:space="0" w:color="auto"/>
              <w:right w:val="single" w:sz="8" w:space="0" w:color="auto"/>
            </w:tcBorders>
          </w:tcPr>
          <w:p w14:paraId="0E0F2D1A" w14:textId="77777777" w:rsidR="00217978" w:rsidRPr="00B65D57" w:rsidRDefault="00217978" w:rsidP="00760DCC">
            <w:r w:rsidRPr="00B65D57">
              <w:rPr>
                <w:rFonts w:eastAsia="Verdana" w:cs="Verdana"/>
                <w:sz w:val="18"/>
                <w:szCs w:val="18"/>
              </w:rPr>
              <w:t>0.00002 (15 min)</w:t>
            </w:r>
          </w:p>
        </w:tc>
        <w:tc>
          <w:tcPr>
            <w:tcW w:w="1701" w:type="dxa"/>
            <w:tcBorders>
              <w:top w:val="single" w:sz="8" w:space="0" w:color="auto"/>
              <w:left w:val="single" w:sz="8" w:space="0" w:color="auto"/>
              <w:bottom w:val="single" w:sz="8" w:space="0" w:color="auto"/>
              <w:right w:val="single" w:sz="8" w:space="0" w:color="auto"/>
            </w:tcBorders>
          </w:tcPr>
          <w:p w14:paraId="7742070C" w14:textId="77777777" w:rsidR="00217978" w:rsidRPr="00B65D57" w:rsidRDefault="00217978" w:rsidP="00760DCC">
            <w:r w:rsidRPr="00B65D57">
              <w:rPr>
                <w:rFonts w:eastAsia="Verdana" w:cs="Verdana"/>
                <w:color w:val="000000" w:themeColor="text1"/>
                <w:sz w:val="18"/>
                <w:szCs w:val="18"/>
              </w:rPr>
              <w:t>0.0082</w:t>
            </w:r>
          </w:p>
        </w:tc>
        <w:tc>
          <w:tcPr>
            <w:tcW w:w="1701" w:type="dxa"/>
            <w:tcBorders>
              <w:top w:val="single" w:sz="8" w:space="0" w:color="auto"/>
              <w:left w:val="single" w:sz="8" w:space="0" w:color="auto"/>
              <w:bottom w:val="single" w:sz="8" w:space="0" w:color="auto"/>
              <w:right w:val="single" w:sz="8" w:space="0" w:color="auto"/>
            </w:tcBorders>
          </w:tcPr>
          <w:p w14:paraId="3B1557F0" w14:textId="77777777" w:rsidR="00217978" w:rsidRPr="00B65D57" w:rsidRDefault="00217978" w:rsidP="00760DCC">
            <w:r w:rsidRPr="00B65D57">
              <w:rPr>
                <w:rFonts w:eastAsia="Verdana" w:cs="Verdana"/>
                <w:color w:val="000000" w:themeColor="text1"/>
                <w:sz w:val="18"/>
                <w:szCs w:val="18"/>
              </w:rPr>
              <w:t>0.0082</w:t>
            </w:r>
          </w:p>
        </w:tc>
      </w:tr>
      <w:tr w:rsidR="00217978" w:rsidRPr="00B65D57" w14:paraId="7338D30C" w14:textId="77777777" w:rsidTr="00760DCC">
        <w:trPr>
          <w:trHeight w:val="1575"/>
        </w:trPr>
        <w:tc>
          <w:tcPr>
            <w:tcW w:w="1133" w:type="dxa"/>
            <w:tcBorders>
              <w:top w:val="single" w:sz="8" w:space="0" w:color="auto"/>
              <w:left w:val="single" w:sz="8" w:space="0" w:color="auto"/>
              <w:bottom w:val="single" w:sz="8" w:space="0" w:color="auto"/>
              <w:right w:val="single" w:sz="8" w:space="0" w:color="auto"/>
            </w:tcBorders>
          </w:tcPr>
          <w:p w14:paraId="470BAE64" w14:textId="77777777" w:rsidR="00217978" w:rsidRPr="00B65D57" w:rsidRDefault="00217978" w:rsidP="00760DCC">
            <w:r w:rsidRPr="00B65D57">
              <w:rPr>
                <w:rFonts w:eastAsia="Verdana" w:cs="Verdana"/>
                <w:color w:val="000000" w:themeColor="text1"/>
                <w:sz w:val="18"/>
                <w:szCs w:val="18"/>
              </w:rPr>
              <w:t xml:space="preserve">2.2 a-b Mixing tank </w:t>
            </w:r>
          </w:p>
        </w:tc>
        <w:tc>
          <w:tcPr>
            <w:tcW w:w="1561" w:type="dxa"/>
            <w:tcBorders>
              <w:top w:val="single" w:sz="8" w:space="0" w:color="auto"/>
              <w:left w:val="single" w:sz="8" w:space="0" w:color="auto"/>
              <w:bottom w:val="single" w:sz="8" w:space="0" w:color="auto"/>
              <w:right w:val="single" w:sz="8" w:space="0" w:color="auto"/>
            </w:tcBorders>
            <w:vAlign w:val="center"/>
          </w:tcPr>
          <w:p w14:paraId="262E026E" w14:textId="77777777" w:rsidR="00217978" w:rsidRPr="00B65D57" w:rsidRDefault="00217978" w:rsidP="00760DCC">
            <w:r w:rsidRPr="00B65D57">
              <w:rPr>
                <w:rFonts w:eastAsia="Verdana" w:cs="Verdana"/>
                <w:color w:val="000000" w:themeColor="text1"/>
                <w:sz w:val="18"/>
                <w:szCs w:val="18"/>
              </w:rPr>
              <w:t>Respiratory mask with particle filter P3, protective clothing, protective gloves of nitrile rubber, Protective goggles</w:t>
            </w:r>
          </w:p>
        </w:tc>
        <w:tc>
          <w:tcPr>
            <w:tcW w:w="1701" w:type="dxa"/>
            <w:tcBorders>
              <w:top w:val="single" w:sz="8" w:space="0" w:color="auto"/>
              <w:left w:val="single" w:sz="8" w:space="0" w:color="auto"/>
              <w:bottom w:val="single" w:sz="8" w:space="0" w:color="auto"/>
              <w:right w:val="single" w:sz="8" w:space="0" w:color="auto"/>
            </w:tcBorders>
          </w:tcPr>
          <w:p w14:paraId="4E1FF01B" w14:textId="77777777" w:rsidR="00217978" w:rsidRPr="00B65D57" w:rsidRDefault="00217978" w:rsidP="00760DCC">
            <w:r w:rsidRPr="00B65D57">
              <w:rPr>
                <w:rFonts w:eastAsia="Verdana" w:cs="Verdana"/>
                <w:color w:val="000000" w:themeColor="text1"/>
                <w:sz w:val="18"/>
                <w:szCs w:val="18"/>
              </w:rPr>
              <w:t>0.00018</w:t>
            </w:r>
          </w:p>
        </w:tc>
        <w:tc>
          <w:tcPr>
            <w:tcW w:w="1701" w:type="dxa"/>
            <w:tcBorders>
              <w:top w:val="single" w:sz="8" w:space="0" w:color="auto"/>
              <w:left w:val="single" w:sz="8" w:space="0" w:color="auto"/>
              <w:bottom w:val="single" w:sz="8" w:space="0" w:color="auto"/>
              <w:right w:val="single" w:sz="8" w:space="0" w:color="auto"/>
            </w:tcBorders>
          </w:tcPr>
          <w:p w14:paraId="3A4B13DA" w14:textId="77777777" w:rsidR="00217978" w:rsidRPr="00B65D57" w:rsidRDefault="00217978" w:rsidP="00760DCC">
            <w:r w:rsidRPr="00B65D57">
              <w:rPr>
                <w:rFonts w:eastAsia="Verdana" w:cs="Verdana"/>
                <w:sz w:val="18"/>
                <w:szCs w:val="18"/>
              </w:rPr>
              <w:t>0.000004 (1 h)</w:t>
            </w:r>
          </w:p>
        </w:tc>
        <w:tc>
          <w:tcPr>
            <w:tcW w:w="1701" w:type="dxa"/>
            <w:tcBorders>
              <w:top w:val="single" w:sz="8" w:space="0" w:color="auto"/>
              <w:left w:val="single" w:sz="8" w:space="0" w:color="auto"/>
              <w:bottom w:val="single" w:sz="8" w:space="0" w:color="auto"/>
              <w:right w:val="single" w:sz="8" w:space="0" w:color="auto"/>
            </w:tcBorders>
          </w:tcPr>
          <w:p w14:paraId="6D455614" w14:textId="77777777" w:rsidR="00217978" w:rsidRPr="00B65D57" w:rsidRDefault="00217978" w:rsidP="00760DCC">
            <w:r w:rsidRPr="00B65D57">
              <w:rPr>
                <w:rFonts w:eastAsia="Verdana" w:cs="Verdana"/>
                <w:color w:val="000000" w:themeColor="text1"/>
                <w:sz w:val="18"/>
                <w:szCs w:val="18"/>
              </w:rPr>
              <w:t>0.0007</w:t>
            </w:r>
          </w:p>
        </w:tc>
        <w:tc>
          <w:tcPr>
            <w:tcW w:w="1701" w:type="dxa"/>
            <w:tcBorders>
              <w:top w:val="single" w:sz="8" w:space="0" w:color="auto"/>
              <w:left w:val="single" w:sz="8" w:space="0" w:color="auto"/>
              <w:bottom w:val="single" w:sz="8" w:space="0" w:color="auto"/>
              <w:right w:val="single" w:sz="8" w:space="0" w:color="auto"/>
            </w:tcBorders>
          </w:tcPr>
          <w:p w14:paraId="18042CD6" w14:textId="77777777" w:rsidR="00217978" w:rsidRPr="00B65D57" w:rsidRDefault="00217978" w:rsidP="00760DCC">
            <w:r w:rsidRPr="00B65D57">
              <w:rPr>
                <w:rFonts w:eastAsia="Verdana" w:cs="Verdana"/>
                <w:color w:val="000000" w:themeColor="text1"/>
                <w:sz w:val="18"/>
                <w:szCs w:val="18"/>
              </w:rPr>
              <w:t>0.0007</w:t>
            </w:r>
          </w:p>
        </w:tc>
      </w:tr>
      <w:tr w:rsidR="00217978" w:rsidRPr="00B65D57" w14:paraId="3463B31B" w14:textId="77777777" w:rsidTr="00760DCC">
        <w:trPr>
          <w:trHeight w:val="531"/>
        </w:trPr>
        <w:tc>
          <w:tcPr>
            <w:tcW w:w="1133" w:type="dxa"/>
            <w:tcBorders>
              <w:top w:val="single" w:sz="8" w:space="0" w:color="auto"/>
              <w:left w:val="single" w:sz="8" w:space="0" w:color="auto"/>
              <w:bottom w:val="single" w:sz="8" w:space="0" w:color="auto"/>
              <w:right w:val="single" w:sz="8" w:space="0" w:color="auto"/>
            </w:tcBorders>
          </w:tcPr>
          <w:p w14:paraId="6605743C" w14:textId="77777777" w:rsidR="00217978" w:rsidRPr="00B65D57" w:rsidRDefault="00217978" w:rsidP="00760DCC">
            <w:r w:rsidRPr="00B65D57">
              <w:rPr>
                <w:rFonts w:eastAsia="Verdana" w:cs="Verdana"/>
                <w:color w:val="000000" w:themeColor="text1"/>
                <w:sz w:val="18"/>
                <w:szCs w:val="18"/>
              </w:rPr>
              <w:t xml:space="preserve">3 a-b Transfer to mixing barrel </w:t>
            </w:r>
          </w:p>
        </w:tc>
        <w:tc>
          <w:tcPr>
            <w:tcW w:w="1561" w:type="dxa"/>
            <w:tcBorders>
              <w:top w:val="single" w:sz="8" w:space="0" w:color="auto"/>
              <w:left w:val="single" w:sz="8" w:space="0" w:color="auto"/>
              <w:bottom w:val="single" w:sz="8" w:space="0" w:color="auto"/>
              <w:right w:val="single" w:sz="8" w:space="0" w:color="auto"/>
            </w:tcBorders>
            <w:vAlign w:val="center"/>
          </w:tcPr>
          <w:p w14:paraId="7A490BD1" w14:textId="77777777" w:rsidR="00217978" w:rsidRPr="00B65D57" w:rsidRDefault="00217978" w:rsidP="00760DCC">
            <w:r w:rsidRPr="00B65D57">
              <w:rPr>
                <w:rFonts w:eastAsia="Verdana" w:cs="Verdana"/>
                <w:color w:val="000000" w:themeColor="text1"/>
                <w:sz w:val="18"/>
                <w:szCs w:val="18"/>
              </w:rPr>
              <w:t>Respiratory mask with particle filter P3, protective clothing, protective gloves of nitrile rubber, Protective goggles</w:t>
            </w:r>
          </w:p>
        </w:tc>
        <w:tc>
          <w:tcPr>
            <w:tcW w:w="1701" w:type="dxa"/>
            <w:tcBorders>
              <w:top w:val="single" w:sz="8" w:space="0" w:color="auto"/>
              <w:left w:val="single" w:sz="8" w:space="0" w:color="auto"/>
              <w:bottom w:val="single" w:sz="8" w:space="0" w:color="auto"/>
              <w:right w:val="single" w:sz="8" w:space="0" w:color="auto"/>
            </w:tcBorders>
          </w:tcPr>
          <w:p w14:paraId="5F5751F3" w14:textId="77777777" w:rsidR="00217978" w:rsidRPr="00B65D57" w:rsidRDefault="00217978" w:rsidP="00760DCC">
            <w:r w:rsidRPr="00B65D57">
              <w:rPr>
                <w:rFonts w:eastAsia="Verdana" w:cs="Verdana"/>
                <w:color w:val="000000" w:themeColor="text1"/>
                <w:sz w:val="18"/>
                <w:szCs w:val="18"/>
              </w:rPr>
              <w:t>0.00018</w:t>
            </w:r>
          </w:p>
        </w:tc>
        <w:tc>
          <w:tcPr>
            <w:tcW w:w="1701" w:type="dxa"/>
            <w:tcBorders>
              <w:top w:val="single" w:sz="8" w:space="0" w:color="auto"/>
              <w:left w:val="single" w:sz="8" w:space="0" w:color="auto"/>
              <w:bottom w:val="single" w:sz="8" w:space="0" w:color="auto"/>
              <w:right w:val="single" w:sz="8" w:space="0" w:color="auto"/>
            </w:tcBorders>
          </w:tcPr>
          <w:p w14:paraId="33EFCF63" w14:textId="77777777" w:rsidR="00217978" w:rsidRPr="00B65D57" w:rsidRDefault="00217978" w:rsidP="00760DCC">
            <w:r w:rsidRPr="00B65D57">
              <w:rPr>
                <w:rFonts w:eastAsia="Verdana" w:cs="Verdana"/>
                <w:sz w:val="18"/>
                <w:szCs w:val="18"/>
              </w:rPr>
              <w:t>0.000004 (1 h)</w:t>
            </w:r>
          </w:p>
        </w:tc>
        <w:tc>
          <w:tcPr>
            <w:tcW w:w="1701" w:type="dxa"/>
            <w:tcBorders>
              <w:top w:val="single" w:sz="8" w:space="0" w:color="auto"/>
              <w:left w:val="single" w:sz="8" w:space="0" w:color="auto"/>
              <w:bottom w:val="single" w:sz="8" w:space="0" w:color="auto"/>
              <w:right w:val="single" w:sz="8" w:space="0" w:color="auto"/>
            </w:tcBorders>
          </w:tcPr>
          <w:p w14:paraId="11F3E953" w14:textId="77777777" w:rsidR="00217978" w:rsidRPr="00B65D57" w:rsidRDefault="00217978" w:rsidP="00760DCC">
            <w:r w:rsidRPr="00B65D57">
              <w:rPr>
                <w:rFonts w:eastAsia="Verdana" w:cs="Verdana"/>
                <w:color w:val="000000" w:themeColor="text1"/>
                <w:sz w:val="18"/>
                <w:szCs w:val="18"/>
              </w:rPr>
              <w:t>0.0137</w:t>
            </w:r>
          </w:p>
        </w:tc>
        <w:tc>
          <w:tcPr>
            <w:tcW w:w="1701" w:type="dxa"/>
            <w:tcBorders>
              <w:top w:val="single" w:sz="8" w:space="0" w:color="auto"/>
              <w:left w:val="single" w:sz="8" w:space="0" w:color="auto"/>
              <w:bottom w:val="single" w:sz="8" w:space="0" w:color="auto"/>
              <w:right w:val="single" w:sz="8" w:space="0" w:color="auto"/>
            </w:tcBorders>
          </w:tcPr>
          <w:p w14:paraId="554ADF41" w14:textId="77777777" w:rsidR="00217978" w:rsidRPr="00B65D57" w:rsidRDefault="00217978" w:rsidP="00760DCC">
            <w:r w:rsidRPr="00B65D57">
              <w:rPr>
                <w:rFonts w:eastAsia="Verdana" w:cs="Verdana"/>
                <w:color w:val="000000" w:themeColor="text1"/>
                <w:sz w:val="18"/>
                <w:szCs w:val="18"/>
              </w:rPr>
              <w:t>0.0137</w:t>
            </w:r>
          </w:p>
        </w:tc>
      </w:tr>
      <w:tr w:rsidR="00217978" w:rsidRPr="00B65D57" w14:paraId="352C8F5D" w14:textId="77777777" w:rsidTr="00760DCC">
        <w:trPr>
          <w:trHeight w:val="1575"/>
        </w:trPr>
        <w:tc>
          <w:tcPr>
            <w:tcW w:w="1133" w:type="dxa"/>
            <w:tcBorders>
              <w:top w:val="single" w:sz="8" w:space="0" w:color="auto"/>
              <w:left w:val="single" w:sz="8" w:space="0" w:color="auto"/>
              <w:bottom w:val="single" w:sz="8" w:space="0" w:color="auto"/>
              <w:right w:val="single" w:sz="8" w:space="0" w:color="auto"/>
            </w:tcBorders>
          </w:tcPr>
          <w:p w14:paraId="6FDADB43" w14:textId="77777777" w:rsidR="00217978" w:rsidRPr="00B65D57" w:rsidRDefault="00217978" w:rsidP="00760DCC">
            <w:r w:rsidRPr="00B65D57">
              <w:rPr>
                <w:rFonts w:eastAsia="Verdana" w:cs="Verdana"/>
                <w:color w:val="000000" w:themeColor="text1"/>
                <w:sz w:val="18"/>
                <w:szCs w:val="18"/>
              </w:rPr>
              <w:t xml:space="preserve">4 a-b Mixing barrel </w:t>
            </w:r>
          </w:p>
        </w:tc>
        <w:tc>
          <w:tcPr>
            <w:tcW w:w="1561" w:type="dxa"/>
            <w:tcBorders>
              <w:top w:val="single" w:sz="8" w:space="0" w:color="auto"/>
              <w:left w:val="single" w:sz="8" w:space="0" w:color="auto"/>
              <w:bottom w:val="single" w:sz="8" w:space="0" w:color="auto"/>
              <w:right w:val="single" w:sz="8" w:space="0" w:color="auto"/>
            </w:tcBorders>
            <w:vAlign w:val="center"/>
          </w:tcPr>
          <w:p w14:paraId="3A1A8BFB" w14:textId="77777777" w:rsidR="00217978" w:rsidRPr="00B65D57" w:rsidRDefault="00217978" w:rsidP="00760DCC">
            <w:r w:rsidRPr="00B65D57">
              <w:rPr>
                <w:rFonts w:eastAsia="Verdana" w:cs="Verdana"/>
                <w:color w:val="000000" w:themeColor="text1"/>
                <w:sz w:val="18"/>
                <w:szCs w:val="18"/>
              </w:rPr>
              <w:t xml:space="preserve">Respiratory mask with particle filter P3, protective clothing, protective gloves of nitrile rubber, </w:t>
            </w:r>
            <w:r w:rsidRPr="00B65D57">
              <w:rPr>
                <w:rFonts w:eastAsia="Verdana" w:cs="Verdana"/>
                <w:color w:val="000000" w:themeColor="text1"/>
                <w:sz w:val="18"/>
                <w:szCs w:val="18"/>
              </w:rPr>
              <w:lastRenderedPageBreak/>
              <w:t>Protective goggles</w:t>
            </w:r>
          </w:p>
        </w:tc>
        <w:tc>
          <w:tcPr>
            <w:tcW w:w="1701" w:type="dxa"/>
            <w:tcBorders>
              <w:top w:val="single" w:sz="8" w:space="0" w:color="auto"/>
              <w:left w:val="single" w:sz="8" w:space="0" w:color="auto"/>
              <w:bottom w:val="single" w:sz="8" w:space="0" w:color="auto"/>
              <w:right w:val="single" w:sz="8" w:space="0" w:color="auto"/>
            </w:tcBorders>
          </w:tcPr>
          <w:p w14:paraId="2778F2BA" w14:textId="77777777" w:rsidR="00217978" w:rsidRPr="00B65D57" w:rsidRDefault="00217978" w:rsidP="00760DCC">
            <w:r w:rsidRPr="00B65D57">
              <w:rPr>
                <w:rFonts w:eastAsia="Verdana" w:cs="Verdana"/>
                <w:color w:val="000000" w:themeColor="text1"/>
                <w:sz w:val="18"/>
                <w:szCs w:val="18"/>
              </w:rPr>
              <w:lastRenderedPageBreak/>
              <w:t xml:space="preserve">0.00018 </w:t>
            </w:r>
          </w:p>
        </w:tc>
        <w:tc>
          <w:tcPr>
            <w:tcW w:w="1701" w:type="dxa"/>
            <w:tcBorders>
              <w:top w:val="single" w:sz="8" w:space="0" w:color="auto"/>
              <w:left w:val="single" w:sz="8" w:space="0" w:color="auto"/>
              <w:bottom w:val="single" w:sz="8" w:space="0" w:color="auto"/>
              <w:right w:val="single" w:sz="8" w:space="0" w:color="auto"/>
            </w:tcBorders>
          </w:tcPr>
          <w:p w14:paraId="66049B8A" w14:textId="77777777" w:rsidR="00217978" w:rsidRPr="00B65D57" w:rsidRDefault="00217978" w:rsidP="00760DCC">
            <w:r w:rsidRPr="00B65D57">
              <w:rPr>
                <w:rFonts w:eastAsia="Verdana" w:cs="Verdana"/>
                <w:sz w:val="18"/>
                <w:szCs w:val="18"/>
              </w:rPr>
              <w:t>0.000004 (1 h)</w:t>
            </w:r>
          </w:p>
        </w:tc>
        <w:tc>
          <w:tcPr>
            <w:tcW w:w="1701" w:type="dxa"/>
            <w:tcBorders>
              <w:top w:val="single" w:sz="8" w:space="0" w:color="auto"/>
              <w:left w:val="single" w:sz="8" w:space="0" w:color="auto"/>
              <w:bottom w:val="single" w:sz="8" w:space="0" w:color="auto"/>
              <w:right w:val="single" w:sz="8" w:space="0" w:color="auto"/>
            </w:tcBorders>
          </w:tcPr>
          <w:p w14:paraId="59CFF265" w14:textId="77777777" w:rsidR="00217978" w:rsidRPr="00B65D57" w:rsidRDefault="00217978" w:rsidP="00760DCC">
            <w:r w:rsidRPr="00B65D57">
              <w:rPr>
                <w:rFonts w:eastAsia="Verdana" w:cs="Verdana"/>
                <w:color w:val="000000" w:themeColor="text1"/>
                <w:sz w:val="18"/>
                <w:szCs w:val="18"/>
              </w:rPr>
              <w:t>0.0137</w:t>
            </w:r>
          </w:p>
        </w:tc>
        <w:tc>
          <w:tcPr>
            <w:tcW w:w="1701" w:type="dxa"/>
            <w:tcBorders>
              <w:top w:val="single" w:sz="8" w:space="0" w:color="auto"/>
              <w:left w:val="single" w:sz="8" w:space="0" w:color="auto"/>
              <w:bottom w:val="single" w:sz="8" w:space="0" w:color="auto"/>
              <w:right w:val="single" w:sz="8" w:space="0" w:color="auto"/>
            </w:tcBorders>
          </w:tcPr>
          <w:p w14:paraId="1992F0CC" w14:textId="77777777" w:rsidR="00217978" w:rsidRPr="00B65D57" w:rsidRDefault="00217978" w:rsidP="00760DCC">
            <w:r w:rsidRPr="00B65D57">
              <w:rPr>
                <w:rFonts w:eastAsia="Verdana" w:cs="Verdana"/>
                <w:color w:val="000000" w:themeColor="text1"/>
                <w:sz w:val="18"/>
                <w:szCs w:val="18"/>
              </w:rPr>
              <w:t>0.0137</w:t>
            </w:r>
          </w:p>
        </w:tc>
      </w:tr>
      <w:tr w:rsidR="00217978" w:rsidRPr="00B65D57" w14:paraId="0B35E427" w14:textId="77777777" w:rsidTr="00760DCC">
        <w:trPr>
          <w:trHeight w:val="1575"/>
        </w:trPr>
        <w:tc>
          <w:tcPr>
            <w:tcW w:w="1133" w:type="dxa"/>
            <w:tcBorders>
              <w:top w:val="single" w:sz="8" w:space="0" w:color="auto"/>
              <w:left w:val="single" w:sz="8" w:space="0" w:color="auto"/>
              <w:bottom w:val="single" w:sz="8" w:space="0" w:color="auto"/>
              <w:right w:val="single" w:sz="8" w:space="0" w:color="auto"/>
            </w:tcBorders>
          </w:tcPr>
          <w:p w14:paraId="0984A0AE" w14:textId="77777777" w:rsidR="00217978" w:rsidRPr="00B65D57" w:rsidRDefault="00217978" w:rsidP="00760DCC">
            <w:r w:rsidRPr="00B65D57">
              <w:rPr>
                <w:rFonts w:eastAsia="Verdana" w:cs="Verdana"/>
                <w:color w:val="000000" w:themeColor="text1"/>
                <w:sz w:val="18"/>
                <w:szCs w:val="18"/>
              </w:rPr>
              <w:t xml:space="preserve">5 a-b Transfer to injection pump </w:t>
            </w:r>
          </w:p>
        </w:tc>
        <w:tc>
          <w:tcPr>
            <w:tcW w:w="1561" w:type="dxa"/>
            <w:tcBorders>
              <w:top w:val="single" w:sz="8" w:space="0" w:color="auto"/>
              <w:left w:val="single" w:sz="8" w:space="0" w:color="auto"/>
              <w:bottom w:val="single" w:sz="8" w:space="0" w:color="auto"/>
              <w:right w:val="single" w:sz="8" w:space="0" w:color="auto"/>
            </w:tcBorders>
            <w:vAlign w:val="center"/>
          </w:tcPr>
          <w:p w14:paraId="4014E809" w14:textId="77777777" w:rsidR="00217978" w:rsidRPr="00B65D57" w:rsidRDefault="00217978" w:rsidP="00760DCC">
            <w:r w:rsidRPr="00B65D57">
              <w:rPr>
                <w:rFonts w:eastAsia="Verdana" w:cs="Verdana"/>
                <w:color w:val="000000" w:themeColor="text1"/>
                <w:sz w:val="18"/>
                <w:szCs w:val="18"/>
              </w:rPr>
              <w:t>Respiratory mask with particle filter P3, protective clothing, protective gloves of nitrile rubber, Protective goggles</w:t>
            </w:r>
          </w:p>
        </w:tc>
        <w:tc>
          <w:tcPr>
            <w:tcW w:w="1701" w:type="dxa"/>
            <w:tcBorders>
              <w:top w:val="single" w:sz="8" w:space="0" w:color="auto"/>
              <w:left w:val="single" w:sz="8" w:space="0" w:color="auto"/>
              <w:bottom w:val="single" w:sz="8" w:space="0" w:color="auto"/>
              <w:right w:val="single" w:sz="8" w:space="0" w:color="auto"/>
            </w:tcBorders>
          </w:tcPr>
          <w:p w14:paraId="7D167D47" w14:textId="77777777" w:rsidR="00217978" w:rsidRPr="00B65D57" w:rsidRDefault="00217978" w:rsidP="00760DCC">
            <w:r w:rsidRPr="00B65D57">
              <w:rPr>
                <w:rFonts w:eastAsia="Verdana" w:cs="Verdana"/>
                <w:color w:val="000000" w:themeColor="text1"/>
                <w:sz w:val="18"/>
                <w:szCs w:val="18"/>
              </w:rPr>
              <w:t xml:space="preserve">0.00009 </w:t>
            </w:r>
          </w:p>
        </w:tc>
        <w:tc>
          <w:tcPr>
            <w:tcW w:w="1701" w:type="dxa"/>
            <w:tcBorders>
              <w:top w:val="single" w:sz="8" w:space="0" w:color="auto"/>
              <w:left w:val="single" w:sz="8" w:space="0" w:color="auto"/>
              <w:bottom w:val="single" w:sz="8" w:space="0" w:color="auto"/>
              <w:right w:val="single" w:sz="8" w:space="0" w:color="auto"/>
            </w:tcBorders>
          </w:tcPr>
          <w:p w14:paraId="62D10F17" w14:textId="77777777" w:rsidR="00217978" w:rsidRPr="00B65D57" w:rsidRDefault="00217978" w:rsidP="00760DCC">
            <w:r w:rsidRPr="00B65D57">
              <w:rPr>
                <w:rFonts w:eastAsia="Verdana" w:cs="Verdana"/>
                <w:sz w:val="18"/>
                <w:szCs w:val="18"/>
              </w:rPr>
              <w:t>0.0000005 (15 min)</w:t>
            </w:r>
          </w:p>
        </w:tc>
        <w:tc>
          <w:tcPr>
            <w:tcW w:w="1701" w:type="dxa"/>
            <w:tcBorders>
              <w:top w:val="single" w:sz="8" w:space="0" w:color="auto"/>
              <w:left w:val="single" w:sz="8" w:space="0" w:color="auto"/>
              <w:bottom w:val="single" w:sz="8" w:space="0" w:color="auto"/>
              <w:right w:val="single" w:sz="8" w:space="0" w:color="auto"/>
            </w:tcBorders>
          </w:tcPr>
          <w:p w14:paraId="093CE0C4" w14:textId="77777777" w:rsidR="00217978" w:rsidRPr="00B65D57" w:rsidRDefault="00217978" w:rsidP="00760DCC">
            <w:r w:rsidRPr="00B65D57">
              <w:rPr>
                <w:rFonts w:eastAsia="Verdana" w:cs="Verdana"/>
                <w:color w:val="000000" w:themeColor="text1"/>
                <w:sz w:val="18"/>
                <w:szCs w:val="18"/>
              </w:rPr>
              <w:t>0.0137</w:t>
            </w:r>
          </w:p>
        </w:tc>
        <w:tc>
          <w:tcPr>
            <w:tcW w:w="1701" w:type="dxa"/>
            <w:tcBorders>
              <w:top w:val="single" w:sz="8" w:space="0" w:color="auto"/>
              <w:left w:val="single" w:sz="8" w:space="0" w:color="auto"/>
              <w:bottom w:val="single" w:sz="8" w:space="0" w:color="auto"/>
              <w:right w:val="single" w:sz="8" w:space="0" w:color="auto"/>
            </w:tcBorders>
          </w:tcPr>
          <w:p w14:paraId="7F8778E5" w14:textId="77777777" w:rsidR="00217978" w:rsidRPr="00B65D57" w:rsidRDefault="00217978" w:rsidP="00760DCC">
            <w:r w:rsidRPr="00B65D57">
              <w:rPr>
                <w:rFonts w:eastAsia="Verdana" w:cs="Verdana"/>
                <w:color w:val="000000" w:themeColor="text1"/>
                <w:sz w:val="18"/>
                <w:szCs w:val="18"/>
              </w:rPr>
              <w:t>0.0137</w:t>
            </w:r>
          </w:p>
        </w:tc>
      </w:tr>
      <w:tr w:rsidR="00217978" w:rsidRPr="00B65D57" w14:paraId="3CAE0C3B" w14:textId="77777777" w:rsidTr="00760DCC">
        <w:trPr>
          <w:trHeight w:val="780"/>
        </w:trPr>
        <w:tc>
          <w:tcPr>
            <w:tcW w:w="1133" w:type="dxa"/>
            <w:tcBorders>
              <w:top w:val="single" w:sz="8" w:space="0" w:color="auto"/>
              <w:left w:val="single" w:sz="8" w:space="0" w:color="auto"/>
              <w:bottom w:val="single" w:sz="8" w:space="0" w:color="auto"/>
              <w:right w:val="single" w:sz="8" w:space="0" w:color="auto"/>
            </w:tcBorders>
          </w:tcPr>
          <w:p w14:paraId="2D7E627E" w14:textId="77777777" w:rsidR="00217978" w:rsidRPr="00B65D57" w:rsidRDefault="00217978" w:rsidP="00760DCC">
            <w:r w:rsidRPr="00B65D57">
              <w:rPr>
                <w:rFonts w:eastAsia="Verdana" w:cs="Verdana"/>
                <w:color w:val="000000" w:themeColor="text1"/>
                <w:sz w:val="18"/>
                <w:szCs w:val="18"/>
              </w:rPr>
              <w:t xml:space="preserve">6 a-b Application </w:t>
            </w:r>
          </w:p>
        </w:tc>
        <w:tc>
          <w:tcPr>
            <w:tcW w:w="1561" w:type="dxa"/>
            <w:tcBorders>
              <w:top w:val="single" w:sz="8" w:space="0" w:color="auto"/>
              <w:left w:val="single" w:sz="8" w:space="0" w:color="auto"/>
              <w:bottom w:val="single" w:sz="8" w:space="0" w:color="auto"/>
              <w:right w:val="single" w:sz="8" w:space="0" w:color="auto"/>
            </w:tcBorders>
            <w:vAlign w:val="center"/>
          </w:tcPr>
          <w:p w14:paraId="649549B2" w14:textId="77777777" w:rsidR="00217978" w:rsidRPr="00B65D57" w:rsidRDefault="00217978" w:rsidP="00760DCC">
            <w:r w:rsidRPr="00B65D57">
              <w:rPr>
                <w:rFonts w:eastAsia="Verdana" w:cs="Verdana"/>
                <w:color w:val="000000" w:themeColor="text1"/>
                <w:sz w:val="18"/>
                <w:szCs w:val="18"/>
              </w:rPr>
              <w:t xml:space="preserve">Protective clothing &amp; protective gloves of nitrile rubber. </w:t>
            </w:r>
          </w:p>
        </w:tc>
        <w:tc>
          <w:tcPr>
            <w:tcW w:w="1701" w:type="dxa"/>
            <w:tcBorders>
              <w:top w:val="single" w:sz="8" w:space="0" w:color="auto"/>
              <w:left w:val="single" w:sz="8" w:space="0" w:color="auto"/>
              <w:bottom w:val="single" w:sz="8" w:space="0" w:color="auto"/>
              <w:right w:val="single" w:sz="8" w:space="0" w:color="auto"/>
            </w:tcBorders>
          </w:tcPr>
          <w:p w14:paraId="4E392E45" w14:textId="77777777" w:rsidR="00217978" w:rsidRPr="00B65D57" w:rsidRDefault="00217978" w:rsidP="00760DCC">
            <w:r w:rsidRPr="00B65D57">
              <w:rPr>
                <w:rFonts w:eastAsia="Verdana" w:cs="Verdana"/>
                <w:color w:val="000000" w:themeColor="text1"/>
                <w:sz w:val="18"/>
                <w:szCs w:val="18"/>
              </w:rPr>
              <w:t xml:space="preserve">0.009 </w:t>
            </w:r>
          </w:p>
        </w:tc>
        <w:tc>
          <w:tcPr>
            <w:tcW w:w="1701" w:type="dxa"/>
            <w:tcBorders>
              <w:top w:val="single" w:sz="8" w:space="0" w:color="auto"/>
              <w:left w:val="single" w:sz="8" w:space="0" w:color="auto"/>
              <w:bottom w:val="single" w:sz="8" w:space="0" w:color="auto"/>
              <w:right w:val="single" w:sz="8" w:space="0" w:color="auto"/>
            </w:tcBorders>
          </w:tcPr>
          <w:p w14:paraId="02B0E988" w14:textId="77777777" w:rsidR="00217978" w:rsidRPr="00B65D57" w:rsidRDefault="00217978" w:rsidP="00760DCC">
            <w:r w:rsidRPr="00B65D57">
              <w:rPr>
                <w:rFonts w:eastAsia="Verdana" w:cs="Verdana"/>
                <w:sz w:val="18"/>
                <w:szCs w:val="18"/>
              </w:rPr>
              <w:t>0.0011 (6 h)</w:t>
            </w:r>
          </w:p>
        </w:tc>
        <w:tc>
          <w:tcPr>
            <w:tcW w:w="1701" w:type="dxa"/>
            <w:tcBorders>
              <w:top w:val="single" w:sz="8" w:space="0" w:color="auto"/>
              <w:left w:val="single" w:sz="8" w:space="0" w:color="auto"/>
              <w:bottom w:val="single" w:sz="8" w:space="0" w:color="auto"/>
              <w:right w:val="single" w:sz="8" w:space="0" w:color="auto"/>
            </w:tcBorders>
          </w:tcPr>
          <w:p w14:paraId="57FBBF6D" w14:textId="77777777" w:rsidR="00217978" w:rsidRPr="00B65D57" w:rsidRDefault="00217978" w:rsidP="00760DCC">
            <w:r w:rsidRPr="00B65D57">
              <w:rPr>
                <w:rFonts w:eastAsia="Verdana" w:cs="Verdana"/>
                <w:color w:val="000000" w:themeColor="text1"/>
                <w:sz w:val="18"/>
                <w:szCs w:val="18"/>
              </w:rPr>
              <w:t xml:space="preserve">0.000685 </w:t>
            </w:r>
          </w:p>
        </w:tc>
        <w:tc>
          <w:tcPr>
            <w:tcW w:w="1701" w:type="dxa"/>
            <w:tcBorders>
              <w:top w:val="single" w:sz="8" w:space="0" w:color="auto"/>
              <w:left w:val="single" w:sz="8" w:space="0" w:color="auto"/>
              <w:bottom w:val="single" w:sz="8" w:space="0" w:color="auto"/>
              <w:right w:val="single" w:sz="8" w:space="0" w:color="auto"/>
            </w:tcBorders>
          </w:tcPr>
          <w:p w14:paraId="6FEB9B34" w14:textId="77777777" w:rsidR="00217978" w:rsidRPr="00B65D57" w:rsidRDefault="00217978" w:rsidP="00760DCC">
            <w:r w:rsidRPr="00B65D57">
              <w:rPr>
                <w:rFonts w:eastAsia="Verdana" w:cs="Verdana"/>
                <w:color w:val="000000" w:themeColor="text1"/>
                <w:sz w:val="18"/>
                <w:szCs w:val="18"/>
              </w:rPr>
              <w:t>0.001785</w:t>
            </w:r>
          </w:p>
        </w:tc>
      </w:tr>
      <w:tr w:rsidR="00217978" w:rsidRPr="00B65D57" w14:paraId="375D08A7" w14:textId="77777777" w:rsidTr="00760DCC">
        <w:trPr>
          <w:trHeight w:val="780"/>
        </w:trPr>
        <w:tc>
          <w:tcPr>
            <w:tcW w:w="1133" w:type="dxa"/>
            <w:tcBorders>
              <w:top w:val="single" w:sz="8" w:space="0" w:color="auto"/>
              <w:left w:val="single" w:sz="8" w:space="0" w:color="auto"/>
              <w:bottom w:val="single" w:sz="8" w:space="0" w:color="auto"/>
              <w:right w:val="single" w:sz="8" w:space="0" w:color="auto"/>
            </w:tcBorders>
          </w:tcPr>
          <w:p w14:paraId="7C181476" w14:textId="77777777" w:rsidR="00217978" w:rsidRPr="00B65D57" w:rsidRDefault="00217978" w:rsidP="00760DCC">
            <w:r w:rsidRPr="00B65D57">
              <w:rPr>
                <w:rFonts w:eastAsia="Verdana" w:cs="Verdana"/>
                <w:color w:val="000000" w:themeColor="text1"/>
                <w:sz w:val="18"/>
                <w:szCs w:val="18"/>
              </w:rPr>
              <w:t xml:space="preserve">7 a-b Daily cleaning </w:t>
            </w:r>
          </w:p>
        </w:tc>
        <w:tc>
          <w:tcPr>
            <w:tcW w:w="1561" w:type="dxa"/>
            <w:tcBorders>
              <w:top w:val="single" w:sz="8" w:space="0" w:color="auto"/>
              <w:left w:val="single" w:sz="8" w:space="0" w:color="auto"/>
              <w:bottom w:val="single" w:sz="8" w:space="0" w:color="auto"/>
              <w:right w:val="single" w:sz="8" w:space="0" w:color="auto"/>
            </w:tcBorders>
            <w:vAlign w:val="center"/>
          </w:tcPr>
          <w:p w14:paraId="42D5FBB0" w14:textId="77777777" w:rsidR="00217978" w:rsidRPr="00B65D57" w:rsidRDefault="00217978" w:rsidP="00760DCC">
            <w:r w:rsidRPr="00B65D57">
              <w:rPr>
                <w:rFonts w:eastAsia="Verdana" w:cs="Verdana"/>
                <w:color w:val="000000" w:themeColor="text1"/>
                <w:sz w:val="18"/>
                <w:szCs w:val="18"/>
              </w:rPr>
              <w:t xml:space="preserve">Protective clothing, protective gloves of nitrile rubber, Protective goggles </w:t>
            </w:r>
          </w:p>
        </w:tc>
        <w:tc>
          <w:tcPr>
            <w:tcW w:w="1701" w:type="dxa"/>
            <w:tcBorders>
              <w:top w:val="single" w:sz="8" w:space="0" w:color="auto"/>
              <w:left w:val="single" w:sz="8" w:space="0" w:color="auto"/>
              <w:bottom w:val="single" w:sz="8" w:space="0" w:color="auto"/>
              <w:right w:val="single" w:sz="8" w:space="0" w:color="auto"/>
            </w:tcBorders>
          </w:tcPr>
          <w:p w14:paraId="26255C7D" w14:textId="77777777" w:rsidR="00217978" w:rsidRPr="00B65D57" w:rsidRDefault="00217978" w:rsidP="00760DCC">
            <w:r w:rsidRPr="00B65D57">
              <w:rPr>
                <w:rFonts w:eastAsia="Verdana" w:cs="Verdana"/>
                <w:sz w:val="18"/>
                <w:szCs w:val="18"/>
              </w:rPr>
              <w:t xml:space="preserve">0.0009 </w:t>
            </w:r>
          </w:p>
        </w:tc>
        <w:tc>
          <w:tcPr>
            <w:tcW w:w="1701" w:type="dxa"/>
            <w:tcBorders>
              <w:top w:val="single" w:sz="8" w:space="0" w:color="auto"/>
              <w:left w:val="single" w:sz="8" w:space="0" w:color="auto"/>
              <w:bottom w:val="single" w:sz="8" w:space="0" w:color="auto"/>
              <w:right w:val="single" w:sz="8" w:space="0" w:color="auto"/>
            </w:tcBorders>
          </w:tcPr>
          <w:p w14:paraId="025A012E" w14:textId="77777777" w:rsidR="00217978" w:rsidRPr="00B65D57" w:rsidRDefault="00217978" w:rsidP="00760DCC">
            <w:r w:rsidRPr="00B65D57">
              <w:rPr>
                <w:rFonts w:eastAsia="Verdana" w:cs="Verdana"/>
                <w:sz w:val="18"/>
                <w:szCs w:val="18"/>
              </w:rPr>
              <w:t>0.000005 (15 min)</w:t>
            </w:r>
          </w:p>
        </w:tc>
        <w:tc>
          <w:tcPr>
            <w:tcW w:w="1701" w:type="dxa"/>
            <w:tcBorders>
              <w:top w:val="single" w:sz="8" w:space="0" w:color="auto"/>
              <w:left w:val="single" w:sz="8" w:space="0" w:color="auto"/>
              <w:bottom w:val="single" w:sz="8" w:space="0" w:color="auto"/>
              <w:right w:val="single" w:sz="8" w:space="0" w:color="auto"/>
            </w:tcBorders>
          </w:tcPr>
          <w:p w14:paraId="51EBE60D" w14:textId="77777777" w:rsidR="00217978" w:rsidRPr="00B65D57" w:rsidRDefault="00217978" w:rsidP="00760DCC">
            <w:r w:rsidRPr="00B65D57">
              <w:rPr>
                <w:rFonts w:eastAsia="Verdana" w:cs="Verdana"/>
                <w:color w:val="000000" w:themeColor="text1"/>
                <w:sz w:val="18"/>
                <w:szCs w:val="18"/>
              </w:rPr>
              <w:t>0.0137</w:t>
            </w:r>
          </w:p>
        </w:tc>
        <w:tc>
          <w:tcPr>
            <w:tcW w:w="1701" w:type="dxa"/>
            <w:tcBorders>
              <w:top w:val="single" w:sz="8" w:space="0" w:color="auto"/>
              <w:left w:val="single" w:sz="8" w:space="0" w:color="auto"/>
              <w:bottom w:val="single" w:sz="8" w:space="0" w:color="auto"/>
              <w:right w:val="single" w:sz="8" w:space="0" w:color="auto"/>
            </w:tcBorders>
          </w:tcPr>
          <w:p w14:paraId="61E55E3C" w14:textId="77777777" w:rsidR="00217978" w:rsidRPr="00B65D57" w:rsidRDefault="00217978" w:rsidP="00760DCC">
            <w:r w:rsidRPr="00B65D57">
              <w:rPr>
                <w:rFonts w:eastAsia="Verdana" w:cs="Verdana"/>
                <w:color w:val="000000" w:themeColor="text1"/>
                <w:sz w:val="18"/>
                <w:szCs w:val="18"/>
              </w:rPr>
              <w:t>0.0137</w:t>
            </w:r>
          </w:p>
        </w:tc>
      </w:tr>
      <w:tr w:rsidR="00217978" w:rsidRPr="00B65D57" w14:paraId="1D56947A" w14:textId="77777777" w:rsidTr="00760DCC">
        <w:trPr>
          <w:trHeight w:val="780"/>
        </w:trPr>
        <w:tc>
          <w:tcPr>
            <w:tcW w:w="1133" w:type="dxa"/>
            <w:tcBorders>
              <w:top w:val="single" w:sz="8" w:space="0" w:color="auto"/>
              <w:left w:val="single" w:sz="8" w:space="0" w:color="auto"/>
              <w:bottom w:val="single" w:sz="8" w:space="0" w:color="auto"/>
              <w:right w:val="single" w:sz="8" w:space="0" w:color="auto"/>
            </w:tcBorders>
          </w:tcPr>
          <w:p w14:paraId="0721B4E1" w14:textId="77777777" w:rsidR="00217978" w:rsidRPr="00B65D57" w:rsidRDefault="00217978" w:rsidP="00760DCC">
            <w:r w:rsidRPr="00B65D57">
              <w:rPr>
                <w:rFonts w:eastAsia="Verdana" w:cs="Verdana"/>
                <w:color w:val="000000" w:themeColor="text1"/>
                <w:sz w:val="18"/>
                <w:szCs w:val="18"/>
              </w:rPr>
              <w:t xml:space="preserve">8 a-b Final cleaning </w:t>
            </w:r>
          </w:p>
        </w:tc>
        <w:tc>
          <w:tcPr>
            <w:tcW w:w="1561" w:type="dxa"/>
            <w:tcBorders>
              <w:top w:val="single" w:sz="8" w:space="0" w:color="auto"/>
              <w:left w:val="single" w:sz="8" w:space="0" w:color="auto"/>
              <w:bottom w:val="single" w:sz="8" w:space="0" w:color="auto"/>
              <w:right w:val="single" w:sz="8" w:space="0" w:color="auto"/>
            </w:tcBorders>
            <w:vAlign w:val="center"/>
          </w:tcPr>
          <w:p w14:paraId="3324D6C8" w14:textId="77777777" w:rsidR="00217978" w:rsidRPr="00B65D57" w:rsidRDefault="00217978" w:rsidP="00760DCC">
            <w:r w:rsidRPr="00B65D57">
              <w:rPr>
                <w:rFonts w:eastAsia="Verdana" w:cs="Verdana"/>
                <w:color w:val="000000" w:themeColor="text1"/>
                <w:sz w:val="18"/>
                <w:szCs w:val="18"/>
              </w:rPr>
              <w:t>Protective clothing, protective gloves of nitrile rubber, Protective goggles</w:t>
            </w:r>
          </w:p>
        </w:tc>
        <w:tc>
          <w:tcPr>
            <w:tcW w:w="1701" w:type="dxa"/>
            <w:tcBorders>
              <w:top w:val="single" w:sz="8" w:space="0" w:color="auto"/>
              <w:left w:val="single" w:sz="8" w:space="0" w:color="auto"/>
              <w:bottom w:val="single" w:sz="8" w:space="0" w:color="auto"/>
              <w:right w:val="single" w:sz="8" w:space="0" w:color="auto"/>
            </w:tcBorders>
          </w:tcPr>
          <w:p w14:paraId="27509598" w14:textId="77777777" w:rsidR="00217978" w:rsidRPr="00B65D57" w:rsidRDefault="00217978" w:rsidP="00760DCC">
            <w:r w:rsidRPr="00B65D57">
              <w:rPr>
                <w:rFonts w:eastAsia="Verdana" w:cs="Verdana"/>
                <w:sz w:val="18"/>
                <w:szCs w:val="18"/>
              </w:rPr>
              <w:t xml:space="preserve">0.0054 </w:t>
            </w:r>
          </w:p>
        </w:tc>
        <w:tc>
          <w:tcPr>
            <w:tcW w:w="1701" w:type="dxa"/>
            <w:tcBorders>
              <w:top w:val="single" w:sz="8" w:space="0" w:color="auto"/>
              <w:left w:val="single" w:sz="8" w:space="0" w:color="auto"/>
              <w:bottom w:val="single" w:sz="8" w:space="0" w:color="auto"/>
              <w:right w:val="single" w:sz="8" w:space="0" w:color="auto"/>
            </w:tcBorders>
          </w:tcPr>
          <w:p w14:paraId="5987A103" w14:textId="77777777" w:rsidR="00217978" w:rsidRPr="00B65D57" w:rsidRDefault="00217978" w:rsidP="00760DCC">
            <w:r w:rsidRPr="00B65D57">
              <w:rPr>
                <w:rFonts w:eastAsia="Verdana" w:cs="Verdana"/>
                <w:sz w:val="18"/>
                <w:szCs w:val="18"/>
              </w:rPr>
              <w:t>0.00045 (4h)</w:t>
            </w:r>
          </w:p>
        </w:tc>
        <w:tc>
          <w:tcPr>
            <w:tcW w:w="1701" w:type="dxa"/>
            <w:tcBorders>
              <w:top w:val="single" w:sz="8" w:space="0" w:color="auto"/>
              <w:left w:val="single" w:sz="8" w:space="0" w:color="auto"/>
              <w:bottom w:val="single" w:sz="8" w:space="0" w:color="auto"/>
              <w:right w:val="single" w:sz="8" w:space="0" w:color="auto"/>
            </w:tcBorders>
          </w:tcPr>
          <w:p w14:paraId="4338E427" w14:textId="77777777" w:rsidR="00217978" w:rsidRPr="00B65D57" w:rsidRDefault="00217978" w:rsidP="00760DCC">
            <w:r w:rsidRPr="00B65D57">
              <w:rPr>
                <w:rFonts w:eastAsia="Verdana" w:cs="Verdana"/>
                <w:color w:val="000000" w:themeColor="text1"/>
                <w:sz w:val="18"/>
                <w:szCs w:val="18"/>
              </w:rPr>
              <w:t>0.0137</w:t>
            </w:r>
          </w:p>
        </w:tc>
        <w:tc>
          <w:tcPr>
            <w:tcW w:w="1701" w:type="dxa"/>
            <w:tcBorders>
              <w:top w:val="single" w:sz="8" w:space="0" w:color="auto"/>
              <w:left w:val="single" w:sz="8" w:space="0" w:color="auto"/>
              <w:bottom w:val="single" w:sz="8" w:space="0" w:color="auto"/>
              <w:right w:val="single" w:sz="8" w:space="0" w:color="auto"/>
            </w:tcBorders>
          </w:tcPr>
          <w:p w14:paraId="789593DE" w14:textId="77777777" w:rsidR="00217978" w:rsidRPr="00B65D57" w:rsidRDefault="00217978" w:rsidP="00760DCC">
            <w:r w:rsidRPr="00B65D57">
              <w:rPr>
                <w:rFonts w:eastAsia="Verdana" w:cs="Verdana"/>
                <w:color w:val="000000" w:themeColor="text1"/>
                <w:sz w:val="18"/>
                <w:szCs w:val="18"/>
              </w:rPr>
              <w:t>0.0142</w:t>
            </w:r>
          </w:p>
        </w:tc>
      </w:tr>
      <w:tr w:rsidR="00217978" w:rsidRPr="00B65D57" w14:paraId="4B8C8FD0" w14:textId="77777777" w:rsidTr="00760DCC">
        <w:trPr>
          <w:trHeight w:val="780"/>
        </w:trPr>
        <w:tc>
          <w:tcPr>
            <w:tcW w:w="1133" w:type="dxa"/>
            <w:tcBorders>
              <w:top w:val="single" w:sz="8" w:space="0" w:color="auto"/>
              <w:left w:val="single" w:sz="8" w:space="0" w:color="auto"/>
              <w:bottom w:val="single" w:sz="8" w:space="0" w:color="auto"/>
              <w:right w:val="single" w:sz="8" w:space="0" w:color="auto"/>
            </w:tcBorders>
          </w:tcPr>
          <w:p w14:paraId="1D8AC44B" w14:textId="77777777" w:rsidR="00217978" w:rsidRPr="00B65D57" w:rsidRDefault="00217978" w:rsidP="00760DCC">
            <w:pPr>
              <w:rPr>
                <w:rFonts w:eastAsia="Verdana" w:cs="Verdana"/>
                <w:color w:val="000000" w:themeColor="text1"/>
                <w:sz w:val="18"/>
                <w:szCs w:val="18"/>
              </w:rPr>
            </w:pPr>
            <w:r w:rsidRPr="00B65D57">
              <w:rPr>
                <w:rFonts w:eastAsia="Verdana" w:cs="Verdana"/>
                <w:color w:val="000000" w:themeColor="text1"/>
                <w:sz w:val="18"/>
                <w:szCs w:val="18"/>
              </w:rPr>
              <w:t>9 a-b Maintenance/repair***</w:t>
            </w:r>
          </w:p>
        </w:tc>
        <w:tc>
          <w:tcPr>
            <w:tcW w:w="1561" w:type="dxa"/>
            <w:tcBorders>
              <w:top w:val="single" w:sz="8" w:space="0" w:color="auto"/>
              <w:left w:val="single" w:sz="8" w:space="0" w:color="auto"/>
              <w:bottom w:val="single" w:sz="8" w:space="0" w:color="auto"/>
              <w:right w:val="single" w:sz="8" w:space="0" w:color="auto"/>
            </w:tcBorders>
            <w:vAlign w:val="center"/>
          </w:tcPr>
          <w:p w14:paraId="6F993F05" w14:textId="77777777" w:rsidR="00217978" w:rsidRPr="00B65D57" w:rsidRDefault="00217978" w:rsidP="00760DCC">
            <w:pPr>
              <w:rPr>
                <w:rFonts w:eastAsia="Verdana" w:cs="Verdana"/>
                <w:color w:val="000000" w:themeColor="text1"/>
                <w:sz w:val="18"/>
                <w:szCs w:val="18"/>
              </w:rPr>
            </w:pPr>
            <w:r w:rsidRPr="00B65D57">
              <w:rPr>
                <w:rFonts w:eastAsia="Verdana" w:cs="Verdana"/>
                <w:color w:val="000000" w:themeColor="text1"/>
                <w:sz w:val="18"/>
                <w:szCs w:val="18"/>
              </w:rPr>
              <w:t>Protective clothing, protective gloves of nitrile rubber, Protective goggles</w:t>
            </w:r>
          </w:p>
        </w:tc>
        <w:tc>
          <w:tcPr>
            <w:tcW w:w="1701" w:type="dxa"/>
            <w:tcBorders>
              <w:top w:val="single" w:sz="8" w:space="0" w:color="auto"/>
              <w:left w:val="single" w:sz="8" w:space="0" w:color="auto"/>
              <w:bottom w:val="single" w:sz="8" w:space="0" w:color="auto"/>
              <w:right w:val="single" w:sz="8" w:space="0" w:color="auto"/>
            </w:tcBorders>
          </w:tcPr>
          <w:p w14:paraId="6513917C" w14:textId="77777777" w:rsidR="00217978" w:rsidRPr="00B65D57" w:rsidRDefault="00217978" w:rsidP="00760DCC">
            <w:pPr>
              <w:jc w:val="center"/>
              <w:rPr>
                <w:rFonts w:eastAsia="Verdana" w:cs="Verdana"/>
                <w:sz w:val="18"/>
                <w:szCs w:val="18"/>
              </w:rPr>
            </w:pPr>
          </w:p>
          <w:p w14:paraId="3AC126D3" w14:textId="77777777" w:rsidR="00217978" w:rsidRPr="00B65D57" w:rsidRDefault="00217978" w:rsidP="00760DCC">
            <w:pPr>
              <w:jc w:val="center"/>
              <w:rPr>
                <w:rFonts w:eastAsia="Verdana" w:cs="Verdana"/>
                <w:sz w:val="18"/>
                <w:szCs w:val="18"/>
              </w:rPr>
            </w:pPr>
          </w:p>
          <w:p w14:paraId="1EFB5242" w14:textId="77777777" w:rsidR="00217978" w:rsidRPr="00B65D57" w:rsidRDefault="00217978" w:rsidP="00760DCC">
            <w:pPr>
              <w:jc w:val="center"/>
              <w:rPr>
                <w:rFonts w:eastAsia="Verdana" w:cs="Verdana"/>
                <w:sz w:val="18"/>
                <w:szCs w:val="18"/>
              </w:rPr>
            </w:pPr>
          </w:p>
          <w:p w14:paraId="2A8F6D25" w14:textId="77777777" w:rsidR="00217978" w:rsidRPr="00B65D57" w:rsidRDefault="00217978" w:rsidP="00760DCC">
            <w:pPr>
              <w:jc w:val="center"/>
              <w:rPr>
                <w:rFonts w:eastAsia="Verdana" w:cs="Verdana"/>
                <w:sz w:val="18"/>
                <w:szCs w:val="18"/>
              </w:rPr>
            </w:pPr>
            <w:r w:rsidRPr="00B65D57">
              <w:rPr>
                <w:rFonts w:eastAsia="Verdana" w:cs="Verdana"/>
                <w:sz w:val="18"/>
                <w:szCs w:val="18"/>
              </w:rPr>
              <w:t>-</w:t>
            </w:r>
          </w:p>
        </w:tc>
        <w:tc>
          <w:tcPr>
            <w:tcW w:w="1701" w:type="dxa"/>
            <w:tcBorders>
              <w:top w:val="single" w:sz="8" w:space="0" w:color="auto"/>
              <w:left w:val="single" w:sz="8" w:space="0" w:color="auto"/>
              <w:bottom w:val="single" w:sz="8" w:space="0" w:color="auto"/>
              <w:right w:val="single" w:sz="8" w:space="0" w:color="auto"/>
            </w:tcBorders>
          </w:tcPr>
          <w:p w14:paraId="5B5ADCA3" w14:textId="77777777" w:rsidR="00217978" w:rsidRPr="00B65D57" w:rsidRDefault="00217978" w:rsidP="00760DCC">
            <w:pPr>
              <w:jc w:val="center"/>
              <w:rPr>
                <w:rFonts w:eastAsia="Verdana" w:cs="Verdana"/>
                <w:sz w:val="18"/>
                <w:szCs w:val="18"/>
              </w:rPr>
            </w:pPr>
          </w:p>
          <w:p w14:paraId="47CF3BE5" w14:textId="77777777" w:rsidR="00217978" w:rsidRPr="00B65D57" w:rsidRDefault="00217978" w:rsidP="00760DCC">
            <w:pPr>
              <w:jc w:val="center"/>
              <w:rPr>
                <w:rFonts w:eastAsia="Verdana" w:cs="Verdana"/>
                <w:sz w:val="18"/>
                <w:szCs w:val="18"/>
              </w:rPr>
            </w:pPr>
          </w:p>
          <w:p w14:paraId="7439A27F" w14:textId="77777777" w:rsidR="00217978" w:rsidRPr="00B65D57" w:rsidRDefault="00217978" w:rsidP="00760DCC">
            <w:pPr>
              <w:jc w:val="center"/>
              <w:rPr>
                <w:rFonts w:eastAsia="Verdana" w:cs="Verdana"/>
                <w:sz w:val="18"/>
                <w:szCs w:val="18"/>
              </w:rPr>
            </w:pPr>
          </w:p>
          <w:p w14:paraId="621BC7F6" w14:textId="77777777" w:rsidR="00217978" w:rsidRPr="00B65D57" w:rsidRDefault="00217978" w:rsidP="00760DCC">
            <w:pPr>
              <w:jc w:val="center"/>
              <w:rPr>
                <w:rFonts w:eastAsia="Verdana" w:cs="Verdana"/>
                <w:sz w:val="18"/>
                <w:szCs w:val="18"/>
              </w:rPr>
            </w:pPr>
            <w:r w:rsidRPr="00B65D57">
              <w:rPr>
                <w:rFonts w:eastAsia="Verdana" w:cs="Verdana"/>
                <w:sz w:val="18"/>
                <w:szCs w:val="18"/>
              </w:rPr>
              <w:t>-</w:t>
            </w:r>
          </w:p>
        </w:tc>
        <w:tc>
          <w:tcPr>
            <w:tcW w:w="1701" w:type="dxa"/>
            <w:tcBorders>
              <w:top w:val="single" w:sz="8" w:space="0" w:color="auto"/>
              <w:left w:val="single" w:sz="8" w:space="0" w:color="auto"/>
              <w:bottom w:val="single" w:sz="8" w:space="0" w:color="auto"/>
              <w:right w:val="single" w:sz="8" w:space="0" w:color="auto"/>
            </w:tcBorders>
          </w:tcPr>
          <w:p w14:paraId="5ED322E0" w14:textId="77777777" w:rsidR="00217978" w:rsidRPr="00B65D57" w:rsidRDefault="00217978" w:rsidP="00760DCC">
            <w:pPr>
              <w:jc w:val="center"/>
              <w:rPr>
                <w:rFonts w:eastAsia="Verdana" w:cs="Verdana"/>
                <w:color w:val="000000" w:themeColor="text1"/>
                <w:sz w:val="18"/>
                <w:szCs w:val="18"/>
              </w:rPr>
            </w:pPr>
          </w:p>
          <w:p w14:paraId="64EDC48A" w14:textId="77777777" w:rsidR="00217978" w:rsidRPr="00B65D57" w:rsidRDefault="00217978" w:rsidP="00760DCC">
            <w:pPr>
              <w:jc w:val="center"/>
              <w:rPr>
                <w:rFonts w:eastAsia="Verdana" w:cs="Verdana"/>
                <w:color w:val="000000" w:themeColor="text1"/>
                <w:sz w:val="18"/>
                <w:szCs w:val="18"/>
              </w:rPr>
            </w:pPr>
          </w:p>
          <w:p w14:paraId="1099C1D2" w14:textId="77777777" w:rsidR="00217978" w:rsidRPr="00B65D57" w:rsidRDefault="00217978" w:rsidP="00760DCC">
            <w:pPr>
              <w:jc w:val="center"/>
              <w:rPr>
                <w:rFonts w:eastAsia="Verdana" w:cs="Verdana"/>
                <w:color w:val="000000" w:themeColor="text1"/>
                <w:sz w:val="18"/>
                <w:szCs w:val="18"/>
              </w:rPr>
            </w:pPr>
          </w:p>
          <w:p w14:paraId="75AD470A" w14:textId="77777777" w:rsidR="00217978" w:rsidRPr="00B65D57" w:rsidRDefault="00217978" w:rsidP="00760DCC">
            <w:pPr>
              <w:jc w:val="center"/>
              <w:rPr>
                <w:rFonts w:eastAsia="Verdana" w:cs="Verdana"/>
                <w:color w:val="000000" w:themeColor="text1"/>
                <w:sz w:val="18"/>
                <w:szCs w:val="18"/>
              </w:rPr>
            </w:pPr>
            <w:r w:rsidRPr="00B65D57">
              <w:rPr>
                <w:rFonts w:eastAsia="Verdana" w:cs="Verdana"/>
                <w:color w:val="000000" w:themeColor="text1"/>
                <w:sz w:val="18"/>
                <w:szCs w:val="18"/>
              </w:rPr>
              <w:t>-</w:t>
            </w:r>
          </w:p>
        </w:tc>
        <w:tc>
          <w:tcPr>
            <w:tcW w:w="1701" w:type="dxa"/>
            <w:tcBorders>
              <w:top w:val="single" w:sz="8" w:space="0" w:color="auto"/>
              <w:left w:val="single" w:sz="8" w:space="0" w:color="auto"/>
              <w:bottom w:val="single" w:sz="8" w:space="0" w:color="auto"/>
              <w:right w:val="single" w:sz="8" w:space="0" w:color="auto"/>
            </w:tcBorders>
          </w:tcPr>
          <w:p w14:paraId="138B3BDA" w14:textId="77777777" w:rsidR="00217978" w:rsidRPr="00B65D57" w:rsidRDefault="00217978" w:rsidP="00760DCC">
            <w:pPr>
              <w:jc w:val="center"/>
              <w:rPr>
                <w:rFonts w:eastAsia="Verdana" w:cs="Verdana"/>
                <w:color w:val="000000" w:themeColor="text1"/>
                <w:sz w:val="18"/>
                <w:szCs w:val="18"/>
              </w:rPr>
            </w:pPr>
          </w:p>
          <w:p w14:paraId="5F83DF5A" w14:textId="77777777" w:rsidR="00217978" w:rsidRPr="00B65D57" w:rsidRDefault="00217978" w:rsidP="00760DCC">
            <w:pPr>
              <w:jc w:val="center"/>
              <w:rPr>
                <w:rFonts w:eastAsia="Verdana" w:cs="Verdana"/>
                <w:color w:val="000000" w:themeColor="text1"/>
                <w:sz w:val="18"/>
                <w:szCs w:val="18"/>
              </w:rPr>
            </w:pPr>
          </w:p>
          <w:p w14:paraId="611C72A2" w14:textId="77777777" w:rsidR="00217978" w:rsidRPr="00B65D57" w:rsidRDefault="00217978" w:rsidP="00760DCC">
            <w:pPr>
              <w:jc w:val="center"/>
              <w:rPr>
                <w:rFonts w:eastAsia="Verdana" w:cs="Verdana"/>
                <w:color w:val="000000" w:themeColor="text1"/>
                <w:sz w:val="18"/>
                <w:szCs w:val="18"/>
              </w:rPr>
            </w:pPr>
          </w:p>
          <w:p w14:paraId="1B66A31F" w14:textId="77777777" w:rsidR="00217978" w:rsidRPr="00B65D57" w:rsidRDefault="00217978" w:rsidP="00760DCC">
            <w:pPr>
              <w:jc w:val="center"/>
              <w:rPr>
                <w:rFonts w:eastAsia="Verdana" w:cs="Verdana"/>
                <w:color w:val="000000" w:themeColor="text1"/>
                <w:sz w:val="18"/>
                <w:szCs w:val="18"/>
              </w:rPr>
            </w:pPr>
            <w:r w:rsidRPr="00B65D57">
              <w:rPr>
                <w:rFonts w:eastAsia="Verdana" w:cs="Verdana"/>
                <w:color w:val="000000" w:themeColor="text1"/>
                <w:sz w:val="18"/>
                <w:szCs w:val="18"/>
              </w:rPr>
              <w:t>-</w:t>
            </w:r>
          </w:p>
        </w:tc>
      </w:tr>
    </w:tbl>
    <w:p w14:paraId="6A75F733" w14:textId="77777777" w:rsidR="00217978" w:rsidRPr="00B65D57" w:rsidRDefault="00217978" w:rsidP="00217978">
      <w:pPr>
        <w:spacing w:before="60" w:line="257" w:lineRule="auto"/>
        <w:rPr>
          <w:rFonts w:eastAsia="Verdana" w:cs="Verdana"/>
          <w:sz w:val="18"/>
          <w:szCs w:val="18"/>
        </w:rPr>
      </w:pPr>
      <w:r w:rsidRPr="00B65D57">
        <w:rPr>
          <w:rFonts w:eastAsia="Verdana" w:cs="Verdana"/>
          <w:sz w:val="18"/>
          <w:szCs w:val="18"/>
        </w:rPr>
        <w:t>*These values have been calculated using the data on long-term inhalation exposure from ECETOC TRA and a body weight of 60 kg and an inhalation rate 1.25 m</w:t>
      </w:r>
      <w:r w:rsidRPr="00B65D57">
        <w:rPr>
          <w:rFonts w:eastAsia="Verdana" w:cs="Verdana"/>
          <w:sz w:val="18"/>
          <w:szCs w:val="18"/>
          <w:vertAlign w:val="superscript"/>
        </w:rPr>
        <w:t>3</w:t>
      </w:r>
      <w:r w:rsidRPr="00B65D57">
        <w:rPr>
          <w:rFonts w:eastAsia="Verdana" w:cs="Verdana"/>
          <w:sz w:val="18"/>
          <w:szCs w:val="18"/>
        </w:rPr>
        <w:t>/h. The time indicated in parentheses is the working time/day used in the calculation.</w:t>
      </w:r>
    </w:p>
    <w:p w14:paraId="4A995B29" w14:textId="77777777" w:rsidR="00217978" w:rsidRPr="00B65D57" w:rsidRDefault="00217978" w:rsidP="00217978">
      <w:pPr>
        <w:spacing w:line="257" w:lineRule="auto"/>
        <w:rPr>
          <w:rFonts w:eastAsia="Verdana" w:cs="Verdana"/>
          <w:color w:val="000000" w:themeColor="text1"/>
          <w:sz w:val="18"/>
          <w:szCs w:val="18"/>
        </w:rPr>
      </w:pPr>
      <w:r w:rsidRPr="00B65D57">
        <w:rPr>
          <w:rFonts w:eastAsia="Verdana" w:cs="Verdana"/>
          <w:sz w:val="18"/>
          <w:szCs w:val="18"/>
        </w:rPr>
        <w:t xml:space="preserve">** </w:t>
      </w:r>
      <w:r w:rsidRPr="00B65D57">
        <w:rPr>
          <w:rFonts w:eastAsia="Verdana" w:cs="Verdana"/>
          <w:color w:val="000000" w:themeColor="text1"/>
          <w:sz w:val="18"/>
          <w:szCs w:val="18"/>
        </w:rPr>
        <w:t>The estimated long-term dermal exposure uptake</w:t>
      </w:r>
      <w:r w:rsidRPr="00B65D57" w:rsidDel="00D101AC">
        <w:rPr>
          <w:rFonts w:eastAsia="Verdana" w:cs="Verdana"/>
          <w:color w:val="000000" w:themeColor="text1"/>
          <w:sz w:val="18"/>
          <w:szCs w:val="18"/>
        </w:rPr>
        <w:t xml:space="preserve"> </w:t>
      </w:r>
      <w:r w:rsidRPr="00B65D57">
        <w:rPr>
          <w:rFonts w:eastAsia="Verdana" w:cs="Verdana"/>
          <w:color w:val="000000" w:themeColor="text1"/>
          <w:sz w:val="18"/>
          <w:szCs w:val="18"/>
        </w:rPr>
        <w:t>has been calculated by using the data from ECETOC TRA and 10% dermal uptake of borates in Jerbor granulates and 5% dermal uptake of borates in Jerbor slurry, respectively.</w:t>
      </w:r>
    </w:p>
    <w:p w14:paraId="784B027E" w14:textId="77777777" w:rsidR="00217978" w:rsidRPr="00B65D57" w:rsidRDefault="00217978" w:rsidP="00217978">
      <w:pPr>
        <w:spacing w:line="257" w:lineRule="auto"/>
        <w:rPr>
          <w:rFonts w:eastAsia="Verdana" w:cs="Verdana"/>
          <w:color w:val="000000" w:themeColor="text1"/>
          <w:sz w:val="18"/>
          <w:szCs w:val="18"/>
        </w:rPr>
      </w:pPr>
      <w:r w:rsidRPr="00B65D57">
        <w:rPr>
          <w:rFonts w:eastAsia="Verdana" w:cs="Verdana"/>
          <w:color w:val="000000" w:themeColor="text1"/>
          <w:sz w:val="18"/>
          <w:szCs w:val="18"/>
        </w:rPr>
        <w:t>*** No calculations for scenario 9 (maintenance/repair) have been performed as the exposure is covered by scenario 7 and 8.</w:t>
      </w:r>
    </w:p>
    <w:p w14:paraId="0C81A155" w14:textId="77777777" w:rsidR="008B3097" w:rsidRPr="00B65D57" w:rsidRDefault="008B3097" w:rsidP="00217978">
      <w:pPr>
        <w:spacing w:line="260" w:lineRule="atLeast"/>
        <w:rPr>
          <w:rFonts w:eastAsia="Calibri"/>
          <w:lang w:eastAsia="en-US"/>
        </w:rPr>
      </w:pPr>
    </w:p>
    <w:p w14:paraId="7FE815E1" w14:textId="77777777" w:rsidR="00217978" w:rsidRPr="00B65D57" w:rsidRDefault="00217978" w:rsidP="00217978">
      <w:pPr>
        <w:spacing w:line="260" w:lineRule="atLeast"/>
        <w:rPr>
          <w:rFonts w:eastAsia="Calibri"/>
          <w:b/>
          <w:bCs/>
          <w:i/>
          <w:lang w:eastAsia="en-US"/>
        </w:rPr>
      </w:pPr>
      <w:r w:rsidRPr="00B65D57">
        <w:rPr>
          <w:rFonts w:eastAsia="Calibri"/>
          <w:b/>
          <w:bCs/>
          <w:i/>
          <w:lang w:eastAsia="en-US"/>
        </w:rPr>
        <w:t>Further information and considerations on scenario [1-9]</w:t>
      </w:r>
    </w:p>
    <w:p w14:paraId="059C61F0" w14:textId="77777777" w:rsidR="00217978" w:rsidRPr="00B65D57" w:rsidRDefault="00217978" w:rsidP="00217978">
      <w:pPr>
        <w:spacing w:line="260" w:lineRule="atLeast"/>
        <w:rPr>
          <w:rFonts w:eastAsia="Calibri"/>
          <w:lang w:eastAsia="en-US"/>
        </w:rPr>
      </w:pPr>
      <w:r w:rsidRPr="00B65D57">
        <w:rPr>
          <w:rFonts w:eastAsia="Calibri"/>
          <w:lang w:eastAsia="en-US"/>
        </w:rPr>
        <w:t xml:space="preserve">Since Jerbor is classified </w:t>
      </w:r>
      <w:r w:rsidRPr="00B65D57">
        <w:rPr>
          <w:rFonts w:eastAsia="Verdana" w:cs="Verdana"/>
        </w:rPr>
        <w:t>Eye Irritant category 2 (H319),</w:t>
      </w:r>
      <w:r w:rsidRPr="00B65D57">
        <w:rPr>
          <w:rFonts w:eastAsia="Calibri"/>
          <w:lang w:eastAsia="en-US"/>
        </w:rPr>
        <w:t xml:space="preserve"> local risk characterisation has been performed (see 2.2.6.3.2 Risk for professional users, Local effects). </w:t>
      </w:r>
    </w:p>
    <w:p w14:paraId="5B65D7C7" w14:textId="77777777" w:rsidR="00217978" w:rsidRPr="00B65D57" w:rsidRDefault="00217978" w:rsidP="00217978">
      <w:pPr>
        <w:spacing w:line="260" w:lineRule="atLeast"/>
        <w:rPr>
          <w:rFonts w:eastAsia="Calibri"/>
          <w:lang w:eastAsia="en-US"/>
        </w:rPr>
      </w:pPr>
    </w:p>
    <w:p w14:paraId="77B08D4C" w14:textId="77777777" w:rsidR="00BD4323" w:rsidRPr="00B65D57" w:rsidRDefault="00BD4323" w:rsidP="00BD4323">
      <w:pPr>
        <w:tabs>
          <w:tab w:val="left" w:pos="5656"/>
        </w:tabs>
        <w:spacing w:line="260" w:lineRule="atLeast"/>
        <w:rPr>
          <w:rFonts w:ascii="Times New Roman" w:eastAsia="Calibri" w:hAnsi="Times New Roman"/>
          <w:i/>
          <w:iCs/>
          <w:lang w:eastAsia="en-US"/>
        </w:rPr>
      </w:pPr>
    </w:p>
    <w:p w14:paraId="51B94B4D" w14:textId="29B3B82D" w:rsidR="00217978" w:rsidRPr="00B65D57" w:rsidRDefault="002C23EC" w:rsidP="008F4848">
      <w:pPr>
        <w:pStyle w:val="Rubrik5"/>
        <w:ind w:left="360"/>
        <w:rPr>
          <w:rFonts w:eastAsia="Calibri"/>
          <w:lang w:val="en-GB"/>
        </w:rPr>
      </w:pPr>
      <w:r w:rsidRPr="00B65D57">
        <w:rPr>
          <w:rFonts w:eastAsia="Calibri"/>
          <w:lang w:val="en-GB"/>
        </w:rPr>
        <w:lastRenderedPageBreak/>
        <w:t xml:space="preserve">2.2.6.2.5 </w:t>
      </w:r>
      <w:r w:rsidR="00217978" w:rsidRPr="00B65D57">
        <w:rPr>
          <w:rFonts w:eastAsia="Calibri"/>
          <w:lang w:val="en-GB"/>
        </w:rPr>
        <w:t>Combined scenarios</w:t>
      </w:r>
    </w:p>
    <w:p w14:paraId="4C8AA3EF" w14:textId="77777777" w:rsidR="00217978" w:rsidRPr="00B65D57" w:rsidRDefault="00217978" w:rsidP="008F4848">
      <w:pPr>
        <w:pStyle w:val="Absatz"/>
        <w:ind w:left="0"/>
        <w:rPr>
          <w:rFonts w:ascii="Verdana" w:eastAsia="Calibri" w:hAnsi="Verdana"/>
          <w:lang w:eastAsia="en-US"/>
        </w:rPr>
      </w:pPr>
      <w:r w:rsidRPr="00B65D57">
        <w:rPr>
          <w:rFonts w:ascii="Verdana" w:eastAsia="Calibri" w:hAnsi="Verdana"/>
          <w:lang w:eastAsia="en-US"/>
        </w:rPr>
        <w:t>The production takes place in a different location and not at the same day as the mixing and applying of the slurry, therefore the production step should not be combined with the other scenarios.</w:t>
      </w:r>
    </w:p>
    <w:p w14:paraId="7DBFF54A" w14:textId="77777777" w:rsidR="00217978" w:rsidRPr="00B65D57" w:rsidRDefault="00217978" w:rsidP="008F4848">
      <w:pPr>
        <w:pStyle w:val="Absatz"/>
        <w:ind w:left="0"/>
        <w:rPr>
          <w:rFonts w:ascii="Verdana" w:eastAsia="Calibri" w:hAnsi="Verdana"/>
          <w:lang w:eastAsia="en-US"/>
        </w:rPr>
      </w:pPr>
      <w:r w:rsidRPr="00B65D57">
        <w:rPr>
          <w:rFonts w:ascii="Verdana" w:eastAsia="Calibri" w:hAnsi="Verdana"/>
          <w:lang w:eastAsia="en-US"/>
        </w:rPr>
        <w:t xml:space="preserve">In the location where mixing of the slurry and the application takes place one professional could be mixing, applying and do the daily cleaning within the same day as the team working in the treatment location is rotating between the different tasks. </w:t>
      </w:r>
    </w:p>
    <w:p w14:paraId="4832268C" w14:textId="77777777" w:rsidR="00217978" w:rsidRPr="00B65D57" w:rsidRDefault="00217978" w:rsidP="008F4848">
      <w:pPr>
        <w:pStyle w:val="Absatz"/>
        <w:ind w:left="0"/>
        <w:rPr>
          <w:rFonts w:ascii="Verdana" w:eastAsia="Calibri" w:hAnsi="Verdana"/>
          <w:lang w:eastAsia="en-US"/>
        </w:rPr>
      </w:pPr>
      <w:r w:rsidRPr="00B65D57">
        <w:rPr>
          <w:rFonts w:ascii="Verdana" w:eastAsia="Calibri" w:hAnsi="Verdana"/>
          <w:lang w:eastAsia="en-US"/>
        </w:rPr>
        <w:t>The final cleaning step takes place in a location different from the treatment area. The equipment is first cleaned as for daily cleaning and then taken apart and transported to a location where it is thoroughly cleaned and then stored away. This step does not take place within the same day as the mixing, application and daily cleaning and therefore the final cleaning is not combined with other scenarios.</w:t>
      </w:r>
    </w:p>
    <w:p w14:paraId="46FD9CB4" w14:textId="77777777" w:rsidR="00217978" w:rsidRPr="00B65D57" w:rsidRDefault="00217978" w:rsidP="008F4848">
      <w:pPr>
        <w:pStyle w:val="Absatz"/>
        <w:ind w:left="0"/>
        <w:rPr>
          <w:rFonts w:ascii="Verdana" w:eastAsia="Calibri" w:hAnsi="Verdana"/>
          <w:lang w:eastAsia="en-US"/>
        </w:rPr>
      </w:pPr>
      <w:r w:rsidRPr="00B65D57">
        <w:rPr>
          <w:rFonts w:ascii="Verdana" w:eastAsia="Calibri" w:hAnsi="Verdana"/>
          <w:lang w:eastAsia="en-US"/>
        </w:rPr>
        <w:t>Maintenance/repair is mainly performed during the daily and final cleaning therefore these scenarios are covering for scenario 9.</w:t>
      </w:r>
    </w:p>
    <w:p w14:paraId="0A71890D" w14:textId="77777777" w:rsidR="00217978" w:rsidRPr="00B65D57" w:rsidRDefault="00217978" w:rsidP="008F4848">
      <w:pPr>
        <w:pStyle w:val="Absatz"/>
        <w:ind w:left="0"/>
        <w:rPr>
          <w:rFonts w:eastAsia="Calibri"/>
        </w:rPr>
      </w:pP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77"/>
        <w:gridCol w:w="2268"/>
        <w:gridCol w:w="2410"/>
        <w:gridCol w:w="2409"/>
      </w:tblGrid>
      <w:tr w:rsidR="00217978" w:rsidRPr="00B65D57" w14:paraId="1AD2280D" w14:textId="77777777" w:rsidTr="00760DCC">
        <w:trPr>
          <w:cantSplit/>
          <w:tblHeader/>
        </w:trPr>
        <w:tc>
          <w:tcPr>
            <w:tcW w:w="1977" w:type="dxa"/>
            <w:shd w:val="clear" w:color="auto" w:fill="auto"/>
          </w:tcPr>
          <w:p w14:paraId="40A35B2A" w14:textId="77777777" w:rsidR="00217978" w:rsidRPr="00B65D57" w:rsidRDefault="00217978" w:rsidP="008F4848">
            <w:pPr>
              <w:spacing w:line="260" w:lineRule="atLeast"/>
              <w:rPr>
                <w:rFonts w:eastAsia="Calibri"/>
                <w:b/>
                <w:lang w:eastAsia="en-US"/>
              </w:rPr>
            </w:pPr>
            <w:bookmarkStart w:id="1568" w:name="_Hlk105679771"/>
            <w:r w:rsidRPr="00B65D57">
              <w:rPr>
                <w:rFonts w:eastAsia="Calibri"/>
                <w:b/>
                <w:lang w:eastAsia="en-US"/>
              </w:rPr>
              <w:t>Scenarios combined</w:t>
            </w:r>
          </w:p>
        </w:tc>
        <w:tc>
          <w:tcPr>
            <w:tcW w:w="2268" w:type="dxa"/>
          </w:tcPr>
          <w:p w14:paraId="55ED30E0" w14:textId="77777777" w:rsidR="00217978" w:rsidRPr="00B65D57" w:rsidRDefault="00217978" w:rsidP="008F4848">
            <w:pPr>
              <w:spacing w:line="260" w:lineRule="atLeast"/>
              <w:rPr>
                <w:rFonts w:eastAsia="Calibri"/>
                <w:b/>
                <w:lang w:eastAsia="en-US"/>
              </w:rPr>
            </w:pPr>
            <w:r w:rsidRPr="00B65D57">
              <w:rPr>
                <w:rFonts w:eastAsia="Calibri"/>
                <w:b/>
                <w:lang w:eastAsia="en-US"/>
              </w:rPr>
              <w:t>Estimated inhalation uptake</w:t>
            </w:r>
          </w:p>
          <w:p w14:paraId="0778DA52" w14:textId="77777777" w:rsidR="00217978" w:rsidRPr="00B65D57" w:rsidRDefault="00217978" w:rsidP="008F4848">
            <w:pPr>
              <w:spacing w:line="260" w:lineRule="atLeast"/>
              <w:rPr>
                <w:rFonts w:eastAsia="Calibri"/>
                <w:b/>
                <w:lang w:eastAsia="en-US"/>
              </w:rPr>
            </w:pPr>
            <w:r w:rsidRPr="00B65D57">
              <w:rPr>
                <w:rFonts w:eastAsia="Calibri"/>
                <w:b/>
                <w:lang w:eastAsia="en-US"/>
              </w:rPr>
              <w:t>(mg/kg/day)</w:t>
            </w:r>
          </w:p>
        </w:tc>
        <w:tc>
          <w:tcPr>
            <w:tcW w:w="2410" w:type="dxa"/>
            <w:shd w:val="clear" w:color="auto" w:fill="auto"/>
            <w:tcMar>
              <w:top w:w="57" w:type="dxa"/>
              <w:bottom w:w="57" w:type="dxa"/>
            </w:tcMar>
          </w:tcPr>
          <w:p w14:paraId="425C2034" w14:textId="77777777" w:rsidR="00217978" w:rsidRPr="00B65D57" w:rsidRDefault="00217978" w:rsidP="008F4848">
            <w:pPr>
              <w:spacing w:line="260" w:lineRule="atLeast"/>
              <w:rPr>
                <w:rFonts w:eastAsia="Calibri"/>
                <w:b/>
                <w:lang w:eastAsia="en-US"/>
              </w:rPr>
            </w:pPr>
            <w:r w:rsidRPr="00B65D57">
              <w:rPr>
                <w:rFonts w:eastAsia="Calibri"/>
                <w:b/>
                <w:lang w:eastAsia="en-US"/>
              </w:rPr>
              <w:t>Estimated dermal uptake</w:t>
            </w:r>
          </w:p>
          <w:p w14:paraId="634C4F5E" w14:textId="77777777" w:rsidR="00217978" w:rsidRPr="00B65D57" w:rsidRDefault="00217978" w:rsidP="008F4848">
            <w:pPr>
              <w:spacing w:line="260" w:lineRule="atLeast"/>
              <w:rPr>
                <w:rFonts w:eastAsia="Calibri"/>
                <w:b/>
                <w:lang w:eastAsia="en-US"/>
              </w:rPr>
            </w:pPr>
            <w:r w:rsidRPr="00B65D57">
              <w:rPr>
                <w:rFonts w:eastAsia="Calibri"/>
                <w:b/>
                <w:lang w:eastAsia="en-US"/>
              </w:rPr>
              <w:t>(mg/kg/day)</w:t>
            </w:r>
          </w:p>
        </w:tc>
        <w:tc>
          <w:tcPr>
            <w:tcW w:w="2409" w:type="dxa"/>
          </w:tcPr>
          <w:p w14:paraId="018DB93F" w14:textId="77777777" w:rsidR="00217978" w:rsidRPr="00B65D57" w:rsidRDefault="00217978" w:rsidP="008F4848">
            <w:pPr>
              <w:spacing w:line="260" w:lineRule="atLeast"/>
              <w:rPr>
                <w:rFonts w:eastAsia="Calibri"/>
                <w:b/>
                <w:lang w:eastAsia="en-US"/>
              </w:rPr>
            </w:pPr>
            <w:r w:rsidRPr="00B65D57">
              <w:rPr>
                <w:rFonts w:eastAsia="Calibri"/>
                <w:b/>
                <w:lang w:eastAsia="en-US"/>
              </w:rPr>
              <w:t>Estimated total uptake</w:t>
            </w:r>
          </w:p>
          <w:p w14:paraId="35084F2C" w14:textId="77777777" w:rsidR="00217978" w:rsidRPr="00B65D57" w:rsidRDefault="00217978" w:rsidP="008F4848">
            <w:pPr>
              <w:spacing w:line="260" w:lineRule="atLeast"/>
              <w:rPr>
                <w:rFonts w:eastAsia="Calibri"/>
                <w:b/>
                <w:lang w:eastAsia="en-US"/>
              </w:rPr>
            </w:pPr>
            <w:r w:rsidRPr="00B65D57">
              <w:rPr>
                <w:rFonts w:eastAsia="Calibri"/>
                <w:b/>
                <w:lang w:eastAsia="en-US"/>
              </w:rPr>
              <w:t>(mg/kg/day)</w:t>
            </w:r>
          </w:p>
        </w:tc>
      </w:tr>
      <w:tr w:rsidR="00217978" w:rsidRPr="00B65D57" w14:paraId="41FB6080" w14:textId="77777777" w:rsidTr="00760DCC">
        <w:trPr>
          <w:cantSplit/>
          <w:tblHeader/>
        </w:trPr>
        <w:tc>
          <w:tcPr>
            <w:tcW w:w="1977" w:type="dxa"/>
            <w:shd w:val="clear" w:color="auto" w:fill="auto"/>
          </w:tcPr>
          <w:p w14:paraId="0B572A45" w14:textId="77777777" w:rsidR="00217978" w:rsidRPr="00B65D57" w:rsidRDefault="00217978" w:rsidP="008F4848">
            <w:pPr>
              <w:spacing w:line="260" w:lineRule="atLeast"/>
              <w:rPr>
                <w:rFonts w:eastAsia="Calibri"/>
                <w:lang w:eastAsia="en-US"/>
              </w:rPr>
            </w:pPr>
            <w:r w:rsidRPr="00B65D57">
              <w:rPr>
                <w:rFonts w:eastAsia="Calibri"/>
                <w:lang w:eastAsia="en-US"/>
              </w:rPr>
              <w:t>Scenarios [1]</w:t>
            </w:r>
          </w:p>
        </w:tc>
        <w:tc>
          <w:tcPr>
            <w:tcW w:w="2268" w:type="dxa"/>
          </w:tcPr>
          <w:p w14:paraId="29FD42FE" w14:textId="77777777" w:rsidR="00217978" w:rsidRPr="00B65D57" w:rsidRDefault="00217978" w:rsidP="008F4848">
            <w:pPr>
              <w:spacing w:line="260" w:lineRule="atLeast"/>
              <w:rPr>
                <w:rFonts w:eastAsia="Calibri"/>
                <w:lang w:eastAsia="en-US"/>
              </w:rPr>
            </w:pPr>
            <w:r w:rsidRPr="00B65D57">
              <w:rPr>
                <w:rFonts w:eastAsia="Calibri"/>
                <w:lang w:eastAsia="en-US"/>
              </w:rPr>
              <w:t>0.0006</w:t>
            </w:r>
          </w:p>
        </w:tc>
        <w:tc>
          <w:tcPr>
            <w:tcW w:w="2410" w:type="dxa"/>
            <w:shd w:val="clear" w:color="auto" w:fill="auto"/>
            <w:tcMar>
              <w:top w:w="57" w:type="dxa"/>
              <w:bottom w:w="57" w:type="dxa"/>
            </w:tcMar>
          </w:tcPr>
          <w:p w14:paraId="73FFC2A7" w14:textId="77777777" w:rsidR="00217978" w:rsidRPr="00B65D57" w:rsidRDefault="00217978" w:rsidP="008F4848">
            <w:pPr>
              <w:spacing w:line="260" w:lineRule="atLeast"/>
              <w:rPr>
                <w:rFonts w:eastAsia="Calibri"/>
                <w:lang w:eastAsia="en-US"/>
              </w:rPr>
            </w:pPr>
            <w:r w:rsidRPr="00B65D57">
              <w:rPr>
                <w:rFonts w:eastAsia="Calibri"/>
                <w:lang w:eastAsia="en-US"/>
              </w:rPr>
              <w:t>0.0494</w:t>
            </w:r>
          </w:p>
        </w:tc>
        <w:tc>
          <w:tcPr>
            <w:tcW w:w="2409" w:type="dxa"/>
          </w:tcPr>
          <w:p w14:paraId="35DB87F4" w14:textId="77777777" w:rsidR="00217978" w:rsidRPr="00B65D57" w:rsidRDefault="00217978" w:rsidP="008F4848">
            <w:pPr>
              <w:spacing w:line="260" w:lineRule="atLeast"/>
              <w:rPr>
                <w:rFonts w:eastAsia="Calibri"/>
                <w:lang w:eastAsia="en-US"/>
              </w:rPr>
            </w:pPr>
            <w:r w:rsidRPr="00B65D57">
              <w:rPr>
                <w:rFonts w:eastAsia="Calibri"/>
                <w:lang w:eastAsia="en-US"/>
              </w:rPr>
              <w:t>0.050</w:t>
            </w:r>
          </w:p>
        </w:tc>
      </w:tr>
      <w:tr w:rsidR="00217978" w:rsidRPr="00B65D57" w14:paraId="022EDE14" w14:textId="77777777" w:rsidTr="00760DCC">
        <w:trPr>
          <w:cantSplit/>
          <w:tblHeader/>
        </w:trPr>
        <w:tc>
          <w:tcPr>
            <w:tcW w:w="1977" w:type="dxa"/>
            <w:shd w:val="clear" w:color="auto" w:fill="auto"/>
          </w:tcPr>
          <w:p w14:paraId="63B1E591" w14:textId="60DAF36F" w:rsidR="00217978" w:rsidRPr="00B65D57" w:rsidRDefault="00217978" w:rsidP="008F4848">
            <w:pPr>
              <w:spacing w:line="260" w:lineRule="atLeast"/>
              <w:rPr>
                <w:rFonts w:eastAsia="Calibri"/>
                <w:lang w:eastAsia="en-US"/>
              </w:rPr>
            </w:pPr>
            <w:r w:rsidRPr="00B65D57">
              <w:rPr>
                <w:rFonts w:eastAsia="Calibri"/>
                <w:lang w:eastAsia="en-US"/>
              </w:rPr>
              <w:t>Scenarios [2.1-7]</w:t>
            </w:r>
          </w:p>
        </w:tc>
        <w:tc>
          <w:tcPr>
            <w:tcW w:w="2268" w:type="dxa"/>
          </w:tcPr>
          <w:p w14:paraId="3AC0C810" w14:textId="77777777" w:rsidR="00217978" w:rsidRPr="00B65D57" w:rsidRDefault="00217978" w:rsidP="008F4848">
            <w:pPr>
              <w:spacing w:line="260" w:lineRule="atLeast"/>
              <w:rPr>
                <w:rFonts w:eastAsia="Calibri"/>
                <w:lang w:eastAsia="en-US"/>
              </w:rPr>
            </w:pPr>
            <w:r w:rsidRPr="00B65D57">
              <w:rPr>
                <w:rFonts w:eastAsia="Calibri"/>
                <w:lang w:eastAsia="en-US"/>
              </w:rPr>
              <w:t>0.0011</w:t>
            </w:r>
          </w:p>
        </w:tc>
        <w:tc>
          <w:tcPr>
            <w:tcW w:w="2410" w:type="dxa"/>
            <w:shd w:val="clear" w:color="auto" w:fill="auto"/>
            <w:tcMar>
              <w:top w:w="57" w:type="dxa"/>
              <w:bottom w:w="57" w:type="dxa"/>
            </w:tcMar>
          </w:tcPr>
          <w:p w14:paraId="10C7E63B" w14:textId="77777777" w:rsidR="00217978" w:rsidRPr="00B65D57" w:rsidRDefault="00217978" w:rsidP="008F4848">
            <w:pPr>
              <w:spacing w:line="260" w:lineRule="atLeast"/>
              <w:rPr>
                <w:rFonts w:eastAsia="Calibri"/>
                <w:lang w:eastAsia="en-US"/>
              </w:rPr>
            </w:pPr>
            <w:r w:rsidRPr="00B65D57">
              <w:rPr>
                <w:rFonts w:eastAsia="Calibri"/>
                <w:lang w:eastAsia="en-US"/>
              </w:rPr>
              <w:t>0.0630</w:t>
            </w:r>
          </w:p>
        </w:tc>
        <w:tc>
          <w:tcPr>
            <w:tcW w:w="2409" w:type="dxa"/>
          </w:tcPr>
          <w:p w14:paraId="5FD825CC" w14:textId="77777777" w:rsidR="00217978" w:rsidRPr="00B65D57" w:rsidRDefault="00217978" w:rsidP="008F4848">
            <w:pPr>
              <w:spacing w:line="260" w:lineRule="atLeast"/>
              <w:rPr>
                <w:rFonts w:eastAsia="Calibri"/>
                <w:lang w:eastAsia="en-US"/>
              </w:rPr>
            </w:pPr>
            <w:r w:rsidRPr="00B65D57">
              <w:rPr>
                <w:rFonts w:eastAsia="Calibri"/>
                <w:lang w:eastAsia="en-US"/>
              </w:rPr>
              <w:t>0.064</w:t>
            </w:r>
          </w:p>
        </w:tc>
      </w:tr>
      <w:tr w:rsidR="00217978" w:rsidRPr="00B65D57" w14:paraId="2999DE00" w14:textId="77777777" w:rsidTr="00760DCC">
        <w:trPr>
          <w:cantSplit/>
          <w:tblHeader/>
        </w:trPr>
        <w:tc>
          <w:tcPr>
            <w:tcW w:w="1977" w:type="dxa"/>
            <w:shd w:val="clear" w:color="auto" w:fill="auto"/>
          </w:tcPr>
          <w:p w14:paraId="5B0A4602" w14:textId="77777777" w:rsidR="00217978" w:rsidRPr="00B65D57" w:rsidRDefault="00217978" w:rsidP="008F4848">
            <w:pPr>
              <w:spacing w:line="260" w:lineRule="atLeast"/>
              <w:rPr>
                <w:rFonts w:eastAsia="Calibri"/>
                <w:lang w:eastAsia="en-US"/>
              </w:rPr>
            </w:pPr>
            <w:r w:rsidRPr="00B65D57">
              <w:rPr>
                <w:rFonts w:eastAsia="Calibri"/>
                <w:lang w:eastAsia="en-US"/>
              </w:rPr>
              <w:t>Scenarios [8]</w:t>
            </w:r>
          </w:p>
        </w:tc>
        <w:tc>
          <w:tcPr>
            <w:tcW w:w="2268" w:type="dxa"/>
          </w:tcPr>
          <w:p w14:paraId="342CA308" w14:textId="77777777" w:rsidR="00217978" w:rsidRPr="00B65D57" w:rsidRDefault="00217978" w:rsidP="008F4848">
            <w:pPr>
              <w:spacing w:line="260" w:lineRule="atLeast"/>
              <w:rPr>
                <w:rFonts w:eastAsia="Calibri"/>
                <w:lang w:eastAsia="en-US"/>
              </w:rPr>
            </w:pPr>
            <w:r w:rsidRPr="00B65D57">
              <w:rPr>
                <w:rFonts w:eastAsia="Calibri"/>
                <w:lang w:eastAsia="en-US"/>
              </w:rPr>
              <w:t>0.00045</w:t>
            </w:r>
          </w:p>
        </w:tc>
        <w:tc>
          <w:tcPr>
            <w:tcW w:w="2410" w:type="dxa"/>
            <w:shd w:val="clear" w:color="auto" w:fill="auto"/>
            <w:tcMar>
              <w:top w:w="57" w:type="dxa"/>
              <w:bottom w:w="57" w:type="dxa"/>
            </w:tcMar>
          </w:tcPr>
          <w:p w14:paraId="2F772E64" w14:textId="77777777" w:rsidR="00217978" w:rsidRPr="00B65D57" w:rsidRDefault="00217978" w:rsidP="008F4848">
            <w:pPr>
              <w:spacing w:line="260" w:lineRule="atLeast"/>
              <w:rPr>
                <w:rFonts w:eastAsia="Calibri"/>
                <w:lang w:eastAsia="en-US"/>
              </w:rPr>
            </w:pPr>
            <w:r w:rsidRPr="00B65D57">
              <w:rPr>
                <w:rFonts w:eastAsia="Calibri"/>
                <w:lang w:eastAsia="en-US"/>
              </w:rPr>
              <w:t>0.0137</w:t>
            </w:r>
          </w:p>
        </w:tc>
        <w:tc>
          <w:tcPr>
            <w:tcW w:w="2409" w:type="dxa"/>
          </w:tcPr>
          <w:p w14:paraId="0A3B8CEC" w14:textId="77777777" w:rsidR="00217978" w:rsidRPr="00B65D57" w:rsidRDefault="00217978" w:rsidP="008F4848">
            <w:pPr>
              <w:spacing w:line="260" w:lineRule="atLeast"/>
              <w:rPr>
                <w:rFonts w:eastAsia="Calibri"/>
                <w:lang w:eastAsia="en-US"/>
              </w:rPr>
            </w:pPr>
            <w:r w:rsidRPr="00B65D57">
              <w:rPr>
                <w:rFonts w:eastAsia="Calibri"/>
                <w:lang w:eastAsia="en-US"/>
              </w:rPr>
              <w:t>0.014</w:t>
            </w:r>
          </w:p>
        </w:tc>
      </w:tr>
      <w:bookmarkEnd w:id="1568"/>
    </w:tbl>
    <w:p w14:paraId="2FEB52DF" w14:textId="0EE67C8C" w:rsidR="00BD4323" w:rsidRPr="00B65D57" w:rsidRDefault="00BD4323" w:rsidP="008F4848">
      <w:pPr>
        <w:rPr>
          <w:rFonts w:eastAsia="Calibri"/>
        </w:rPr>
      </w:pPr>
    </w:p>
    <w:p w14:paraId="28D8B82C" w14:textId="317018BF" w:rsidR="00217978" w:rsidRPr="00B65D57" w:rsidRDefault="002C23EC" w:rsidP="008F4848">
      <w:pPr>
        <w:pStyle w:val="Rubrik5"/>
        <w:ind w:left="360"/>
        <w:rPr>
          <w:rFonts w:eastAsia="Calibri"/>
          <w:lang w:val="en-GB"/>
        </w:rPr>
      </w:pPr>
      <w:bookmarkStart w:id="1569" w:name="_Toc389729070"/>
      <w:bookmarkStart w:id="1570" w:name="_Toc403472768"/>
      <w:r w:rsidRPr="00B65D57">
        <w:rPr>
          <w:rFonts w:eastAsia="Calibri"/>
          <w:lang w:val="en-GB"/>
        </w:rPr>
        <w:t xml:space="preserve">2.2.6.2.6 </w:t>
      </w:r>
      <w:r w:rsidR="00217978" w:rsidRPr="00B65D57">
        <w:rPr>
          <w:rFonts w:eastAsia="Calibri"/>
          <w:lang w:val="en-GB"/>
        </w:rPr>
        <w:t>Non-professional exposure</w:t>
      </w:r>
      <w:bookmarkEnd w:id="1569"/>
      <w:bookmarkEnd w:id="1570"/>
    </w:p>
    <w:p w14:paraId="1D1E2629" w14:textId="77777777" w:rsidR="00217978" w:rsidRPr="00B65D57" w:rsidRDefault="00217978" w:rsidP="008F4848">
      <w:pPr>
        <w:rPr>
          <w:rFonts w:eastAsia="Calibri"/>
          <w:lang w:eastAsia="en-US"/>
        </w:rPr>
      </w:pPr>
      <w:bookmarkStart w:id="1571" w:name="_Hlk19102285"/>
      <w:r w:rsidRPr="00B65D57">
        <w:rPr>
          <w:rFonts w:eastAsia="Calibri"/>
          <w:lang w:eastAsia="en-US"/>
        </w:rPr>
        <w:t>Not relevant. Professional use only</w:t>
      </w:r>
      <w:bookmarkEnd w:id="1571"/>
      <w:r w:rsidRPr="00B65D57">
        <w:rPr>
          <w:rFonts w:eastAsia="Calibri"/>
          <w:lang w:eastAsia="en-US"/>
        </w:rPr>
        <w:t>.</w:t>
      </w:r>
    </w:p>
    <w:p w14:paraId="5E894AFF" w14:textId="77777777" w:rsidR="00BD4323" w:rsidRPr="00B65D57" w:rsidRDefault="00BD4323" w:rsidP="008F4848">
      <w:pPr>
        <w:spacing w:line="260" w:lineRule="atLeast"/>
        <w:rPr>
          <w:rFonts w:eastAsia="Calibri"/>
          <w:lang w:eastAsia="en-US"/>
        </w:rPr>
      </w:pPr>
    </w:p>
    <w:p w14:paraId="677D5863" w14:textId="20822F7C" w:rsidR="00217978" w:rsidRPr="00B65D57" w:rsidRDefault="002C23EC" w:rsidP="008F4848">
      <w:pPr>
        <w:pStyle w:val="Rubrik5"/>
        <w:ind w:left="360"/>
        <w:rPr>
          <w:rFonts w:eastAsia="Calibri"/>
          <w:lang w:val="en-GB"/>
        </w:rPr>
      </w:pPr>
      <w:bookmarkStart w:id="1572" w:name="_Toc389729073"/>
      <w:bookmarkStart w:id="1573" w:name="_Toc403472769"/>
      <w:r w:rsidRPr="00B65D57">
        <w:rPr>
          <w:rFonts w:eastAsia="Calibri"/>
          <w:lang w:val="en-GB"/>
        </w:rPr>
        <w:t xml:space="preserve">2.2.6.2.7 </w:t>
      </w:r>
      <w:r w:rsidR="00217978" w:rsidRPr="00B65D57">
        <w:rPr>
          <w:rFonts w:eastAsia="Calibri"/>
          <w:lang w:val="en-GB"/>
        </w:rPr>
        <w:t>Exposure of the general public</w:t>
      </w:r>
      <w:bookmarkEnd w:id="1572"/>
      <w:bookmarkEnd w:id="1573"/>
    </w:p>
    <w:p w14:paraId="4EB4A960" w14:textId="77777777" w:rsidR="00217978" w:rsidRPr="00B65D57" w:rsidRDefault="00217978" w:rsidP="008F4848">
      <w:pPr>
        <w:rPr>
          <w:rFonts w:eastAsia="Calibri"/>
          <w:lang w:eastAsia="en-US"/>
        </w:rPr>
      </w:pPr>
      <w:r w:rsidRPr="00B65D57">
        <w:rPr>
          <w:rFonts w:eastAsia="Calibri"/>
          <w:lang w:eastAsia="en-US"/>
        </w:rPr>
        <w:t xml:space="preserve">Not relevant since only professionals are allowed in the working areas. </w:t>
      </w:r>
    </w:p>
    <w:p w14:paraId="3EA5EA79" w14:textId="35BB9A7B" w:rsidR="00BD4323" w:rsidRPr="00B65D57" w:rsidRDefault="00635235" w:rsidP="008F4848">
      <w:pPr>
        <w:tabs>
          <w:tab w:val="left" w:pos="5621"/>
        </w:tabs>
        <w:spacing w:line="260" w:lineRule="atLeast"/>
        <w:rPr>
          <w:rFonts w:eastAsia="Calibri"/>
          <w:lang w:eastAsia="en-US"/>
        </w:rPr>
      </w:pPr>
      <w:r w:rsidRPr="00B65D57">
        <w:rPr>
          <w:rFonts w:eastAsia="Calibri"/>
          <w:lang w:eastAsia="en-US"/>
        </w:rPr>
        <w:tab/>
      </w:r>
    </w:p>
    <w:p w14:paraId="6630554B" w14:textId="4AA5A820" w:rsidR="00217978" w:rsidRPr="00B65D57" w:rsidRDefault="002C23EC" w:rsidP="008F4848">
      <w:pPr>
        <w:pStyle w:val="Rubrik5"/>
        <w:ind w:left="360"/>
        <w:rPr>
          <w:rFonts w:eastAsia="Calibri"/>
          <w:lang w:val="en-GB"/>
        </w:rPr>
      </w:pPr>
      <w:bookmarkStart w:id="1574" w:name="_Toc389729077"/>
      <w:bookmarkStart w:id="1575" w:name="_Toc403472771"/>
      <w:r w:rsidRPr="00B65D57">
        <w:rPr>
          <w:rFonts w:eastAsia="Calibri"/>
          <w:lang w:val="en-GB"/>
        </w:rPr>
        <w:t xml:space="preserve">2.2.6.2.8 </w:t>
      </w:r>
      <w:r w:rsidR="00217978" w:rsidRPr="00B65D57">
        <w:rPr>
          <w:rFonts w:eastAsia="Calibri"/>
          <w:lang w:val="en-GB"/>
        </w:rPr>
        <w:t>Dietary exposure</w:t>
      </w:r>
      <w:bookmarkEnd w:id="1574"/>
      <w:bookmarkEnd w:id="1575"/>
    </w:p>
    <w:p w14:paraId="674514B5" w14:textId="77777777" w:rsidR="00217978" w:rsidRPr="00B65D57" w:rsidRDefault="00217978" w:rsidP="008F4848">
      <w:pPr>
        <w:rPr>
          <w:rFonts w:eastAsia="Calibri"/>
          <w:lang w:eastAsia="en-US"/>
        </w:rPr>
      </w:pPr>
      <w:r w:rsidRPr="00B65D57">
        <w:rPr>
          <w:rFonts w:eastAsia="Calibri"/>
          <w:lang w:eastAsia="en-US"/>
        </w:rPr>
        <w:t>Not relevant since the biocidal product should not be used in a way that results in dietary exposure.</w:t>
      </w:r>
    </w:p>
    <w:p w14:paraId="0E688A23" w14:textId="77777777" w:rsidR="00BD4323" w:rsidRPr="00B65D57" w:rsidRDefault="00BD4323" w:rsidP="00BD4323">
      <w:pPr>
        <w:spacing w:line="260" w:lineRule="atLeast"/>
        <w:rPr>
          <w:rFonts w:eastAsia="Calibri"/>
          <w:lang w:eastAsia="en-US"/>
        </w:rPr>
      </w:pPr>
    </w:p>
    <w:p w14:paraId="12D57304" w14:textId="510A83F1" w:rsidR="00217978" w:rsidRPr="00B65D57" w:rsidRDefault="00217978" w:rsidP="00217978">
      <w:pPr>
        <w:rPr>
          <w:rFonts w:eastAsia="Calibri"/>
          <w:i/>
          <w:sz w:val="22"/>
          <w:szCs w:val="22"/>
          <w:u w:val="single"/>
          <w:lang w:eastAsia="en-US"/>
        </w:rPr>
      </w:pPr>
      <w:bookmarkStart w:id="1576" w:name="_Toc389729080"/>
      <w:r w:rsidRPr="00B65D57">
        <w:rPr>
          <w:rFonts w:eastAsia="Calibri"/>
          <w:i/>
          <w:sz w:val="22"/>
          <w:szCs w:val="22"/>
          <w:u w:val="single"/>
          <w:lang w:eastAsia="en-US"/>
        </w:rPr>
        <w:t>Estimating</w:t>
      </w:r>
      <w:r w:rsidR="0083580A" w:rsidRPr="00B65D57">
        <w:rPr>
          <w:rFonts w:eastAsia="Calibri"/>
          <w:i/>
          <w:sz w:val="22"/>
          <w:szCs w:val="22"/>
          <w:u w:val="single"/>
          <w:lang w:eastAsia="en-US"/>
        </w:rPr>
        <w:t xml:space="preserve"> l</w:t>
      </w:r>
      <w:r w:rsidRPr="00B65D57">
        <w:rPr>
          <w:rFonts w:eastAsia="Calibri"/>
          <w:i/>
          <w:sz w:val="22"/>
          <w:szCs w:val="22"/>
          <w:u w:val="single"/>
          <w:lang w:eastAsia="en-US"/>
        </w:rPr>
        <w:t xml:space="preserve">ivestock </w:t>
      </w:r>
      <w:r w:rsidR="0083580A" w:rsidRPr="00B65D57">
        <w:rPr>
          <w:rFonts w:eastAsia="Calibri"/>
          <w:i/>
          <w:sz w:val="22"/>
          <w:szCs w:val="22"/>
          <w:u w:val="single"/>
          <w:lang w:eastAsia="en-US"/>
        </w:rPr>
        <w:t>e</w:t>
      </w:r>
      <w:r w:rsidRPr="00B65D57">
        <w:rPr>
          <w:rFonts w:eastAsia="Calibri"/>
          <w:i/>
          <w:sz w:val="22"/>
          <w:szCs w:val="22"/>
          <w:u w:val="single"/>
          <w:lang w:eastAsia="en-US"/>
        </w:rPr>
        <w:t xml:space="preserve">xposure to </w:t>
      </w:r>
      <w:r w:rsidR="0083580A" w:rsidRPr="00B65D57">
        <w:rPr>
          <w:rFonts w:eastAsia="Calibri"/>
          <w:i/>
          <w:sz w:val="22"/>
          <w:szCs w:val="22"/>
          <w:u w:val="single"/>
          <w:lang w:eastAsia="en-US"/>
        </w:rPr>
        <w:t>a</w:t>
      </w:r>
      <w:r w:rsidRPr="00B65D57">
        <w:rPr>
          <w:rFonts w:eastAsia="Calibri"/>
          <w:i/>
          <w:sz w:val="22"/>
          <w:szCs w:val="22"/>
          <w:u w:val="single"/>
          <w:lang w:eastAsia="en-US"/>
        </w:rPr>
        <w:t xml:space="preserve">ctive </w:t>
      </w:r>
      <w:r w:rsidR="0083580A" w:rsidRPr="00B65D57">
        <w:rPr>
          <w:rFonts w:eastAsia="Calibri"/>
          <w:i/>
          <w:sz w:val="22"/>
          <w:szCs w:val="22"/>
          <w:u w:val="single"/>
          <w:lang w:eastAsia="en-US"/>
        </w:rPr>
        <w:t>s</w:t>
      </w:r>
      <w:r w:rsidRPr="00B65D57">
        <w:rPr>
          <w:rFonts w:eastAsia="Calibri"/>
          <w:i/>
          <w:sz w:val="22"/>
          <w:szCs w:val="22"/>
          <w:u w:val="single"/>
          <w:lang w:eastAsia="en-US"/>
        </w:rPr>
        <w:t xml:space="preserve">ubstances used in </w:t>
      </w:r>
      <w:r w:rsidR="0083580A" w:rsidRPr="00B65D57">
        <w:rPr>
          <w:rFonts w:eastAsia="Calibri"/>
          <w:i/>
          <w:sz w:val="22"/>
          <w:szCs w:val="22"/>
          <w:u w:val="single"/>
          <w:lang w:eastAsia="en-US"/>
        </w:rPr>
        <w:t>b</w:t>
      </w:r>
      <w:r w:rsidRPr="00B65D57">
        <w:rPr>
          <w:rFonts w:eastAsia="Calibri"/>
          <w:i/>
          <w:sz w:val="22"/>
          <w:szCs w:val="22"/>
          <w:u w:val="single"/>
          <w:lang w:eastAsia="en-US"/>
        </w:rPr>
        <w:t xml:space="preserve">iocidal </w:t>
      </w:r>
      <w:r w:rsidR="0083580A" w:rsidRPr="00B65D57">
        <w:rPr>
          <w:rFonts w:eastAsia="Calibri"/>
          <w:i/>
          <w:sz w:val="22"/>
          <w:szCs w:val="22"/>
          <w:u w:val="single"/>
          <w:lang w:eastAsia="en-US"/>
        </w:rPr>
        <w:t>p</w:t>
      </w:r>
      <w:r w:rsidRPr="00B65D57">
        <w:rPr>
          <w:rFonts w:eastAsia="Calibri"/>
          <w:i/>
          <w:sz w:val="22"/>
          <w:szCs w:val="22"/>
          <w:u w:val="single"/>
          <w:lang w:eastAsia="en-US"/>
        </w:rPr>
        <w:t>roduct</w:t>
      </w:r>
      <w:bookmarkEnd w:id="1576"/>
    </w:p>
    <w:p w14:paraId="21AA0DB6" w14:textId="77777777" w:rsidR="00217978" w:rsidRPr="00B65D57" w:rsidRDefault="00217978" w:rsidP="00217978">
      <w:pPr>
        <w:rPr>
          <w:rFonts w:eastAsia="Calibri"/>
          <w:lang w:eastAsia="en-US"/>
        </w:rPr>
      </w:pPr>
      <w:r w:rsidRPr="00B65D57">
        <w:rPr>
          <w:rFonts w:eastAsia="Calibri"/>
          <w:lang w:eastAsia="en-US"/>
        </w:rPr>
        <w:t>Not relevant since the treatment with Jerbor will not result in exposure to livestock animals.</w:t>
      </w:r>
    </w:p>
    <w:p w14:paraId="74943A58" w14:textId="77777777" w:rsidR="00BD4323" w:rsidRPr="00B65D57" w:rsidRDefault="00BD4323" w:rsidP="00BD4323">
      <w:pPr>
        <w:spacing w:line="260" w:lineRule="atLeast"/>
        <w:rPr>
          <w:rFonts w:ascii="Times New Roman" w:eastAsia="Calibri" w:hAnsi="Times New Roman"/>
          <w:i/>
          <w:iCs/>
          <w:lang w:eastAsia="en-US"/>
        </w:rPr>
      </w:pPr>
    </w:p>
    <w:p w14:paraId="133B42A0" w14:textId="77777777" w:rsidR="00217978" w:rsidRPr="00B65D57" w:rsidRDefault="00217978" w:rsidP="00217978">
      <w:pPr>
        <w:rPr>
          <w:rFonts w:eastAsia="Calibri"/>
          <w:i/>
          <w:sz w:val="22"/>
          <w:szCs w:val="22"/>
          <w:u w:val="single"/>
          <w:lang w:eastAsia="en-US"/>
        </w:rPr>
      </w:pPr>
      <w:bookmarkStart w:id="1577" w:name="_Toc389729081"/>
      <w:r w:rsidRPr="00B65D57">
        <w:rPr>
          <w:rFonts w:eastAsia="Calibri"/>
          <w:i/>
          <w:sz w:val="22"/>
          <w:szCs w:val="22"/>
          <w:u w:val="single"/>
          <w:lang w:eastAsia="en-US"/>
        </w:rPr>
        <w:t>Estimating transfer of biocidal active substances into foods as a result of professional use</w:t>
      </w:r>
      <w:bookmarkEnd w:id="1577"/>
    </w:p>
    <w:p w14:paraId="6377B157" w14:textId="77777777" w:rsidR="00217978" w:rsidRPr="00B65D57" w:rsidRDefault="00217978" w:rsidP="00217978">
      <w:pPr>
        <w:rPr>
          <w:rFonts w:eastAsia="Calibri"/>
          <w:lang w:eastAsia="en-US"/>
        </w:rPr>
      </w:pPr>
      <w:r w:rsidRPr="00B65D57">
        <w:rPr>
          <w:rFonts w:eastAsia="Calibri"/>
          <w:lang w:eastAsia="en-US"/>
        </w:rPr>
        <w:t xml:space="preserve">Not relevant since the treatment with Jerbor will not result in transfer of biocidal active substances into foods.  </w:t>
      </w:r>
    </w:p>
    <w:p w14:paraId="0FF3BCDA" w14:textId="67ACE840" w:rsidR="00BD4323" w:rsidRPr="00B65D57" w:rsidRDefault="00BD4323" w:rsidP="00BD4323">
      <w:pPr>
        <w:spacing w:line="260" w:lineRule="atLeast"/>
        <w:rPr>
          <w:rFonts w:eastAsia="Calibri"/>
          <w:lang w:eastAsia="en-US"/>
        </w:rPr>
      </w:pPr>
    </w:p>
    <w:p w14:paraId="3B0E5E7E" w14:textId="77777777" w:rsidR="00217978" w:rsidRPr="00B65D57" w:rsidRDefault="00217978" w:rsidP="00217978">
      <w:pPr>
        <w:spacing w:line="260" w:lineRule="atLeast"/>
        <w:rPr>
          <w:rFonts w:eastAsia="Calibri"/>
          <w:i/>
          <w:szCs w:val="22"/>
          <w:u w:val="single"/>
          <w:lang w:eastAsia="en-US"/>
        </w:rPr>
      </w:pPr>
      <w:bookmarkStart w:id="1578" w:name="_Toc389729082"/>
      <w:r w:rsidRPr="00B65D57">
        <w:rPr>
          <w:rFonts w:eastAsia="Calibri"/>
          <w:i/>
          <w:sz w:val="22"/>
          <w:szCs w:val="22"/>
          <w:u w:val="single"/>
          <w:lang w:eastAsia="en-US"/>
        </w:rPr>
        <w:t>Estimating transfer of biocidal active substances into foods as a result of non-professional use</w:t>
      </w:r>
      <w:bookmarkEnd w:id="1578"/>
    </w:p>
    <w:p w14:paraId="388824DF" w14:textId="7DB03567" w:rsidR="00BD4323" w:rsidRPr="00B65D57" w:rsidRDefault="00217978" w:rsidP="00217978">
      <w:pPr>
        <w:spacing w:line="260" w:lineRule="atLeast"/>
        <w:rPr>
          <w:rFonts w:eastAsia="Calibri"/>
          <w:lang w:eastAsia="en-US"/>
        </w:rPr>
      </w:pPr>
      <w:r w:rsidRPr="00B65D57">
        <w:rPr>
          <w:rFonts w:eastAsia="Calibri"/>
          <w:lang w:eastAsia="en-US"/>
        </w:rPr>
        <w:t>Not relevant since the treatment with Jerbor</w:t>
      </w:r>
      <w:r w:rsidR="002E1028" w:rsidRPr="00B65D57">
        <w:rPr>
          <w:rFonts w:eastAsia="Calibri"/>
          <w:lang w:eastAsia="en-US"/>
        </w:rPr>
        <w:t xml:space="preserve"> will</w:t>
      </w:r>
      <w:r w:rsidRPr="00B65D57">
        <w:rPr>
          <w:rFonts w:eastAsia="Calibri"/>
          <w:lang w:eastAsia="en-US"/>
        </w:rPr>
        <w:t xml:space="preserve"> not result in transfer of biocidal active substances into foods.</w:t>
      </w:r>
    </w:p>
    <w:p w14:paraId="0655BED7" w14:textId="77777777" w:rsidR="00217978" w:rsidRPr="00B65D57" w:rsidRDefault="00217978" w:rsidP="00217978">
      <w:pPr>
        <w:spacing w:line="260" w:lineRule="atLeast"/>
        <w:rPr>
          <w:rFonts w:eastAsia="Calibri"/>
          <w:lang w:eastAsia="en-US"/>
        </w:rPr>
      </w:pPr>
    </w:p>
    <w:p w14:paraId="447BB708" w14:textId="5445C270" w:rsidR="00217978" w:rsidRPr="00B65D57" w:rsidRDefault="002C23EC" w:rsidP="008F4848">
      <w:pPr>
        <w:pStyle w:val="Rubrik5"/>
        <w:ind w:left="360"/>
        <w:rPr>
          <w:rFonts w:eastAsia="Calibri"/>
          <w:lang w:val="en-GB"/>
        </w:rPr>
      </w:pPr>
      <w:bookmarkStart w:id="1579" w:name="_Toc389729083"/>
      <w:bookmarkStart w:id="1580" w:name="_Toc403472772"/>
      <w:r w:rsidRPr="00B65D57">
        <w:rPr>
          <w:rFonts w:eastAsia="Calibri"/>
          <w:lang w:val="en-GB"/>
        </w:rPr>
        <w:lastRenderedPageBreak/>
        <w:t xml:space="preserve">2.2.6.2.9 </w:t>
      </w:r>
      <w:r w:rsidR="00217978" w:rsidRPr="00B65D57">
        <w:rPr>
          <w:rFonts w:eastAsia="Calibri"/>
          <w:lang w:val="en-GB"/>
        </w:rPr>
        <w:t>Exposure associated with production, formulation and disposal of the biocidal product</w:t>
      </w:r>
      <w:bookmarkEnd w:id="1579"/>
      <w:bookmarkEnd w:id="1580"/>
    </w:p>
    <w:p w14:paraId="59299049" w14:textId="05E06954" w:rsidR="00217978" w:rsidRPr="00B65D57" w:rsidRDefault="00217978" w:rsidP="008F4848">
      <w:pPr>
        <w:spacing w:line="257" w:lineRule="auto"/>
        <w:rPr>
          <w:rFonts w:eastAsia="Verdana" w:cs="Verdana"/>
        </w:rPr>
      </w:pPr>
      <w:r w:rsidRPr="00B65D57">
        <w:rPr>
          <w:rFonts w:eastAsia="Verdana" w:cs="Verdana"/>
        </w:rPr>
        <w:t xml:space="preserve">See table “Calculations for scenario [1-9]” on page </w:t>
      </w:r>
      <w:r w:rsidR="00635235" w:rsidRPr="00B65D57">
        <w:rPr>
          <w:rFonts w:eastAsia="Verdana" w:cs="Verdana"/>
        </w:rPr>
        <w:t>61</w:t>
      </w:r>
      <w:r w:rsidRPr="00B65D57">
        <w:rPr>
          <w:rFonts w:eastAsia="Verdana" w:cs="Verdana"/>
        </w:rPr>
        <w:t>.</w:t>
      </w:r>
    </w:p>
    <w:p w14:paraId="0E4123DF" w14:textId="77777777" w:rsidR="00BD4323" w:rsidRPr="00B65D57" w:rsidRDefault="00BD4323" w:rsidP="008F4848">
      <w:pPr>
        <w:spacing w:line="260" w:lineRule="atLeast"/>
        <w:rPr>
          <w:rFonts w:eastAsia="Calibri"/>
          <w:lang w:eastAsia="en-US"/>
        </w:rPr>
      </w:pPr>
    </w:p>
    <w:p w14:paraId="59BD5349" w14:textId="44C0EDF1" w:rsidR="00217978" w:rsidRPr="00B65D57" w:rsidRDefault="002C23EC" w:rsidP="008F4848">
      <w:pPr>
        <w:pStyle w:val="Rubrik5"/>
        <w:ind w:left="360"/>
        <w:rPr>
          <w:rFonts w:eastAsia="Calibri"/>
          <w:lang w:val="en-GB"/>
        </w:rPr>
      </w:pPr>
      <w:bookmarkStart w:id="1581" w:name="_Toc389729086"/>
      <w:bookmarkStart w:id="1582" w:name="_Toc403472773"/>
      <w:r w:rsidRPr="00B65D57">
        <w:rPr>
          <w:rFonts w:eastAsia="Calibri"/>
          <w:lang w:val="en-GB"/>
        </w:rPr>
        <w:t xml:space="preserve">2.2.6.2.10 </w:t>
      </w:r>
      <w:r w:rsidR="00217978" w:rsidRPr="00B65D57">
        <w:rPr>
          <w:rFonts w:eastAsia="Calibri"/>
          <w:lang w:val="en-GB"/>
        </w:rPr>
        <w:t>Aggregated exposure</w:t>
      </w:r>
      <w:bookmarkEnd w:id="1581"/>
      <w:bookmarkEnd w:id="1582"/>
    </w:p>
    <w:p w14:paraId="4F30F7F4" w14:textId="4910E5CC" w:rsidR="00217978" w:rsidRPr="00B65D57" w:rsidRDefault="00217978" w:rsidP="008F4848">
      <w:pPr>
        <w:spacing w:line="260" w:lineRule="atLeast"/>
        <w:rPr>
          <w:rFonts w:eastAsia="Calibri"/>
          <w:lang w:eastAsia="en-US"/>
        </w:rPr>
      </w:pPr>
      <w:r w:rsidRPr="00B65D57">
        <w:rPr>
          <w:rFonts w:eastAsia="Calibri"/>
          <w:lang w:eastAsia="en-US"/>
        </w:rPr>
        <w:t xml:space="preserve">This section is not relevant since exposure to boric acid and disodium tetraborate from other sources than the biocidal product is expected to be negligible. </w:t>
      </w:r>
    </w:p>
    <w:p w14:paraId="43689A6C" w14:textId="0DD269FD" w:rsidR="00217978" w:rsidRPr="00B65D57" w:rsidRDefault="00217978" w:rsidP="00217978">
      <w:pPr>
        <w:spacing w:line="260" w:lineRule="atLeast"/>
        <w:rPr>
          <w:rFonts w:eastAsia="Calibri"/>
          <w:lang w:eastAsia="en-US"/>
        </w:rPr>
      </w:pPr>
    </w:p>
    <w:p w14:paraId="47FEA449" w14:textId="088937E6" w:rsidR="00217978" w:rsidRPr="00B65D57" w:rsidRDefault="00217978" w:rsidP="00217978">
      <w:pPr>
        <w:rPr>
          <w:rFonts w:eastAsia="Calibri"/>
          <w:b/>
          <w:i/>
          <w:sz w:val="22"/>
          <w:szCs w:val="22"/>
          <w:lang w:eastAsia="en-US"/>
        </w:rPr>
      </w:pPr>
      <w:r w:rsidRPr="00B65D57">
        <w:rPr>
          <w:rFonts w:eastAsia="Calibri"/>
          <w:b/>
          <w:i/>
          <w:sz w:val="22"/>
          <w:szCs w:val="22"/>
          <w:lang w:eastAsia="en-US"/>
        </w:rPr>
        <w:t>Summary of exposure assessment</w:t>
      </w:r>
    </w:p>
    <w:tbl>
      <w:tblPr>
        <w:tblW w:w="523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2"/>
        <w:gridCol w:w="3114"/>
        <w:gridCol w:w="2906"/>
        <w:gridCol w:w="2408"/>
      </w:tblGrid>
      <w:tr w:rsidR="00217978" w:rsidRPr="00B65D57" w14:paraId="2A0A8A7B" w14:textId="77777777" w:rsidTr="00760DCC">
        <w:trPr>
          <w:tblHeader/>
        </w:trPr>
        <w:tc>
          <w:tcPr>
            <w:tcW w:w="5000" w:type="pct"/>
            <w:gridSpan w:val="4"/>
            <w:shd w:val="clear" w:color="auto" w:fill="FFFFCC"/>
          </w:tcPr>
          <w:p w14:paraId="5B92CE8B" w14:textId="77777777" w:rsidR="00217978" w:rsidRPr="00B65D57" w:rsidRDefault="00217978" w:rsidP="00760DCC">
            <w:pPr>
              <w:spacing w:line="260" w:lineRule="atLeast"/>
              <w:rPr>
                <w:rFonts w:eastAsia="Calibri"/>
                <w:b/>
                <w:lang w:eastAsia="en-US"/>
              </w:rPr>
            </w:pPr>
            <w:bookmarkStart w:id="1583" w:name="_Hlk105679931"/>
            <w:r w:rsidRPr="00B65D57">
              <w:rPr>
                <w:rFonts w:eastAsia="Calibri"/>
                <w:b/>
                <w:lang w:eastAsia="en-US"/>
              </w:rPr>
              <w:lastRenderedPageBreak/>
              <w:t>Scenarios and values to be used in risk assessment</w:t>
            </w:r>
          </w:p>
        </w:tc>
      </w:tr>
      <w:tr w:rsidR="00217978" w:rsidRPr="00B65D57" w14:paraId="0E49CD87" w14:textId="77777777" w:rsidTr="00760DCC">
        <w:trPr>
          <w:tblHeader/>
        </w:trPr>
        <w:tc>
          <w:tcPr>
            <w:tcW w:w="624" w:type="pct"/>
            <w:shd w:val="clear" w:color="auto" w:fill="auto"/>
            <w:tcMar>
              <w:top w:w="57" w:type="dxa"/>
              <w:bottom w:w="57" w:type="dxa"/>
            </w:tcMar>
          </w:tcPr>
          <w:p w14:paraId="716F5E4E" w14:textId="77777777" w:rsidR="00217978" w:rsidRPr="00B65D57" w:rsidRDefault="00217978" w:rsidP="00760DCC">
            <w:pPr>
              <w:spacing w:line="260" w:lineRule="atLeast"/>
              <w:rPr>
                <w:rFonts w:eastAsia="Calibri"/>
                <w:b/>
                <w:lang w:eastAsia="en-US"/>
              </w:rPr>
            </w:pPr>
            <w:bookmarkStart w:id="1584" w:name="_Hlk105679973"/>
            <w:r w:rsidRPr="00B65D57">
              <w:rPr>
                <w:rFonts w:eastAsia="Calibri"/>
                <w:b/>
                <w:lang w:eastAsia="en-US"/>
              </w:rPr>
              <w:t>Scenario number</w:t>
            </w:r>
          </w:p>
        </w:tc>
        <w:tc>
          <w:tcPr>
            <w:tcW w:w="1617" w:type="pct"/>
            <w:shd w:val="clear" w:color="auto" w:fill="auto"/>
            <w:tcMar>
              <w:top w:w="57" w:type="dxa"/>
              <w:bottom w:w="57" w:type="dxa"/>
            </w:tcMar>
          </w:tcPr>
          <w:p w14:paraId="5881DD6E" w14:textId="77777777" w:rsidR="00217978" w:rsidRPr="00B65D57" w:rsidRDefault="00217978" w:rsidP="00760DCC">
            <w:pPr>
              <w:spacing w:line="260" w:lineRule="atLeast"/>
              <w:rPr>
                <w:rFonts w:eastAsia="Calibri"/>
                <w:b/>
                <w:lang w:eastAsia="en-US"/>
              </w:rPr>
            </w:pPr>
            <w:r w:rsidRPr="00B65D57">
              <w:rPr>
                <w:rFonts w:eastAsia="Calibri"/>
                <w:b/>
                <w:lang w:eastAsia="en-US"/>
              </w:rPr>
              <w:t>Exposed group</w:t>
            </w:r>
          </w:p>
          <w:p w14:paraId="0918B1FC" w14:textId="77777777" w:rsidR="00217978" w:rsidRPr="00B65D57" w:rsidRDefault="00217978" w:rsidP="00760DCC">
            <w:pPr>
              <w:spacing w:line="260" w:lineRule="atLeast"/>
              <w:rPr>
                <w:rFonts w:eastAsia="Calibri"/>
                <w:b/>
                <w:lang w:eastAsia="en-US"/>
              </w:rPr>
            </w:pPr>
          </w:p>
        </w:tc>
        <w:tc>
          <w:tcPr>
            <w:tcW w:w="1509" w:type="pct"/>
            <w:shd w:val="clear" w:color="auto" w:fill="auto"/>
            <w:tcMar>
              <w:top w:w="57" w:type="dxa"/>
              <w:bottom w:w="57" w:type="dxa"/>
            </w:tcMar>
          </w:tcPr>
          <w:p w14:paraId="1370CF0A" w14:textId="77777777" w:rsidR="00217978" w:rsidRPr="00B65D57" w:rsidRDefault="00217978" w:rsidP="00760DCC">
            <w:pPr>
              <w:spacing w:line="260" w:lineRule="atLeast"/>
              <w:rPr>
                <w:rFonts w:eastAsia="Calibri"/>
                <w:b/>
                <w:lang w:eastAsia="en-US"/>
              </w:rPr>
            </w:pPr>
            <w:r w:rsidRPr="00B65D57">
              <w:rPr>
                <w:rFonts w:eastAsia="Calibri"/>
                <w:b/>
                <w:lang w:eastAsia="en-US"/>
              </w:rPr>
              <w:t>Tier/PPE</w:t>
            </w:r>
          </w:p>
        </w:tc>
        <w:tc>
          <w:tcPr>
            <w:tcW w:w="1250" w:type="pct"/>
            <w:shd w:val="clear" w:color="auto" w:fill="auto"/>
            <w:tcMar>
              <w:top w:w="57" w:type="dxa"/>
              <w:bottom w:w="57" w:type="dxa"/>
            </w:tcMar>
          </w:tcPr>
          <w:p w14:paraId="69C378D7" w14:textId="77777777" w:rsidR="00217978" w:rsidRPr="00B65D57" w:rsidRDefault="00217978" w:rsidP="00760DCC">
            <w:pPr>
              <w:spacing w:line="260" w:lineRule="atLeast"/>
              <w:rPr>
                <w:rFonts w:eastAsia="Calibri"/>
                <w:b/>
                <w:lang w:eastAsia="en-US"/>
              </w:rPr>
            </w:pPr>
            <w:r w:rsidRPr="00B65D57">
              <w:rPr>
                <w:rFonts w:eastAsia="Calibri"/>
                <w:b/>
                <w:lang w:eastAsia="en-US"/>
              </w:rPr>
              <w:t>Estimated total uptake</w:t>
            </w:r>
          </w:p>
          <w:p w14:paraId="0AFFB184" w14:textId="77777777" w:rsidR="00217978" w:rsidRPr="00B65D57" w:rsidRDefault="00217978" w:rsidP="00760DCC">
            <w:pPr>
              <w:spacing w:line="260" w:lineRule="atLeast"/>
              <w:rPr>
                <w:rFonts w:eastAsia="Calibri"/>
                <w:b/>
                <w:lang w:eastAsia="en-US"/>
              </w:rPr>
            </w:pPr>
            <w:r w:rsidRPr="00B65D57">
              <w:rPr>
                <w:rFonts w:eastAsia="Calibri"/>
                <w:b/>
                <w:lang w:eastAsia="en-US"/>
              </w:rPr>
              <w:t>(mg/kg/day)</w:t>
            </w:r>
          </w:p>
        </w:tc>
      </w:tr>
      <w:tr w:rsidR="00217978" w:rsidRPr="00B65D57" w14:paraId="2AC91C18" w14:textId="77777777" w:rsidTr="00760DCC">
        <w:trPr>
          <w:tblHeader/>
        </w:trPr>
        <w:tc>
          <w:tcPr>
            <w:tcW w:w="624" w:type="pct"/>
            <w:tcMar>
              <w:top w:w="57" w:type="dxa"/>
              <w:bottom w:w="57" w:type="dxa"/>
            </w:tcMar>
          </w:tcPr>
          <w:p w14:paraId="405E6CD7" w14:textId="77777777" w:rsidR="00217978" w:rsidRPr="00B65D57" w:rsidRDefault="00217978" w:rsidP="00760DCC">
            <w:pPr>
              <w:spacing w:line="260" w:lineRule="atLeast"/>
              <w:rPr>
                <w:rFonts w:eastAsia="Calibri"/>
                <w:lang w:eastAsia="en-US"/>
              </w:rPr>
            </w:pPr>
            <w:r w:rsidRPr="00B65D57">
              <w:rPr>
                <w:rFonts w:eastAsia="Verdana" w:cs="Verdana"/>
                <w:color w:val="000000" w:themeColor="text1"/>
                <w:sz w:val="18"/>
                <w:szCs w:val="18"/>
              </w:rPr>
              <w:t xml:space="preserve">1 a-d Production  </w:t>
            </w:r>
          </w:p>
        </w:tc>
        <w:tc>
          <w:tcPr>
            <w:tcW w:w="1617" w:type="pct"/>
            <w:shd w:val="clear" w:color="auto" w:fill="auto"/>
            <w:tcMar>
              <w:top w:w="57" w:type="dxa"/>
              <w:bottom w:w="57" w:type="dxa"/>
            </w:tcMar>
          </w:tcPr>
          <w:p w14:paraId="018241CF"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7D236389" w14:textId="77777777" w:rsidR="00217978" w:rsidRPr="00B65D57" w:rsidRDefault="00217978" w:rsidP="00760DCC">
            <w:pPr>
              <w:spacing w:line="260" w:lineRule="atLeast"/>
              <w:rPr>
                <w:rFonts w:eastAsia="Calibri"/>
                <w:lang w:eastAsia="en-US"/>
              </w:rPr>
            </w:pPr>
            <w:r w:rsidRPr="00B65D57">
              <w:rPr>
                <w:rFonts w:eastAsia="Verdana" w:cs="Verdana"/>
                <w:color w:val="000000" w:themeColor="text1"/>
                <w:sz w:val="18"/>
                <w:szCs w:val="18"/>
              </w:rPr>
              <w:t>LEV efficiency [%]: 80, Respiratory mask with particle filter P3, protective clothing and protective gloves of nitrile rubber, Protective goggles</w:t>
            </w:r>
          </w:p>
        </w:tc>
        <w:tc>
          <w:tcPr>
            <w:tcW w:w="1250" w:type="pct"/>
            <w:shd w:val="clear" w:color="auto" w:fill="auto"/>
            <w:tcMar>
              <w:top w:w="57" w:type="dxa"/>
              <w:bottom w:w="57" w:type="dxa"/>
            </w:tcMar>
          </w:tcPr>
          <w:p w14:paraId="51AE6798" w14:textId="77777777" w:rsidR="00217978" w:rsidRPr="00B65D57" w:rsidRDefault="00217978" w:rsidP="00760DCC">
            <w:pPr>
              <w:spacing w:line="260" w:lineRule="atLeast"/>
              <w:rPr>
                <w:rFonts w:eastAsia="Calibri"/>
                <w:lang w:eastAsia="en-US"/>
              </w:rPr>
            </w:pPr>
            <w:r w:rsidRPr="00B65D57">
              <w:rPr>
                <w:rFonts w:eastAsia="Verdana" w:cs="Verdana"/>
                <w:color w:val="000000" w:themeColor="text1"/>
                <w:sz w:val="18"/>
                <w:szCs w:val="18"/>
              </w:rPr>
              <w:t>0.05</w:t>
            </w:r>
          </w:p>
        </w:tc>
      </w:tr>
      <w:tr w:rsidR="00217978" w:rsidRPr="00B65D57" w14:paraId="272CF80A" w14:textId="77777777" w:rsidTr="00760DCC">
        <w:trPr>
          <w:tblHeader/>
        </w:trPr>
        <w:tc>
          <w:tcPr>
            <w:tcW w:w="624" w:type="pct"/>
            <w:tcMar>
              <w:top w:w="57" w:type="dxa"/>
              <w:bottom w:w="57" w:type="dxa"/>
            </w:tcMar>
          </w:tcPr>
          <w:p w14:paraId="00479173" w14:textId="77777777" w:rsidR="00217978" w:rsidRPr="00B65D57" w:rsidRDefault="00217978" w:rsidP="00760DCC">
            <w:pPr>
              <w:spacing w:line="260" w:lineRule="atLeast"/>
              <w:rPr>
                <w:rFonts w:eastAsia="Calibri"/>
                <w:lang w:eastAsia="en-US"/>
              </w:rPr>
            </w:pPr>
            <w:r w:rsidRPr="00B65D57">
              <w:rPr>
                <w:rFonts w:eastAsia="Verdana" w:cs="Verdana"/>
                <w:color w:val="000000" w:themeColor="text1"/>
                <w:sz w:val="18"/>
                <w:szCs w:val="18"/>
              </w:rPr>
              <w:t>2.1 a-b Transfer to mixing tank</w:t>
            </w:r>
          </w:p>
        </w:tc>
        <w:tc>
          <w:tcPr>
            <w:tcW w:w="1617" w:type="pct"/>
            <w:shd w:val="clear" w:color="auto" w:fill="auto"/>
            <w:tcMar>
              <w:top w:w="57" w:type="dxa"/>
              <w:bottom w:w="57" w:type="dxa"/>
            </w:tcMar>
          </w:tcPr>
          <w:p w14:paraId="54A39C41"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23AE3B4A" w14:textId="77777777" w:rsidR="00217978" w:rsidRPr="00B65D57" w:rsidRDefault="00217978" w:rsidP="00760DCC">
            <w:pPr>
              <w:spacing w:line="260" w:lineRule="atLeast"/>
              <w:rPr>
                <w:rFonts w:eastAsia="Calibri"/>
                <w:lang w:eastAsia="en-US"/>
              </w:rPr>
            </w:pPr>
            <w:r w:rsidRPr="00B65D57">
              <w:rPr>
                <w:rFonts w:eastAsia="Verdana" w:cs="Verdana"/>
                <w:color w:val="000000" w:themeColor="text1"/>
                <w:sz w:val="18"/>
                <w:szCs w:val="18"/>
              </w:rPr>
              <w:t>Respiratory mask with particle filter P3, protective clothing, protective gloves of nitrile rubber, Protective goggles</w:t>
            </w:r>
          </w:p>
        </w:tc>
        <w:tc>
          <w:tcPr>
            <w:tcW w:w="1250" w:type="pct"/>
            <w:shd w:val="clear" w:color="auto" w:fill="auto"/>
            <w:tcMar>
              <w:top w:w="57" w:type="dxa"/>
              <w:bottom w:w="57" w:type="dxa"/>
            </w:tcMar>
          </w:tcPr>
          <w:p w14:paraId="6E25474B" w14:textId="77777777" w:rsidR="00217978" w:rsidRPr="00B65D57" w:rsidRDefault="00217978" w:rsidP="00760DCC">
            <w:pPr>
              <w:spacing w:line="260" w:lineRule="atLeast"/>
              <w:rPr>
                <w:rFonts w:eastAsia="Calibri"/>
                <w:lang w:eastAsia="en-US"/>
              </w:rPr>
            </w:pPr>
            <w:r w:rsidRPr="00B65D57">
              <w:rPr>
                <w:rFonts w:eastAsia="Verdana" w:cs="Verdana"/>
                <w:color w:val="000000" w:themeColor="text1"/>
                <w:sz w:val="18"/>
                <w:szCs w:val="18"/>
              </w:rPr>
              <w:t>0.0082</w:t>
            </w:r>
          </w:p>
        </w:tc>
      </w:tr>
      <w:tr w:rsidR="00217978" w:rsidRPr="00B65D57" w14:paraId="39627742" w14:textId="77777777" w:rsidTr="00760DCC">
        <w:trPr>
          <w:tblHeader/>
        </w:trPr>
        <w:tc>
          <w:tcPr>
            <w:tcW w:w="624" w:type="pct"/>
            <w:tcMar>
              <w:top w:w="57" w:type="dxa"/>
              <w:bottom w:w="57" w:type="dxa"/>
            </w:tcMar>
          </w:tcPr>
          <w:p w14:paraId="033471C7"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2.2 a-b Mixing tank</w:t>
            </w:r>
          </w:p>
        </w:tc>
        <w:tc>
          <w:tcPr>
            <w:tcW w:w="1617" w:type="pct"/>
            <w:shd w:val="clear" w:color="auto" w:fill="auto"/>
            <w:tcMar>
              <w:top w:w="57" w:type="dxa"/>
              <w:bottom w:w="57" w:type="dxa"/>
            </w:tcMar>
          </w:tcPr>
          <w:p w14:paraId="0DFD801D"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5128A171"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Respiratory mask with particle filter P3, protective clothing, protective gloves of nitrile rubber, Protective goggles</w:t>
            </w:r>
          </w:p>
        </w:tc>
        <w:tc>
          <w:tcPr>
            <w:tcW w:w="1250" w:type="pct"/>
            <w:shd w:val="clear" w:color="auto" w:fill="auto"/>
            <w:tcMar>
              <w:top w:w="57" w:type="dxa"/>
              <w:bottom w:w="57" w:type="dxa"/>
            </w:tcMar>
          </w:tcPr>
          <w:p w14:paraId="1EC652C8"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0.0007</w:t>
            </w:r>
          </w:p>
        </w:tc>
      </w:tr>
      <w:tr w:rsidR="00217978" w:rsidRPr="00B65D57" w14:paraId="744D73F4" w14:textId="77777777" w:rsidTr="00760DCC">
        <w:trPr>
          <w:tblHeader/>
        </w:trPr>
        <w:tc>
          <w:tcPr>
            <w:tcW w:w="624" w:type="pct"/>
            <w:tcMar>
              <w:top w:w="57" w:type="dxa"/>
              <w:bottom w:w="57" w:type="dxa"/>
            </w:tcMar>
          </w:tcPr>
          <w:p w14:paraId="1185E616"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3 a-b Transfer to mixing barrel</w:t>
            </w:r>
          </w:p>
        </w:tc>
        <w:tc>
          <w:tcPr>
            <w:tcW w:w="1617" w:type="pct"/>
            <w:shd w:val="clear" w:color="auto" w:fill="auto"/>
            <w:tcMar>
              <w:top w:w="57" w:type="dxa"/>
              <w:bottom w:w="57" w:type="dxa"/>
            </w:tcMar>
          </w:tcPr>
          <w:p w14:paraId="58D89BEE"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08E2CD4F"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Respiratory mask with particle filter P3, protective clothing, protective gloves of nitrile rubber, Protective goggles</w:t>
            </w:r>
          </w:p>
          <w:p w14:paraId="7FEB0CFD" w14:textId="77777777" w:rsidR="00217978" w:rsidRPr="00B65D57" w:rsidRDefault="00217978" w:rsidP="00760DCC">
            <w:pPr>
              <w:ind w:firstLine="1729"/>
              <w:rPr>
                <w:rFonts w:eastAsia="Verdana" w:cs="Verdana"/>
                <w:sz w:val="18"/>
                <w:szCs w:val="18"/>
              </w:rPr>
            </w:pPr>
          </w:p>
        </w:tc>
        <w:tc>
          <w:tcPr>
            <w:tcW w:w="1250" w:type="pct"/>
            <w:shd w:val="clear" w:color="auto" w:fill="auto"/>
            <w:tcMar>
              <w:top w:w="57" w:type="dxa"/>
              <w:bottom w:w="57" w:type="dxa"/>
            </w:tcMar>
          </w:tcPr>
          <w:p w14:paraId="775E3613"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0.0137</w:t>
            </w:r>
          </w:p>
        </w:tc>
      </w:tr>
      <w:tr w:rsidR="00217978" w:rsidRPr="00B65D57" w14:paraId="650B3A93" w14:textId="77777777" w:rsidTr="00760DCC">
        <w:trPr>
          <w:tblHeader/>
        </w:trPr>
        <w:tc>
          <w:tcPr>
            <w:tcW w:w="624" w:type="pct"/>
            <w:tcMar>
              <w:top w:w="57" w:type="dxa"/>
              <w:bottom w:w="57" w:type="dxa"/>
            </w:tcMar>
          </w:tcPr>
          <w:p w14:paraId="5A665DFC"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4 a-b Mixing barrel</w:t>
            </w:r>
          </w:p>
        </w:tc>
        <w:tc>
          <w:tcPr>
            <w:tcW w:w="1617" w:type="pct"/>
            <w:shd w:val="clear" w:color="auto" w:fill="auto"/>
            <w:tcMar>
              <w:top w:w="57" w:type="dxa"/>
              <w:bottom w:w="57" w:type="dxa"/>
            </w:tcMar>
          </w:tcPr>
          <w:p w14:paraId="2430809D"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73C2C85F"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Respiratory mask with particle filter P3, protective clothing, protective gloves of nitrile rubber, Protective goggles</w:t>
            </w:r>
          </w:p>
        </w:tc>
        <w:tc>
          <w:tcPr>
            <w:tcW w:w="1250" w:type="pct"/>
            <w:shd w:val="clear" w:color="auto" w:fill="auto"/>
            <w:tcMar>
              <w:top w:w="57" w:type="dxa"/>
              <w:bottom w:w="57" w:type="dxa"/>
            </w:tcMar>
          </w:tcPr>
          <w:p w14:paraId="128DCD57"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0.0137</w:t>
            </w:r>
          </w:p>
        </w:tc>
      </w:tr>
      <w:tr w:rsidR="00217978" w:rsidRPr="00B65D57" w14:paraId="21F88ABA" w14:textId="77777777" w:rsidTr="00760DCC">
        <w:trPr>
          <w:tblHeader/>
        </w:trPr>
        <w:tc>
          <w:tcPr>
            <w:tcW w:w="624" w:type="pct"/>
            <w:tcMar>
              <w:top w:w="57" w:type="dxa"/>
              <w:bottom w:w="57" w:type="dxa"/>
            </w:tcMar>
          </w:tcPr>
          <w:p w14:paraId="7AD30D8A"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5 a-b Transfer to injection pump</w:t>
            </w:r>
          </w:p>
        </w:tc>
        <w:tc>
          <w:tcPr>
            <w:tcW w:w="1617" w:type="pct"/>
            <w:shd w:val="clear" w:color="auto" w:fill="auto"/>
            <w:tcMar>
              <w:top w:w="57" w:type="dxa"/>
              <w:bottom w:w="57" w:type="dxa"/>
            </w:tcMar>
          </w:tcPr>
          <w:p w14:paraId="0DBB55CE"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66D77E40"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Respiratory mask with particle filter P3, protective clothing, protective gloves of nitrile rubber, Protective goggles</w:t>
            </w:r>
          </w:p>
        </w:tc>
        <w:tc>
          <w:tcPr>
            <w:tcW w:w="1250" w:type="pct"/>
            <w:shd w:val="clear" w:color="auto" w:fill="auto"/>
            <w:tcMar>
              <w:top w:w="57" w:type="dxa"/>
              <w:bottom w:w="57" w:type="dxa"/>
            </w:tcMar>
          </w:tcPr>
          <w:p w14:paraId="741342DA"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0.0137</w:t>
            </w:r>
          </w:p>
        </w:tc>
      </w:tr>
      <w:tr w:rsidR="00217978" w:rsidRPr="00B65D57" w14:paraId="13C3C91D" w14:textId="77777777" w:rsidTr="00760DCC">
        <w:trPr>
          <w:tblHeader/>
        </w:trPr>
        <w:tc>
          <w:tcPr>
            <w:tcW w:w="624" w:type="pct"/>
            <w:tcMar>
              <w:top w:w="57" w:type="dxa"/>
              <w:bottom w:w="57" w:type="dxa"/>
            </w:tcMar>
          </w:tcPr>
          <w:p w14:paraId="56EEB9D7"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6 a-b Application</w:t>
            </w:r>
          </w:p>
        </w:tc>
        <w:tc>
          <w:tcPr>
            <w:tcW w:w="1617" w:type="pct"/>
            <w:shd w:val="clear" w:color="auto" w:fill="auto"/>
            <w:tcMar>
              <w:top w:w="57" w:type="dxa"/>
              <w:bottom w:w="57" w:type="dxa"/>
            </w:tcMar>
          </w:tcPr>
          <w:p w14:paraId="1F5C56C2"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3479084D"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Protective clothing &amp; protective gloves of nitrile rubber</w:t>
            </w:r>
          </w:p>
        </w:tc>
        <w:tc>
          <w:tcPr>
            <w:tcW w:w="1250" w:type="pct"/>
            <w:shd w:val="clear" w:color="auto" w:fill="auto"/>
            <w:tcMar>
              <w:top w:w="57" w:type="dxa"/>
              <w:bottom w:w="57" w:type="dxa"/>
            </w:tcMar>
          </w:tcPr>
          <w:p w14:paraId="224031D0"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0.001785</w:t>
            </w:r>
          </w:p>
        </w:tc>
      </w:tr>
      <w:tr w:rsidR="00217978" w:rsidRPr="00B65D57" w14:paraId="0FA3056E" w14:textId="77777777" w:rsidTr="00760DCC">
        <w:trPr>
          <w:tblHeader/>
        </w:trPr>
        <w:tc>
          <w:tcPr>
            <w:tcW w:w="624" w:type="pct"/>
            <w:tcMar>
              <w:top w:w="57" w:type="dxa"/>
              <w:bottom w:w="57" w:type="dxa"/>
            </w:tcMar>
          </w:tcPr>
          <w:p w14:paraId="59071B20"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7 a-b Daily cleaning</w:t>
            </w:r>
          </w:p>
        </w:tc>
        <w:tc>
          <w:tcPr>
            <w:tcW w:w="1617" w:type="pct"/>
            <w:shd w:val="clear" w:color="auto" w:fill="auto"/>
            <w:tcMar>
              <w:top w:w="57" w:type="dxa"/>
              <w:bottom w:w="57" w:type="dxa"/>
            </w:tcMar>
          </w:tcPr>
          <w:p w14:paraId="00A8804F"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5B4EF678"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Protective clothing, protective gloves of nitrile rubber, Protective goggles</w:t>
            </w:r>
          </w:p>
        </w:tc>
        <w:tc>
          <w:tcPr>
            <w:tcW w:w="1250" w:type="pct"/>
            <w:shd w:val="clear" w:color="auto" w:fill="auto"/>
            <w:tcMar>
              <w:top w:w="57" w:type="dxa"/>
              <w:bottom w:w="57" w:type="dxa"/>
            </w:tcMar>
          </w:tcPr>
          <w:p w14:paraId="7F523408"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0.0137</w:t>
            </w:r>
          </w:p>
        </w:tc>
      </w:tr>
      <w:tr w:rsidR="00217978" w:rsidRPr="00B65D57" w14:paraId="5EF0C8EA" w14:textId="77777777" w:rsidTr="00760DCC">
        <w:trPr>
          <w:tblHeader/>
        </w:trPr>
        <w:tc>
          <w:tcPr>
            <w:tcW w:w="624" w:type="pct"/>
            <w:tcMar>
              <w:top w:w="57" w:type="dxa"/>
              <w:bottom w:w="57" w:type="dxa"/>
            </w:tcMar>
          </w:tcPr>
          <w:p w14:paraId="7C13FD70"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8 a-b Final cleaning</w:t>
            </w:r>
          </w:p>
        </w:tc>
        <w:tc>
          <w:tcPr>
            <w:tcW w:w="1617" w:type="pct"/>
            <w:shd w:val="clear" w:color="auto" w:fill="auto"/>
            <w:tcMar>
              <w:top w:w="57" w:type="dxa"/>
              <w:bottom w:w="57" w:type="dxa"/>
            </w:tcMar>
          </w:tcPr>
          <w:p w14:paraId="25EE9F89"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4E6B0956"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Protective clothing, protective gloves of nitrile rubber, Protective goggles</w:t>
            </w:r>
          </w:p>
        </w:tc>
        <w:tc>
          <w:tcPr>
            <w:tcW w:w="1250" w:type="pct"/>
            <w:shd w:val="clear" w:color="auto" w:fill="auto"/>
            <w:tcMar>
              <w:top w:w="57" w:type="dxa"/>
              <w:bottom w:w="57" w:type="dxa"/>
            </w:tcMar>
          </w:tcPr>
          <w:p w14:paraId="7B51F56A"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0.0142</w:t>
            </w:r>
          </w:p>
          <w:p w14:paraId="1240E729" w14:textId="77777777" w:rsidR="00217978" w:rsidRPr="00B65D57" w:rsidRDefault="00217978" w:rsidP="00760DCC">
            <w:pPr>
              <w:rPr>
                <w:rFonts w:eastAsia="Verdana" w:cs="Verdana"/>
                <w:sz w:val="18"/>
                <w:szCs w:val="18"/>
              </w:rPr>
            </w:pPr>
          </w:p>
        </w:tc>
      </w:tr>
      <w:tr w:rsidR="00217978" w:rsidRPr="00B65D57" w14:paraId="586DD7F4" w14:textId="77777777" w:rsidTr="00760DCC">
        <w:trPr>
          <w:tblHeader/>
        </w:trPr>
        <w:tc>
          <w:tcPr>
            <w:tcW w:w="624" w:type="pct"/>
            <w:tcMar>
              <w:top w:w="57" w:type="dxa"/>
              <w:bottom w:w="57" w:type="dxa"/>
            </w:tcMar>
          </w:tcPr>
          <w:p w14:paraId="56589B9D"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9 a-b Maintenance/repair</w:t>
            </w:r>
          </w:p>
        </w:tc>
        <w:tc>
          <w:tcPr>
            <w:tcW w:w="1617" w:type="pct"/>
            <w:shd w:val="clear" w:color="auto" w:fill="auto"/>
            <w:tcMar>
              <w:top w:w="57" w:type="dxa"/>
              <w:bottom w:w="57" w:type="dxa"/>
            </w:tcMar>
          </w:tcPr>
          <w:p w14:paraId="2056B160" w14:textId="77777777" w:rsidR="00217978" w:rsidRPr="00B65D57" w:rsidRDefault="00217978" w:rsidP="00760DCC">
            <w:pPr>
              <w:spacing w:line="260" w:lineRule="atLeast"/>
              <w:rPr>
                <w:rFonts w:eastAsia="Calibri"/>
                <w:lang w:eastAsia="en-US"/>
              </w:rPr>
            </w:pPr>
            <w:r w:rsidRPr="00B65D57">
              <w:rPr>
                <w:rFonts w:eastAsia="Calibri"/>
                <w:lang w:eastAsia="en-US"/>
              </w:rPr>
              <w:t>Professionals</w:t>
            </w:r>
          </w:p>
        </w:tc>
        <w:tc>
          <w:tcPr>
            <w:tcW w:w="1509" w:type="pct"/>
            <w:tcMar>
              <w:top w:w="57" w:type="dxa"/>
              <w:bottom w:w="57" w:type="dxa"/>
            </w:tcMar>
          </w:tcPr>
          <w:p w14:paraId="38DF7376" w14:textId="77777777" w:rsidR="00217978" w:rsidRPr="00B65D57" w:rsidRDefault="00217978"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Protective clothing, protective gloves of nitrile rubber, Protective goggles</w:t>
            </w:r>
          </w:p>
        </w:tc>
        <w:tc>
          <w:tcPr>
            <w:tcW w:w="1250" w:type="pct"/>
            <w:shd w:val="clear" w:color="auto" w:fill="auto"/>
            <w:tcMar>
              <w:top w:w="57" w:type="dxa"/>
              <w:bottom w:w="57" w:type="dxa"/>
            </w:tcMar>
          </w:tcPr>
          <w:p w14:paraId="6F5D498F" w14:textId="77777777" w:rsidR="00217978" w:rsidRPr="00B65D57" w:rsidRDefault="00217978" w:rsidP="00760DCC">
            <w:pPr>
              <w:spacing w:line="257" w:lineRule="auto"/>
              <w:rPr>
                <w:rFonts w:eastAsia="Verdana" w:cs="Verdana"/>
                <w:color w:val="000000" w:themeColor="text1"/>
                <w:sz w:val="18"/>
                <w:szCs w:val="18"/>
              </w:rPr>
            </w:pPr>
            <w:r w:rsidRPr="00B65D57">
              <w:rPr>
                <w:rFonts w:eastAsia="Verdana" w:cs="Verdana"/>
                <w:color w:val="000000" w:themeColor="text1"/>
                <w:sz w:val="18"/>
                <w:szCs w:val="18"/>
              </w:rPr>
              <w:t>No calculations for scenario 9 (maintenance/repair) have been performed as the exposure is covered by scenario 7 and 8.</w:t>
            </w:r>
          </w:p>
          <w:p w14:paraId="68DBEF07" w14:textId="77777777" w:rsidR="00217978" w:rsidRPr="00B65D57" w:rsidRDefault="00217978" w:rsidP="00760DCC">
            <w:pPr>
              <w:spacing w:line="260" w:lineRule="atLeast"/>
              <w:rPr>
                <w:rFonts w:eastAsia="Verdana" w:cs="Verdana"/>
                <w:color w:val="000000" w:themeColor="text1"/>
                <w:sz w:val="18"/>
                <w:szCs w:val="18"/>
              </w:rPr>
            </w:pPr>
          </w:p>
        </w:tc>
      </w:tr>
      <w:bookmarkEnd w:id="1583"/>
      <w:bookmarkEnd w:id="1584"/>
    </w:tbl>
    <w:p w14:paraId="7E498F71" w14:textId="77E65B6F" w:rsidR="00FD2055" w:rsidRPr="00B65D57" w:rsidRDefault="00FD2055" w:rsidP="00065CC0">
      <w:pPr>
        <w:pStyle w:val="Rubrik4"/>
      </w:pPr>
      <w:r w:rsidRPr="00B65D57">
        <w:br w:type="page"/>
      </w:r>
      <w:bookmarkStart w:id="1585" w:name="_Toc389729088"/>
      <w:bookmarkStart w:id="1586" w:name="_Toc403566577"/>
      <w:bookmarkStart w:id="1587" w:name="_Toc129689600"/>
      <w:r w:rsidR="002C23EC" w:rsidRPr="00B65D57">
        <w:lastRenderedPageBreak/>
        <w:t xml:space="preserve">2.2.6.3 </w:t>
      </w:r>
      <w:r w:rsidRPr="00B65D57">
        <w:t>Risk characterisation for human health</w:t>
      </w:r>
      <w:bookmarkEnd w:id="1585"/>
      <w:bookmarkEnd w:id="1586"/>
      <w:bookmarkEnd w:id="1587"/>
    </w:p>
    <w:p w14:paraId="111A78B3" w14:textId="77777777" w:rsidR="0096178A" w:rsidRPr="00B65D57" w:rsidRDefault="0096178A" w:rsidP="008F4848">
      <w:pPr>
        <w:spacing w:line="260" w:lineRule="atLeast"/>
        <w:rPr>
          <w:rFonts w:eastAsia="Calibri"/>
          <w:b/>
          <w:bCs/>
          <w:lang w:eastAsia="en-US"/>
        </w:rPr>
      </w:pPr>
      <w:r w:rsidRPr="00B65D57">
        <w:rPr>
          <w:rFonts w:eastAsia="Calibri"/>
          <w:b/>
          <w:bCs/>
          <w:lang w:eastAsia="en-US"/>
        </w:rPr>
        <w:t>Reference values to be used in Risk Characterisation</w:t>
      </w:r>
    </w:p>
    <w:p w14:paraId="3F9524A6" w14:textId="77777777" w:rsidR="0096178A" w:rsidRPr="00B65D57" w:rsidRDefault="0096178A" w:rsidP="008F4848">
      <w:pPr>
        <w:spacing w:line="260" w:lineRule="atLeast"/>
        <w:rPr>
          <w:b/>
          <w:bCs/>
          <w:lang w:eastAsia="en-US"/>
        </w:rPr>
      </w:pPr>
    </w:p>
    <w:p w14:paraId="57ABC1EE" w14:textId="77777777" w:rsidR="0096178A" w:rsidRPr="00B65D57" w:rsidRDefault="0096178A" w:rsidP="008F4848">
      <w:pPr>
        <w:spacing w:line="260" w:lineRule="atLeast"/>
        <w:rPr>
          <w:b/>
          <w:bCs/>
          <w:lang w:eastAsia="en-US"/>
        </w:rPr>
      </w:pPr>
      <w:r w:rsidRPr="00B65D57">
        <w:rPr>
          <w:rFonts w:eastAsia="Calibri"/>
          <w:b/>
          <w:bCs/>
          <w:lang w:eastAsia="en-US"/>
        </w:rPr>
        <w:t>Boric acid and Disodium tetraborate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8"/>
        <w:gridCol w:w="1559"/>
        <w:gridCol w:w="709"/>
        <w:gridCol w:w="1559"/>
        <w:gridCol w:w="1134"/>
      </w:tblGrid>
      <w:tr w:rsidR="0096178A" w:rsidRPr="00B65D57" w14:paraId="516C15B6" w14:textId="77777777" w:rsidTr="00760DCC">
        <w:tc>
          <w:tcPr>
            <w:tcW w:w="1980" w:type="dxa"/>
            <w:shd w:val="clear" w:color="auto" w:fill="FFFFCC"/>
          </w:tcPr>
          <w:p w14:paraId="733BA831" w14:textId="77777777" w:rsidR="0096178A" w:rsidRPr="00B65D57" w:rsidRDefault="0096178A" w:rsidP="008F4848">
            <w:pPr>
              <w:spacing w:line="260" w:lineRule="atLeast"/>
              <w:rPr>
                <w:rFonts w:eastAsia="Calibri"/>
                <w:b/>
                <w:lang w:eastAsia="en-US"/>
              </w:rPr>
            </w:pPr>
            <w:r w:rsidRPr="00B65D57">
              <w:rPr>
                <w:rFonts w:eastAsia="Calibri"/>
                <w:b/>
                <w:lang w:eastAsia="en-US"/>
              </w:rPr>
              <w:t xml:space="preserve">Reference </w:t>
            </w:r>
          </w:p>
        </w:tc>
        <w:tc>
          <w:tcPr>
            <w:tcW w:w="2268" w:type="dxa"/>
            <w:shd w:val="clear" w:color="auto" w:fill="FFFFCC"/>
          </w:tcPr>
          <w:p w14:paraId="52B04CBF" w14:textId="77777777" w:rsidR="0096178A" w:rsidRPr="00B65D57" w:rsidRDefault="0096178A" w:rsidP="008F4848">
            <w:pPr>
              <w:spacing w:line="260" w:lineRule="atLeast"/>
              <w:rPr>
                <w:rFonts w:eastAsia="Calibri"/>
                <w:b/>
                <w:lang w:eastAsia="en-US"/>
              </w:rPr>
            </w:pPr>
            <w:r w:rsidRPr="00B65D57">
              <w:rPr>
                <w:rFonts w:eastAsia="Calibri"/>
                <w:b/>
                <w:lang w:eastAsia="en-US"/>
              </w:rPr>
              <w:t>Study</w:t>
            </w:r>
          </w:p>
        </w:tc>
        <w:tc>
          <w:tcPr>
            <w:tcW w:w="1559" w:type="dxa"/>
            <w:shd w:val="clear" w:color="auto" w:fill="FFFFCC"/>
          </w:tcPr>
          <w:p w14:paraId="507D196C" w14:textId="77777777" w:rsidR="0096178A" w:rsidRPr="00B65D57" w:rsidRDefault="0096178A" w:rsidP="008F4848">
            <w:pPr>
              <w:spacing w:line="260" w:lineRule="atLeast"/>
              <w:rPr>
                <w:rFonts w:eastAsia="Calibri"/>
                <w:b/>
                <w:lang w:eastAsia="en-US"/>
              </w:rPr>
            </w:pPr>
            <w:r w:rsidRPr="00B65D57">
              <w:rPr>
                <w:rFonts w:eastAsia="Calibri"/>
                <w:b/>
                <w:lang w:eastAsia="en-US"/>
              </w:rPr>
              <w:t>NOAEL (LOAEL)</w:t>
            </w:r>
          </w:p>
        </w:tc>
        <w:tc>
          <w:tcPr>
            <w:tcW w:w="709" w:type="dxa"/>
            <w:shd w:val="clear" w:color="auto" w:fill="FFFFCC"/>
          </w:tcPr>
          <w:p w14:paraId="6A451C7F" w14:textId="77777777" w:rsidR="0096178A" w:rsidRPr="00B65D57" w:rsidRDefault="0096178A" w:rsidP="008F4848">
            <w:pPr>
              <w:spacing w:line="260" w:lineRule="atLeast"/>
              <w:rPr>
                <w:rFonts w:eastAsia="Calibri"/>
                <w:b/>
                <w:vertAlign w:val="superscript"/>
                <w:lang w:eastAsia="en-US"/>
              </w:rPr>
            </w:pPr>
            <w:r w:rsidRPr="00B65D57">
              <w:rPr>
                <w:rFonts w:eastAsia="Calibri"/>
                <w:b/>
                <w:lang w:eastAsia="en-US"/>
              </w:rPr>
              <w:t>AF</w:t>
            </w:r>
            <w:r w:rsidRPr="00B65D57">
              <w:rPr>
                <w:rFonts w:eastAsia="Calibri"/>
                <w:b/>
                <w:vertAlign w:val="superscript"/>
                <w:lang w:eastAsia="en-US"/>
              </w:rPr>
              <w:t>1</w:t>
            </w:r>
          </w:p>
        </w:tc>
        <w:tc>
          <w:tcPr>
            <w:tcW w:w="1559" w:type="dxa"/>
            <w:shd w:val="clear" w:color="auto" w:fill="FFFFCC"/>
          </w:tcPr>
          <w:p w14:paraId="78633349" w14:textId="77777777" w:rsidR="0096178A" w:rsidRPr="00B65D57" w:rsidRDefault="0096178A" w:rsidP="008F4848">
            <w:pPr>
              <w:spacing w:line="260" w:lineRule="atLeast"/>
              <w:rPr>
                <w:rFonts w:eastAsia="Calibri"/>
                <w:b/>
                <w:lang w:eastAsia="en-US"/>
              </w:rPr>
            </w:pPr>
            <w:r w:rsidRPr="00B65D57">
              <w:rPr>
                <w:rFonts w:eastAsia="Calibri"/>
                <w:b/>
                <w:lang w:eastAsia="en-US"/>
              </w:rPr>
              <w:t>Correction for oral absorption</w:t>
            </w:r>
          </w:p>
        </w:tc>
        <w:tc>
          <w:tcPr>
            <w:tcW w:w="1134" w:type="dxa"/>
            <w:shd w:val="clear" w:color="auto" w:fill="FFFFCC"/>
          </w:tcPr>
          <w:p w14:paraId="10B38117" w14:textId="77777777" w:rsidR="0096178A" w:rsidRPr="00B65D57" w:rsidRDefault="0096178A" w:rsidP="008F4848">
            <w:pPr>
              <w:spacing w:line="260" w:lineRule="atLeast"/>
              <w:rPr>
                <w:rFonts w:eastAsia="Calibri"/>
                <w:b/>
                <w:lang w:eastAsia="en-US"/>
              </w:rPr>
            </w:pPr>
            <w:r w:rsidRPr="00B65D57">
              <w:rPr>
                <w:rFonts w:eastAsia="Calibri"/>
                <w:b/>
                <w:lang w:eastAsia="en-US"/>
              </w:rPr>
              <w:t>Value</w:t>
            </w:r>
          </w:p>
        </w:tc>
      </w:tr>
      <w:tr w:rsidR="0096178A" w:rsidRPr="00B65D57" w14:paraId="09CE767D" w14:textId="77777777" w:rsidTr="00760DCC">
        <w:tc>
          <w:tcPr>
            <w:tcW w:w="1980" w:type="dxa"/>
            <w:shd w:val="clear" w:color="auto" w:fill="auto"/>
          </w:tcPr>
          <w:p w14:paraId="3A89D676" w14:textId="77777777" w:rsidR="0096178A" w:rsidRPr="00B65D57" w:rsidRDefault="0096178A" w:rsidP="008F4848">
            <w:pPr>
              <w:spacing w:line="260" w:lineRule="atLeast"/>
              <w:rPr>
                <w:rFonts w:eastAsia="Calibri"/>
                <w:lang w:eastAsia="en-US"/>
              </w:rPr>
            </w:pPr>
            <w:r w:rsidRPr="00B65D57">
              <w:rPr>
                <w:rFonts w:eastAsia="Calibri"/>
                <w:lang w:eastAsia="en-US"/>
              </w:rPr>
              <w:t>AOELshort-term</w:t>
            </w:r>
          </w:p>
          <w:p w14:paraId="54F5438F" w14:textId="77777777" w:rsidR="0096178A" w:rsidRPr="00B65D57" w:rsidRDefault="0096178A" w:rsidP="008F4848">
            <w:pPr>
              <w:spacing w:line="260" w:lineRule="atLeast"/>
              <w:rPr>
                <w:rFonts w:eastAsia="Calibri"/>
                <w:lang w:eastAsia="en-US"/>
              </w:rPr>
            </w:pPr>
            <w:r w:rsidRPr="00B65D57">
              <w:rPr>
                <w:rFonts w:eastAsia="Calibri"/>
                <w:lang w:eastAsia="en-US"/>
              </w:rPr>
              <w:t>AOELmedium-term</w:t>
            </w:r>
          </w:p>
          <w:p w14:paraId="602DA4DB" w14:textId="77777777" w:rsidR="0096178A" w:rsidRPr="00B65D57" w:rsidRDefault="0096178A" w:rsidP="008F4848">
            <w:pPr>
              <w:spacing w:line="260" w:lineRule="atLeast"/>
              <w:rPr>
                <w:rFonts w:eastAsia="Calibri"/>
                <w:lang w:eastAsia="en-US"/>
              </w:rPr>
            </w:pPr>
            <w:r w:rsidRPr="00B65D57">
              <w:rPr>
                <w:rFonts w:eastAsia="Calibri"/>
                <w:lang w:eastAsia="en-US"/>
              </w:rPr>
              <w:t>AOEL long-term</w:t>
            </w:r>
          </w:p>
        </w:tc>
        <w:tc>
          <w:tcPr>
            <w:tcW w:w="2268" w:type="dxa"/>
          </w:tcPr>
          <w:p w14:paraId="521A5294" w14:textId="21A54FF2" w:rsidR="0096178A" w:rsidRPr="00B65D57" w:rsidRDefault="0096178A" w:rsidP="008F4848">
            <w:pPr>
              <w:spacing w:line="260" w:lineRule="atLeast"/>
              <w:rPr>
                <w:rFonts w:eastAsia="Calibri"/>
                <w:lang w:eastAsia="en-US"/>
              </w:rPr>
            </w:pPr>
            <w:r w:rsidRPr="00B65D57">
              <w:rPr>
                <w:rFonts w:eastAsia="Calibri"/>
                <w:lang w:eastAsia="en-US"/>
              </w:rPr>
              <w:t>Embryotoxicity/</w:t>
            </w:r>
            <w:r w:rsidRPr="00B65D57">
              <w:rPr>
                <w:rFonts w:eastAsia="Calibri"/>
                <w:lang w:eastAsia="en-US"/>
              </w:rPr>
              <w:br/>
              <w:t>teratogenicity study</w:t>
            </w:r>
            <w:r w:rsidR="00635235" w:rsidRPr="00B65D57">
              <w:rPr>
                <w:rFonts w:eastAsia="Calibri"/>
                <w:lang w:eastAsia="en-US"/>
              </w:rPr>
              <w:t xml:space="preserve"> (rat)</w:t>
            </w:r>
          </w:p>
        </w:tc>
        <w:tc>
          <w:tcPr>
            <w:tcW w:w="1559" w:type="dxa"/>
          </w:tcPr>
          <w:p w14:paraId="56DEDC9E" w14:textId="77777777" w:rsidR="0096178A" w:rsidRPr="00B65D57" w:rsidRDefault="0096178A" w:rsidP="008F4848">
            <w:pPr>
              <w:spacing w:line="260" w:lineRule="atLeast"/>
              <w:rPr>
                <w:rFonts w:eastAsia="Calibri"/>
                <w:lang w:eastAsia="en-US"/>
              </w:rPr>
            </w:pPr>
            <w:r w:rsidRPr="00B65D57">
              <w:rPr>
                <w:rFonts w:eastAsia="Calibri"/>
                <w:lang w:eastAsia="en-US"/>
              </w:rPr>
              <w:t>9.6 mg B/kg bw/day</w:t>
            </w:r>
          </w:p>
        </w:tc>
        <w:tc>
          <w:tcPr>
            <w:tcW w:w="709" w:type="dxa"/>
          </w:tcPr>
          <w:p w14:paraId="3EC285F8" w14:textId="77777777" w:rsidR="0096178A" w:rsidRPr="00B65D57" w:rsidRDefault="0096178A" w:rsidP="008F4848">
            <w:pPr>
              <w:spacing w:line="260" w:lineRule="atLeast"/>
              <w:rPr>
                <w:rFonts w:eastAsia="Calibri"/>
                <w:lang w:eastAsia="en-US"/>
              </w:rPr>
            </w:pPr>
            <w:r w:rsidRPr="00B65D57">
              <w:rPr>
                <w:rFonts w:eastAsia="Calibri"/>
                <w:lang w:eastAsia="en-US"/>
              </w:rPr>
              <w:t>100</w:t>
            </w:r>
            <w:r w:rsidRPr="00B65D57">
              <w:rPr>
                <w:rFonts w:eastAsia="Calibri"/>
                <w:vertAlign w:val="superscript"/>
                <w:lang w:eastAsia="en-US"/>
              </w:rPr>
              <w:t>1</w:t>
            </w:r>
          </w:p>
        </w:tc>
        <w:tc>
          <w:tcPr>
            <w:tcW w:w="1559" w:type="dxa"/>
          </w:tcPr>
          <w:p w14:paraId="479A5C80" w14:textId="77777777" w:rsidR="0096178A" w:rsidRPr="00B65D57" w:rsidRDefault="0096178A" w:rsidP="008F4848">
            <w:pPr>
              <w:spacing w:line="260" w:lineRule="atLeast"/>
              <w:rPr>
                <w:rFonts w:eastAsia="Calibri"/>
                <w:lang w:eastAsia="en-US"/>
              </w:rPr>
            </w:pPr>
            <w:r w:rsidRPr="00B65D57">
              <w:rPr>
                <w:rFonts w:eastAsia="Calibri"/>
                <w:lang w:eastAsia="en-US"/>
              </w:rPr>
              <w:t>Not relevant</w:t>
            </w:r>
          </w:p>
        </w:tc>
        <w:tc>
          <w:tcPr>
            <w:tcW w:w="1134" w:type="dxa"/>
            <w:shd w:val="clear" w:color="auto" w:fill="auto"/>
          </w:tcPr>
          <w:p w14:paraId="07DB7970" w14:textId="77777777" w:rsidR="0096178A" w:rsidRPr="00B65D57" w:rsidRDefault="0096178A" w:rsidP="008F4848">
            <w:pPr>
              <w:spacing w:line="260" w:lineRule="atLeast"/>
              <w:rPr>
                <w:rFonts w:eastAsia="Calibri"/>
                <w:lang w:eastAsia="en-US"/>
              </w:rPr>
            </w:pPr>
            <w:r w:rsidRPr="00B65D57">
              <w:rPr>
                <w:rFonts w:eastAsia="Calibri"/>
                <w:lang w:eastAsia="en-US"/>
              </w:rPr>
              <w:t>0.1 mg B/kg bw/day</w:t>
            </w:r>
          </w:p>
        </w:tc>
      </w:tr>
      <w:tr w:rsidR="0096178A" w:rsidRPr="00B65D57" w14:paraId="59B1352C" w14:textId="77777777" w:rsidTr="00760DCC">
        <w:tc>
          <w:tcPr>
            <w:tcW w:w="1980" w:type="dxa"/>
            <w:shd w:val="clear" w:color="auto" w:fill="auto"/>
          </w:tcPr>
          <w:p w14:paraId="50A440BF" w14:textId="77777777" w:rsidR="0096178A" w:rsidRPr="00B65D57" w:rsidRDefault="0096178A" w:rsidP="008F4848">
            <w:pPr>
              <w:spacing w:line="260" w:lineRule="atLeast"/>
              <w:rPr>
                <w:rFonts w:eastAsia="Calibri"/>
                <w:lang w:eastAsia="en-US"/>
              </w:rPr>
            </w:pPr>
            <w:r w:rsidRPr="00B65D57">
              <w:rPr>
                <w:rFonts w:eastAsia="Calibri"/>
                <w:lang w:eastAsia="en-US"/>
              </w:rPr>
              <w:t>ARfD</w:t>
            </w:r>
          </w:p>
        </w:tc>
        <w:tc>
          <w:tcPr>
            <w:tcW w:w="2268" w:type="dxa"/>
          </w:tcPr>
          <w:p w14:paraId="4854C716" w14:textId="77777777" w:rsidR="0096178A" w:rsidRPr="00B65D57" w:rsidRDefault="0096178A" w:rsidP="008F4848">
            <w:pPr>
              <w:spacing w:line="260" w:lineRule="atLeast"/>
              <w:rPr>
                <w:rFonts w:eastAsia="Calibri"/>
                <w:lang w:eastAsia="en-US"/>
              </w:rPr>
            </w:pPr>
          </w:p>
        </w:tc>
        <w:tc>
          <w:tcPr>
            <w:tcW w:w="1559" w:type="dxa"/>
          </w:tcPr>
          <w:p w14:paraId="77667FD0" w14:textId="77777777" w:rsidR="0096178A" w:rsidRPr="00B65D57" w:rsidRDefault="0096178A" w:rsidP="008F4848">
            <w:pPr>
              <w:spacing w:line="260" w:lineRule="atLeast"/>
              <w:rPr>
                <w:rFonts w:eastAsia="Calibri"/>
                <w:lang w:eastAsia="en-US"/>
              </w:rPr>
            </w:pPr>
          </w:p>
        </w:tc>
        <w:tc>
          <w:tcPr>
            <w:tcW w:w="709" w:type="dxa"/>
          </w:tcPr>
          <w:p w14:paraId="32425330" w14:textId="77777777" w:rsidR="0096178A" w:rsidRPr="00B65D57" w:rsidRDefault="0096178A" w:rsidP="008F4848">
            <w:pPr>
              <w:spacing w:line="260" w:lineRule="atLeast"/>
              <w:rPr>
                <w:rFonts w:eastAsia="Calibri"/>
                <w:lang w:eastAsia="en-US"/>
              </w:rPr>
            </w:pPr>
          </w:p>
        </w:tc>
        <w:tc>
          <w:tcPr>
            <w:tcW w:w="1559" w:type="dxa"/>
          </w:tcPr>
          <w:p w14:paraId="357E1F65" w14:textId="77777777" w:rsidR="0096178A" w:rsidRPr="00B65D57" w:rsidRDefault="0096178A" w:rsidP="008F4848">
            <w:pPr>
              <w:spacing w:line="260" w:lineRule="atLeast"/>
              <w:rPr>
                <w:rFonts w:eastAsia="Calibri"/>
                <w:lang w:eastAsia="en-US"/>
              </w:rPr>
            </w:pPr>
          </w:p>
        </w:tc>
        <w:tc>
          <w:tcPr>
            <w:tcW w:w="1134" w:type="dxa"/>
            <w:shd w:val="clear" w:color="auto" w:fill="auto"/>
          </w:tcPr>
          <w:p w14:paraId="4287400E" w14:textId="77777777" w:rsidR="0096178A" w:rsidRPr="00B65D57" w:rsidRDefault="0096178A" w:rsidP="008F4848">
            <w:pPr>
              <w:spacing w:line="260" w:lineRule="atLeast"/>
              <w:rPr>
                <w:rFonts w:eastAsia="Calibri"/>
                <w:lang w:eastAsia="en-US"/>
              </w:rPr>
            </w:pPr>
            <w:r w:rsidRPr="00B65D57">
              <w:rPr>
                <w:rFonts w:eastAsia="Calibri"/>
                <w:lang w:eastAsia="en-US"/>
              </w:rPr>
              <w:t>Not relevant</w:t>
            </w:r>
          </w:p>
        </w:tc>
      </w:tr>
      <w:tr w:rsidR="0096178A" w:rsidRPr="00B65D57" w14:paraId="7EB74C8F" w14:textId="77777777" w:rsidTr="00760DCC">
        <w:tc>
          <w:tcPr>
            <w:tcW w:w="1980" w:type="dxa"/>
            <w:shd w:val="clear" w:color="auto" w:fill="auto"/>
          </w:tcPr>
          <w:p w14:paraId="7E51BBE3" w14:textId="77777777" w:rsidR="0096178A" w:rsidRPr="00B65D57" w:rsidRDefault="0096178A" w:rsidP="008F4848">
            <w:pPr>
              <w:spacing w:line="260" w:lineRule="atLeast"/>
              <w:rPr>
                <w:rFonts w:eastAsia="Calibri"/>
                <w:lang w:eastAsia="en-US"/>
              </w:rPr>
            </w:pPr>
            <w:r w:rsidRPr="00B65D57">
              <w:rPr>
                <w:rFonts w:eastAsia="Calibri"/>
                <w:lang w:eastAsia="en-US"/>
              </w:rPr>
              <w:t>ADI</w:t>
            </w:r>
          </w:p>
        </w:tc>
        <w:tc>
          <w:tcPr>
            <w:tcW w:w="2268" w:type="dxa"/>
          </w:tcPr>
          <w:p w14:paraId="20A1EAAE" w14:textId="77777777" w:rsidR="0096178A" w:rsidRPr="00B65D57" w:rsidRDefault="0096178A" w:rsidP="008F4848">
            <w:pPr>
              <w:spacing w:line="260" w:lineRule="atLeast"/>
              <w:rPr>
                <w:rFonts w:eastAsia="Calibri"/>
                <w:lang w:eastAsia="en-US"/>
              </w:rPr>
            </w:pPr>
          </w:p>
        </w:tc>
        <w:tc>
          <w:tcPr>
            <w:tcW w:w="1559" w:type="dxa"/>
          </w:tcPr>
          <w:p w14:paraId="7EB4C862" w14:textId="77777777" w:rsidR="0096178A" w:rsidRPr="00B65D57" w:rsidRDefault="0096178A" w:rsidP="008F4848">
            <w:pPr>
              <w:spacing w:line="260" w:lineRule="atLeast"/>
              <w:rPr>
                <w:rFonts w:eastAsia="Calibri"/>
                <w:lang w:eastAsia="en-US"/>
              </w:rPr>
            </w:pPr>
          </w:p>
        </w:tc>
        <w:tc>
          <w:tcPr>
            <w:tcW w:w="709" w:type="dxa"/>
          </w:tcPr>
          <w:p w14:paraId="78785A20" w14:textId="77777777" w:rsidR="0096178A" w:rsidRPr="00B65D57" w:rsidRDefault="0096178A" w:rsidP="008F4848">
            <w:pPr>
              <w:spacing w:line="260" w:lineRule="atLeast"/>
              <w:rPr>
                <w:rFonts w:eastAsia="Calibri"/>
                <w:lang w:eastAsia="en-US"/>
              </w:rPr>
            </w:pPr>
          </w:p>
        </w:tc>
        <w:tc>
          <w:tcPr>
            <w:tcW w:w="1559" w:type="dxa"/>
          </w:tcPr>
          <w:p w14:paraId="3C2667A6" w14:textId="77777777" w:rsidR="0096178A" w:rsidRPr="00B65D57" w:rsidRDefault="0096178A" w:rsidP="008F4848">
            <w:pPr>
              <w:spacing w:line="260" w:lineRule="atLeast"/>
              <w:rPr>
                <w:rFonts w:eastAsia="Calibri"/>
                <w:lang w:eastAsia="en-US"/>
              </w:rPr>
            </w:pPr>
          </w:p>
        </w:tc>
        <w:tc>
          <w:tcPr>
            <w:tcW w:w="1134" w:type="dxa"/>
            <w:shd w:val="clear" w:color="auto" w:fill="auto"/>
          </w:tcPr>
          <w:p w14:paraId="2863260B" w14:textId="77777777" w:rsidR="0096178A" w:rsidRPr="00B65D57" w:rsidRDefault="0096178A" w:rsidP="008F4848">
            <w:pPr>
              <w:spacing w:line="260" w:lineRule="atLeast"/>
              <w:rPr>
                <w:rFonts w:eastAsia="Calibri"/>
                <w:lang w:eastAsia="en-US"/>
              </w:rPr>
            </w:pPr>
            <w:r w:rsidRPr="00B65D57">
              <w:rPr>
                <w:rFonts w:eastAsia="Calibri"/>
                <w:lang w:eastAsia="en-US"/>
              </w:rPr>
              <w:t>Not relevant</w:t>
            </w:r>
          </w:p>
        </w:tc>
      </w:tr>
    </w:tbl>
    <w:p w14:paraId="5900FE9D" w14:textId="77777777" w:rsidR="0096178A" w:rsidRPr="00B65D57" w:rsidRDefault="0096178A" w:rsidP="008F4848">
      <w:pPr>
        <w:spacing w:line="260" w:lineRule="atLeast"/>
        <w:rPr>
          <w:rFonts w:eastAsia="Calibri"/>
          <w:iCs/>
          <w:sz w:val="16"/>
          <w:lang w:eastAsia="en-US"/>
        </w:rPr>
      </w:pPr>
      <w:r w:rsidRPr="00B65D57">
        <w:rPr>
          <w:rFonts w:eastAsia="Calibri"/>
          <w:iCs/>
          <w:sz w:val="16"/>
          <w:vertAlign w:val="superscript"/>
          <w:lang w:eastAsia="en-US"/>
        </w:rPr>
        <w:t>1</w:t>
      </w:r>
      <w:r w:rsidRPr="00B65D57">
        <w:rPr>
          <w:rFonts w:eastAsia="Calibri"/>
          <w:iCs/>
          <w:sz w:val="16"/>
          <w:lang w:eastAsia="en-US"/>
        </w:rPr>
        <w:t xml:space="preserve"> 10 for interspecies- and 10 for intraspecies variation</w:t>
      </w:r>
    </w:p>
    <w:p w14:paraId="16349FD5" w14:textId="77777777" w:rsidR="0096178A" w:rsidRPr="00B65D57" w:rsidRDefault="0096178A" w:rsidP="008F4848">
      <w:pPr>
        <w:spacing w:line="260" w:lineRule="atLeast"/>
        <w:rPr>
          <w:rFonts w:eastAsia="Calibri"/>
          <w:iCs/>
          <w:sz w:val="16"/>
          <w:lang w:eastAsia="en-US"/>
        </w:rPr>
      </w:pPr>
    </w:p>
    <w:p w14:paraId="7BE47D33" w14:textId="0F4FA5EA" w:rsidR="0096178A" w:rsidRPr="00B65D57" w:rsidRDefault="0096178A" w:rsidP="008F4848">
      <w:pPr>
        <w:spacing w:line="260" w:lineRule="atLeast"/>
        <w:rPr>
          <w:lang w:eastAsia="sv-SE"/>
        </w:rPr>
      </w:pPr>
      <w:r w:rsidRPr="00B65D57">
        <w:rPr>
          <w:lang w:eastAsia="sv-SE"/>
        </w:rPr>
        <w:t>For information on critical endpoints and assessment factors see section 2.2.6.</w:t>
      </w:r>
      <w:r w:rsidR="00DD7901" w:rsidRPr="00B65D57">
        <w:rPr>
          <w:lang w:eastAsia="sv-SE"/>
        </w:rPr>
        <w:t>2.4</w:t>
      </w:r>
      <w:r w:rsidRPr="00B65D57">
        <w:rPr>
          <w:lang w:eastAsia="sv-SE"/>
        </w:rPr>
        <w:t>; Critical endpoints and assessment factors used for calculation of AOEL.</w:t>
      </w:r>
    </w:p>
    <w:p w14:paraId="1248AD5C" w14:textId="77777777" w:rsidR="00F31D25" w:rsidRPr="00B65D57" w:rsidRDefault="00F31D25" w:rsidP="008F4848">
      <w:pPr>
        <w:spacing w:line="260" w:lineRule="atLeast"/>
        <w:rPr>
          <w:rFonts w:ascii="Times New Roman" w:hAnsi="Times New Roman"/>
          <w:b/>
          <w:bCs/>
          <w:sz w:val="24"/>
          <w:szCs w:val="24"/>
          <w:lang w:eastAsia="sv-SE"/>
        </w:rPr>
      </w:pPr>
    </w:p>
    <w:p w14:paraId="491C3AFE" w14:textId="77777777" w:rsidR="004D6323" w:rsidRPr="00B65D57" w:rsidRDefault="004D6323" w:rsidP="008F4848">
      <w:pPr>
        <w:spacing w:line="260" w:lineRule="atLeast"/>
        <w:jc w:val="both"/>
        <w:rPr>
          <w:rFonts w:eastAsia="Calibri"/>
          <w:lang w:eastAsia="en-US"/>
        </w:rPr>
      </w:pPr>
    </w:p>
    <w:p w14:paraId="401A59CF" w14:textId="3D4C73CB" w:rsidR="0096178A" w:rsidRPr="00B65D57" w:rsidRDefault="002C23EC" w:rsidP="008F4848">
      <w:pPr>
        <w:pStyle w:val="Rubrik5"/>
        <w:ind w:left="360"/>
        <w:rPr>
          <w:rFonts w:eastAsia="Calibri"/>
          <w:lang w:val="en-GB"/>
        </w:rPr>
      </w:pPr>
      <w:bookmarkStart w:id="1588" w:name="_Toc403472775"/>
      <w:bookmarkStart w:id="1589" w:name="_Toc389729089"/>
      <w:r w:rsidRPr="00B65D57">
        <w:rPr>
          <w:rFonts w:eastAsia="Calibri"/>
          <w:lang w:val="en-GB"/>
        </w:rPr>
        <w:t xml:space="preserve">2.2.6.3.1 </w:t>
      </w:r>
      <w:r w:rsidR="0096178A" w:rsidRPr="00B65D57">
        <w:rPr>
          <w:rFonts w:eastAsia="Calibri"/>
          <w:lang w:val="en-GB"/>
        </w:rPr>
        <w:t>Risk for industrial users</w:t>
      </w:r>
      <w:bookmarkEnd w:id="1588"/>
      <w:bookmarkEnd w:id="1589"/>
    </w:p>
    <w:p w14:paraId="4DF43D41" w14:textId="78217CB4" w:rsidR="0096178A" w:rsidRPr="00B65D57" w:rsidRDefault="0096178A" w:rsidP="008F4848">
      <w:pPr>
        <w:rPr>
          <w:rFonts w:eastAsia="Calibri"/>
          <w:lang w:eastAsia="en-US"/>
        </w:rPr>
      </w:pPr>
      <w:r w:rsidRPr="00B65D57">
        <w:rPr>
          <w:rFonts w:eastAsia="Calibri"/>
          <w:lang w:eastAsia="en-US"/>
        </w:rPr>
        <w:t xml:space="preserve">This section is not relevant as the biocidal product is for professional use only. </w:t>
      </w:r>
    </w:p>
    <w:p w14:paraId="37B9FA81" w14:textId="77777777" w:rsidR="00F31D25" w:rsidRPr="00B65D57" w:rsidRDefault="00F31D25" w:rsidP="008F4848">
      <w:pPr>
        <w:rPr>
          <w:rFonts w:eastAsia="Calibri"/>
          <w:b/>
          <w:i/>
          <w:sz w:val="22"/>
          <w:szCs w:val="22"/>
        </w:rPr>
      </w:pPr>
    </w:p>
    <w:p w14:paraId="7E58ABB9" w14:textId="77777777" w:rsidR="004D6323" w:rsidRPr="00B65D57" w:rsidRDefault="004D6323" w:rsidP="008F4848">
      <w:pPr>
        <w:spacing w:line="260" w:lineRule="atLeast"/>
        <w:rPr>
          <w:rFonts w:eastAsia="Calibri"/>
          <w:lang w:eastAsia="en-US"/>
        </w:rPr>
      </w:pPr>
    </w:p>
    <w:p w14:paraId="033E55D0" w14:textId="2CE7981E" w:rsidR="0096178A" w:rsidRPr="00B65D57" w:rsidRDefault="002C23EC" w:rsidP="008F4848">
      <w:pPr>
        <w:pStyle w:val="Rubrik5"/>
        <w:ind w:left="360"/>
        <w:rPr>
          <w:rFonts w:eastAsia="Calibri"/>
          <w:lang w:val="en-GB"/>
        </w:rPr>
      </w:pPr>
      <w:bookmarkStart w:id="1590" w:name="_Toc389729090"/>
      <w:bookmarkStart w:id="1591" w:name="_Toc403472776"/>
      <w:r w:rsidRPr="00B65D57">
        <w:rPr>
          <w:rFonts w:eastAsia="Calibri"/>
          <w:lang w:val="en-GB"/>
        </w:rPr>
        <w:t xml:space="preserve">2.2.6.3.2 </w:t>
      </w:r>
      <w:r w:rsidR="0096178A" w:rsidRPr="00B65D57">
        <w:rPr>
          <w:rFonts w:eastAsia="Calibri"/>
          <w:lang w:val="en-GB"/>
        </w:rPr>
        <w:t>Risk for professional users</w:t>
      </w:r>
      <w:bookmarkEnd w:id="1590"/>
      <w:bookmarkEnd w:id="1591"/>
    </w:p>
    <w:p w14:paraId="7A8A7D21" w14:textId="77777777" w:rsidR="0096178A" w:rsidRPr="00B65D57" w:rsidRDefault="0096178A" w:rsidP="0096178A">
      <w:pPr>
        <w:spacing w:line="260" w:lineRule="atLeast"/>
        <w:rPr>
          <w:rFonts w:eastAsia="Calibri"/>
          <w:b/>
          <w:bCs/>
          <w:lang w:eastAsia="en-US"/>
        </w:rPr>
      </w:pPr>
      <w:r w:rsidRPr="00B65D57">
        <w:rPr>
          <w:rFonts w:eastAsia="Calibri"/>
          <w:b/>
          <w:bCs/>
          <w:lang w:eastAsia="en-US"/>
        </w:rPr>
        <w:t xml:space="preserve">Systemic effects </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1162"/>
        <w:gridCol w:w="1701"/>
        <w:gridCol w:w="1559"/>
        <w:gridCol w:w="1843"/>
      </w:tblGrid>
      <w:tr w:rsidR="0096178A" w:rsidRPr="00B65D57" w14:paraId="333C9BDD" w14:textId="77777777" w:rsidTr="00760DCC">
        <w:tc>
          <w:tcPr>
            <w:tcW w:w="1560" w:type="dxa"/>
            <w:shd w:val="clear" w:color="auto" w:fill="FFFFCC"/>
          </w:tcPr>
          <w:p w14:paraId="2DEF54AA" w14:textId="77777777" w:rsidR="0096178A" w:rsidRPr="00B65D57" w:rsidRDefault="0096178A" w:rsidP="00760DCC">
            <w:pPr>
              <w:spacing w:line="260" w:lineRule="atLeast"/>
              <w:rPr>
                <w:rFonts w:eastAsia="Calibri"/>
                <w:b/>
                <w:lang w:eastAsia="en-US"/>
              </w:rPr>
            </w:pPr>
            <w:r w:rsidRPr="00B65D57">
              <w:rPr>
                <w:rFonts w:eastAsia="Calibri"/>
                <w:b/>
                <w:lang w:eastAsia="en-US"/>
              </w:rPr>
              <w:t>Task/</w:t>
            </w:r>
          </w:p>
          <w:p w14:paraId="518FC7DC" w14:textId="77777777" w:rsidR="0096178A" w:rsidRPr="00B65D57" w:rsidRDefault="0096178A" w:rsidP="00760DCC">
            <w:pPr>
              <w:spacing w:line="260" w:lineRule="atLeast"/>
              <w:rPr>
                <w:rFonts w:eastAsia="Calibri"/>
                <w:b/>
                <w:lang w:eastAsia="en-US"/>
              </w:rPr>
            </w:pPr>
            <w:r w:rsidRPr="00B65D57">
              <w:rPr>
                <w:rFonts w:eastAsia="Calibri"/>
                <w:b/>
                <w:lang w:eastAsia="en-US"/>
              </w:rPr>
              <w:t>Scenario</w:t>
            </w:r>
          </w:p>
        </w:tc>
        <w:tc>
          <w:tcPr>
            <w:tcW w:w="1560" w:type="dxa"/>
            <w:shd w:val="clear" w:color="auto" w:fill="FFFFCC"/>
          </w:tcPr>
          <w:p w14:paraId="13F3356A" w14:textId="77777777" w:rsidR="0096178A" w:rsidRPr="00325E28" w:rsidRDefault="0096178A" w:rsidP="00760DCC">
            <w:pPr>
              <w:spacing w:line="260" w:lineRule="atLeast"/>
              <w:rPr>
                <w:rFonts w:eastAsia="Calibri"/>
                <w:b/>
                <w:lang w:val="da-DK" w:eastAsia="en-US"/>
              </w:rPr>
            </w:pPr>
            <w:r w:rsidRPr="00325E28">
              <w:rPr>
                <w:rFonts w:eastAsia="Calibri"/>
                <w:b/>
                <w:lang w:val="da-DK" w:eastAsia="en-US"/>
              </w:rPr>
              <w:t>Systemic NOAEL</w:t>
            </w:r>
          </w:p>
          <w:p w14:paraId="7454EBF6" w14:textId="77777777" w:rsidR="0096178A" w:rsidRPr="00325E28" w:rsidRDefault="0096178A" w:rsidP="00760DCC">
            <w:pPr>
              <w:spacing w:line="260" w:lineRule="atLeast"/>
              <w:rPr>
                <w:rFonts w:eastAsia="Calibri"/>
                <w:b/>
                <w:lang w:val="da-DK" w:eastAsia="en-US"/>
              </w:rPr>
            </w:pPr>
            <w:r w:rsidRPr="00325E28">
              <w:rPr>
                <w:rFonts w:eastAsia="Calibri"/>
                <w:b/>
                <w:lang w:val="da-DK" w:eastAsia="en-US"/>
              </w:rPr>
              <w:t>mg/kg bw/d</w:t>
            </w:r>
          </w:p>
        </w:tc>
        <w:tc>
          <w:tcPr>
            <w:tcW w:w="1162" w:type="dxa"/>
            <w:shd w:val="clear" w:color="auto" w:fill="FFFFCC"/>
          </w:tcPr>
          <w:p w14:paraId="78ED2F01" w14:textId="77777777" w:rsidR="0096178A" w:rsidRPr="00F8054E" w:rsidRDefault="0096178A" w:rsidP="00760DCC">
            <w:pPr>
              <w:spacing w:line="260" w:lineRule="atLeast"/>
              <w:rPr>
                <w:rFonts w:eastAsia="Calibri"/>
                <w:b/>
                <w:lang w:val="sv-SE" w:eastAsia="en-US"/>
              </w:rPr>
            </w:pPr>
            <w:r w:rsidRPr="00F8054E">
              <w:rPr>
                <w:rFonts w:eastAsia="Calibri"/>
                <w:b/>
                <w:lang w:val="sv-SE" w:eastAsia="en-US"/>
              </w:rPr>
              <w:t>AOEL</w:t>
            </w:r>
          </w:p>
          <w:p w14:paraId="3E313645" w14:textId="77777777" w:rsidR="0096178A" w:rsidRPr="00F8054E" w:rsidRDefault="0096178A" w:rsidP="00760DCC">
            <w:pPr>
              <w:spacing w:line="260" w:lineRule="atLeast"/>
              <w:rPr>
                <w:rFonts w:eastAsia="Calibri"/>
                <w:b/>
                <w:lang w:val="sv-SE" w:eastAsia="en-US"/>
              </w:rPr>
            </w:pPr>
            <w:r w:rsidRPr="00F8054E">
              <w:rPr>
                <w:rFonts w:eastAsia="Calibri"/>
                <w:b/>
                <w:lang w:val="sv-SE" w:eastAsia="en-US"/>
              </w:rPr>
              <w:t>mg/kg bw/d</w:t>
            </w:r>
          </w:p>
        </w:tc>
        <w:tc>
          <w:tcPr>
            <w:tcW w:w="1701" w:type="dxa"/>
            <w:shd w:val="clear" w:color="auto" w:fill="FFFFCC"/>
          </w:tcPr>
          <w:p w14:paraId="00FBC71E" w14:textId="77777777" w:rsidR="0096178A" w:rsidRPr="00B65D57" w:rsidRDefault="0096178A" w:rsidP="00760DCC">
            <w:pPr>
              <w:spacing w:line="260" w:lineRule="atLeast"/>
              <w:rPr>
                <w:rFonts w:eastAsia="Calibri"/>
                <w:b/>
                <w:lang w:eastAsia="en-US"/>
              </w:rPr>
            </w:pPr>
            <w:r w:rsidRPr="00B65D57">
              <w:rPr>
                <w:rFonts w:eastAsia="Calibri"/>
                <w:b/>
                <w:lang w:eastAsia="en-US"/>
              </w:rPr>
              <w:t>Estimated uptake</w:t>
            </w:r>
          </w:p>
          <w:p w14:paraId="56127967" w14:textId="77777777" w:rsidR="0096178A" w:rsidRPr="00B65D57" w:rsidRDefault="0096178A" w:rsidP="00760DCC">
            <w:pPr>
              <w:spacing w:line="260" w:lineRule="atLeast"/>
              <w:rPr>
                <w:rFonts w:eastAsia="Calibri"/>
                <w:b/>
                <w:lang w:eastAsia="en-US"/>
              </w:rPr>
            </w:pPr>
            <w:r w:rsidRPr="00B65D57">
              <w:rPr>
                <w:rFonts w:eastAsia="Calibri"/>
                <w:b/>
                <w:lang w:eastAsia="en-US"/>
              </w:rPr>
              <w:t>mg/kg bw/d</w:t>
            </w:r>
          </w:p>
        </w:tc>
        <w:tc>
          <w:tcPr>
            <w:tcW w:w="1559" w:type="dxa"/>
            <w:shd w:val="clear" w:color="auto" w:fill="FFFFCC"/>
          </w:tcPr>
          <w:p w14:paraId="1DC84468" w14:textId="77777777" w:rsidR="0096178A" w:rsidRPr="00B65D57" w:rsidRDefault="0096178A" w:rsidP="00760DCC">
            <w:pPr>
              <w:spacing w:line="260" w:lineRule="atLeast"/>
              <w:rPr>
                <w:rFonts w:eastAsia="Calibri"/>
                <w:b/>
                <w:lang w:eastAsia="en-US"/>
              </w:rPr>
            </w:pPr>
            <w:r w:rsidRPr="00B65D57">
              <w:rPr>
                <w:rFonts w:eastAsia="Calibri"/>
                <w:b/>
                <w:lang w:eastAsia="en-US"/>
              </w:rPr>
              <w:t xml:space="preserve">Estimated uptake/ AEL </w:t>
            </w:r>
          </w:p>
          <w:p w14:paraId="26F4FC82" w14:textId="77777777" w:rsidR="0096178A" w:rsidRPr="00B65D57" w:rsidRDefault="0096178A" w:rsidP="00760DCC">
            <w:pPr>
              <w:spacing w:line="260" w:lineRule="atLeast"/>
              <w:rPr>
                <w:rFonts w:eastAsia="Calibri"/>
                <w:b/>
                <w:lang w:eastAsia="en-US"/>
              </w:rPr>
            </w:pPr>
            <w:r w:rsidRPr="00B65D57">
              <w:rPr>
                <w:rFonts w:eastAsia="Calibri"/>
                <w:b/>
                <w:lang w:eastAsia="en-US"/>
              </w:rPr>
              <w:t>(%)</w:t>
            </w:r>
          </w:p>
        </w:tc>
        <w:tc>
          <w:tcPr>
            <w:tcW w:w="1843" w:type="dxa"/>
            <w:shd w:val="clear" w:color="auto" w:fill="FFFFCC"/>
          </w:tcPr>
          <w:p w14:paraId="1F87DFF2" w14:textId="77777777" w:rsidR="0096178A" w:rsidRPr="00B65D57" w:rsidRDefault="0096178A" w:rsidP="00760DCC">
            <w:pPr>
              <w:spacing w:line="260" w:lineRule="atLeast"/>
              <w:rPr>
                <w:rFonts w:eastAsia="Calibri"/>
                <w:b/>
                <w:lang w:eastAsia="en-US"/>
              </w:rPr>
            </w:pPr>
            <w:r w:rsidRPr="00B65D57">
              <w:rPr>
                <w:rFonts w:eastAsia="Calibri"/>
                <w:b/>
                <w:lang w:eastAsia="en-US"/>
              </w:rPr>
              <w:t>Acceptable</w:t>
            </w:r>
          </w:p>
          <w:p w14:paraId="3AA6FCCA" w14:textId="77777777" w:rsidR="0096178A" w:rsidRPr="00B65D57" w:rsidRDefault="0096178A" w:rsidP="00760DCC">
            <w:pPr>
              <w:spacing w:line="260" w:lineRule="atLeast"/>
              <w:rPr>
                <w:rFonts w:eastAsia="Calibri"/>
                <w:b/>
                <w:lang w:eastAsia="en-US"/>
              </w:rPr>
            </w:pPr>
            <w:r w:rsidRPr="00B65D57">
              <w:rPr>
                <w:rFonts w:eastAsia="Calibri"/>
                <w:b/>
                <w:lang w:eastAsia="en-US"/>
              </w:rPr>
              <w:t>(yes/no)</w:t>
            </w:r>
          </w:p>
        </w:tc>
      </w:tr>
      <w:tr w:rsidR="0096178A" w:rsidRPr="00B65D57" w14:paraId="431786B8" w14:textId="77777777" w:rsidTr="00760DCC">
        <w:tc>
          <w:tcPr>
            <w:tcW w:w="1560" w:type="dxa"/>
            <w:shd w:val="clear" w:color="auto" w:fill="auto"/>
          </w:tcPr>
          <w:p w14:paraId="373435E4"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 xml:space="preserve">1 a-d Production  </w:t>
            </w:r>
          </w:p>
        </w:tc>
        <w:tc>
          <w:tcPr>
            <w:tcW w:w="1560" w:type="dxa"/>
            <w:shd w:val="clear" w:color="auto" w:fill="auto"/>
          </w:tcPr>
          <w:p w14:paraId="6904460A"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63FFE225"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6A939096"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0.05</w:t>
            </w:r>
          </w:p>
          <w:p w14:paraId="3A1EC0F4" w14:textId="77777777" w:rsidR="0096178A" w:rsidRPr="00B65D57" w:rsidRDefault="0096178A" w:rsidP="00760DCC">
            <w:pPr>
              <w:jc w:val="center"/>
              <w:rPr>
                <w:rFonts w:eastAsia="Calibri"/>
                <w:lang w:eastAsia="en-US"/>
              </w:rPr>
            </w:pPr>
          </w:p>
        </w:tc>
        <w:tc>
          <w:tcPr>
            <w:tcW w:w="1559" w:type="dxa"/>
            <w:shd w:val="clear" w:color="auto" w:fill="auto"/>
          </w:tcPr>
          <w:p w14:paraId="48DD3126" w14:textId="77777777" w:rsidR="0096178A" w:rsidRPr="00B65D57" w:rsidRDefault="0096178A" w:rsidP="00760DCC">
            <w:pPr>
              <w:spacing w:line="260" w:lineRule="atLeast"/>
              <w:rPr>
                <w:rFonts w:eastAsia="Calibri"/>
                <w:lang w:eastAsia="en-US"/>
              </w:rPr>
            </w:pPr>
            <w:r w:rsidRPr="00B65D57">
              <w:rPr>
                <w:rFonts w:eastAsia="Calibri"/>
                <w:lang w:eastAsia="en-US"/>
              </w:rPr>
              <w:t>50%</w:t>
            </w:r>
          </w:p>
        </w:tc>
        <w:tc>
          <w:tcPr>
            <w:tcW w:w="1843" w:type="dxa"/>
            <w:shd w:val="clear" w:color="auto" w:fill="auto"/>
          </w:tcPr>
          <w:p w14:paraId="68B356D8"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20948140" w14:textId="77777777" w:rsidTr="00760DCC">
        <w:tc>
          <w:tcPr>
            <w:tcW w:w="1560" w:type="dxa"/>
            <w:shd w:val="clear" w:color="auto" w:fill="auto"/>
          </w:tcPr>
          <w:p w14:paraId="78980A0C"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2.1 a-b Transfer to mixing tank</w:t>
            </w:r>
          </w:p>
        </w:tc>
        <w:tc>
          <w:tcPr>
            <w:tcW w:w="1560" w:type="dxa"/>
            <w:shd w:val="clear" w:color="auto" w:fill="auto"/>
          </w:tcPr>
          <w:p w14:paraId="7BC659F4"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0375DF8E"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5C0DEC14"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0.0082</w:t>
            </w:r>
          </w:p>
        </w:tc>
        <w:tc>
          <w:tcPr>
            <w:tcW w:w="1559" w:type="dxa"/>
            <w:shd w:val="clear" w:color="auto" w:fill="auto"/>
          </w:tcPr>
          <w:p w14:paraId="1D269C86" w14:textId="7BA5CBB7" w:rsidR="0096178A" w:rsidRPr="00B65D57" w:rsidRDefault="0096178A" w:rsidP="00760DCC">
            <w:pPr>
              <w:spacing w:line="260" w:lineRule="atLeast"/>
              <w:rPr>
                <w:rFonts w:eastAsia="Calibri"/>
                <w:lang w:eastAsia="en-US"/>
              </w:rPr>
            </w:pPr>
            <w:r w:rsidRPr="00B65D57">
              <w:rPr>
                <w:rFonts w:eastAsia="Calibri"/>
                <w:lang w:eastAsia="en-US"/>
              </w:rPr>
              <w:t>8</w:t>
            </w:r>
            <w:r w:rsidR="004C72AB" w:rsidRPr="00B65D57">
              <w:rPr>
                <w:rFonts w:eastAsia="Calibri"/>
                <w:lang w:eastAsia="en-US"/>
              </w:rPr>
              <w:t>.</w:t>
            </w:r>
            <w:r w:rsidRPr="00B65D57">
              <w:rPr>
                <w:rFonts w:eastAsia="Calibri"/>
                <w:lang w:eastAsia="en-US"/>
              </w:rPr>
              <w:t>2%</w:t>
            </w:r>
          </w:p>
        </w:tc>
        <w:tc>
          <w:tcPr>
            <w:tcW w:w="1843" w:type="dxa"/>
            <w:shd w:val="clear" w:color="auto" w:fill="auto"/>
          </w:tcPr>
          <w:p w14:paraId="6D4F91AD"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7D2ACC88" w14:textId="77777777" w:rsidTr="00760DCC">
        <w:tc>
          <w:tcPr>
            <w:tcW w:w="1560" w:type="dxa"/>
            <w:shd w:val="clear" w:color="auto" w:fill="auto"/>
          </w:tcPr>
          <w:p w14:paraId="7C2F4133"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2.2 a-b Mixing tank</w:t>
            </w:r>
          </w:p>
        </w:tc>
        <w:tc>
          <w:tcPr>
            <w:tcW w:w="1560" w:type="dxa"/>
            <w:shd w:val="clear" w:color="auto" w:fill="auto"/>
          </w:tcPr>
          <w:p w14:paraId="3BE53046"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6279B2E3"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71D096EA"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0.0007</w:t>
            </w:r>
          </w:p>
        </w:tc>
        <w:tc>
          <w:tcPr>
            <w:tcW w:w="1559" w:type="dxa"/>
            <w:shd w:val="clear" w:color="auto" w:fill="auto"/>
          </w:tcPr>
          <w:p w14:paraId="6A3A70C9" w14:textId="1D8C5878" w:rsidR="0096178A" w:rsidRPr="00B65D57" w:rsidRDefault="0096178A" w:rsidP="00760DCC">
            <w:pPr>
              <w:spacing w:line="260" w:lineRule="atLeast"/>
              <w:rPr>
                <w:rFonts w:eastAsia="Calibri"/>
                <w:lang w:eastAsia="en-US"/>
              </w:rPr>
            </w:pPr>
            <w:r w:rsidRPr="00B65D57">
              <w:rPr>
                <w:rFonts w:eastAsia="Calibri"/>
                <w:lang w:eastAsia="en-US"/>
              </w:rPr>
              <w:t>0</w:t>
            </w:r>
            <w:r w:rsidR="004C72AB" w:rsidRPr="00B65D57">
              <w:rPr>
                <w:rFonts w:eastAsia="Calibri"/>
                <w:lang w:eastAsia="en-US"/>
              </w:rPr>
              <w:t>.</w:t>
            </w:r>
            <w:r w:rsidRPr="00B65D57">
              <w:rPr>
                <w:rFonts w:eastAsia="Calibri"/>
                <w:lang w:eastAsia="en-US"/>
              </w:rPr>
              <w:t>7%</w:t>
            </w:r>
          </w:p>
        </w:tc>
        <w:tc>
          <w:tcPr>
            <w:tcW w:w="1843" w:type="dxa"/>
            <w:shd w:val="clear" w:color="auto" w:fill="auto"/>
          </w:tcPr>
          <w:p w14:paraId="5F05D0DE"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61F0C331" w14:textId="77777777" w:rsidTr="00760DCC">
        <w:tc>
          <w:tcPr>
            <w:tcW w:w="1560" w:type="dxa"/>
            <w:shd w:val="clear" w:color="auto" w:fill="auto"/>
          </w:tcPr>
          <w:p w14:paraId="6DF56F38"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3 a-b Transfer to mixing barrel</w:t>
            </w:r>
          </w:p>
        </w:tc>
        <w:tc>
          <w:tcPr>
            <w:tcW w:w="1560" w:type="dxa"/>
            <w:shd w:val="clear" w:color="auto" w:fill="auto"/>
          </w:tcPr>
          <w:p w14:paraId="7BB8B43F"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77E7CD4B"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12BBB28E"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0.0137</w:t>
            </w:r>
          </w:p>
        </w:tc>
        <w:tc>
          <w:tcPr>
            <w:tcW w:w="1559" w:type="dxa"/>
            <w:shd w:val="clear" w:color="auto" w:fill="auto"/>
          </w:tcPr>
          <w:p w14:paraId="45BDB240" w14:textId="77777777" w:rsidR="0096178A" w:rsidRPr="00B65D57" w:rsidRDefault="0096178A" w:rsidP="00760DCC">
            <w:pPr>
              <w:spacing w:line="260" w:lineRule="atLeast"/>
              <w:rPr>
                <w:rFonts w:eastAsia="Calibri"/>
                <w:lang w:eastAsia="en-US"/>
              </w:rPr>
            </w:pPr>
            <w:r w:rsidRPr="00B65D57">
              <w:rPr>
                <w:rFonts w:eastAsia="Calibri"/>
                <w:lang w:eastAsia="en-US"/>
              </w:rPr>
              <w:t>14%</w:t>
            </w:r>
          </w:p>
        </w:tc>
        <w:tc>
          <w:tcPr>
            <w:tcW w:w="1843" w:type="dxa"/>
            <w:shd w:val="clear" w:color="auto" w:fill="auto"/>
          </w:tcPr>
          <w:p w14:paraId="196C11BA"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7726D887" w14:textId="77777777" w:rsidTr="00760DCC">
        <w:tc>
          <w:tcPr>
            <w:tcW w:w="1560" w:type="dxa"/>
            <w:shd w:val="clear" w:color="auto" w:fill="auto"/>
          </w:tcPr>
          <w:p w14:paraId="6C7D1899"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4 a-b Mixing barrel</w:t>
            </w:r>
          </w:p>
        </w:tc>
        <w:tc>
          <w:tcPr>
            <w:tcW w:w="1560" w:type="dxa"/>
            <w:shd w:val="clear" w:color="auto" w:fill="auto"/>
          </w:tcPr>
          <w:p w14:paraId="162591B5"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3A53846D"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310C21DD"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0.0137</w:t>
            </w:r>
          </w:p>
        </w:tc>
        <w:tc>
          <w:tcPr>
            <w:tcW w:w="1559" w:type="dxa"/>
            <w:shd w:val="clear" w:color="auto" w:fill="auto"/>
          </w:tcPr>
          <w:p w14:paraId="397BF413" w14:textId="77777777" w:rsidR="0096178A" w:rsidRPr="00B65D57" w:rsidRDefault="0096178A" w:rsidP="00760DCC">
            <w:pPr>
              <w:spacing w:line="260" w:lineRule="atLeast"/>
              <w:rPr>
                <w:rFonts w:eastAsia="Calibri"/>
                <w:lang w:eastAsia="en-US"/>
              </w:rPr>
            </w:pPr>
            <w:r w:rsidRPr="00B65D57">
              <w:rPr>
                <w:rFonts w:eastAsia="Calibri"/>
                <w:lang w:eastAsia="en-US"/>
              </w:rPr>
              <w:t>14%</w:t>
            </w:r>
          </w:p>
        </w:tc>
        <w:tc>
          <w:tcPr>
            <w:tcW w:w="1843" w:type="dxa"/>
            <w:shd w:val="clear" w:color="auto" w:fill="auto"/>
          </w:tcPr>
          <w:p w14:paraId="634F601B"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74575C88" w14:textId="77777777" w:rsidTr="00760DCC">
        <w:tc>
          <w:tcPr>
            <w:tcW w:w="1560" w:type="dxa"/>
            <w:shd w:val="clear" w:color="auto" w:fill="auto"/>
          </w:tcPr>
          <w:p w14:paraId="284DA263"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lastRenderedPageBreak/>
              <w:t>5 a-b Transfer to injection pump</w:t>
            </w:r>
          </w:p>
        </w:tc>
        <w:tc>
          <w:tcPr>
            <w:tcW w:w="1560" w:type="dxa"/>
            <w:shd w:val="clear" w:color="auto" w:fill="auto"/>
          </w:tcPr>
          <w:p w14:paraId="455B86CF"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634F7AAE"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7B2249FC"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0.0137</w:t>
            </w:r>
          </w:p>
        </w:tc>
        <w:tc>
          <w:tcPr>
            <w:tcW w:w="1559" w:type="dxa"/>
            <w:shd w:val="clear" w:color="auto" w:fill="auto"/>
          </w:tcPr>
          <w:p w14:paraId="6D7D5483" w14:textId="77777777" w:rsidR="0096178A" w:rsidRPr="00B65D57" w:rsidRDefault="0096178A" w:rsidP="00760DCC">
            <w:pPr>
              <w:spacing w:line="260" w:lineRule="atLeast"/>
              <w:rPr>
                <w:rFonts w:eastAsia="Calibri"/>
                <w:lang w:eastAsia="en-US"/>
              </w:rPr>
            </w:pPr>
            <w:r w:rsidRPr="00B65D57">
              <w:rPr>
                <w:rFonts w:eastAsia="Calibri"/>
                <w:lang w:eastAsia="en-US"/>
              </w:rPr>
              <w:t>14%</w:t>
            </w:r>
          </w:p>
        </w:tc>
        <w:tc>
          <w:tcPr>
            <w:tcW w:w="1843" w:type="dxa"/>
            <w:shd w:val="clear" w:color="auto" w:fill="auto"/>
          </w:tcPr>
          <w:p w14:paraId="7C200B1D"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0C162A4D" w14:textId="77777777" w:rsidTr="00760DCC">
        <w:tc>
          <w:tcPr>
            <w:tcW w:w="1560" w:type="dxa"/>
            <w:shd w:val="clear" w:color="auto" w:fill="auto"/>
          </w:tcPr>
          <w:p w14:paraId="5685B721"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6 a-b Application</w:t>
            </w:r>
          </w:p>
        </w:tc>
        <w:tc>
          <w:tcPr>
            <w:tcW w:w="1560" w:type="dxa"/>
            <w:shd w:val="clear" w:color="auto" w:fill="auto"/>
          </w:tcPr>
          <w:p w14:paraId="62CF5237"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4691F108"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67D88CB5"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0.001785</w:t>
            </w:r>
          </w:p>
          <w:p w14:paraId="799ADC8F" w14:textId="77777777" w:rsidR="0096178A" w:rsidRPr="00B65D57" w:rsidRDefault="0096178A" w:rsidP="00760DCC">
            <w:pPr>
              <w:jc w:val="center"/>
              <w:rPr>
                <w:rFonts w:eastAsia="Calibri"/>
                <w:lang w:eastAsia="en-US"/>
              </w:rPr>
            </w:pPr>
          </w:p>
        </w:tc>
        <w:tc>
          <w:tcPr>
            <w:tcW w:w="1559" w:type="dxa"/>
            <w:shd w:val="clear" w:color="auto" w:fill="auto"/>
          </w:tcPr>
          <w:p w14:paraId="450C4DDD" w14:textId="74571E8F" w:rsidR="0096178A" w:rsidRPr="00B65D57" w:rsidRDefault="0096178A" w:rsidP="00760DCC">
            <w:pPr>
              <w:spacing w:line="260" w:lineRule="atLeast"/>
              <w:rPr>
                <w:rFonts w:eastAsia="Calibri"/>
                <w:lang w:eastAsia="en-US"/>
              </w:rPr>
            </w:pPr>
            <w:r w:rsidRPr="00B65D57">
              <w:rPr>
                <w:rFonts w:eastAsia="Calibri"/>
                <w:lang w:eastAsia="en-US"/>
              </w:rPr>
              <w:t>1</w:t>
            </w:r>
            <w:r w:rsidR="004C72AB" w:rsidRPr="00B65D57">
              <w:rPr>
                <w:rFonts w:eastAsia="Calibri"/>
                <w:lang w:eastAsia="en-US"/>
              </w:rPr>
              <w:t>.</w:t>
            </w:r>
            <w:r w:rsidRPr="00B65D57">
              <w:rPr>
                <w:rFonts w:eastAsia="Calibri"/>
                <w:lang w:eastAsia="en-US"/>
              </w:rPr>
              <w:t>8%</w:t>
            </w:r>
          </w:p>
        </w:tc>
        <w:tc>
          <w:tcPr>
            <w:tcW w:w="1843" w:type="dxa"/>
            <w:shd w:val="clear" w:color="auto" w:fill="auto"/>
          </w:tcPr>
          <w:p w14:paraId="0413F121"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0628698E" w14:textId="77777777" w:rsidTr="00760DCC">
        <w:tc>
          <w:tcPr>
            <w:tcW w:w="1560" w:type="dxa"/>
            <w:shd w:val="clear" w:color="auto" w:fill="auto"/>
          </w:tcPr>
          <w:p w14:paraId="49617F00"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7 a-b Daily cleaning</w:t>
            </w:r>
          </w:p>
        </w:tc>
        <w:tc>
          <w:tcPr>
            <w:tcW w:w="1560" w:type="dxa"/>
            <w:shd w:val="clear" w:color="auto" w:fill="auto"/>
          </w:tcPr>
          <w:p w14:paraId="3C51F13A"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2EA009D3"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4CA5AFA1"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0.0137</w:t>
            </w:r>
          </w:p>
        </w:tc>
        <w:tc>
          <w:tcPr>
            <w:tcW w:w="1559" w:type="dxa"/>
            <w:shd w:val="clear" w:color="auto" w:fill="auto"/>
          </w:tcPr>
          <w:p w14:paraId="0B4F9460" w14:textId="77777777" w:rsidR="0096178A" w:rsidRPr="00B65D57" w:rsidRDefault="0096178A" w:rsidP="00760DCC">
            <w:pPr>
              <w:spacing w:line="260" w:lineRule="atLeast"/>
              <w:rPr>
                <w:rFonts w:eastAsia="Calibri"/>
                <w:lang w:eastAsia="en-US"/>
              </w:rPr>
            </w:pPr>
            <w:r w:rsidRPr="00B65D57">
              <w:rPr>
                <w:rFonts w:eastAsia="Calibri"/>
                <w:lang w:eastAsia="en-US"/>
              </w:rPr>
              <w:t>14%</w:t>
            </w:r>
          </w:p>
        </w:tc>
        <w:tc>
          <w:tcPr>
            <w:tcW w:w="1843" w:type="dxa"/>
            <w:shd w:val="clear" w:color="auto" w:fill="auto"/>
          </w:tcPr>
          <w:p w14:paraId="06FBD509"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40F05C16" w14:textId="77777777" w:rsidTr="00760DCC">
        <w:tc>
          <w:tcPr>
            <w:tcW w:w="1560" w:type="dxa"/>
            <w:shd w:val="clear" w:color="auto" w:fill="auto"/>
          </w:tcPr>
          <w:p w14:paraId="5766114D" w14:textId="77777777" w:rsidR="0096178A" w:rsidRPr="00B65D57" w:rsidRDefault="0096178A" w:rsidP="00760DCC">
            <w:pPr>
              <w:spacing w:line="260" w:lineRule="atLeast"/>
              <w:rPr>
                <w:rFonts w:eastAsia="Calibri"/>
                <w:lang w:eastAsia="en-US"/>
              </w:rPr>
            </w:pPr>
            <w:r w:rsidRPr="00B65D57">
              <w:rPr>
                <w:rFonts w:eastAsia="Verdana" w:cs="Verdana"/>
                <w:color w:val="000000" w:themeColor="text1"/>
                <w:sz w:val="18"/>
                <w:szCs w:val="18"/>
              </w:rPr>
              <w:t>8 a-b Final cleaning</w:t>
            </w:r>
          </w:p>
        </w:tc>
        <w:tc>
          <w:tcPr>
            <w:tcW w:w="1560" w:type="dxa"/>
            <w:shd w:val="clear" w:color="auto" w:fill="auto"/>
          </w:tcPr>
          <w:p w14:paraId="01B290F7"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3A700CFA"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77AEA3F8" w14:textId="77777777" w:rsidR="0096178A" w:rsidRPr="00B65D57" w:rsidRDefault="0096178A"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0.0142</w:t>
            </w:r>
          </w:p>
          <w:p w14:paraId="01D54713" w14:textId="77777777" w:rsidR="0096178A" w:rsidRPr="00B65D57" w:rsidRDefault="0096178A" w:rsidP="00760DCC">
            <w:pPr>
              <w:spacing w:line="260" w:lineRule="atLeast"/>
              <w:jc w:val="center"/>
              <w:rPr>
                <w:rFonts w:eastAsia="Calibri"/>
                <w:lang w:eastAsia="en-US"/>
              </w:rPr>
            </w:pPr>
          </w:p>
        </w:tc>
        <w:tc>
          <w:tcPr>
            <w:tcW w:w="1559" w:type="dxa"/>
            <w:shd w:val="clear" w:color="auto" w:fill="auto"/>
          </w:tcPr>
          <w:p w14:paraId="6E145F9E" w14:textId="77777777" w:rsidR="0096178A" w:rsidRPr="00B65D57" w:rsidRDefault="0096178A" w:rsidP="00760DCC">
            <w:pPr>
              <w:spacing w:line="260" w:lineRule="atLeast"/>
              <w:rPr>
                <w:rFonts w:eastAsia="Calibri"/>
                <w:lang w:eastAsia="en-US"/>
              </w:rPr>
            </w:pPr>
            <w:r w:rsidRPr="00B65D57">
              <w:rPr>
                <w:rFonts w:eastAsia="Calibri"/>
                <w:lang w:eastAsia="en-US"/>
              </w:rPr>
              <w:t>14%</w:t>
            </w:r>
          </w:p>
        </w:tc>
        <w:tc>
          <w:tcPr>
            <w:tcW w:w="1843" w:type="dxa"/>
            <w:shd w:val="clear" w:color="auto" w:fill="auto"/>
          </w:tcPr>
          <w:p w14:paraId="1EA527B0"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69AB89A8" w14:textId="77777777" w:rsidTr="00760DCC">
        <w:tc>
          <w:tcPr>
            <w:tcW w:w="1560" w:type="dxa"/>
            <w:shd w:val="clear" w:color="auto" w:fill="auto"/>
          </w:tcPr>
          <w:p w14:paraId="600986F7" w14:textId="77777777" w:rsidR="0096178A" w:rsidRPr="00B65D57" w:rsidRDefault="0096178A"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9 a-b*Maintenance/repair</w:t>
            </w:r>
          </w:p>
        </w:tc>
        <w:tc>
          <w:tcPr>
            <w:tcW w:w="1560" w:type="dxa"/>
            <w:shd w:val="clear" w:color="auto" w:fill="auto"/>
          </w:tcPr>
          <w:p w14:paraId="688B9CCD"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62" w:type="dxa"/>
            <w:shd w:val="clear" w:color="auto" w:fill="auto"/>
          </w:tcPr>
          <w:p w14:paraId="4F0B53F7"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00A10F5D" w14:textId="77777777" w:rsidR="0096178A" w:rsidRPr="00B65D57" w:rsidRDefault="0096178A" w:rsidP="00760DCC">
            <w:pPr>
              <w:spacing w:line="260" w:lineRule="atLeast"/>
              <w:rPr>
                <w:rFonts w:eastAsia="Verdana" w:cs="Verdana"/>
                <w:color w:val="000000" w:themeColor="text1"/>
                <w:sz w:val="18"/>
                <w:szCs w:val="18"/>
              </w:rPr>
            </w:pPr>
          </w:p>
          <w:p w14:paraId="3DD71417" w14:textId="77777777" w:rsidR="0096178A" w:rsidRPr="00B65D57" w:rsidRDefault="0096178A" w:rsidP="00760DCC">
            <w:pPr>
              <w:spacing w:line="260" w:lineRule="atLeast"/>
              <w:rPr>
                <w:rFonts w:eastAsia="Verdana" w:cs="Verdana"/>
                <w:color w:val="000000" w:themeColor="text1"/>
                <w:sz w:val="18"/>
                <w:szCs w:val="18"/>
              </w:rPr>
            </w:pPr>
            <w:r w:rsidRPr="00B65D57">
              <w:rPr>
                <w:rFonts w:eastAsia="Verdana" w:cs="Verdana"/>
                <w:color w:val="000000" w:themeColor="text1"/>
                <w:sz w:val="18"/>
                <w:szCs w:val="18"/>
              </w:rPr>
              <w:t>-</w:t>
            </w:r>
          </w:p>
        </w:tc>
        <w:tc>
          <w:tcPr>
            <w:tcW w:w="1559" w:type="dxa"/>
            <w:shd w:val="clear" w:color="auto" w:fill="auto"/>
          </w:tcPr>
          <w:p w14:paraId="7F2A7DC3" w14:textId="77777777" w:rsidR="0096178A" w:rsidRPr="00B65D57" w:rsidRDefault="0096178A" w:rsidP="00760DCC">
            <w:pPr>
              <w:spacing w:line="260" w:lineRule="atLeast"/>
              <w:rPr>
                <w:rFonts w:eastAsia="Calibri"/>
                <w:lang w:eastAsia="en-US"/>
              </w:rPr>
            </w:pPr>
          </w:p>
          <w:p w14:paraId="1C278B1E" w14:textId="77777777" w:rsidR="0096178A" w:rsidRPr="00B65D57" w:rsidRDefault="0096178A" w:rsidP="00760DCC">
            <w:pPr>
              <w:spacing w:line="260" w:lineRule="atLeast"/>
              <w:rPr>
                <w:rFonts w:eastAsia="Calibri"/>
                <w:lang w:eastAsia="en-US"/>
              </w:rPr>
            </w:pPr>
            <w:r w:rsidRPr="00B65D57">
              <w:rPr>
                <w:rFonts w:eastAsia="Calibri"/>
                <w:lang w:eastAsia="en-US"/>
              </w:rPr>
              <w:t>-</w:t>
            </w:r>
          </w:p>
        </w:tc>
        <w:tc>
          <w:tcPr>
            <w:tcW w:w="1843" w:type="dxa"/>
            <w:shd w:val="clear" w:color="auto" w:fill="auto"/>
          </w:tcPr>
          <w:p w14:paraId="3410B951" w14:textId="77777777" w:rsidR="0096178A" w:rsidRPr="00B65D57" w:rsidRDefault="0096178A" w:rsidP="00760DCC">
            <w:pPr>
              <w:spacing w:line="260" w:lineRule="atLeast"/>
              <w:rPr>
                <w:rFonts w:eastAsia="Calibri"/>
                <w:lang w:eastAsia="en-US"/>
              </w:rPr>
            </w:pPr>
          </w:p>
          <w:p w14:paraId="00A233D8" w14:textId="77777777" w:rsidR="0096178A" w:rsidRPr="00B65D57" w:rsidRDefault="0096178A" w:rsidP="00760DCC">
            <w:pPr>
              <w:spacing w:line="260" w:lineRule="atLeast"/>
              <w:rPr>
                <w:rFonts w:eastAsia="Calibri"/>
                <w:lang w:eastAsia="en-US"/>
              </w:rPr>
            </w:pPr>
            <w:r w:rsidRPr="00B65D57">
              <w:rPr>
                <w:rFonts w:eastAsia="Calibri"/>
                <w:lang w:eastAsia="en-US"/>
              </w:rPr>
              <w:t>-</w:t>
            </w:r>
          </w:p>
        </w:tc>
      </w:tr>
    </w:tbl>
    <w:p w14:paraId="74CCE7F7" w14:textId="77777777" w:rsidR="0096178A" w:rsidRPr="00B65D57" w:rsidRDefault="0096178A" w:rsidP="0096178A">
      <w:pPr>
        <w:spacing w:line="257" w:lineRule="auto"/>
        <w:rPr>
          <w:rFonts w:eastAsia="Verdana" w:cs="Verdana"/>
          <w:color w:val="000000" w:themeColor="text1"/>
          <w:sz w:val="18"/>
          <w:szCs w:val="18"/>
        </w:rPr>
      </w:pPr>
      <w:r w:rsidRPr="00B65D57">
        <w:rPr>
          <w:rFonts w:eastAsia="Verdana" w:cs="Verdana"/>
          <w:color w:val="000000" w:themeColor="text1"/>
          <w:sz w:val="18"/>
          <w:szCs w:val="18"/>
        </w:rPr>
        <w:t>* No calculations for scenario 9 (maintenance/repair) have been performed as the exposure is covered by scenario 7 and 8.</w:t>
      </w:r>
    </w:p>
    <w:p w14:paraId="73EBF6A6" w14:textId="74CBFD1A" w:rsidR="0096178A" w:rsidRPr="00B65D57" w:rsidRDefault="0096178A" w:rsidP="0096178A">
      <w:pPr>
        <w:spacing w:line="260" w:lineRule="atLeast"/>
        <w:rPr>
          <w:rFonts w:eastAsia="Calibri"/>
          <w:lang w:eastAsia="en-US"/>
        </w:rPr>
      </w:pPr>
    </w:p>
    <w:p w14:paraId="50B9D145" w14:textId="77777777" w:rsidR="00F31D25" w:rsidRPr="00B65D57" w:rsidRDefault="00F31D25" w:rsidP="0096178A">
      <w:pPr>
        <w:spacing w:line="260" w:lineRule="atLeast"/>
        <w:rPr>
          <w:rFonts w:eastAsia="Calibri"/>
          <w:lang w:eastAsia="en-US"/>
        </w:rPr>
      </w:pPr>
    </w:p>
    <w:p w14:paraId="3E622B53" w14:textId="77777777" w:rsidR="0096178A" w:rsidRPr="00B65D57" w:rsidRDefault="0096178A" w:rsidP="0096178A">
      <w:pPr>
        <w:spacing w:line="260" w:lineRule="atLeast"/>
        <w:rPr>
          <w:rFonts w:eastAsia="Calibri"/>
          <w:b/>
          <w:bCs/>
          <w:lang w:eastAsia="en-US"/>
        </w:rPr>
      </w:pPr>
      <w:r w:rsidRPr="00B65D57">
        <w:rPr>
          <w:rFonts w:eastAsia="Calibri"/>
          <w:b/>
          <w:bCs/>
          <w:lang w:eastAsia="en-US"/>
        </w:rPr>
        <w:t>Combined scenarios</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59"/>
        <w:gridCol w:w="1134"/>
        <w:gridCol w:w="1701"/>
        <w:gridCol w:w="1559"/>
        <w:gridCol w:w="1843"/>
      </w:tblGrid>
      <w:tr w:rsidR="0096178A" w:rsidRPr="00B65D57" w14:paraId="5985E6E8" w14:textId="77777777" w:rsidTr="00760DCC">
        <w:tc>
          <w:tcPr>
            <w:tcW w:w="1589" w:type="dxa"/>
            <w:shd w:val="clear" w:color="auto" w:fill="FFFFCC"/>
          </w:tcPr>
          <w:p w14:paraId="5724F414" w14:textId="77777777" w:rsidR="0096178A" w:rsidRPr="00B65D57" w:rsidRDefault="0096178A" w:rsidP="00760DCC">
            <w:pPr>
              <w:spacing w:line="260" w:lineRule="atLeast"/>
              <w:rPr>
                <w:rFonts w:eastAsia="Calibri"/>
                <w:b/>
                <w:lang w:eastAsia="en-US"/>
              </w:rPr>
            </w:pPr>
            <w:r w:rsidRPr="00B65D57">
              <w:rPr>
                <w:rFonts w:eastAsia="Calibri"/>
                <w:b/>
                <w:lang w:eastAsia="en-US"/>
              </w:rPr>
              <w:t>Scenarios combined</w:t>
            </w:r>
          </w:p>
        </w:tc>
        <w:tc>
          <w:tcPr>
            <w:tcW w:w="1559" w:type="dxa"/>
            <w:shd w:val="clear" w:color="auto" w:fill="FFFFCC"/>
          </w:tcPr>
          <w:p w14:paraId="3FB496CE" w14:textId="77777777" w:rsidR="0096178A" w:rsidRPr="00325E28" w:rsidRDefault="0096178A" w:rsidP="00760DCC">
            <w:pPr>
              <w:spacing w:line="260" w:lineRule="atLeast"/>
              <w:rPr>
                <w:rFonts w:eastAsia="Calibri"/>
                <w:b/>
                <w:lang w:val="da-DK" w:eastAsia="en-US"/>
              </w:rPr>
            </w:pPr>
            <w:r w:rsidRPr="00325E28">
              <w:rPr>
                <w:rFonts w:eastAsia="Calibri"/>
                <w:b/>
                <w:lang w:val="da-DK" w:eastAsia="en-US"/>
              </w:rPr>
              <w:t>Systemic NOAEL</w:t>
            </w:r>
          </w:p>
          <w:p w14:paraId="0E0A3A20" w14:textId="77777777" w:rsidR="0096178A" w:rsidRPr="00325E28" w:rsidRDefault="0096178A" w:rsidP="00760DCC">
            <w:pPr>
              <w:spacing w:line="260" w:lineRule="atLeast"/>
              <w:rPr>
                <w:rFonts w:eastAsia="Calibri"/>
                <w:b/>
                <w:lang w:val="da-DK" w:eastAsia="en-US"/>
              </w:rPr>
            </w:pPr>
            <w:r w:rsidRPr="00325E28">
              <w:rPr>
                <w:rFonts w:eastAsia="Calibri"/>
                <w:b/>
                <w:lang w:val="da-DK" w:eastAsia="en-US"/>
              </w:rPr>
              <w:t>mg/kg bw/d</w:t>
            </w:r>
          </w:p>
        </w:tc>
        <w:tc>
          <w:tcPr>
            <w:tcW w:w="1134" w:type="dxa"/>
            <w:shd w:val="clear" w:color="auto" w:fill="FFFFCC"/>
          </w:tcPr>
          <w:p w14:paraId="39649692" w14:textId="77777777" w:rsidR="0096178A" w:rsidRPr="00F8054E" w:rsidRDefault="0096178A" w:rsidP="00760DCC">
            <w:pPr>
              <w:spacing w:line="260" w:lineRule="atLeast"/>
              <w:rPr>
                <w:rFonts w:eastAsia="Calibri"/>
                <w:b/>
                <w:lang w:val="sv-SE" w:eastAsia="en-US"/>
              </w:rPr>
            </w:pPr>
            <w:r w:rsidRPr="00F8054E">
              <w:rPr>
                <w:rFonts w:eastAsia="Calibri"/>
                <w:b/>
                <w:lang w:val="sv-SE" w:eastAsia="en-US"/>
              </w:rPr>
              <w:t>AOEL</w:t>
            </w:r>
          </w:p>
          <w:p w14:paraId="62F13AAD" w14:textId="77777777" w:rsidR="0096178A" w:rsidRPr="00F8054E" w:rsidRDefault="0096178A" w:rsidP="00760DCC">
            <w:pPr>
              <w:spacing w:line="260" w:lineRule="atLeast"/>
              <w:rPr>
                <w:rFonts w:eastAsia="Calibri"/>
                <w:b/>
                <w:lang w:val="sv-SE" w:eastAsia="en-US"/>
              </w:rPr>
            </w:pPr>
            <w:r w:rsidRPr="00F8054E">
              <w:rPr>
                <w:rFonts w:eastAsia="Calibri"/>
                <w:b/>
                <w:lang w:val="sv-SE" w:eastAsia="en-US"/>
              </w:rPr>
              <w:t>mg/kg bw/d</w:t>
            </w:r>
          </w:p>
        </w:tc>
        <w:tc>
          <w:tcPr>
            <w:tcW w:w="1701" w:type="dxa"/>
            <w:shd w:val="clear" w:color="auto" w:fill="FFFFCC"/>
          </w:tcPr>
          <w:p w14:paraId="5B64DE4E" w14:textId="77777777" w:rsidR="0096178A" w:rsidRPr="00B65D57" w:rsidRDefault="0096178A" w:rsidP="00760DCC">
            <w:pPr>
              <w:spacing w:line="260" w:lineRule="atLeast"/>
              <w:rPr>
                <w:rFonts w:eastAsia="Calibri"/>
                <w:b/>
                <w:lang w:eastAsia="en-US"/>
              </w:rPr>
            </w:pPr>
            <w:r w:rsidRPr="00B65D57">
              <w:rPr>
                <w:rFonts w:eastAsia="Calibri"/>
                <w:b/>
                <w:lang w:eastAsia="en-US"/>
              </w:rPr>
              <w:t>Estimated uptake</w:t>
            </w:r>
          </w:p>
          <w:p w14:paraId="47B13FE9" w14:textId="77777777" w:rsidR="0096178A" w:rsidRPr="00B65D57" w:rsidRDefault="0096178A" w:rsidP="00760DCC">
            <w:pPr>
              <w:spacing w:line="260" w:lineRule="atLeast"/>
              <w:rPr>
                <w:rFonts w:eastAsia="Calibri"/>
                <w:b/>
                <w:lang w:eastAsia="en-US"/>
              </w:rPr>
            </w:pPr>
            <w:r w:rsidRPr="00B65D57">
              <w:rPr>
                <w:rFonts w:eastAsia="Calibri"/>
                <w:b/>
                <w:lang w:eastAsia="en-US"/>
              </w:rPr>
              <w:t>mg/kg bw/d</w:t>
            </w:r>
          </w:p>
        </w:tc>
        <w:tc>
          <w:tcPr>
            <w:tcW w:w="1559" w:type="dxa"/>
            <w:shd w:val="clear" w:color="auto" w:fill="FFFFCC"/>
          </w:tcPr>
          <w:p w14:paraId="75EDA4DC" w14:textId="77777777" w:rsidR="0096178A" w:rsidRPr="00B65D57" w:rsidRDefault="0096178A" w:rsidP="00760DCC">
            <w:pPr>
              <w:spacing w:line="260" w:lineRule="atLeast"/>
              <w:rPr>
                <w:rFonts w:eastAsia="Calibri"/>
                <w:b/>
                <w:lang w:eastAsia="en-US"/>
              </w:rPr>
            </w:pPr>
            <w:r w:rsidRPr="00B65D57">
              <w:rPr>
                <w:rFonts w:eastAsia="Calibri"/>
                <w:b/>
                <w:lang w:eastAsia="en-US"/>
              </w:rPr>
              <w:t xml:space="preserve">Estimated uptake/ AEL </w:t>
            </w:r>
          </w:p>
          <w:p w14:paraId="38DA763F" w14:textId="77777777" w:rsidR="0096178A" w:rsidRPr="00B65D57" w:rsidRDefault="0096178A" w:rsidP="00760DCC">
            <w:pPr>
              <w:spacing w:line="260" w:lineRule="atLeast"/>
              <w:rPr>
                <w:rFonts w:eastAsia="Calibri"/>
                <w:b/>
                <w:lang w:eastAsia="en-US"/>
              </w:rPr>
            </w:pPr>
            <w:r w:rsidRPr="00B65D57">
              <w:rPr>
                <w:rFonts w:eastAsia="Calibri"/>
                <w:b/>
                <w:lang w:eastAsia="en-US"/>
              </w:rPr>
              <w:t>(%)</w:t>
            </w:r>
          </w:p>
        </w:tc>
        <w:tc>
          <w:tcPr>
            <w:tcW w:w="1843" w:type="dxa"/>
            <w:shd w:val="clear" w:color="auto" w:fill="FFFFCC"/>
          </w:tcPr>
          <w:p w14:paraId="2FF71F23" w14:textId="77777777" w:rsidR="0096178A" w:rsidRPr="00B65D57" w:rsidRDefault="0096178A" w:rsidP="00760DCC">
            <w:pPr>
              <w:spacing w:line="260" w:lineRule="atLeast"/>
              <w:rPr>
                <w:rFonts w:eastAsia="Calibri"/>
                <w:b/>
                <w:lang w:eastAsia="en-US"/>
              </w:rPr>
            </w:pPr>
            <w:r w:rsidRPr="00B65D57">
              <w:rPr>
                <w:rFonts w:eastAsia="Calibri"/>
                <w:b/>
                <w:lang w:eastAsia="en-US"/>
              </w:rPr>
              <w:t>Acceptable</w:t>
            </w:r>
          </w:p>
          <w:p w14:paraId="367249CC" w14:textId="77777777" w:rsidR="0096178A" w:rsidRPr="00B65D57" w:rsidRDefault="0096178A" w:rsidP="00760DCC">
            <w:pPr>
              <w:spacing w:line="260" w:lineRule="atLeast"/>
              <w:rPr>
                <w:rFonts w:eastAsia="Calibri"/>
                <w:b/>
                <w:lang w:eastAsia="en-US"/>
              </w:rPr>
            </w:pPr>
            <w:r w:rsidRPr="00B65D57">
              <w:rPr>
                <w:rFonts w:eastAsia="Calibri"/>
                <w:b/>
                <w:lang w:eastAsia="en-US"/>
              </w:rPr>
              <w:t>(yes/no)</w:t>
            </w:r>
          </w:p>
        </w:tc>
      </w:tr>
      <w:tr w:rsidR="0096178A" w:rsidRPr="00B65D57" w14:paraId="76BC4473" w14:textId="77777777" w:rsidTr="00760DCC">
        <w:tc>
          <w:tcPr>
            <w:tcW w:w="1589" w:type="dxa"/>
            <w:shd w:val="clear" w:color="auto" w:fill="auto"/>
          </w:tcPr>
          <w:p w14:paraId="00F83D48" w14:textId="77777777" w:rsidR="0096178A" w:rsidRPr="00B65D57" w:rsidRDefault="0096178A" w:rsidP="00760DCC">
            <w:pPr>
              <w:spacing w:line="260" w:lineRule="atLeast"/>
              <w:rPr>
                <w:rFonts w:eastAsia="Calibri"/>
                <w:lang w:eastAsia="en-US"/>
              </w:rPr>
            </w:pPr>
            <w:r w:rsidRPr="00B65D57">
              <w:rPr>
                <w:rFonts w:eastAsia="Calibri"/>
                <w:lang w:eastAsia="en-US"/>
              </w:rPr>
              <w:t>Scenario [1]</w:t>
            </w:r>
          </w:p>
        </w:tc>
        <w:tc>
          <w:tcPr>
            <w:tcW w:w="1559" w:type="dxa"/>
            <w:shd w:val="clear" w:color="auto" w:fill="auto"/>
          </w:tcPr>
          <w:p w14:paraId="4E53B551"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34" w:type="dxa"/>
            <w:shd w:val="clear" w:color="auto" w:fill="auto"/>
          </w:tcPr>
          <w:p w14:paraId="7C5FCD2C"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024F1A1B" w14:textId="77777777" w:rsidR="0096178A" w:rsidRPr="00B65D57" w:rsidRDefault="0096178A" w:rsidP="00760DCC">
            <w:pPr>
              <w:spacing w:line="260" w:lineRule="atLeast"/>
              <w:rPr>
                <w:rFonts w:eastAsia="Calibri"/>
                <w:lang w:eastAsia="en-US"/>
              </w:rPr>
            </w:pPr>
            <w:r w:rsidRPr="00B65D57">
              <w:rPr>
                <w:rFonts w:eastAsia="Calibri"/>
                <w:lang w:eastAsia="en-US"/>
              </w:rPr>
              <w:t>0.05</w:t>
            </w:r>
          </w:p>
        </w:tc>
        <w:tc>
          <w:tcPr>
            <w:tcW w:w="1559" w:type="dxa"/>
            <w:shd w:val="clear" w:color="auto" w:fill="auto"/>
          </w:tcPr>
          <w:p w14:paraId="2FA940DF" w14:textId="77777777" w:rsidR="0096178A" w:rsidRPr="00B65D57" w:rsidRDefault="0096178A" w:rsidP="00760DCC">
            <w:pPr>
              <w:spacing w:line="260" w:lineRule="atLeast"/>
              <w:rPr>
                <w:rFonts w:eastAsia="Calibri"/>
                <w:lang w:eastAsia="en-US"/>
              </w:rPr>
            </w:pPr>
            <w:r w:rsidRPr="00B65D57">
              <w:rPr>
                <w:rFonts w:eastAsia="Calibri"/>
                <w:lang w:eastAsia="en-US"/>
              </w:rPr>
              <w:t>50%</w:t>
            </w:r>
          </w:p>
        </w:tc>
        <w:tc>
          <w:tcPr>
            <w:tcW w:w="1843" w:type="dxa"/>
            <w:shd w:val="clear" w:color="auto" w:fill="auto"/>
          </w:tcPr>
          <w:p w14:paraId="0B2A744C"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2DAA8282" w14:textId="77777777" w:rsidTr="00760DCC">
        <w:tc>
          <w:tcPr>
            <w:tcW w:w="1589" w:type="dxa"/>
            <w:shd w:val="clear" w:color="auto" w:fill="auto"/>
          </w:tcPr>
          <w:p w14:paraId="2F9ADC80" w14:textId="77777777" w:rsidR="0096178A" w:rsidRPr="00B65D57" w:rsidRDefault="0096178A" w:rsidP="00760DCC">
            <w:pPr>
              <w:spacing w:line="260" w:lineRule="atLeast"/>
              <w:rPr>
                <w:rFonts w:eastAsia="Calibri"/>
                <w:lang w:eastAsia="en-US"/>
              </w:rPr>
            </w:pPr>
            <w:r w:rsidRPr="00B65D57">
              <w:rPr>
                <w:rFonts w:eastAsia="Calibri"/>
                <w:lang w:eastAsia="en-US"/>
              </w:rPr>
              <w:t>Scenarios [2.1-7]</w:t>
            </w:r>
          </w:p>
        </w:tc>
        <w:tc>
          <w:tcPr>
            <w:tcW w:w="1559" w:type="dxa"/>
            <w:shd w:val="clear" w:color="auto" w:fill="auto"/>
          </w:tcPr>
          <w:p w14:paraId="6309E38E"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34" w:type="dxa"/>
            <w:shd w:val="clear" w:color="auto" w:fill="auto"/>
          </w:tcPr>
          <w:p w14:paraId="0D6B9C40"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7455F8AC" w14:textId="77777777" w:rsidR="0096178A" w:rsidRPr="00B65D57" w:rsidRDefault="0096178A" w:rsidP="00760DCC">
            <w:pPr>
              <w:spacing w:line="260" w:lineRule="atLeast"/>
              <w:rPr>
                <w:rFonts w:eastAsia="Calibri"/>
                <w:lang w:eastAsia="en-US"/>
              </w:rPr>
            </w:pPr>
            <w:r w:rsidRPr="00B65D57">
              <w:rPr>
                <w:rFonts w:eastAsia="Calibri"/>
                <w:lang w:eastAsia="en-US"/>
              </w:rPr>
              <w:t>0.064</w:t>
            </w:r>
          </w:p>
        </w:tc>
        <w:tc>
          <w:tcPr>
            <w:tcW w:w="1559" w:type="dxa"/>
            <w:shd w:val="clear" w:color="auto" w:fill="auto"/>
          </w:tcPr>
          <w:p w14:paraId="2131CBE2" w14:textId="77777777" w:rsidR="0096178A" w:rsidRPr="00B65D57" w:rsidRDefault="0096178A" w:rsidP="00760DCC">
            <w:pPr>
              <w:spacing w:line="260" w:lineRule="atLeast"/>
              <w:rPr>
                <w:rFonts w:eastAsia="Calibri"/>
                <w:lang w:eastAsia="en-US"/>
              </w:rPr>
            </w:pPr>
            <w:r w:rsidRPr="00B65D57">
              <w:rPr>
                <w:rFonts w:eastAsia="Calibri"/>
                <w:lang w:eastAsia="en-US"/>
              </w:rPr>
              <w:t>64%</w:t>
            </w:r>
          </w:p>
        </w:tc>
        <w:tc>
          <w:tcPr>
            <w:tcW w:w="1843" w:type="dxa"/>
            <w:shd w:val="clear" w:color="auto" w:fill="auto"/>
          </w:tcPr>
          <w:p w14:paraId="0E675813"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1BF3A4B7" w14:textId="77777777" w:rsidTr="00760DCC">
        <w:tc>
          <w:tcPr>
            <w:tcW w:w="1589" w:type="dxa"/>
            <w:shd w:val="clear" w:color="auto" w:fill="auto"/>
          </w:tcPr>
          <w:p w14:paraId="015D7226" w14:textId="77777777" w:rsidR="0096178A" w:rsidRPr="00B65D57" w:rsidRDefault="0096178A" w:rsidP="00760DCC">
            <w:pPr>
              <w:spacing w:line="260" w:lineRule="atLeast"/>
              <w:rPr>
                <w:rFonts w:eastAsia="Calibri"/>
                <w:lang w:eastAsia="en-US"/>
              </w:rPr>
            </w:pPr>
            <w:r w:rsidRPr="00B65D57">
              <w:rPr>
                <w:rFonts w:eastAsia="Calibri"/>
                <w:lang w:eastAsia="en-US"/>
              </w:rPr>
              <w:t>Scenario [8]</w:t>
            </w:r>
          </w:p>
        </w:tc>
        <w:tc>
          <w:tcPr>
            <w:tcW w:w="1559" w:type="dxa"/>
            <w:shd w:val="clear" w:color="auto" w:fill="auto"/>
          </w:tcPr>
          <w:p w14:paraId="78F0C2C4"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34" w:type="dxa"/>
            <w:shd w:val="clear" w:color="auto" w:fill="auto"/>
          </w:tcPr>
          <w:p w14:paraId="476CC46D"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32B86C48" w14:textId="77777777" w:rsidR="0096178A" w:rsidRPr="00B65D57" w:rsidRDefault="0096178A" w:rsidP="00760DCC">
            <w:pPr>
              <w:spacing w:line="260" w:lineRule="atLeast"/>
              <w:rPr>
                <w:rFonts w:eastAsia="Calibri"/>
                <w:lang w:eastAsia="en-US"/>
              </w:rPr>
            </w:pPr>
            <w:r w:rsidRPr="00B65D57">
              <w:rPr>
                <w:rFonts w:eastAsia="Calibri"/>
                <w:lang w:eastAsia="en-US"/>
              </w:rPr>
              <w:t>0.0142</w:t>
            </w:r>
          </w:p>
        </w:tc>
        <w:tc>
          <w:tcPr>
            <w:tcW w:w="1559" w:type="dxa"/>
            <w:shd w:val="clear" w:color="auto" w:fill="auto"/>
          </w:tcPr>
          <w:p w14:paraId="681EC219" w14:textId="77777777" w:rsidR="0096178A" w:rsidRPr="00B65D57" w:rsidRDefault="0096178A" w:rsidP="00760DCC">
            <w:pPr>
              <w:spacing w:line="260" w:lineRule="atLeast"/>
              <w:rPr>
                <w:rFonts w:eastAsia="Calibri"/>
                <w:lang w:eastAsia="en-US"/>
              </w:rPr>
            </w:pPr>
            <w:r w:rsidRPr="00B65D57">
              <w:rPr>
                <w:rFonts w:eastAsia="Calibri"/>
                <w:lang w:eastAsia="en-US"/>
              </w:rPr>
              <w:t>14%</w:t>
            </w:r>
          </w:p>
        </w:tc>
        <w:tc>
          <w:tcPr>
            <w:tcW w:w="1843" w:type="dxa"/>
            <w:shd w:val="clear" w:color="auto" w:fill="auto"/>
          </w:tcPr>
          <w:p w14:paraId="7F091EE8" w14:textId="77777777" w:rsidR="0096178A" w:rsidRPr="00B65D57" w:rsidRDefault="0096178A" w:rsidP="00760DCC">
            <w:pPr>
              <w:spacing w:line="260" w:lineRule="atLeast"/>
              <w:rPr>
                <w:rFonts w:eastAsia="Calibri"/>
                <w:lang w:eastAsia="en-US"/>
              </w:rPr>
            </w:pPr>
            <w:r w:rsidRPr="00B65D57">
              <w:rPr>
                <w:rFonts w:eastAsia="Calibri"/>
                <w:lang w:eastAsia="en-US"/>
              </w:rPr>
              <w:t>Yes</w:t>
            </w:r>
          </w:p>
        </w:tc>
      </w:tr>
      <w:tr w:rsidR="0096178A" w:rsidRPr="00B65D57" w14:paraId="3CCA6D54" w14:textId="77777777" w:rsidTr="00760DCC">
        <w:tc>
          <w:tcPr>
            <w:tcW w:w="1589" w:type="dxa"/>
            <w:shd w:val="clear" w:color="auto" w:fill="auto"/>
          </w:tcPr>
          <w:p w14:paraId="6D02D2D3" w14:textId="77777777" w:rsidR="0096178A" w:rsidRPr="00B65D57" w:rsidRDefault="0096178A" w:rsidP="00760DCC">
            <w:pPr>
              <w:spacing w:line="260" w:lineRule="atLeast"/>
              <w:rPr>
                <w:rFonts w:eastAsia="Calibri"/>
                <w:lang w:eastAsia="en-US"/>
              </w:rPr>
            </w:pPr>
            <w:r w:rsidRPr="00B65D57">
              <w:rPr>
                <w:rFonts w:eastAsia="Calibri"/>
                <w:lang w:eastAsia="en-US"/>
              </w:rPr>
              <w:t>Scenario [9]*</w:t>
            </w:r>
          </w:p>
        </w:tc>
        <w:tc>
          <w:tcPr>
            <w:tcW w:w="1559" w:type="dxa"/>
            <w:shd w:val="clear" w:color="auto" w:fill="auto"/>
          </w:tcPr>
          <w:p w14:paraId="205EDA65" w14:textId="77777777" w:rsidR="0096178A" w:rsidRPr="00B65D57" w:rsidRDefault="0096178A" w:rsidP="00760DCC">
            <w:pPr>
              <w:spacing w:line="260" w:lineRule="atLeast"/>
              <w:rPr>
                <w:rFonts w:eastAsia="Calibri"/>
                <w:lang w:eastAsia="en-US"/>
              </w:rPr>
            </w:pPr>
            <w:r w:rsidRPr="00B65D57">
              <w:rPr>
                <w:rFonts w:eastAsia="Calibri"/>
                <w:lang w:eastAsia="en-US"/>
              </w:rPr>
              <w:t>9.6 mg B/kg bw/day</w:t>
            </w:r>
          </w:p>
        </w:tc>
        <w:tc>
          <w:tcPr>
            <w:tcW w:w="1134" w:type="dxa"/>
            <w:shd w:val="clear" w:color="auto" w:fill="auto"/>
          </w:tcPr>
          <w:p w14:paraId="71ED2456" w14:textId="77777777" w:rsidR="0096178A" w:rsidRPr="00B65D57" w:rsidRDefault="0096178A" w:rsidP="00760DCC">
            <w:pPr>
              <w:spacing w:line="260" w:lineRule="atLeast"/>
              <w:rPr>
                <w:rFonts w:eastAsia="Calibri"/>
                <w:lang w:eastAsia="en-US"/>
              </w:rPr>
            </w:pPr>
            <w:r w:rsidRPr="00B65D57">
              <w:rPr>
                <w:rFonts w:eastAsia="Calibri"/>
                <w:lang w:eastAsia="en-US"/>
              </w:rPr>
              <w:t>0.1 mg B/kg bw/day</w:t>
            </w:r>
          </w:p>
        </w:tc>
        <w:tc>
          <w:tcPr>
            <w:tcW w:w="1701" w:type="dxa"/>
            <w:shd w:val="clear" w:color="auto" w:fill="auto"/>
          </w:tcPr>
          <w:p w14:paraId="3197FAAB" w14:textId="77777777" w:rsidR="0096178A" w:rsidRPr="00B65D57" w:rsidRDefault="0096178A" w:rsidP="00760DCC">
            <w:pPr>
              <w:spacing w:line="260" w:lineRule="atLeast"/>
              <w:rPr>
                <w:rFonts w:eastAsia="Calibri"/>
                <w:lang w:eastAsia="en-US"/>
              </w:rPr>
            </w:pPr>
            <w:r w:rsidRPr="00B65D57">
              <w:rPr>
                <w:rFonts w:eastAsia="Calibri"/>
                <w:lang w:eastAsia="en-US"/>
              </w:rPr>
              <w:t>-</w:t>
            </w:r>
          </w:p>
        </w:tc>
        <w:tc>
          <w:tcPr>
            <w:tcW w:w="1559" w:type="dxa"/>
            <w:shd w:val="clear" w:color="auto" w:fill="auto"/>
          </w:tcPr>
          <w:p w14:paraId="2E783CAD" w14:textId="77777777" w:rsidR="0096178A" w:rsidRPr="00B65D57" w:rsidRDefault="0096178A" w:rsidP="00760DCC">
            <w:pPr>
              <w:spacing w:line="260" w:lineRule="atLeast"/>
              <w:rPr>
                <w:rFonts w:eastAsia="Calibri"/>
                <w:lang w:eastAsia="en-US"/>
              </w:rPr>
            </w:pPr>
            <w:r w:rsidRPr="00B65D57">
              <w:rPr>
                <w:rFonts w:eastAsia="Calibri"/>
                <w:lang w:eastAsia="en-US"/>
              </w:rPr>
              <w:t>-</w:t>
            </w:r>
          </w:p>
        </w:tc>
        <w:tc>
          <w:tcPr>
            <w:tcW w:w="1843" w:type="dxa"/>
            <w:shd w:val="clear" w:color="auto" w:fill="auto"/>
          </w:tcPr>
          <w:p w14:paraId="55BC886C" w14:textId="77777777" w:rsidR="0096178A" w:rsidRPr="00B65D57" w:rsidRDefault="0096178A" w:rsidP="00760DCC">
            <w:pPr>
              <w:spacing w:line="260" w:lineRule="atLeast"/>
              <w:rPr>
                <w:rFonts w:eastAsia="Calibri"/>
                <w:lang w:eastAsia="en-US"/>
              </w:rPr>
            </w:pPr>
            <w:r w:rsidRPr="00B65D57">
              <w:rPr>
                <w:rFonts w:eastAsia="Calibri"/>
                <w:lang w:eastAsia="en-US"/>
              </w:rPr>
              <w:t>-</w:t>
            </w:r>
          </w:p>
        </w:tc>
      </w:tr>
    </w:tbl>
    <w:p w14:paraId="3CD0FE0A" w14:textId="77777777" w:rsidR="0096178A" w:rsidRPr="00B65D57" w:rsidRDefault="0096178A" w:rsidP="0096178A">
      <w:pPr>
        <w:spacing w:line="257" w:lineRule="auto"/>
        <w:rPr>
          <w:rFonts w:eastAsia="Verdana" w:cs="Verdana"/>
          <w:color w:val="000000" w:themeColor="text1"/>
          <w:sz w:val="18"/>
          <w:szCs w:val="18"/>
        </w:rPr>
      </w:pPr>
      <w:r w:rsidRPr="00B65D57">
        <w:rPr>
          <w:rFonts w:eastAsia="Verdana" w:cs="Verdana"/>
          <w:color w:val="000000" w:themeColor="text1"/>
          <w:sz w:val="18"/>
          <w:szCs w:val="18"/>
        </w:rPr>
        <w:t>* No calculations for scenario 9 (maintenance/repair) have been performed as the exposure is covered by scenario 7 and 8.</w:t>
      </w:r>
    </w:p>
    <w:p w14:paraId="7419A6DD" w14:textId="039E239B" w:rsidR="004D6323" w:rsidRPr="00B65D57" w:rsidRDefault="004D6323" w:rsidP="2C8CDFE1">
      <w:pPr>
        <w:autoSpaceDE w:val="0"/>
        <w:autoSpaceDN w:val="0"/>
        <w:adjustRightInd w:val="0"/>
        <w:spacing w:line="260" w:lineRule="atLeast"/>
        <w:rPr>
          <w:lang w:eastAsia="sv-SE"/>
        </w:rPr>
      </w:pPr>
    </w:p>
    <w:p w14:paraId="64C8951F" w14:textId="77777777" w:rsidR="00F31D25" w:rsidRPr="00B65D57" w:rsidRDefault="00F31D25" w:rsidP="2C8CDFE1">
      <w:pPr>
        <w:autoSpaceDE w:val="0"/>
        <w:autoSpaceDN w:val="0"/>
        <w:adjustRightInd w:val="0"/>
        <w:spacing w:line="260" w:lineRule="atLeast"/>
        <w:rPr>
          <w:lang w:eastAsia="sv-SE"/>
        </w:rPr>
      </w:pPr>
    </w:p>
    <w:p w14:paraId="3131B3AB" w14:textId="6868F07E" w:rsidR="00687E85" w:rsidRPr="00B65D57" w:rsidRDefault="00687E85" w:rsidP="00687E85">
      <w:pPr>
        <w:rPr>
          <w:rFonts w:eastAsia="Verdana" w:cs="Verdana"/>
          <w:b/>
          <w:bCs/>
        </w:rPr>
      </w:pPr>
      <w:r w:rsidRPr="00B65D57">
        <w:rPr>
          <w:rFonts w:eastAsia="Verdana" w:cs="Verdana"/>
          <w:b/>
          <w:bCs/>
        </w:rPr>
        <w:t>Secondary exposure</w:t>
      </w:r>
    </w:p>
    <w:p w14:paraId="7C325CFE" w14:textId="5DD78C64" w:rsidR="0096178A" w:rsidRPr="00B65D57" w:rsidRDefault="0096178A" w:rsidP="0096178A">
      <w:pPr>
        <w:spacing w:line="260" w:lineRule="atLeast"/>
        <w:rPr>
          <w:rFonts w:eastAsia="Calibri"/>
          <w:b/>
          <w:bCs/>
          <w:lang w:eastAsia="en-US"/>
        </w:rPr>
      </w:pPr>
      <w:r w:rsidRPr="00B65D57">
        <w:rPr>
          <w:rFonts w:cs="Garamond"/>
          <w:color w:val="000000"/>
          <w:lang w:eastAsia="sv-SE"/>
        </w:rPr>
        <w:t>Since no bystander are allowed during treatment and the applied product is contained under the building foundation below the cellar floor in combination with the very low vapour pressure for the active substances, no secondary exposure as a result of use of the active substance in the biocidal product is expected.</w:t>
      </w:r>
    </w:p>
    <w:p w14:paraId="332665EC" w14:textId="7E0DBFB8" w:rsidR="0096178A" w:rsidRPr="00B65D57" w:rsidRDefault="0096178A" w:rsidP="0096178A">
      <w:pPr>
        <w:spacing w:line="260" w:lineRule="atLeast"/>
        <w:rPr>
          <w:rFonts w:eastAsia="Calibri"/>
          <w:b/>
          <w:bCs/>
          <w:lang w:eastAsia="en-US"/>
        </w:rPr>
      </w:pPr>
    </w:p>
    <w:p w14:paraId="7080E08A" w14:textId="77777777" w:rsidR="00F31D25" w:rsidRPr="00B65D57" w:rsidRDefault="00F31D25" w:rsidP="0096178A">
      <w:pPr>
        <w:spacing w:line="260" w:lineRule="atLeast"/>
        <w:rPr>
          <w:rFonts w:eastAsia="Calibri"/>
          <w:b/>
          <w:bCs/>
          <w:lang w:eastAsia="en-US"/>
        </w:rPr>
      </w:pPr>
    </w:p>
    <w:p w14:paraId="3FF48226" w14:textId="77777777" w:rsidR="00687E85" w:rsidRPr="00B65D57" w:rsidRDefault="00687E85" w:rsidP="00687E85">
      <w:pPr>
        <w:rPr>
          <w:rFonts w:eastAsia="Verdana" w:cs="Verdana"/>
          <w:b/>
          <w:bCs/>
        </w:rPr>
      </w:pPr>
      <w:r w:rsidRPr="00B65D57">
        <w:rPr>
          <w:rFonts w:eastAsia="Verdana" w:cs="Verdana"/>
          <w:b/>
          <w:bCs/>
        </w:rPr>
        <w:t>Conclusion</w:t>
      </w:r>
    </w:p>
    <w:p w14:paraId="01339952" w14:textId="71BECE12" w:rsidR="0096178A" w:rsidRPr="00B65D57" w:rsidRDefault="0096178A" w:rsidP="0096178A">
      <w:pPr>
        <w:autoSpaceDE w:val="0"/>
        <w:autoSpaceDN w:val="0"/>
        <w:adjustRightInd w:val="0"/>
        <w:rPr>
          <w:rFonts w:cs="Garamond"/>
          <w:color w:val="000000"/>
          <w:lang w:eastAsia="sv-SE"/>
        </w:rPr>
      </w:pPr>
      <w:r w:rsidRPr="00B65D57">
        <w:rPr>
          <w:rFonts w:cs="Garamond"/>
          <w:color w:val="000000" w:themeColor="text1"/>
          <w:lang w:eastAsia="sv-SE"/>
        </w:rPr>
        <w:t xml:space="preserve">Risk assessment has been performed for the different steps (production, mixing, </w:t>
      </w:r>
      <w:bookmarkStart w:id="1592" w:name="_Hlk30767541"/>
      <w:r w:rsidRPr="00B65D57">
        <w:rPr>
          <w:rFonts w:cs="Garamond"/>
          <w:color w:val="000000" w:themeColor="text1"/>
          <w:lang w:eastAsia="sv-SE"/>
        </w:rPr>
        <w:t>transfer, application,</w:t>
      </w:r>
      <w:bookmarkEnd w:id="1592"/>
      <w:r w:rsidRPr="00B65D57">
        <w:rPr>
          <w:rFonts w:cs="Garamond"/>
          <w:color w:val="000000" w:themeColor="text1"/>
          <w:lang w:eastAsia="sv-SE"/>
        </w:rPr>
        <w:t xml:space="preserve"> cleaning and maintenance/repair) involved in the Jerbor treatment. The tool ECETOC TRA, which is considered as valid as a lower tier tool for exposure assessment </w:t>
      </w:r>
      <w:r w:rsidRPr="00B65D57">
        <w:rPr>
          <w:rFonts w:cs="Garamond"/>
          <w:color w:val="000000" w:themeColor="text1"/>
          <w:lang w:eastAsia="sv-SE"/>
        </w:rPr>
        <w:lastRenderedPageBreak/>
        <w:t xml:space="preserve">under the REACH legislation, has been used for the exposure calculations and risk assessments. </w:t>
      </w:r>
    </w:p>
    <w:p w14:paraId="338D80BC" w14:textId="77777777" w:rsidR="0096178A" w:rsidRPr="00B65D57" w:rsidRDefault="0096178A" w:rsidP="0096178A">
      <w:pPr>
        <w:autoSpaceDE w:val="0"/>
        <w:autoSpaceDN w:val="0"/>
        <w:adjustRightInd w:val="0"/>
        <w:rPr>
          <w:rFonts w:cs="Garamond"/>
          <w:color w:val="000000"/>
          <w:lang w:eastAsia="sv-SE"/>
        </w:rPr>
      </w:pPr>
    </w:p>
    <w:p w14:paraId="56906AA3" w14:textId="77777777" w:rsidR="0096178A" w:rsidRPr="00B65D57" w:rsidRDefault="0096178A" w:rsidP="0096178A">
      <w:pPr>
        <w:pStyle w:val="Absatz"/>
        <w:ind w:left="0"/>
        <w:rPr>
          <w:rFonts w:ascii="Verdana" w:hAnsi="Verdana" w:cs="Garamond"/>
          <w:color w:val="000000" w:themeColor="text1"/>
          <w:lang w:eastAsia="sv-SE"/>
        </w:rPr>
      </w:pPr>
      <w:r w:rsidRPr="00B65D57">
        <w:rPr>
          <w:rFonts w:ascii="Verdana" w:hAnsi="Verdana" w:cs="Garamond"/>
          <w:color w:val="000000" w:themeColor="text1"/>
          <w:lang w:eastAsia="sv-SE"/>
        </w:rPr>
        <w:t>The risk quotient has been calculated for Scenario 1 (production of the product Jerbor), Scenarios 2.1-7 (combined; mixing/loading, application of the Eurobor slurry and daily cleaning) and Scenario 8 (final cleaning), respectively and gave 50%, 64% and 14% of the AOEL.  Maintenance/repair is mainly performed during the daily and final cleaning therefore these scenarios are covering for scenario 9.</w:t>
      </w:r>
    </w:p>
    <w:p w14:paraId="7D57D959" w14:textId="2695A95C" w:rsidR="0096178A" w:rsidRPr="00B65D57" w:rsidRDefault="0096178A" w:rsidP="0096178A">
      <w:pPr>
        <w:spacing w:line="257" w:lineRule="auto"/>
        <w:rPr>
          <w:rFonts w:cs="Garamond"/>
          <w:color w:val="000000" w:themeColor="text1"/>
          <w:lang w:eastAsia="sv-SE"/>
        </w:rPr>
      </w:pPr>
      <w:r w:rsidRPr="00B65D57">
        <w:rPr>
          <w:rFonts w:cs="Garamond"/>
          <w:color w:val="000000" w:themeColor="text1"/>
          <w:lang w:eastAsia="sv-SE"/>
        </w:rPr>
        <w:t xml:space="preserve">The percentage of AOEL were calculated by using total systemic long-term values from dermal and inhalation exposure </w:t>
      </w:r>
      <w:r w:rsidR="004C72AB" w:rsidRPr="00B65D57">
        <w:rPr>
          <w:rFonts w:cs="Garamond"/>
          <w:color w:val="000000" w:themeColor="text1"/>
          <w:lang w:eastAsia="sv-SE"/>
        </w:rPr>
        <w:t>recalculated</w:t>
      </w:r>
      <w:r w:rsidRPr="00B65D57">
        <w:rPr>
          <w:rFonts w:cs="Garamond"/>
          <w:color w:val="000000" w:themeColor="text1"/>
          <w:lang w:eastAsia="sv-SE"/>
        </w:rPr>
        <w:t xml:space="preserve"> to mg/kg/day. Thus, it can be concluded that Jerbor can be used in the different scenarios (production, mixing/loading, application, cleaning and maintenance/repair) without any unacceptable risk for the operators, provided that the prescribed PPE is worn and that the work is performed in accordance with </w:t>
      </w:r>
      <w:r w:rsidR="00ED2E09" w:rsidRPr="00B65D57">
        <w:t xml:space="preserve">Manual Euroborbehandling </w:t>
      </w:r>
      <w:r w:rsidRPr="00B65D57">
        <w:rPr>
          <w:rFonts w:cs="Garamond"/>
          <w:color w:val="000000" w:themeColor="text1"/>
          <w:lang w:eastAsia="sv-SE"/>
        </w:rPr>
        <w:t>(Bandh, 2022).</w:t>
      </w:r>
    </w:p>
    <w:p w14:paraId="2E3A23AB" w14:textId="77777777" w:rsidR="0096178A" w:rsidRPr="00B65D57" w:rsidRDefault="0096178A" w:rsidP="0096178A">
      <w:pPr>
        <w:spacing w:line="260" w:lineRule="atLeast"/>
        <w:rPr>
          <w:rFonts w:cs="Garamond"/>
          <w:color w:val="000000"/>
          <w:lang w:eastAsia="sv-SE"/>
        </w:rPr>
      </w:pPr>
    </w:p>
    <w:p w14:paraId="0777262D" w14:textId="77777777" w:rsidR="0096178A" w:rsidRPr="00B65D57" w:rsidRDefault="0096178A" w:rsidP="0096178A">
      <w:pPr>
        <w:spacing w:line="260" w:lineRule="atLeast"/>
        <w:rPr>
          <w:rFonts w:eastAsia="Calibri"/>
          <w:b/>
          <w:bCs/>
          <w:lang w:eastAsia="en-US"/>
        </w:rPr>
      </w:pPr>
    </w:p>
    <w:p w14:paraId="010031AB" w14:textId="328EB088" w:rsidR="0096178A" w:rsidRPr="00B65D57" w:rsidRDefault="002C23EC" w:rsidP="008F4848">
      <w:pPr>
        <w:pStyle w:val="Rubrik5"/>
        <w:ind w:left="360"/>
        <w:rPr>
          <w:rFonts w:eastAsia="Calibri"/>
          <w:lang w:val="en-GB"/>
        </w:rPr>
      </w:pPr>
      <w:r w:rsidRPr="00B65D57">
        <w:rPr>
          <w:rFonts w:eastAsia="Calibri"/>
          <w:lang w:val="en-GB"/>
        </w:rPr>
        <w:t xml:space="preserve">2.2.6.3.3 </w:t>
      </w:r>
      <w:r w:rsidR="0096178A" w:rsidRPr="00B65D57">
        <w:rPr>
          <w:rFonts w:eastAsia="Calibri"/>
          <w:lang w:val="en-GB"/>
        </w:rPr>
        <w:t xml:space="preserve">Local effects </w:t>
      </w:r>
    </w:p>
    <w:p w14:paraId="7F7E0BC3" w14:textId="77777777" w:rsidR="0096178A" w:rsidRPr="00B65D57" w:rsidRDefault="0096178A" w:rsidP="0096178A">
      <w:pPr>
        <w:rPr>
          <w:rFonts w:eastAsia="Calibri"/>
          <w:lang w:eastAsia="en-US"/>
        </w:rPr>
      </w:pPr>
      <w:r w:rsidRPr="00B65D57">
        <w:rPr>
          <w:rFonts w:eastAsia="Calibri"/>
          <w:lang w:eastAsia="en-US"/>
        </w:rPr>
        <w:t xml:space="preserve">According to the Guidance on the Biocidal Products Regulation Volume III Human Health - Assessment &amp; Evaluation (Parts B+C) Version 4.0 December 2017 section 4.3.2, a risk characterisation for local effects is triggered when the product is classified for local effects. </w:t>
      </w:r>
    </w:p>
    <w:p w14:paraId="21964336" w14:textId="77777777" w:rsidR="0096178A" w:rsidRPr="00B65D57" w:rsidRDefault="0096178A" w:rsidP="0096178A">
      <w:pPr>
        <w:spacing w:line="260" w:lineRule="atLeast"/>
        <w:rPr>
          <w:b/>
          <w:bCs/>
          <w:lang w:eastAsia="en-US"/>
        </w:rPr>
      </w:pPr>
    </w:p>
    <w:p w14:paraId="1C9D27F1" w14:textId="6009564C" w:rsidR="0096178A" w:rsidRPr="00B65D57" w:rsidRDefault="0096178A" w:rsidP="0096178A">
      <w:pPr>
        <w:rPr>
          <w:rFonts w:eastAsia="Verdana" w:cs="Verdana"/>
        </w:rPr>
      </w:pPr>
      <w:r w:rsidRPr="00B65D57">
        <w:rPr>
          <w:rFonts w:eastAsia="Verdana" w:cs="Verdana"/>
        </w:rPr>
        <w:t xml:space="preserve">Jerbor is classified as Eye Irritant category 2, H319. The Jerbor/water solution and the slurry </w:t>
      </w:r>
      <w:r w:rsidR="004C72AB" w:rsidRPr="00B65D57">
        <w:rPr>
          <w:rFonts w:eastAsia="Verdana" w:cs="Verdana"/>
        </w:rPr>
        <w:t>have</w:t>
      </w:r>
      <w:r w:rsidRPr="00B65D57">
        <w:rPr>
          <w:rFonts w:eastAsia="Verdana" w:cs="Verdana"/>
        </w:rPr>
        <w:t xml:space="preserve"> the concentration of 12% resp. 9.6% Jerbor. As Jerbor is a mix of boric acid (53.7%) and disodium tetraborate pentahydrate (46.3%) and only disodium tetraborate pentahydrate is classified as an eye irritant neither the Jerbor/water solution nor the slurry will contain a concentration of disodium tetraborate that will trigger classification as eye irritant H319. Therefore, a local risk </w:t>
      </w:r>
      <w:r w:rsidR="004C72AB" w:rsidRPr="00B65D57">
        <w:rPr>
          <w:rFonts w:eastAsia="Verdana" w:cs="Verdana"/>
        </w:rPr>
        <w:t>characterisation</w:t>
      </w:r>
      <w:r w:rsidRPr="00B65D57">
        <w:rPr>
          <w:rFonts w:eastAsia="Verdana" w:cs="Verdana"/>
        </w:rPr>
        <w:t xml:space="preserve"> for eye irritation has only been performed, according to the Guidance, for potential exposure to Jerbor dust. </w:t>
      </w:r>
    </w:p>
    <w:p w14:paraId="5411FA4D" w14:textId="77777777" w:rsidR="0096178A" w:rsidRPr="00B65D57" w:rsidRDefault="0096178A" w:rsidP="0096178A">
      <w:pPr>
        <w:rPr>
          <w:rFonts w:eastAsia="Verdana" w:cs="Verdana"/>
        </w:rPr>
      </w:pPr>
    </w:p>
    <w:p w14:paraId="50BC4D30" w14:textId="77777777" w:rsidR="0096178A" w:rsidRPr="00B65D57" w:rsidRDefault="0096178A" w:rsidP="0096178A">
      <w:pPr>
        <w:rPr>
          <w:rFonts w:eastAsia="Verdana" w:cs="Verdana"/>
        </w:rPr>
      </w:pPr>
      <w:r w:rsidRPr="00B65D57">
        <w:rPr>
          <w:rFonts w:eastAsia="Verdana" w:cs="Verdana"/>
        </w:rPr>
        <w:t xml:space="preserve">Furthermore, there have been reports of </w:t>
      </w:r>
      <w:r w:rsidRPr="00B65D57">
        <w:rPr>
          <w:rStyle w:val="tlid-translation"/>
        </w:rPr>
        <w:t>irritation of pharynx by workers inhaling dust of borax, however as no classification for respiratory irritation is warranted no local risk characterisation has been performed</w:t>
      </w:r>
      <w:r w:rsidRPr="00B65D57">
        <w:rPr>
          <w:rFonts w:eastAsia="Verdana" w:cs="Verdana"/>
        </w:rPr>
        <w:t>.</w:t>
      </w:r>
    </w:p>
    <w:p w14:paraId="62EA15E2" w14:textId="77777777" w:rsidR="0096178A" w:rsidRPr="00B65D57" w:rsidRDefault="0096178A" w:rsidP="0096178A">
      <w:pPr>
        <w:rPr>
          <w:rFonts w:eastAsia="Verdana" w:cs="Verdana"/>
        </w:rPr>
      </w:pPr>
    </w:p>
    <w:p w14:paraId="49566B13" w14:textId="5F6841B9" w:rsidR="0096178A" w:rsidRPr="00B65D57" w:rsidRDefault="0096178A" w:rsidP="0096178A">
      <w:pPr>
        <w:autoSpaceDE w:val="0"/>
        <w:autoSpaceDN w:val="0"/>
        <w:adjustRightInd w:val="0"/>
        <w:rPr>
          <w:lang w:eastAsia="sv-SE"/>
        </w:rPr>
      </w:pPr>
      <w:r w:rsidRPr="00B65D57">
        <w:rPr>
          <w:lang w:eastAsia="sv-SE"/>
        </w:rPr>
        <w:t xml:space="preserve">The sodium bentonite used in the </w:t>
      </w:r>
      <w:r w:rsidR="004C72AB" w:rsidRPr="00B65D57">
        <w:rPr>
          <w:lang w:eastAsia="sv-SE"/>
        </w:rPr>
        <w:t>slurry</w:t>
      </w:r>
      <w:r w:rsidR="004C72AB" w:rsidRPr="00B65D57" w:rsidDel="005B74B7">
        <w:rPr>
          <w:lang w:eastAsia="sv-SE"/>
        </w:rPr>
        <w:t xml:space="preserve"> </w:t>
      </w:r>
      <w:r w:rsidR="004C72AB" w:rsidRPr="00B65D57">
        <w:rPr>
          <w:lang w:eastAsia="sv-SE"/>
        </w:rPr>
        <w:t>is</w:t>
      </w:r>
      <w:r w:rsidRPr="00B65D57">
        <w:rPr>
          <w:lang w:eastAsia="sv-SE"/>
        </w:rPr>
        <w:t xml:space="preserve"> not expected to have any serious adverse health effects,</w:t>
      </w:r>
      <w:r w:rsidRPr="00B65D57">
        <w:t xml:space="preserve"> </w:t>
      </w:r>
      <w:r w:rsidRPr="00B65D57">
        <w:rPr>
          <w:lang w:eastAsia="sv-SE"/>
        </w:rPr>
        <w:t>except that it, as a powder, may cause serious eye irritation, skin irritation and respiratory irritation (notified classification; C&amp;L inventory, ECHA). Considering this, a local risk characterisation has been performed for the potential exposure to dust of sodium bentonite.</w:t>
      </w:r>
    </w:p>
    <w:p w14:paraId="51D105D5" w14:textId="77777777" w:rsidR="0061686C" w:rsidRPr="00B65D57" w:rsidRDefault="0061686C" w:rsidP="0096178A">
      <w:pPr>
        <w:autoSpaceDE w:val="0"/>
        <w:autoSpaceDN w:val="0"/>
        <w:adjustRightInd w:val="0"/>
        <w:rPr>
          <w:lang w:eastAsia="sv-SE"/>
        </w:rPr>
      </w:pPr>
    </w:p>
    <w:p w14:paraId="135687EE" w14:textId="77777777" w:rsidR="0096178A" w:rsidRPr="00B65D57" w:rsidRDefault="0096178A" w:rsidP="0096178A">
      <w:pPr>
        <w:rPr>
          <w:rFonts w:eastAsia="Verdana" w:cs="Verdana"/>
        </w:rPr>
      </w:pPr>
    </w:p>
    <w:p w14:paraId="79A968A2" w14:textId="77777777" w:rsidR="0096178A" w:rsidRPr="00B65D57" w:rsidRDefault="0096178A" w:rsidP="0096178A">
      <w:pPr>
        <w:rPr>
          <w:rFonts w:eastAsia="Verdana" w:cs="Verdana"/>
          <w:b/>
          <w:bCs/>
        </w:rPr>
      </w:pPr>
      <w:r w:rsidRPr="00B65D57">
        <w:rPr>
          <w:rFonts w:eastAsia="Verdana" w:cs="Verdana"/>
          <w:b/>
          <w:bCs/>
        </w:rPr>
        <w:t>Local qualitative risk characterisation</w:t>
      </w:r>
    </w:p>
    <w:p w14:paraId="73201160" w14:textId="77777777" w:rsidR="0096178A" w:rsidRPr="00B65D57" w:rsidRDefault="0096178A" w:rsidP="0096178A">
      <w:pPr>
        <w:rPr>
          <w:rFonts w:eastAsia="Calibri"/>
          <w:lang w:eastAsia="en-US"/>
        </w:rPr>
      </w:pPr>
    </w:p>
    <w:p w14:paraId="304779E6" w14:textId="77777777" w:rsidR="0096178A" w:rsidRPr="00B65D57" w:rsidRDefault="0096178A" w:rsidP="0096178A">
      <w:pPr>
        <w:rPr>
          <w:rFonts w:eastAsia="Calibri"/>
          <w:u w:val="single"/>
          <w:lang w:eastAsia="en-US"/>
        </w:rPr>
      </w:pPr>
      <w:r w:rsidRPr="00B65D57">
        <w:rPr>
          <w:rFonts w:eastAsia="Calibri"/>
          <w:u w:val="single"/>
          <w:lang w:eastAsia="en-US"/>
        </w:rPr>
        <w:t>Respiratory irritation</w:t>
      </w:r>
    </w:p>
    <w:p w14:paraId="411C474B" w14:textId="77777777" w:rsidR="0096178A" w:rsidRPr="00B65D57" w:rsidRDefault="0096178A" w:rsidP="0096178A">
      <w:pPr>
        <w:autoSpaceDE w:val="0"/>
        <w:autoSpaceDN w:val="0"/>
        <w:adjustRightInd w:val="0"/>
        <w:rPr>
          <w:lang w:eastAsia="sv-SE"/>
        </w:rPr>
      </w:pPr>
      <w:r w:rsidRPr="00B65D57">
        <w:rPr>
          <w:rFonts w:eastAsia="Calibri"/>
          <w:lang w:eastAsia="en-US"/>
        </w:rPr>
        <w:t xml:space="preserve">Jerbor in its granular form is not classified as respiratory irritant. </w:t>
      </w:r>
      <w:r w:rsidRPr="00B65D57">
        <w:rPr>
          <w:lang w:eastAsia="sv-SE"/>
        </w:rPr>
        <w:t>Sodium bentonite, as a powder, may cause respiratory irritation.</w:t>
      </w:r>
    </w:p>
    <w:p w14:paraId="74E7E0CF" w14:textId="77777777" w:rsidR="0096178A" w:rsidRPr="00B65D57" w:rsidRDefault="0096178A" w:rsidP="0096178A">
      <w:pPr>
        <w:autoSpaceDE w:val="0"/>
        <w:autoSpaceDN w:val="0"/>
        <w:adjustRightInd w:val="0"/>
        <w:rPr>
          <w:rFonts w:eastAsia="Verdana" w:cs="Verdana"/>
        </w:rPr>
      </w:pPr>
      <w:r w:rsidRPr="00B65D57">
        <w:rPr>
          <w:lang w:eastAsia="sv-SE"/>
        </w:rPr>
        <w:t xml:space="preserve">In scenario 4 sodium bentonite (powder) is mixed with the Jerbor/water-solution. In this scenario </w:t>
      </w:r>
      <w:r w:rsidRPr="00B65D57">
        <w:rPr>
          <w:rFonts w:eastAsia="Verdana" w:cs="Verdana"/>
        </w:rPr>
        <w:t xml:space="preserve">protective goggles, respiratory mask with particle filter P3, protective clothing and protective gloves of nitrile rubber are mandatory to wear. </w:t>
      </w:r>
    </w:p>
    <w:p w14:paraId="7EA859DC" w14:textId="77777777" w:rsidR="0096178A" w:rsidRPr="00B65D57" w:rsidRDefault="0096178A" w:rsidP="0096178A">
      <w:pPr>
        <w:autoSpaceDE w:val="0"/>
        <w:autoSpaceDN w:val="0"/>
        <w:adjustRightInd w:val="0"/>
        <w:rPr>
          <w:rFonts w:eastAsia="Verdana" w:cs="Verdana"/>
        </w:rPr>
      </w:pPr>
      <w:r w:rsidRPr="00B65D57">
        <w:rPr>
          <w:rFonts w:eastAsia="Verdana" w:cs="Verdana"/>
        </w:rPr>
        <w:t>There is no other scenario when respiratory irritation could be expected.</w:t>
      </w:r>
    </w:p>
    <w:p w14:paraId="1B8C4615" w14:textId="77777777" w:rsidR="0096178A" w:rsidRPr="00B65D57" w:rsidRDefault="0096178A" w:rsidP="0096178A">
      <w:pPr>
        <w:autoSpaceDE w:val="0"/>
        <w:autoSpaceDN w:val="0"/>
        <w:adjustRightInd w:val="0"/>
        <w:rPr>
          <w:rFonts w:eastAsia="Verdana" w:cs="Verdana"/>
        </w:rPr>
      </w:pPr>
    </w:p>
    <w:p w14:paraId="6F696287" w14:textId="77777777" w:rsidR="0096178A" w:rsidRPr="00B65D57" w:rsidRDefault="0096178A" w:rsidP="0096178A">
      <w:pPr>
        <w:autoSpaceDE w:val="0"/>
        <w:autoSpaceDN w:val="0"/>
        <w:adjustRightInd w:val="0"/>
        <w:rPr>
          <w:rFonts w:eastAsia="Verdana" w:cs="Verdana"/>
          <w:u w:val="single"/>
        </w:rPr>
      </w:pPr>
      <w:r w:rsidRPr="00B65D57">
        <w:rPr>
          <w:rFonts w:eastAsia="Verdana" w:cs="Verdana"/>
          <w:u w:val="single"/>
        </w:rPr>
        <w:t>Dermal irritation</w:t>
      </w:r>
    </w:p>
    <w:p w14:paraId="38F5B926" w14:textId="77777777" w:rsidR="0096178A" w:rsidRPr="00B65D57" w:rsidRDefault="0096178A" w:rsidP="0096178A">
      <w:pPr>
        <w:autoSpaceDE w:val="0"/>
        <w:autoSpaceDN w:val="0"/>
        <w:adjustRightInd w:val="0"/>
        <w:rPr>
          <w:lang w:eastAsia="sv-SE"/>
        </w:rPr>
      </w:pPr>
      <w:r w:rsidRPr="00B65D57">
        <w:rPr>
          <w:rFonts w:eastAsia="Calibri"/>
          <w:lang w:eastAsia="en-US"/>
        </w:rPr>
        <w:t xml:space="preserve">Jerbor in its granular form is not classified as dermal irritant. </w:t>
      </w:r>
      <w:r w:rsidRPr="00B65D57">
        <w:rPr>
          <w:lang w:eastAsia="sv-SE"/>
        </w:rPr>
        <w:t>Sodium bentonite, as a powder, may cause skin irritation.</w:t>
      </w:r>
    </w:p>
    <w:p w14:paraId="45CCB40E" w14:textId="77777777" w:rsidR="0096178A" w:rsidRPr="00B65D57" w:rsidRDefault="0096178A" w:rsidP="0096178A">
      <w:pPr>
        <w:autoSpaceDE w:val="0"/>
        <w:autoSpaceDN w:val="0"/>
        <w:adjustRightInd w:val="0"/>
        <w:rPr>
          <w:rFonts w:eastAsia="Verdana" w:cs="Verdana"/>
        </w:rPr>
      </w:pPr>
      <w:r w:rsidRPr="00B65D57">
        <w:rPr>
          <w:lang w:eastAsia="sv-SE"/>
        </w:rPr>
        <w:lastRenderedPageBreak/>
        <w:t xml:space="preserve">In scenario 4 sodium bentonite (powder) is mixed with the Jerbor/water-solution. In this scenario </w:t>
      </w:r>
      <w:r w:rsidRPr="00B65D57">
        <w:rPr>
          <w:rFonts w:eastAsia="Verdana" w:cs="Verdana"/>
        </w:rPr>
        <w:t xml:space="preserve">protective goggles, respiratory mask with particle filter P3, protective clothing and protective gloves of nitrile rubber are mandatory to wear. </w:t>
      </w:r>
    </w:p>
    <w:p w14:paraId="59246157" w14:textId="77777777" w:rsidR="0096178A" w:rsidRPr="00B65D57" w:rsidRDefault="0096178A" w:rsidP="0096178A">
      <w:pPr>
        <w:autoSpaceDE w:val="0"/>
        <w:autoSpaceDN w:val="0"/>
        <w:adjustRightInd w:val="0"/>
        <w:rPr>
          <w:rFonts w:eastAsia="Verdana" w:cs="Verdana"/>
        </w:rPr>
      </w:pPr>
      <w:r w:rsidRPr="00B65D57">
        <w:rPr>
          <w:rFonts w:eastAsia="Verdana" w:cs="Verdana"/>
        </w:rPr>
        <w:t>There is no other scenario when dermal irritation could be expected.</w:t>
      </w:r>
    </w:p>
    <w:p w14:paraId="63B721CB" w14:textId="77777777" w:rsidR="0096178A" w:rsidRPr="00B65D57" w:rsidRDefault="0096178A" w:rsidP="0096178A">
      <w:pPr>
        <w:rPr>
          <w:rFonts w:eastAsia="Calibri"/>
          <w:u w:val="single"/>
          <w:lang w:eastAsia="en-US"/>
        </w:rPr>
      </w:pPr>
    </w:p>
    <w:p w14:paraId="039844C3" w14:textId="77777777" w:rsidR="0096178A" w:rsidRPr="00B65D57" w:rsidRDefault="0096178A" w:rsidP="0096178A">
      <w:pPr>
        <w:rPr>
          <w:rFonts w:eastAsia="Calibri"/>
          <w:u w:val="single"/>
          <w:lang w:eastAsia="en-US"/>
        </w:rPr>
      </w:pPr>
      <w:r w:rsidRPr="00B65D57">
        <w:rPr>
          <w:rFonts w:eastAsia="Calibri"/>
          <w:u w:val="single"/>
          <w:lang w:eastAsia="en-US"/>
        </w:rPr>
        <w:t>Eye irritation</w:t>
      </w:r>
    </w:p>
    <w:p w14:paraId="0392A26B" w14:textId="77777777" w:rsidR="0096178A" w:rsidRPr="00B65D57" w:rsidRDefault="0096178A" w:rsidP="0096178A">
      <w:pPr>
        <w:rPr>
          <w:rFonts w:eastAsia="Calibri"/>
          <w:lang w:eastAsia="en-US"/>
        </w:rPr>
      </w:pPr>
      <w:r w:rsidRPr="00B65D57">
        <w:rPr>
          <w:rFonts w:eastAsia="Calibri"/>
          <w:lang w:eastAsia="en-US"/>
        </w:rPr>
        <w:t xml:space="preserve">Jerbor, dry formulation, was placed in the hazard category </w:t>
      </w:r>
      <w:r w:rsidRPr="00B65D57">
        <w:rPr>
          <w:rFonts w:eastAsia="Calibri"/>
          <w:i/>
          <w:lang w:eastAsia="en-US"/>
        </w:rPr>
        <w:t>low</w:t>
      </w:r>
      <w:r w:rsidRPr="00B65D57">
        <w:rPr>
          <w:rFonts w:eastAsia="Calibri"/>
          <w:lang w:eastAsia="en-US"/>
        </w:rPr>
        <w:t xml:space="preserve"> based on the classification as eye irritating H319 (causes serious eye irritation). The biocidal product is only used by professionals wearing</w:t>
      </w:r>
      <w:r w:rsidRPr="00B65D57">
        <w:rPr>
          <w:rFonts w:eastAsia="Verdana" w:cs="Verdana"/>
        </w:rPr>
        <w:t xml:space="preserve"> protective googles and exposure to dry granules (concentrated product) with the potential of dusting is only possible in scenario 1 and 2.1. The work is performed according to instructions for use. </w:t>
      </w:r>
    </w:p>
    <w:p w14:paraId="2B6D917A" w14:textId="77777777" w:rsidR="0096178A" w:rsidRPr="00B65D57" w:rsidRDefault="0096178A" w:rsidP="0096178A">
      <w:pPr>
        <w:rPr>
          <w:rFonts w:eastAsia="Verdana" w:cs="Verdana"/>
        </w:rPr>
      </w:pPr>
    </w:p>
    <w:p w14:paraId="2572CE69" w14:textId="77777777" w:rsidR="0096178A" w:rsidRPr="00B65D57" w:rsidRDefault="0096178A" w:rsidP="0096178A">
      <w:pPr>
        <w:autoSpaceDE w:val="0"/>
        <w:autoSpaceDN w:val="0"/>
        <w:adjustRightInd w:val="0"/>
        <w:rPr>
          <w:lang w:eastAsia="sv-SE"/>
        </w:rPr>
      </w:pPr>
      <w:bookmarkStart w:id="1593" w:name="_Hlk106370670"/>
      <w:r w:rsidRPr="00B65D57">
        <w:rPr>
          <w:lang w:eastAsia="sv-SE"/>
        </w:rPr>
        <w:t>The sodium bentonite, as a powder, may cause serious eye irritation.</w:t>
      </w:r>
    </w:p>
    <w:p w14:paraId="40656ADC" w14:textId="77777777" w:rsidR="0096178A" w:rsidRPr="00B65D57" w:rsidRDefault="0096178A" w:rsidP="0096178A">
      <w:pPr>
        <w:autoSpaceDE w:val="0"/>
        <w:autoSpaceDN w:val="0"/>
        <w:adjustRightInd w:val="0"/>
        <w:rPr>
          <w:lang w:eastAsia="sv-SE"/>
        </w:rPr>
      </w:pPr>
      <w:r w:rsidRPr="00B65D57">
        <w:rPr>
          <w:lang w:eastAsia="sv-SE"/>
        </w:rPr>
        <w:t xml:space="preserve">In scenario 4 bentonite is mixed with the Jerbor/water-solution. In this scenario </w:t>
      </w:r>
      <w:r w:rsidRPr="00B65D57">
        <w:rPr>
          <w:rFonts w:eastAsia="Verdana" w:cs="Verdana"/>
        </w:rPr>
        <w:t xml:space="preserve">protective goggles, respiratory mask with particle filter P3 (protective clothing and protective gloves of nitrile rubber are mandatory to wear. </w:t>
      </w:r>
    </w:p>
    <w:bookmarkEnd w:id="1593"/>
    <w:p w14:paraId="0F803AAD" w14:textId="2CBD34B5" w:rsidR="01CEC8E9" w:rsidRPr="00B65D57" w:rsidRDefault="01CEC8E9" w:rsidP="01CEC8E9"/>
    <w:p w14:paraId="40C58545" w14:textId="469BC23D" w:rsidR="00DB0B2F" w:rsidRPr="00B65D57" w:rsidRDefault="00DB0B2F">
      <w:pPr>
        <w:rPr>
          <w:noProof/>
        </w:rPr>
      </w:pPr>
      <w:r w:rsidRPr="00B65D57">
        <w:rPr>
          <w:noProof/>
        </w:rPr>
        <w:br w:type="page"/>
      </w:r>
    </w:p>
    <w:p w14:paraId="4A0CAEAD" w14:textId="77777777" w:rsidR="00DB0B2F" w:rsidRPr="00B65D57" w:rsidRDefault="00DB0B2F" w:rsidP="01CEC8E9">
      <w:pPr>
        <w:spacing w:line="260" w:lineRule="atLeast"/>
        <w:sectPr w:rsidR="00DB0B2F" w:rsidRPr="00B65D57" w:rsidSect="001338DA">
          <w:endnotePr>
            <w:numFmt w:val="decimal"/>
          </w:endnotePr>
          <w:pgSz w:w="11907" w:h="16840" w:code="9"/>
          <w:pgMar w:top="1474" w:right="1247" w:bottom="2013" w:left="1446" w:header="850" w:footer="850" w:gutter="0"/>
          <w:cols w:space="720"/>
          <w:docGrid w:linePitch="272"/>
        </w:sectPr>
      </w:pPr>
    </w:p>
    <w:p w14:paraId="74ED665F" w14:textId="77777777" w:rsidR="0096178A" w:rsidRPr="00B65D57" w:rsidRDefault="0096178A" w:rsidP="0096178A">
      <w:pPr>
        <w:spacing w:line="260" w:lineRule="atLeast"/>
        <w:rPr>
          <w:b/>
          <w:bCs/>
        </w:rPr>
      </w:pPr>
      <w:r w:rsidRPr="00B65D57">
        <w:rPr>
          <w:b/>
          <w:bCs/>
        </w:rPr>
        <w:lastRenderedPageBreak/>
        <w:t>Local risk assessment –Jerbor, granules of boric acid (53.7%) and disodium tetraborate pentahydrate (46.3%)</w:t>
      </w:r>
    </w:p>
    <w:tbl>
      <w:tblPr>
        <w:tblStyle w:val="Tabellrutnt"/>
        <w:tblW w:w="0" w:type="auto"/>
        <w:tblLook w:val="04A0" w:firstRow="1" w:lastRow="0" w:firstColumn="1" w:lastColumn="0" w:noHBand="0" w:noVBand="1"/>
      </w:tblPr>
      <w:tblGrid>
        <w:gridCol w:w="1100"/>
        <w:gridCol w:w="1613"/>
        <w:gridCol w:w="471"/>
        <w:gridCol w:w="1393"/>
        <w:gridCol w:w="1235"/>
        <w:gridCol w:w="1623"/>
        <w:gridCol w:w="1288"/>
        <w:gridCol w:w="1264"/>
        <w:gridCol w:w="1540"/>
        <w:gridCol w:w="1816"/>
      </w:tblGrid>
      <w:tr w:rsidR="0096178A" w:rsidRPr="00B65D57" w14:paraId="78150C97" w14:textId="77777777" w:rsidTr="0061686C">
        <w:trPr>
          <w:trHeight w:val="2142"/>
        </w:trPr>
        <w:tc>
          <w:tcPr>
            <w:tcW w:w="1100" w:type="dxa"/>
            <w:hideMark/>
          </w:tcPr>
          <w:p w14:paraId="527D4E63" w14:textId="77777777" w:rsidR="0096178A" w:rsidRPr="00B65D57" w:rsidRDefault="0096178A" w:rsidP="00760DCC">
            <w:pPr>
              <w:spacing w:line="260" w:lineRule="atLeast"/>
              <w:rPr>
                <w:b/>
                <w:bCs/>
                <w:sz w:val="18"/>
                <w:szCs w:val="18"/>
                <w:lang w:eastAsia="en-US"/>
              </w:rPr>
            </w:pPr>
            <w:r w:rsidRPr="00B65D57">
              <w:rPr>
                <w:b/>
                <w:bCs/>
                <w:sz w:val="18"/>
                <w:szCs w:val="18"/>
                <w:lang w:eastAsia="en-US"/>
              </w:rPr>
              <w:t>Hazard category</w:t>
            </w:r>
          </w:p>
        </w:tc>
        <w:tc>
          <w:tcPr>
            <w:tcW w:w="1754" w:type="dxa"/>
            <w:hideMark/>
          </w:tcPr>
          <w:p w14:paraId="2C35055B" w14:textId="77777777" w:rsidR="0096178A" w:rsidRPr="00B65D57" w:rsidRDefault="0096178A" w:rsidP="00760DCC">
            <w:pPr>
              <w:spacing w:line="260" w:lineRule="atLeast"/>
              <w:rPr>
                <w:b/>
                <w:bCs/>
                <w:sz w:val="18"/>
                <w:szCs w:val="18"/>
                <w:lang w:eastAsia="en-US"/>
              </w:rPr>
            </w:pPr>
            <w:r w:rsidRPr="00B65D57">
              <w:rPr>
                <w:b/>
                <w:bCs/>
                <w:sz w:val="18"/>
                <w:szCs w:val="18"/>
                <w:lang w:eastAsia="en-US"/>
              </w:rPr>
              <w:t>Effects in term of C&amp;L</w:t>
            </w:r>
          </w:p>
        </w:tc>
        <w:tc>
          <w:tcPr>
            <w:tcW w:w="471" w:type="dxa"/>
            <w:hideMark/>
          </w:tcPr>
          <w:p w14:paraId="091B424A" w14:textId="77777777" w:rsidR="0096178A" w:rsidRPr="00B65D57" w:rsidRDefault="0096178A" w:rsidP="00760DCC">
            <w:pPr>
              <w:spacing w:line="260" w:lineRule="atLeast"/>
              <w:rPr>
                <w:b/>
                <w:bCs/>
                <w:sz w:val="18"/>
                <w:szCs w:val="18"/>
                <w:lang w:eastAsia="en-US"/>
              </w:rPr>
            </w:pPr>
            <w:r w:rsidRPr="00B65D57">
              <w:rPr>
                <w:b/>
                <w:bCs/>
                <w:sz w:val="18"/>
                <w:szCs w:val="18"/>
                <w:lang w:eastAsia="en-US"/>
              </w:rPr>
              <w:t>PT</w:t>
            </w:r>
          </w:p>
        </w:tc>
        <w:tc>
          <w:tcPr>
            <w:tcW w:w="1393" w:type="dxa"/>
            <w:hideMark/>
          </w:tcPr>
          <w:p w14:paraId="75CAB645" w14:textId="77777777" w:rsidR="0096178A" w:rsidRPr="00B65D57" w:rsidRDefault="0096178A" w:rsidP="00760DCC">
            <w:pPr>
              <w:spacing w:line="260" w:lineRule="atLeast"/>
              <w:rPr>
                <w:b/>
                <w:bCs/>
                <w:sz w:val="18"/>
                <w:szCs w:val="18"/>
                <w:lang w:eastAsia="en-US"/>
              </w:rPr>
            </w:pPr>
            <w:r w:rsidRPr="00B65D57">
              <w:rPr>
                <w:b/>
                <w:bCs/>
                <w:sz w:val="18"/>
                <w:szCs w:val="18"/>
                <w:lang w:eastAsia="en-US"/>
              </w:rPr>
              <w:t>Who is exposed?</w:t>
            </w:r>
          </w:p>
        </w:tc>
        <w:tc>
          <w:tcPr>
            <w:tcW w:w="1235" w:type="dxa"/>
            <w:hideMark/>
          </w:tcPr>
          <w:p w14:paraId="7CBF6767" w14:textId="77777777" w:rsidR="0096178A" w:rsidRPr="00B65D57" w:rsidRDefault="0096178A" w:rsidP="00760DCC">
            <w:pPr>
              <w:spacing w:line="260" w:lineRule="atLeast"/>
              <w:rPr>
                <w:b/>
                <w:bCs/>
                <w:sz w:val="18"/>
                <w:szCs w:val="18"/>
                <w:lang w:eastAsia="en-US"/>
              </w:rPr>
            </w:pPr>
            <w:r w:rsidRPr="00B65D57">
              <w:rPr>
                <w:b/>
                <w:bCs/>
                <w:sz w:val="18"/>
                <w:szCs w:val="18"/>
                <w:lang w:eastAsia="en-US"/>
              </w:rPr>
              <w:t>Tasks, uses, processes</w:t>
            </w:r>
          </w:p>
        </w:tc>
        <w:tc>
          <w:tcPr>
            <w:tcW w:w="1718" w:type="dxa"/>
            <w:hideMark/>
          </w:tcPr>
          <w:p w14:paraId="55EEE1D0" w14:textId="77777777" w:rsidR="0096178A" w:rsidRPr="00B65D57" w:rsidRDefault="0096178A" w:rsidP="00760DCC">
            <w:pPr>
              <w:spacing w:line="260" w:lineRule="atLeast"/>
              <w:rPr>
                <w:b/>
                <w:bCs/>
                <w:sz w:val="18"/>
                <w:szCs w:val="18"/>
                <w:lang w:eastAsia="en-US"/>
              </w:rPr>
            </w:pPr>
            <w:r w:rsidRPr="00B65D57">
              <w:rPr>
                <w:b/>
                <w:bCs/>
                <w:sz w:val="18"/>
                <w:szCs w:val="18"/>
                <w:lang w:eastAsia="en-US"/>
              </w:rPr>
              <w:t>Potential exposure route</w:t>
            </w:r>
          </w:p>
        </w:tc>
        <w:tc>
          <w:tcPr>
            <w:tcW w:w="1300" w:type="dxa"/>
            <w:hideMark/>
          </w:tcPr>
          <w:p w14:paraId="4859CB18" w14:textId="77777777" w:rsidR="0096178A" w:rsidRPr="00B65D57" w:rsidRDefault="0096178A" w:rsidP="00760DCC">
            <w:pPr>
              <w:spacing w:line="260" w:lineRule="atLeast"/>
              <w:rPr>
                <w:b/>
                <w:bCs/>
                <w:sz w:val="18"/>
                <w:szCs w:val="18"/>
                <w:lang w:eastAsia="en-US"/>
              </w:rPr>
            </w:pPr>
            <w:r w:rsidRPr="00B65D57">
              <w:rPr>
                <w:b/>
                <w:bCs/>
                <w:sz w:val="18"/>
                <w:szCs w:val="18"/>
                <w:lang w:eastAsia="en-US"/>
              </w:rPr>
              <w:t>frequency and duration of potential exposure</w:t>
            </w:r>
          </w:p>
        </w:tc>
        <w:tc>
          <w:tcPr>
            <w:tcW w:w="1264" w:type="dxa"/>
            <w:hideMark/>
          </w:tcPr>
          <w:p w14:paraId="37D12C17" w14:textId="77777777" w:rsidR="0096178A" w:rsidRPr="00B65D57" w:rsidRDefault="0096178A" w:rsidP="00760DCC">
            <w:pPr>
              <w:spacing w:line="260" w:lineRule="atLeast"/>
              <w:rPr>
                <w:b/>
                <w:bCs/>
                <w:sz w:val="18"/>
                <w:szCs w:val="18"/>
                <w:lang w:eastAsia="en-US"/>
              </w:rPr>
            </w:pPr>
            <w:r w:rsidRPr="00B65D57">
              <w:rPr>
                <w:b/>
                <w:bCs/>
                <w:sz w:val="18"/>
                <w:szCs w:val="18"/>
                <w:lang w:eastAsia="en-US"/>
              </w:rPr>
              <w:t>Relevant RMM &amp; PPE</w:t>
            </w:r>
          </w:p>
        </w:tc>
        <w:tc>
          <w:tcPr>
            <w:tcW w:w="1242" w:type="dxa"/>
            <w:hideMark/>
          </w:tcPr>
          <w:p w14:paraId="6E95360F" w14:textId="77777777" w:rsidR="0096178A" w:rsidRPr="00B65D57" w:rsidRDefault="0096178A" w:rsidP="00760DCC">
            <w:pPr>
              <w:spacing w:line="260" w:lineRule="atLeast"/>
              <w:rPr>
                <w:b/>
                <w:bCs/>
                <w:sz w:val="18"/>
                <w:szCs w:val="18"/>
                <w:lang w:eastAsia="en-US"/>
              </w:rPr>
            </w:pPr>
            <w:r w:rsidRPr="00B65D57">
              <w:rPr>
                <w:b/>
                <w:bCs/>
                <w:sz w:val="18"/>
                <w:szCs w:val="18"/>
                <w:lang w:eastAsia="en-US"/>
              </w:rPr>
              <w:t>Conclusion on risk</w:t>
            </w:r>
          </w:p>
        </w:tc>
        <w:tc>
          <w:tcPr>
            <w:tcW w:w="1866" w:type="dxa"/>
            <w:hideMark/>
          </w:tcPr>
          <w:p w14:paraId="6D47D721" w14:textId="77777777" w:rsidR="0096178A" w:rsidRPr="00B65D57" w:rsidRDefault="0096178A" w:rsidP="00760DCC">
            <w:pPr>
              <w:spacing w:line="260" w:lineRule="atLeast"/>
              <w:rPr>
                <w:b/>
                <w:bCs/>
                <w:sz w:val="18"/>
                <w:szCs w:val="18"/>
                <w:lang w:eastAsia="en-US"/>
              </w:rPr>
            </w:pPr>
            <w:r w:rsidRPr="00B65D57">
              <w:rPr>
                <w:b/>
                <w:bCs/>
                <w:sz w:val="18"/>
                <w:szCs w:val="18"/>
                <w:lang w:eastAsia="en-US"/>
              </w:rPr>
              <w:t>Uncertainties attached to conclusion may increase (</w:t>
            </w:r>
            <w:r w:rsidRPr="00B65D57">
              <w:rPr>
                <w:rFonts w:ascii="Arial" w:hAnsi="Arial" w:cs="Arial"/>
                <w:b/>
                <w:bCs/>
                <w:sz w:val="18"/>
                <w:szCs w:val="18"/>
                <w:lang w:eastAsia="en-US"/>
              </w:rPr>
              <w:t>↑</w:t>
            </w:r>
            <w:r w:rsidRPr="00B65D57">
              <w:rPr>
                <w:b/>
                <w:bCs/>
                <w:sz w:val="18"/>
                <w:szCs w:val="18"/>
                <w:lang w:eastAsia="en-US"/>
              </w:rPr>
              <w:t>) or decrease (</w:t>
            </w:r>
            <w:r w:rsidRPr="00B65D57">
              <w:rPr>
                <w:rFonts w:ascii="Arial" w:hAnsi="Arial" w:cs="Arial"/>
                <w:b/>
                <w:bCs/>
                <w:sz w:val="18"/>
                <w:szCs w:val="18"/>
                <w:lang w:eastAsia="en-US"/>
              </w:rPr>
              <w:t>↓</w:t>
            </w:r>
            <w:r w:rsidRPr="00B65D57">
              <w:rPr>
                <w:b/>
                <w:bCs/>
                <w:sz w:val="18"/>
                <w:szCs w:val="18"/>
                <w:lang w:eastAsia="en-US"/>
              </w:rPr>
              <w:t>) risk or both (</w:t>
            </w:r>
            <w:r w:rsidRPr="00B65D57">
              <w:rPr>
                <w:rFonts w:ascii="Arial" w:hAnsi="Arial" w:cs="Arial"/>
                <w:b/>
                <w:bCs/>
                <w:sz w:val="18"/>
                <w:szCs w:val="18"/>
                <w:lang w:eastAsia="en-US"/>
              </w:rPr>
              <w:t>↑↓</w:t>
            </w:r>
            <w:r w:rsidRPr="00B65D57">
              <w:rPr>
                <w:b/>
                <w:bCs/>
                <w:sz w:val="18"/>
                <w:szCs w:val="18"/>
                <w:lang w:eastAsia="en-US"/>
              </w:rPr>
              <w:t>)</w:t>
            </w:r>
          </w:p>
        </w:tc>
      </w:tr>
      <w:tr w:rsidR="0096178A" w:rsidRPr="00B65D57" w14:paraId="23991D75" w14:textId="77777777" w:rsidTr="0061686C">
        <w:trPr>
          <w:trHeight w:val="2760"/>
        </w:trPr>
        <w:tc>
          <w:tcPr>
            <w:tcW w:w="1100" w:type="dxa"/>
            <w:hideMark/>
          </w:tcPr>
          <w:p w14:paraId="5A90E395"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Low </w:t>
            </w:r>
          </w:p>
        </w:tc>
        <w:tc>
          <w:tcPr>
            <w:tcW w:w="1754" w:type="dxa"/>
            <w:hideMark/>
          </w:tcPr>
          <w:p w14:paraId="0377A62C" w14:textId="77777777" w:rsidR="0096178A" w:rsidRPr="00B65D57" w:rsidRDefault="0096178A" w:rsidP="00760DCC">
            <w:pPr>
              <w:spacing w:line="260" w:lineRule="atLeast"/>
              <w:rPr>
                <w:sz w:val="18"/>
                <w:szCs w:val="18"/>
                <w:lang w:eastAsia="en-US"/>
              </w:rPr>
            </w:pPr>
            <w:r w:rsidRPr="00B65D57">
              <w:rPr>
                <w:sz w:val="18"/>
                <w:szCs w:val="18"/>
                <w:lang w:eastAsia="en-US"/>
              </w:rPr>
              <w:t>Eye irrit. Cat 2, H319</w:t>
            </w:r>
          </w:p>
        </w:tc>
        <w:tc>
          <w:tcPr>
            <w:tcW w:w="471" w:type="dxa"/>
            <w:hideMark/>
          </w:tcPr>
          <w:p w14:paraId="202E8DB3" w14:textId="77777777" w:rsidR="0096178A" w:rsidRPr="00B65D57" w:rsidRDefault="0096178A" w:rsidP="00760DCC">
            <w:pPr>
              <w:spacing w:line="260" w:lineRule="atLeast"/>
              <w:rPr>
                <w:sz w:val="18"/>
                <w:szCs w:val="18"/>
                <w:lang w:eastAsia="en-US"/>
              </w:rPr>
            </w:pPr>
            <w:r w:rsidRPr="00B65D57">
              <w:rPr>
                <w:sz w:val="18"/>
                <w:szCs w:val="18"/>
                <w:lang w:eastAsia="en-US"/>
              </w:rPr>
              <w:t>8</w:t>
            </w:r>
          </w:p>
        </w:tc>
        <w:tc>
          <w:tcPr>
            <w:tcW w:w="1393" w:type="dxa"/>
            <w:hideMark/>
          </w:tcPr>
          <w:p w14:paraId="34FEC9D8" w14:textId="77777777" w:rsidR="0096178A" w:rsidRPr="00B65D57" w:rsidRDefault="0096178A" w:rsidP="00760DCC">
            <w:pPr>
              <w:spacing w:line="260" w:lineRule="atLeast"/>
              <w:rPr>
                <w:sz w:val="18"/>
                <w:szCs w:val="18"/>
                <w:lang w:eastAsia="en-US"/>
              </w:rPr>
            </w:pPr>
            <w:r w:rsidRPr="00B65D57">
              <w:rPr>
                <w:sz w:val="18"/>
                <w:szCs w:val="18"/>
                <w:lang w:eastAsia="en-US"/>
              </w:rPr>
              <w:t>Professionals</w:t>
            </w:r>
          </w:p>
        </w:tc>
        <w:tc>
          <w:tcPr>
            <w:tcW w:w="1235" w:type="dxa"/>
            <w:hideMark/>
          </w:tcPr>
          <w:p w14:paraId="2D9237B1" w14:textId="77777777" w:rsidR="0096178A" w:rsidRPr="00B65D57" w:rsidRDefault="0096178A" w:rsidP="00760DCC">
            <w:pPr>
              <w:spacing w:line="260" w:lineRule="atLeast"/>
              <w:rPr>
                <w:sz w:val="18"/>
                <w:szCs w:val="18"/>
                <w:lang w:eastAsia="en-US"/>
              </w:rPr>
            </w:pPr>
            <w:r w:rsidRPr="00B65D57">
              <w:rPr>
                <w:sz w:val="18"/>
                <w:szCs w:val="18"/>
                <w:lang w:eastAsia="en-US"/>
              </w:rPr>
              <w:t>Scenario 1 Production of Jerbor (mixing disodium tetraborate and boric acid granulas)</w:t>
            </w:r>
          </w:p>
        </w:tc>
        <w:tc>
          <w:tcPr>
            <w:tcW w:w="1718" w:type="dxa"/>
            <w:hideMark/>
          </w:tcPr>
          <w:p w14:paraId="5D6F3B12" w14:textId="77777777" w:rsidR="0096178A" w:rsidRPr="00B65D57" w:rsidRDefault="0096178A" w:rsidP="00760DCC">
            <w:pPr>
              <w:spacing w:line="260" w:lineRule="atLeast"/>
              <w:rPr>
                <w:sz w:val="18"/>
                <w:szCs w:val="18"/>
                <w:lang w:eastAsia="en-US"/>
              </w:rPr>
            </w:pPr>
            <w:r w:rsidRPr="00B65D57">
              <w:rPr>
                <w:sz w:val="18"/>
                <w:szCs w:val="18"/>
                <w:lang w:eastAsia="en-US"/>
              </w:rPr>
              <w:t>Accidental contact: Eye (dust from granules)</w:t>
            </w:r>
          </w:p>
        </w:tc>
        <w:tc>
          <w:tcPr>
            <w:tcW w:w="1300" w:type="dxa"/>
            <w:hideMark/>
          </w:tcPr>
          <w:p w14:paraId="0F39FD1B" w14:textId="77777777" w:rsidR="0096178A" w:rsidRPr="00B65D57" w:rsidRDefault="0096178A" w:rsidP="00760DCC">
            <w:pPr>
              <w:spacing w:line="260" w:lineRule="atLeast"/>
              <w:rPr>
                <w:sz w:val="18"/>
                <w:szCs w:val="18"/>
                <w:lang w:eastAsia="en-US"/>
              </w:rPr>
            </w:pPr>
            <w:r w:rsidRPr="00B65D57">
              <w:rPr>
                <w:sz w:val="18"/>
                <w:szCs w:val="18"/>
                <w:lang w:eastAsia="en-US"/>
              </w:rPr>
              <w:t>2h/</w:t>
            </w:r>
            <w:r w:rsidRPr="00B65D57" w:rsidDel="00FF07C1">
              <w:rPr>
                <w:sz w:val="18"/>
                <w:szCs w:val="18"/>
                <w:lang w:eastAsia="en-US"/>
              </w:rPr>
              <w:t xml:space="preserve"> </w:t>
            </w:r>
            <w:r w:rsidRPr="00B65D57">
              <w:rPr>
                <w:sz w:val="18"/>
                <w:szCs w:val="18"/>
                <w:lang w:eastAsia="en-US"/>
              </w:rPr>
              <w:t>day, 20 working days/year</w:t>
            </w:r>
            <w:r w:rsidRPr="00B65D57" w:rsidDel="0054366A">
              <w:rPr>
                <w:sz w:val="18"/>
                <w:szCs w:val="18"/>
                <w:lang w:eastAsia="en-US"/>
              </w:rPr>
              <w:t xml:space="preserve"> </w:t>
            </w:r>
          </w:p>
        </w:tc>
        <w:tc>
          <w:tcPr>
            <w:tcW w:w="1264" w:type="dxa"/>
            <w:hideMark/>
          </w:tcPr>
          <w:p w14:paraId="3EAFA6F0"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The facility has LEV (Local Exhaust Ventilation)  </w:t>
            </w:r>
          </w:p>
          <w:p w14:paraId="73A40C84" w14:textId="77777777" w:rsidR="0096178A" w:rsidRPr="00B65D57" w:rsidRDefault="0096178A" w:rsidP="00760DCC">
            <w:pPr>
              <w:spacing w:line="260" w:lineRule="atLeast"/>
              <w:rPr>
                <w:sz w:val="18"/>
                <w:szCs w:val="18"/>
                <w:lang w:eastAsia="en-US"/>
              </w:rPr>
            </w:pPr>
            <w:r w:rsidRPr="00B65D57">
              <w:rPr>
                <w:sz w:val="18"/>
                <w:szCs w:val="18"/>
                <w:lang w:eastAsia="en-US"/>
              </w:rPr>
              <w:t>Open packages under a ventilated hood.</w:t>
            </w:r>
          </w:p>
          <w:p w14:paraId="77812128" w14:textId="77777777" w:rsidR="0096178A" w:rsidRPr="00B65D57" w:rsidRDefault="0096178A" w:rsidP="00760DCC">
            <w:pPr>
              <w:spacing w:line="260" w:lineRule="atLeast"/>
              <w:rPr>
                <w:sz w:val="18"/>
                <w:szCs w:val="18"/>
                <w:lang w:eastAsia="en-US"/>
              </w:rPr>
            </w:pPr>
          </w:p>
          <w:p w14:paraId="2FE1E974" w14:textId="77777777" w:rsidR="0096178A" w:rsidRPr="00B65D57" w:rsidRDefault="0096178A" w:rsidP="00760DCC">
            <w:pPr>
              <w:spacing w:line="260" w:lineRule="atLeast"/>
              <w:rPr>
                <w:sz w:val="18"/>
                <w:szCs w:val="18"/>
                <w:lang w:eastAsia="en-US"/>
              </w:rPr>
            </w:pPr>
            <w:r w:rsidRPr="00B65D57">
              <w:rPr>
                <w:sz w:val="18"/>
                <w:szCs w:val="18"/>
                <w:lang w:eastAsia="en-US"/>
              </w:rPr>
              <w:t>PPE:</w:t>
            </w:r>
          </w:p>
          <w:p w14:paraId="08C5CC9A" w14:textId="77777777" w:rsidR="0096178A" w:rsidRPr="00B65D57" w:rsidRDefault="0096178A" w:rsidP="00760DCC">
            <w:pPr>
              <w:spacing w:line="260" w:lineRule="atLeast"/>
              <w:rPr>
                <w:sz w:val="18"/>
                <w:szCs w:val="18"/>
                <w:lang w:eastAsia="en-US"/>
              </w:rPr>
            </w:pPr>
            <w:r w:rsidRPr="00B65D57">
              <w:rPr>
                <w:b/>
                <w:bCs/>
                <w:sz w:val="18"/>
                <w:szCs w:val="18"/>
                <w:lang w:eastAsia="en-US"/>
              </w:rPr>
              <w:t>Protection goggles,</w:t>
            </w:r>
            <w:r w:rsidRPr="00B65D57">
              <w:rPr>
                <w:sz w:val="18"/>
                <w:szCs w:val="18"/>
                <w:lang w:eastAsia="en-US"/>
              </w:rPr>
              <w:t xml:space="preserve"> Respiratory mask with particle filter P3, Protective clothing, Protective gloves of nitrile rubber</w:t>
            </w:r>
          </w:p>
        </w:tc>
        <w:tc>
          <w:tcPr>
            <w:tcW w:w="1242" w:type="dxa"/>
            <w:hideMark/>
          </w:tcPr>
          <w:p w14:paraId="2746F209"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Acceptable:      </w:t>
            </w:r>
          </w:p>
          <w:p w14:paraId="67BFFEB0" w14:textId="77777777" w:rsidR="0096178A" w:rsidRPr="00B65D57" w:rsidRDefault="0096178A" w:rsidP="00760DCC">
            <w:pPr>
              <w:spacing w:line="260" w:lineRule="atLeast"/>
              <w:rPr>
                <w:sz w:val="18"/>
                <w:szCs w:val="18"/>
                <w:lang w:eastAsia="en-US"/>
              </w:rPr>
            </w:pPr>
            <w:r w:rsidRPr="00B65D57">
              <w:rPr>
                <w:sz w:val="18"/>
                <w:szCs w:val="18"/>
                <w:lang w:eastAsia="en-US"/>
              </w:rPr>
              <w:t>+Reversible effect</w:t>
            </w:r>
          </w:p>
          <w:p w14:paraId="4B9A815A"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 Protection googles      </w:t>
            </w:r>
          </w:p>
          <w:p w14:paraId="01612441"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+LEV   </w:t>
            </w:r>
          </w:p>
          <w:p w14:paraId="06B87AD4" w14:textId="77777777" w:rsidR="0096178A" w:rsidRPr="00B65D57" w:rsidRDefault="0096178A" w:rsidP="00760DCC">
            <w:pPr>
              <w:spacing w:line="260" w:lineRule="atLeast"/>
              <w:rPr>
                <w:sz w:val="18"/>
                <w:szCs w:val="18"/>
                <w:lang w:eastAsia="en-US"/>
              </w:rPr>
            </w:pPr>
            <w:r w:rsidRPr="00B65D57">
              <w:rPr>
                <w:sz w:val="18"/>
                <w:szCs w:val="18"/>
                <w:lang w:eastAsia="en-US"/>
              </w:rPr>
              <w:t>+Professionals  +Packaging is opened under a ventilated hood</w:t>
            </w:r>
            <w:r w:rsidRPr="00B65D57">
              <w:rPr>
                <w:sz w:val="18"/>
                <w:szCs w:val="18"/>
                <w:lang w:eastAsia="en-US"/>
              </w:rPr>
              <w:br/>
              <w:t>+Instructions for use</w:t>
            </w:r>
          </w:p>
        </w:tc>
        <w:tc>
          <w:tcPr>
            <w:tcW w:w="1866" w:type="dxa"/>
            <w:hideMark/>
          </w:tcPr>
          <w:p w14:paraId="6E4CC6BE" w14:textId="77777777" w:rsidR="0096178A" w:rsidRPr="00B65D57" w:rsidRDefault="0096178A" w:rsidP="00760DCC">
            <w:pPr>
              <w:spacing w:line="260" w:lineRule="atLeast"/>
              <w:rPr>
                <w:sz w:val="18"/>
                <w:szCs w:val="18"/>
                <w:lang w:eastAsia="en-US"/>
              </w:rPr>
            </w:pPr>
            <w:r w:rsidRPr="00B65D57">
              <w:rPr>
                <w:sz w:val="18"/>
                <w:szCs w:val="18"/>
                <w:lang w:eastAsia="en-US"/>
              </w:rPr>
              <w:t>Adherence to instructions for use may</w:t>
            </w:r>
            <w:r w:rsidRPr="00B65D57">
              <w:rPr>
                <w:sz w:val="18"/>
                <w:szCs w:val="18"/>
                <w:lang w:eastAsia="en-US"/>
              </w:rPr>
              <w:br/>
              <w:t>vary (</w:t>
            </w:r>
            <w:r w:rsidRPr="00B65D57">
              <w:rPr>
                <w:rFonts w:ascii="Arial" w:hAnsi="Arial" w:cs="Arial"/>
                <w:sz w:val="18"/>
                <w:szCs w:val="18"/>
                <w:lang w:eastAsia="en-US"/>
              </w:rPr>
              <w:t>↑↓</w:t>
            </w:r>
            <w:r w:rsidRPr="00B65D57">
              <w:rPr>
                <w:sz w:val="18"/>
                <w:szCs w:val="18"/>
                <w:lang w:eastAsia="en-US"/>
              </w:rPr>
              <w:t>)   Frequency of use may be higher than recommended (</w:t>
            </w:r>
            <w:r w:rsidRPr="00B65D57">
              <w:rPr>
                <w:rFonts w:ascii="Arial" w:hAnsi="Arial" w:cs="Arial"/>
                <w:sz w:val="18"/>
                <w:szCs w:val="18"/>
                <w:lang w:eastAsia="en-US"/>
              </w:rPr>
              <w:t>↑</w:t>
            </w:r>
            <w:r w:rsidRPr="00B65D57">
              <w:rPr>
                <w:sz w:val="18"/>
                <w:szCs w:val="18"/>
                <w:lang w:eastAsia="en-US"/>
              </w:rPr>
              <w:t xml:space="preserve">) </w:t>
            </w:r>
          </w:p>
          <w:p w14:paraId="1271676B" w14:textId="77777777" w:rsidR="0096178A" w:rsidRPr="00B65D57" w:rsidRDefault="0096178A" w:rsidP="00760DCC">
            <w:pPr>
              <w:spacing w:line="260" w:lineRule="atLeast"/>
              <w:rPr>
                <w:sz w:val="18"/>
                <w:szCs w:val="18"/>
                <w:lang w:eastAsia="en-US"/>
              </w:rPr>
            </w:pPr>
          </w:p>
        </w:tc>
      </w:tr>
      <w:tr w:rsidR="0096178A" w:rsidRPr="00B65D57" w14:paraId="1BC65082" w14:textId="77777777" w:rsidTr="0061686C">
        <w:trPr>
          <w:trHeight w:val="2530"/>
        </w:trPr>
        <w:tc>
          <w:tcPr>
            <w:tcW w:w="1100" w:type="dxa"/>
            <w:hideMark/>
          </w:tcPr>
          <w:p w14:paraId="440BE413" w14:textId="77777777" w:rsidR="0096178A" w:rsidRPr="00B65D57" w:rsidRDefault="0096178A" w:rsidP="00760DCC">
            <w:pPr>
              <w:spacing w:line="260" w:lineRule="atLeast"/>
              <w:rPr>
                <w:sz w:val="18"/>
                <w:szCs w:val="18"/>
                <w:lang w:eastAsia="en-US"/>
              </w:rPr>
            </w:pPr>
            <w:r w:rsidRPr="00B65D57">
              <w:rPr>
                <w:sz w:val="18"/>
                <w:szCs w:val="18"/>
                <w:lang w:eastAsia="en-US"/>
              </w:rPr>
              <w:lastRenderedPageBreak/>
              <w:t xml:space="preserve">Low </w:t>
            </w:r>
          </w:p>
        </w:tc>
        <w:tc>
          <w:tcPr>
            <w:tcW w:w="1754" w:type="dxa"/>
            <w:hideMark/>
          </w:tcPr>
          <w:p w14:paraId="17398D30" w14:textId="77777777" w:rsidR="0096178A" w:rsidRPr="00B65D57" w:rsidRDefault="0096178A" w:rsidP="00760DCC">
            <w:pPr>
              <w:spacing w:line="260" w:lineRule="atLeast"/>
              <w:rPr>
                <w:sz w:val="18"/>
                <w:szCs w:val="18"/>
                <w:lang w:eastAsia="en-US"/>
              </w:rPr>
            </w:pPr>
            <w:r w:rsidRPr="00B65D57">
              <w:rPr>
                <w:sz w:val="18"/>
                <w:szCs w:val="18"/>
                <w:lang w:eastAsia="en-US"/>
              </w:rPr>
              <w:t>Eye irrit. Cat 2, H319</w:t>
            </w:r>
          </w:p>
        </w:tc>
        <w:tc>
          <w:tcPr>
            <w:tcW w:w="471" w:type="dxa"/>
            <w:hideMark/>
          </w:tcPr>
          <w:p w14:paraId="15EA2D93" w14:textId="77777777" w:rsidR="0096178A" w:rsidRPr="00B65D57" w:rsidRDefault="0096178A" w:rsidP="00760DCC">
            <w:pPr>
              <w:spacing w:line="260" w:lineRule="atLeast"/>
              <w:rPr>
                <w:sz w:val="18"/>
                <w:szCs w:val="18"/>
                <w:lang w:eastAsia="en-US"/>
              </w:rPr>
            </w:pPr>
            <w:r w:rsidRPr="00B65D57">
              <w:rPr>
                <w:sz w:val="18"/>
                <w:szCs w:val="18"/>
                <w:lang w:eastAsia="en-US"/>
              </w:rPr>
              <w:t>8</w:t>
            </w:r>
          </w:p>
        </w:tc>
        <w:tc>
          <w:tcPr>
            <w:tcW w:w="1393" w:type="dxa"/>
            <w:hideMark/>
          </w:tcPr>
          <w:p w14:paraId="53E330A6" w14:textId="77777777" w:rsidR="0096178A" w:rsidRPr="00B65D57" w:rsidRDefault="0096178A" w:rsidP="00760DCC">
            <w:pPr>
              <w:spacing w:line="260" w:lineRule="atLeast"/>
              <w:rPr>
                <w:sz w:val="18"/>
                <w:szCs w:val="18"/>
                <w:lang w:eastAsia="en-US"/>
              </w:rPr>
            </w:pPr>
            <w:r w:rsidRPr="00B65D57">
              <w:rPr>
                <w:sz w:val="18"/>
                <w:szCs w:val="18"/>
                <w:lang w:eastAsia="en-US"/>
              </w:rPr>
              <w:t>Professionals</w:t>
            </w:r>
          </w:p>
        </w:tc>
        <w:tc>
          <w:tcPr>
            <w:tcW w:w="1235" w:type="dxa"/>
            <w:hideMark/>
          </w:tcPr>
          <w:p w14:paraId="4DCE3EC0" w14:textId="77777777" w:rsidR="0096178A" w:rsidRPr="00B65D57" w:rsidRDefault="0096178A" w:rsidP="00760DCC">
            <w:pPr>
              <w:spacing w:line="260" w:lineRule="atLeast"/>
              <w:rPr>
                <w:sz w:val="18"/>
                <w:szCs w:val="18"/>
                <w:lang w:eastAsia="en-US"/>
              </w:rPr>
            </w:pPr>
            <w:r w:rsidRPr="00B65D57">
              <w:rPr>
                <w:sz w:val="18"/>
                <w:szCs w:val="18"/>
                <w:lang w:eastAsia="en-US"/>
              </w:rPr>
              <w:t>Scenario 2.1 Loading of mixing tank</w:t>
            </w:r>
          </w:p>
        </w:tc>
        <w:tc>
          <w:tcPr>
            <w:tcW w:w="1718" w:type="dxa"/>
            <w:hideMark/>
          </w:tcPr>
          <w:p w14:paraId="7C4A1B8C" w14:textId="77777777" w:rsidR="0096178A" w:rsidRPr="00B65D57" w:rsidRDefault="0096178A" w:rsidP="00760DCC">
            <w:pPr>
              <w:spacing w:line="260" w:lineRule="atLeast"/>
              <w:rPr>
                <w:sz w:val="18"/>
                <w:szCs w:val="18"/>
                <w:lang w:eastAsia="en-US"/>
              </w:rPr>
            </w:pPr>
            <w:r w:rsidRPr="00B65D57">
              <w:rPr>
                <w:sz w:val="18"/>
                <w:szCs w:val="18"/>
                <w:lang w:eastAsia="en-US"/>
              </w:rPr>
              <w:t>Accidental contact: Eye (dust from granules)</w:t>
            </w:r>
          </w:p>
        </w:tc>
        <w:tc>
          <w:tcPr>
            <w:tcW w:w="1300" w:type="dxa"/>
            <w:hideMark/>
          </w:tcPr>
          <w:p w14:paraId="420FB4DB"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10 min/day, 100 working days/year </w:t>
            </w:r>
          </w:p>
        </w:tc>
        <w:tc>
          <w:tcPr>
            <w:tcW w:w="1264" w:type="dxa"/>
            <w:hideMark/>
          </w:tcPr>
          <w:p w14:paraId="6F9A1E15" w14:textId="77777777" w:rsidR="0096178A" w:rsidRPr="00B65D57" w:rsidRDefault="0096178A" w:rsidP="00760DCC">
            <w:pPr>
              <w:spacing w:line="260" w:lineRule="atLeast"/>
              <w:rPr>
                <w:sz w:val="18"/>
                <w:szCs w:val="18"/>
                <w:lang w:eastAsia="en-US"/>
              </w:rPr>
            </w:pPr>
            <w:r w:rsidRPr="00B65D57">
              <w:rPr>
                <w:sz w:val="18"/>
                <w:szCs w:val="18"/>
                <w:lang w:eastAsia="en-US"/>
              </w:rPr>
              <w:t>PPE:</w:t>
            </w:r>
          </w:p>
          <w:p w14:paraId="0680F462" w14:textId="77777777" w:rsidR="0096178A" w:rsidRPr="00B65D57" w:rsidRDefault="0096178A" w:rsidP="00760DCC">
            <w:pPr>
              <w:spacing w:line="260" w:lineRule="atLeast"/>
              <w:rPr>
                <w:sz w:val="18"/>
                <w:szCs w:val="18"/>
                <w:lang w:eastAsia="en-US"/>
              </w:rPr>
            </w:pPr>
            <w:r w:rsidRPr="00B65D57">
              <w:rPr>
                <w:b/>
                <w:bCs/>
                <w:sz w:val="18"/>
                <w:szCs w:val="18"/>
                <w:lang w:eastAsia="en-US"/>
              </w:rPr>
              <w:t xml:space="preserve">Protection goggles, </w:t>
            </w:r>
            <w:r w:rsidRPr="00B65D57">
              <w:rPr>
                <w:sz w:val="18"/>
                <w:szCs w:val="18"/>
                <w:lang w:eastAsia="en-US"/>
              </w:rPr>
              <w:t>Respiratory mask with particle filter P3, Protective clothing, Protective gloves of nitrile rubber</w:t>
            </w:r>
          </w:p>
        </w:tc>
        <w:tc>
          <w:tcPr>
            <w:tcW w:w="1242" w:type="dxa"/>
            <w:hideMark/>
          </w:tcPr>
          <w:p w14:paraId="1C2C04AF"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Acceptable:      </w:t>
            </w:r>
          </w:p>
          <w:p w14:paraId="5FBC6013"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+Reversible effect   </w:t>
            </w:r>
          </w:p>
          <w:p w14:paraId="58BEA313"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 Protection googles      +Professionals  </w:t>
            </w:r>
          </w:p>
          <w:p w14:paraId="2482F881" w14:textId="77777777" w:rsidR="0096178A" w:rsidRPr="00B65D57" w:rsidRDefault="0096178A" w:rsidP="00760DCC">
            <w:pPr>
              <w:spacing w:line="260" w:lineRule="atLeast"/>
              <w:rPr>
                <w:sz w:val="18"/>
                <w:szCs w:val="18"/>
                <w:lang w:eastAsia="en-US"/>
              </w:rPr>
            </w:pPr>
            <w:r w:rsidRPr="00B65D57">
              <w:rPr>
                <w:sz w:val="18"/>
                <w:szCs w:val="18"/>
                <w:lang w:eastAsia="en-US"/>
              </w:rPr>
              <w:t>+</w:t>
            </w:r>
            <w:r w:rsidRPr="00B65D57" w:rsidDel="005C47E0">
              <w:rPr>
                <w:sz w:val="18"/>
                <w:szCs w:val="18"/>
                <w:lang w:eastAsia="en-US"/>
              </w:rPr>
              <w:t xml:space="preserve"> </w:t>
            </w:r>
            <w:r w:rsidRPr="00B65D57">
              <w:rPr>
                <w:sz w:val="18"/>
                <w:szCs w:val="18"/>
                <w:lang w:eastAsia="en-US"/>
              </w:rPr>
              <w:t xml:space="preserve">Instructions for use </w:t>
            </w:r>
          </w:p>
          <w:p w14:paraId="4F843638" w14:textId="77777777" w:rsidR="0096178A" w:rsidRPr="00B65D57" w:rsidRDefault="0096178A" w:rsidP="00760DCC">
            <w:pPr>
              <w:spacing w:line="260" w:lineRule="atLeast"/>
              <w:rPr>
                <w:sz w:val="18"/>
                <w:szCs w:val="18"/>
                <w:lang w:eastAsia="en-US"/>
              </w:rPr>
            </w:pPr>
          </w:p>
        </w:tc>
        <w:tc>
          <w:tcPr>
            <w:tcW w:w="1866" w:type="dxa"/>
            <w:hideMark/>
          </w:tcPr>
          <w:p w14:paraId="1E20D584" w14:textId="77777777" w:rsidR="0096178A" w:rsidRPr="00B65D57" w:rsidRDefault="0096178A" w:rsidP="00760DCC">
            <w:pPr>
              <w:spacing w:line="260" w:lineRule="atLeast"/>
              <w:rPr>
                <w:sz w:val="18"/>
                <w:szCs w:val="18"/>
                <w:lang w:eastAsia="en-US"/>
              </w:rPr>
            </w:pPr>
            <w:r w:rsidRPr="00B65D57">
              <w:rPr>
                <w:sz w:val="18"/>
                <w:szCs w:val="18"/>
                <w:lang w:eastAsia="en-US"/>
              </w:rPr>
              <w:t>Adherence to instructions for use may</w:t>
            </w:r>
            <w:r w:rsidRPr="00B65D57">
              <w:rPr>
                <w:sz w:val="18"/>
                <w:szCs w:val="18"/>
                <w:lang w:eastAsia="en-US"/>
              </w:rPr>
              <w:br/>
              <w:t>vary (</w:t>
            </w:r>
            <w:r w:rsidRPr="00B65D57">
              <w:rPr>
                <w:rFonts w:ascii="Arial" w:hAnsi="Arial" w:cs="Arial"/>
                <w:sz w:val="18"/>
                <w:szCs w:val="18"/>
                <w:lang w:eastAsia="en-US"/>
              </w:rPr>
              <w:t>↑↓</w:t>
            </w:r>
            <w:r w:rsidRPr="00B65D57">
              <w:rPr>
                <w:sz w:val="18"/>
                <w:szCs w:val="18"/>
                <w:lang w:eastAsia="en-US"/>
              </w:rPr>
              <w:t>)       Frequency of use may be higher than recommended (</w:t>
            </w:r>
            <w:r w:rsidRPr="00B65D57">
              <w:rPr>
                <w:rFonts w:ascii="Arial" w:hAnsi="Arial" w:cs="Arial"/>
                <w:sz w:val="18"/>
                <w:szCs w:val="18"/>
                <w:lang w:eastAsia="en-US"/>
              </w:rPr>
              <w:t>↑</w:t>
            </w:r>
            <w:r w:rsidRPr="00B65D57">
              <w:rPr>
                <w:sz w:val="18"/>
                <w:szCs w:val="18"/>
                <w:lang w:eastAsia="en-US"/>
              </w:rPr>
              <w:t xml:space="preserve">) </w:t>
            </w:r>
          </w:p>
          <w:p w14:paraId="6CABF441" w14:textId="77777777" w:rsidR="0096178A" w:rsidRPr="00B65D57" w:rsidRDefault="0096178A" w:rsidP="00760DCC">
            <w:pPr>
              <w:spacing w:line="260" w:lineRule="atLeast"/>
              <w:rPr>
                <w:sz w:val="18"/>
                <w:szCs w:val="18"/>
                <w:lang w:eastAsia="en-US"/>
              </w:rPr>
            </w:pPr>
          </w:p>
        </w:tc>
      </w:tr>
    </w:tbl>
    <w:p w14:paraId="353756E6" w14:textId="5DF8AB96" w:rsidR="00632499" w:rsidRPr="00B65D57" w:rsidRDefault="00632499" w:rsidP="0096178A">
      <w:pPr>
        <w:spacing w:line="260" w:lineRule="atLeast"/>
        <w:rPr>
          <w:b/>
          <w:bCs/>
        </w:rPr>
      </w:pPr>
    </w:p>
    <w:p w14:paraId="27DB8DEF" w14:textId="2CE0C7A4" w:rsidR="00635235" w:rsidRPr="00B65D57" w:rsidRDefault="00635235" w:rsidP="0096178A">
      <w:pPr>
        <w:spacing w:line="260" w:lineRule="atLeast"/>
        <w:rPr>
          <w:b/>
          <w:bCs/>
        </w:rPr>
      </w:pPr>
    </w:p>
    <w:p w14:paraId="4657B2CC" w14:textId="2D731C3E" w:rsidR="00635235" w:rsidRPr="00B65D57" w:rsidRDefault="00635235" w:rsidP="0096178A">
      <w:pPr>
        <w:spacing w:line="260" w:lineRule="atLeast"/>
        <w:rPr>
          <w:b/>
          <w:bCs/>
        </w:rPr>
      </w:pPr>
    </w:p>
    <w:p w14:paraId="340F5216" w14:textId="4ACCEE7B" w:rsidR="00635235" w:rsidRPr="00B65D57" w:rsidRDefault="00635235" w:rsidP="0096178A">
      <w:pPr>
        <w:spacing w:line="260" w:lineRule="atLeast"/>
        <w:rPr>
          <w:b/>
          <w:bCs/>
        </w:rPr>
      </w:pPr>
    </w:p>
    <w:p w14:paraId="32E5D261" w14:textId="35C4AA15" w:rsidR="00635235" w:rsidRPr="00B65D57" w:rsidRDefault="00635235" w:rsidP="0096178A">
      <w:pPr>
        <w:spacing w:line="260" w:lineRule="atLeast"/>
        <w:rPr>
          <w:b/>
          <w:bCs/>
        </w:rPr>
      </w:pPr>
    </w:p>
    <w:p w14:paraId="54BDAF1C" w14:textId="0BF3A9F4" w:rsidR="00635235" w:rsidRPr="00B65D57" w:rsidRDefault="00635235" w:rsidP="0096178A">
      <w:pPr>
        <w:spacing w:line="260" w:lineRule="atLeast"/>
        <w:rPr>
          <w:b/>
          <w:bCs/>
        </w:rPr>
      </w:pPr>
    </w:p>
    <w:p w14:paraId="1DCBB4E2" w14:textId="2AE70145" w:rsidR="00635235" w:rsidRPr="00B65D57" w:rsidRDefault="00635235" w:rsidP="0096178A">
      <w:pPr>
        <w:spacing w:line="260" w:lineRule="atLeast"/>
        <w:rPr>
          <w:b/>
          <w:bCs/>
        </w:rPr>
      </w:pPr>
    </w:p>
    <w:p w14:paraId="7B286C42" w14:textId="58CE2905" w:rsidR="00635235" w:rsidRPr="00B65D57" w:rsidRDefault="00635235" w:rsidP="0096178A">
      <w:pPr>
        <w:spacing w:line="260" w:lineRule="atLeast"/>
        <w:rPr>
          <w:b/>
          <w:bCs/>
        </w:rPr>
      </w:pPr>
    </w:p>
    <w:p w14:paraId="78088732" w14:textId="7A3775F5" w:rsidR="00635235" w:rsidRPr="00B65D57" w:rsidRDefault="00635235" w:rsidP="0096178A">
      <w:pPr>
        <w:spacing w:line="260" w:lineRule="atLeast"/>
        <w:rPr>
          <w:b/>
          <w:bCs/>
        </w:rPr>
      </w:pPr>
    </w:p>
    <w:p w14:paraId="3CB52E51" w14:textId="0DBEAC13" w:rsidR="00635235" w:rsidRPr="00B65D57" w:rsidRDefault="00635235" w:rsidP="0096178A">
      <w:pPr>
        <w:spacing w:line="260" w:lineRule="atLeast"/>
        <w:rPr>
          <w:b/>
          <w:bCs/>
        </w:rPr>
      </w:pPr>
    </w:p>
    <w:p w14:paraId="66DC15CA" w14:textId="243CCBC3" w:rsidR="00635235" w:rsidRPr="00B65D57" w:rsidRDefault="00635235" w:rsidP="0096178A">
      <w:pPr>
        <w:spacing w:line="260" w:lineRule="atLeast"/>
        <w:rPr>
          <w:b/>
          <w:bCs/>
        </w:rPr>
      </w:pPr>
    </w:p>
    <w:p w14:paraId="4B61C876" w14:textId="015441CB" w:rsidR="00635235" w:rsidRPr="00B65D57" w:rsidRDefault="00635235" w:rsidP="0096178A">
      <w:pPr>
        <w:spacing w:line="260" w:lineRule="atLeast"/>
        <w:rPr>
          <w:b/>
          <w:bCs/>
        </w:rPr>
      </w:pPr>
    </w:p>
    <w:p w14:paraId="186CC3F1" w14:textId="1FA5BB10" w:rsidR="00635235" w:rsidRPr="00B65D57" w:rsidRDefault="00635235" w:rsidP="0096178A">
      <w:pPr>
        <w:spacing w:line="260" w:lineRule="atLeast"/>
        <w:rPr>
          <w:b/>
          <w:bCs/>
        </w:rPr>
      </w:pPr>
    </w:p>
    <w:p w14:paraId="340610DE" w14:textId="67C1F1BF" w:rsidR="00635235" w:rsidRPr="00B65D57" w:rsidRDefault="00635235" w:rsidP="0096178A">
      <w:pPr>
        <w:spacing w:line="260" w:lineRule="atLeast"/>
        <w:rPr>
          <w:b/>
          <w:bCs/>
        </w:rPr>
      </w:pPr>
    </w:p>
    <w:p w14:paraId="16640D76" w14:textId="1765143A" w:rsidR="00635235" w:rsidRPr="00B65D57" w:rsidRDefault="00635235" w:rsidP="0096178A">
      <w:pPr>
        <w:spacing w:line="260" w:lineRule="atLeast"/>
        <w:rPr>
          <w:b/>
          <w:bCs/>
        </w:rPr>
      </w:pPr>
    </w:p>
    <w:p w14:paraId="1BC5BCEE" w14:textId="0BEDB15C" w:rsidR="00635235" w:rsidRPr="00B65D57" w:rsidRDefault="00635235" w:rsidP="0096178A">
      <w:pPr>
        <w:spacing w:line="260" w:lineRule="atLeast"/>
        <w:rPr>
          <w:b/>
          <w:bCs/>
        </w:rPr>
      </w:pPr>
    </w:p>
    <w:p w14:paraId="38B9C10F" w14:textId="49301D7D" w:rsidR="00635235" w:rsidRPr="00B65D57" w:rsidRDefault="00635235" w:rsidP="0096178A">
      <w:pPr>
        <w:spacing w:line="260" w:lineRule="atLeast"/>
        <w:rPr>
          <w:b/>
          <w:bCs/>
        </w:rPr>
      </w:pPr>
    </w:p>
    <w:p w14:paraId="55E8115C" w14:textId="42EEE52B" w:rsidR="00635235" w:rsidRPr="00B65D57" w:rsidRDefault="00635235" w:rsidP="0096178A">
      <w:pPr>
        <w:spacing w:line="260" w:lineRule="atLeast"/>
        <w:rPr>
          <w:b/>
          <w:bCs/>
        </w:rPr>
      </w:pPr>
    </w:p>
    <w:p w14:paraId="61DA67EE" w14:textId="12D1EFFA" w:rsidR="00635235" w:rsidRPr="00B65D57" w:rsidRDefault="00635235" w:rsidP="0096178A">
      <w:pPr>
        <w:spacing w:line="260" w:lineRule="atLeast"/>
        <w:rPr>
          <w:b/>
          <w:bCs/>
        </w:rPr>
      </w:pPr>
    </w:p>
    <w:p w14:paraId="1AF00D7C" w14:textId="0642025A" w:rsidR="00635235" w:rsidRPr="00B65D57" w:rsidRDefault="00635235" w:rsidP="0096178A">
      <w:pPr>
        <w:spacing w:line="260" w:lineRule="atLeast"/>
        <w:rPr>
          <w:b/>
          <w:bCs/>
        </w:rPr>
      </w:pPr>
    </w:p>
    <w:p w14:paraId="2D60E1EE" w14:textId="78C839E1" w:rsidR="00635235" w:rsidRPr="00B65D57" w:rsidRDefault="00635235" w:rsidP="0096178A">
      <w:pPr>
        <w:spacing w:line="260" w:lineRule="atLeast"/>
        <w:rPr>
          <w:b/>
          <w:bCs/>
        </w:rPr>
      </w:pPr>
    </w:p>
    <w:p w14:paraId="34616573" w14:textId="77777777" w:rsidR="00635235" w:rsidRPr="00B65D57" w:rsidRDefault="00635235" w:rsidP="0096178A">
      <w:pPr>
        <w:spacing w:line="260" w:lineRule="atLeast"/>
        <w:rPr>
          <w:b/>
          <w:bCs/>
        </w:rPr>
      </w:pPr>
    </w:p>
    <w:p w14:paraId="29341A3B" w14:textId="57CCC67B" w:rsidR="0096178A" w:rsidRPr="00B65D57" w:rsidRDefault="00F31D25" w:rsidP="0096178A">
      <w:pPr>
        <w:spacing w:line="260" w:lineRule="atLeast"/>
        <w:rPr>
          <w:b/>
          <w:bCs/>
        </w:rPr>
      </w:pPr>
      <w:r w:rsidRPr="00B65D57">
        <w:rPr>
          <w:b/>
          <w:bCs/>
        </w:rPr>
        <w:lastRenderedPageBreak/>
        <w:t>L</w:t>
      </w:r>
      <w:r w:rsidR="0096178A" w:rsidRPr="00B65D57">
        <w:rPr>
          <w:b/>
          <w:bCs/>
        </w:rPr>
        <w:t>ocal risk assessment – mixing sodium bentonite powder into Jerbor/water-solution</w:t>
      </w:r>
    </w:p>
    <w:tbl>
      <w:tblPr>
        <w:tblStyle w:val="Tabellrutnt"/>
        <w:tblW w:w="0" w:type="auto"/>
        <w:tblLook w:val="04A0" w:firstRow="1" w:lastRow="0" w:firstColumn="1" w:lastColumn="0" w:noHBand="0" w:noVBand="1"/>
      </w:tblPr>
      <w:tblGrid>
        <w:gridCol w:w="1101"/>
        <w:gridCol w:w="1617"/>
        <w:gridCol w:w="471"/>
        <w:gridCol w:w="1396"/>
        <w:gridCol w:w="1221"/>
        <w:gridCol w:w="1528"/>
        <w:gridCol w:w="1275"/>
        <w:gridCol w:w="1393"/>
        <w:gridCol w:w="1540"/>
        <w:gridCol w:w="1801"/>
      </w:tblGrid>
      <w:tr w:rsidR="0096178A" w:rsidRPr="00B65D57" w14:paraId="3841F3D7" w14:textId="77777777" w:rsidTr="00635235">
        <w:trPr>
          <w:trHeight w:val="2142"/>
        </w:trPr>
        <w:tc>
          <w:tcPr>
            <w:tcW w:w="1100" w:type="dxa"/>
            <w:hideMark/>
          </w:tcPr>
          <w:p w14:paraId="4EDF0DD8" w14:textId="77777777" w:rsidR="0096178A" w:rsidRPr="00B65D57" w:rsidRDefault="0096178A" w:rsidP="00760DCC">
            <w:pPr>
              <w:spacing w:line="260" w:lineRule="atLeast"/>
              <w:rPr>
                <w:b/>
                <w:bCs/>
                <w:sz w:val="18"/>
                <w:szCs w:val="18"/>
                <w:lang w:eastAsia="en-US"/>
              </w:rPr>
            </w:pPr>
            <w:r w:rsidRPr="00B65D57">
              <w:rPr>
                <w:b/>
                <w:bCs/>
                <w:sz w:val="18"/>
                <w:szCs w:val="18"/>
                <w:lang w:eastAsia="en-US"/>
              </w:rPr>
              <w:t>Hazard category</w:t>
            </w:r>
          </w:p>
        </w:tc>
        <w:tc>
          <w:tcPr>
            <w:tcW w:w="1731" w:type="dxa"/>
            <w:hideMark/>
          </w:tcPr>
          <w:p w14:paraId="5E22EB16" w14:textId="77777777" w:rsidR="0096178A" w:rsidRPr="00B65D57" w:rsidRDefault="0096178A" w:rsidP="00760DCC">
            <w:pPr>
              <w:spacing w:line="260" w:lineRule="atLeast"/>
              <w:rPr>
                <w:b/>
                <w:bCs/>
                <w:sz w:val="18"/>
                <w:szCs w:val="18"/>
                <w:lang w:eastAsia="en-US"/>
              </w:rPr>
            </w:pPr>
            <w:r w:rsidRPr="00B65D57">
              <w:rPr>
                <w:b/>
                <w:bCs/>
                <w:sz w:val="18"/>
                <w:szCs w:val="18"/>
                <w:lang w:eastAsia="en-US"/>
              </w:rPr>
              <w:t>Effects in term of C&amp;L</w:t>
            </w:r>
          </w:p>
        </w:tc>
        <w:tc>
          <w:tcPr>
            <w:tcW w:w="471" w:type="dxa"/>
            <w:hideMark/>
          </w:tcPr>
          <w:p w14:paraId="7CA1A01A" w14:textId="77777777" w:rsidR="0096178A" w:rsidRPr="00B65D57" w:rsidRDefault="0096178A" w:rsidP="00760DCC">
            <w:pPr>
              <w:spacing w:line="260" w:lineRule="atLeast"/>
              <w:rPr>
                <w:b/>
                <w:bCs/>
                <w:sz w:val="18"/>
                <w:szCs w:val="18"/>
                <w:lang w:eastAsia="en-US"/>
              </w:rPr>
            </w:pPr>
            <w:r w:rsidRPr="00B65D57">
              <w:rPr>
                <w:b/>
                <w:bCs/>
                <w:sz w:val="18"/>
                <w:szCs w:val="18"/>
                <w:lang w:eastAsia="en-US"/>
              </w:rPr>
              <w:t>PT</w:t>
            </w:r>
          </w:p>
        </w:tc>
        <w:tc>
          <w:tcPr>
            <w:tcW w:w="1397" w:type="dxa"/>
            <w:hideMark/>
          </w:tcPr>
          <w:p w14:paraId="5F8801F9" w14:textId="77777777" w:rsidR="0096178A" w:rsidRPr="00B65D57" w:rsidRDefault="0096178A" w:rsidP="00760DCC">
            <w:pPr>
              <w:spacing w:line="260" w:lineRule="atLeast"/>
              <w:rPr>
                <w:b/>
                <w:bCs/>
                <w:sz w:val="18"/>
                <w:szCs w:val="18"/>
                <w:lang w:eastAsia="en-US"/>
              </w:rPr>
            </w:pPr>
            <w:r w:rsidRPr="00B65D57">
              <w:rPr>
                <w:b/>
                <w:bCs/>
                <w:sz w:val="18"/>
                <w:szCs w:val="18"/>
                <w:lang w:eastAsia="en-US"/>
              </w:rPr>
              <w:t>Who is exposed?</w:t>
            </w:r>
          </w:p>
        </w:tc>
        <w:tc>
          <w:tcPr>
            <w:tcW w:w="1221" w:type="dxa"/>
            <w:hideMark/>
          </w:tcPr>
          <w:p w14:paraId="7FC0A976" w14:textId="77777777" w:rsidR="0096178A" w:rsidRPr="00B65D57" w:rsidRDefault="0096178A" w:rsidP="00760DCC">
            <w:pPr>
              <w:spacing w:line="260" w:lineRule="atLeast"/>
              <w:rPr>
                <w:b/>
                <w:bCs/>
                <w:sz w:val="18"/>
                <w:szCs w:val="18"/>
                <w:lang w:eastAsia="en-US"/>
              </w:rPr>
            </w:pPr>
            <w:r w:rsidRPr="00B65D57">
              <w:rPr>
                <w:b/>
                <w:bCs/>
                <w:sz w:val="18"/>
                <w:szCs w:val="18"/>
                <w:lang w:eastAsia="en-US"/>
              </w:rPr>
              <w:t>Tasks, uses, processes</w:t>
            </w:r>
          </w:p>
        </w:tc>
        <w:tc>
          <w:tcPr>
            <w:tcW w:w="1633" w:type="dxa"/>
            <w:hideMark/>
          </w:tcPr>
          <w:p w14:paraId="1D320550" w14:textId="77777777" w:rsidR="0096178A" w:rsidRPr="00B65D57" w:rsidRDefault="0096178A" w:rsidP="00760DCC">
            <w:pPr>
              <w:spacing w:line="260" w:lineRule="atLeast"/>
              <w:rPr>
                <w:b/>
                <w:bCs/>
                <w:sz w:val="18"/>
                <w:szCs w:val="18"/>
                <w:lang w:eastAsia="en-US"/>
              </w:rPr>
            </w:pPr>
            <w:r w:rsidRPr="00B65D57">
              <w:rPr>
                <w:b/>
                <w:bCs/>
                <w:sz w:val="18"/>
                <w:szCs w:val="18"/>
                <w:lang w:eastAsia="en-US"/>
              </w:rPr>
              <w:t>Potential exposure route</w:t>
            </w:r>
          </w:p>
        </w:tc>
        <w:tc>
          <w:tcPr>
            <w:tcW w:w="1289" w:type="dxa"/>
            <w:hideMark/>
          </w:tcPr>
          <w:p w14:paraId="230281D7" w14:textId="77777777" w:rsidR="0096178A" w:rsidRPr="00B65D57" w:rsidRDefault="0096178A" w:rsidP="00760DCC">
            <w:pPr>
              <w:spacing w:line="260" w:lineRule="atLeast"/>
              <w:rPr>
                <w:b/>
                <w:bCs/>
                <w:sz w:val="18"/>
                <w:szCs w:val="18"/>
                <w:lang w:eastAsia="en-US"/>
              </w:rPr>
            </w:pPr>
            <w:r w:rsidRPr="00B65D57">
              <w:rPr>
                <w:b/>
                <w:bCs/>
                <w:sz w:val="18"/>
                <w:szCs w:val="18"/>
                <w:lang w:eastAsia="en-US"/>
              </w:rPr>
              <w:t>frequency and duration of potential exposure</w:t>
            </w:r>
          </w:p>
        </w:tc>
        <w:tc>
          <w:tcPr>
            <w:tcW w:w="1393" w:type="dxa"/>
            <w:hideMark/>
          </w:tcPr>
          <w:p w14:paraId="323BDC4A" w14:textId="77777777" w:rsidR="0096178A" w:rsidRPr="00B65D57" w:rsidRDefault="0096178A" w:rsidP="00760DCC">
            <w:pPr>
              <w:spacing w:line="260" w:lineRule="atLeast"/>
              <w:rPr>
                <w:b/>
                <w:bCs/>
                <w:sz w:val="18"/>
                <w:szCs w:val="18"/>
                <w:lang w:eastAsia="en-US"/>
              </w:rPr>
            </w:pPr>
            <w:r w:rsidRPr="00B65D57">
              <w:rPr>
                <w:b/>
                <w:bCs/>
                <w:sz w:val="18"/>
                <w:szCs w:val="18"/>
                <w:lang w:eastAsia="en-US"/>
              </w:rPr>
              <w:t>Relevant RMM &amp; PPE</w:t>
            </w:r>
          </w:p>
        </w:tc>
        <w:tc>
          <w:tcPr>
            <w:tcW w:w="1242" w:type="dxa"/>
            <w:hideMark/>
          </w:tcPr>
          <w:p w14:paraId="3D7ECBCA" w14:textId="77777777" w:rsidR="0096178A" w:rsidRPr="00B65D57" w:rsidRDefault="0096178A" w:rsidP="00760DCC">
            <w:pPr>
              <w:spacing w:line="260" w:lineRule="atLeast"/>
              <w:rPr>
                <w:b/>
                <w:bCs/>
                <w:sz w:val="18"/>
                <w:szCs w:val="18"/>
                <w:lang w:eastAsia="en-US"/>
              </w:rPr>
            </w:pPr>
            <w:r w:rsidRPr="00B65D57">
              <w:rPr>
                <w:b/>
                <w:bCs/>
                <w:sz w:val="18"/>
                <w:szCs w:val="18"/>
                <w:lang w:eastAsia="en-US"/>
              </w:rPr>
              <w:t>Conclusion on risk</w:t>
            </w:r>
          </w:p>
        </w:tc>
        <w:tc>
          <w:tcPr>
            <w:tcW w:w="1866" w:type="dxa"/>
            <w:hideMark/>
          </w:tcPr>
          <w:p w14:paraId="445CD41B" w14:textId="77777777" w:rsidR="0096178A" w:rsidRPr="00B65D57" w:rsidRDefault="0096178A" w:rsidP="00760DCC">
            <w:pPr>
              <w:spacing w:line="260" w:lineRule="atLeast"/>
              <w:rPr>
                <w:b/>
                <w:bCs/>
                <w:sz w:val="18"/>
                <w:szCs w:val="18"/>
                <w:lang w:eastAsia="en-US"/>
              </w:rPr>
            </w:pPr>
            <w:r w:rsidRPr="00B65D57">
              <w:rPr>
                <w:b/>
                <w:bCs/>
                <w:sz w:val="18"/>
                <w:szCs w:val="18"/>
                <w:lang w:eastAsia="en-US"/>
              </w:rPr>
              <w:t>Uncertainties attached to conclusion may increase (</w:t>
            </w:r>
            <w:r w:rsidRPr="00B65D57">
              <w:rPr>
                <w:rFonts w:ascii="Arial" w:hAnsi="Arial" w:cs="Arial"/>
                <w:b/>
                <w:bCs/>
                <w:sz w:val="18"/>
                <w:szCs w:val="18"/>
                <w:lang w:eastAsia="en-US"/>
              </w:rPr>
              <w:t>↑</w:t>
            </w:r>
            <w:r w:rsidRPr="00B65D57">
              <w:rPr>
                <w:b/>
                <w:bCs/>
                <w:sz w:val="18"/>
                <w:szCs w:val="18"/>
                <w:lang w:eastAsia="en-US"/>
              </w:rPr>
              <w:t>) or decrease (</w:t>
            </w:r>
            <w:r w:rsidRPr="00B65D57">
              <w:rPr>
                <w:rFonts w:ascii="Arial" w:hAnsi="Arial" w:cs="Arial"/>
                <w:b/>
                <w:bCs/>
                <w:sz w:val="18"/>
                <w:szCs w:val="18"/>
                <w:lang w:eastAsia="en-US"/>
              </w:rPr>
              <w:t>↓</w:t>
            </w:r>
            <w:r w:rsidRPr="00B65D57">
              <w:rPr>
                <w:b/>
                <w:bCs/>
                <w:sz w:val="18"/>
                <w:szCs w:val="18"/>
                <w:lang w:eastAsia="en-US"/>
              </w:rPr>
              <w:t>) risk or both (</w:t>
            </w:r>
            <w:r w:rsidRPr="00B65D57">
              <w:rPr>
                <w:rFonts w:ascii="Arial" w:hAnsi="Arial" w:cs="Arial"/>
                <w:b/>
                <w:bCs/>
                <w:sz w:val="18"/>
                <w:szCs w:val="18"/>
                <w:lang w:eastAsia="en-US"/>
              </w:rPr>
              <w:t>↑↓</w:t>
            </w:r>
            <w:r w:rsidRPr="00B65D57">
              <w:rPr>
                <w:b/>
                <w:bCs/>
                <w:sz w:val="18"/>
                <w:szCs w:val="18"/>
                <w:lang w:eastAsia="en-US"/>
              </w:rPr>
              <w:t>)</w:t>
            </w:r>
          </w:p>
        </w:tc>
      </w:tr>
      <w:tr w:rsidR="0096178A" w:rsidRPr="00B65D57" w14:paraId="58D971F9" w14:textId="77777777" w:rsidTr="0061686C">
        <w:trPr>
          <w:trHeight w:val="2760"/>
        </w:trPr>
        <w:tc>
          <w:tcPr>
            <w:tcW w:w="1100" w:type="dxa"/>
          </w:tcPr>
          <w:p w14:paraId="55344563"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Low </w:t>
            </w:r>
          </w:p>
        </w:tc>
        <w:tc>
          <w:tcPr>
            <w:tcW w:w="1731" w:type="dxa"/>
          </w:tcPr>
          <w:p w14:paraId="5156CF57" w14:textId="77777777" w:rsidR="0096178A" w:rsidRPr="00B65D57" w:rsidRDefault="0096178A" w:rsidP="00760DCC">
            <w:pPr>
              <w:spacing w:line="260" w:lineRule="atLeast"/>
              <w:rPr>
                <w:sz w:val="18"/>
                <w:szCs w:val="18"/>
                <w:lang w:eastAsia="en-US"/>
              </w:rPr>
            </w:pPr>
            <w:r w:rsidRPr="00B65D57">
              <w:rPr>
                <w:sz w:val="18"/>
                <w:szCs w:val="18"/>
                <w:lang w:eastAsia="en-US"/>
              </w:rPr>
              <w:t>Notified as eye irritant (H319), skin irritant (H315) and respiratory irritant (H335)</w:t>
            </w:r>
          </w:p>
          <w:p w14:paraId="0A5D176C" w14:textId="77777777" w:rsidR="0096178A" w:rsidRPr="00B65D57" w:rsidRDefault="0096178A" w:rsidP="00760DCC">
            <w:pPr>
              <w:spacing w:line="260" w:lineRule="atLeast"/>
              <w:rPr>
                <w:sz w:val="18"/>
                <w:szCs w:val="18"/>
                <w:lang w:eastAsia="en-US"/>
              </w:rPr>
            </w:pPr>
          </w:p>
          <w:p w14:paraId="30584368" w14:textId="77777777" w:rsidR="0096178A" w:rsidRPr="00B65D57" w:rsidRDefault="0096178A" w:rsidP="00760DCC">
            <w:pPr>
              <w:spacing w:line="260" w:lineRule="atLeast"/>
              <w:rPr>
                <w:sz w:val="18"/>
                <w:szCs w:val="18"/>
                <w:lang w:eastAsia="en-US"/>
              </w:rPr>
            </w:pPr>
          </w:p>
        </w:tc>
        <w:tc>
          <w:tcPr>
            <w:tcW w:w="471" w:type="dxa"/>
          </w:tcPr>
          <w:p w14:paraId="451EB6F6" w14:textId="77777777" w:rsidR="0096178A" w:rsidRPr="00B65D57" w:rsidRDefault="0096178A" w:rsidP="00760DCC">
            <w:pPr>
              <w:spacing w:line="260" w:lineRule="atLeast"/>
              <w:rPr>
                <w:sz w:val="18"/>
                <w:szCs w:val="18"/>
                <w:lang w:eastAsia="en-US"/>
              </w:rPr>
            </w:pPr>
            <w:r w:rsidRPr="00B65D57">
              <w:rPr>
                <w:sz w:val="18"/>
                <w:szCs w:val="18"/>
                <w:lang w:eastAsia="en-US"/>
              </w:rPr>
              <w:t>8</w:t>
            </w:r>
          </w:p>
        </w:tc>
        <w:tc>
          <w:tcPr>
            <w:tcW w:w="1397" w:type="dxa"/>
          </w:tcPr>
          <w:p w14:paraId="465DCE76" w14:textId="77777777" w:rsidR="0096178A" w:rsidRPr="00B65D57" w:rsidRDefault="0096178A" w:rsidP="00760DCC">
            <w:pPr>
              <w:spacing w:line="260" w:lineRule="atLeast"/>
              <w:rPr>
                <w:sz w:val="18"/>
                <w:szCs w:val="18"/>
                <w:lang w:eastAsia="en-US"/>
              </w:rPr>
            </w:pPr>
            <w:r w:rsidRPr="00B65D57">
              <w:rPr>
                <w:sz w:val="18"/>
                <w:szCs w:val="18"/>
                <w:lang w:eastAsia="en-US"/>
              </w:rPr>
              <w:t>Professionals</w:t>
            </w:r>
          </w:p>
        </w:tc>
        <w:tc>
          <w:tcPr>
            <w:tcW w:w="1221" w:type="dxa"/>
          </w:tcPr>
          <w:p w14:paraId="17C66F91"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Scenario 4: Mixing barrel - Jerbor water solution mixed with sodium bentonite </w:t>
            </w:r>
          </w:p>
        </w:tc>
        <w:tc>
          <w:tcPr>
            <w:tcW w:w="1633" w:type="dxa"/>
          </w:tcPr>
          <w:p w14:paraId="32B2DA54"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Accidental contact: Eye (powder) </w:t>
            </w:r>
          </w:p>
          <w:p w14:paraId="126E9B64" w14:textId="77777777" w:rsidR="0096178A" w:rsidRPr="00B65D57" w:rsidRDefault="0096178A" w:rsidP="00760DCC">
            <w:pPr>
              <w:spacing w:line="260" w:lineRule="atLeast"/>
              <w:rPr>
                <w:sz w:val="18"/>
                <w:szCs w:val="18"/>
                <w:lang w:eastAsia="en-US"/>
              </w:rPr>
            </w:pPr>
            <w:r w:rsidRPr="00B65D57">
              <w:rPr>
                <w:sz w:val="18"/>
                <w:szCs w:val="18"/>
                <w:lang w:eastAsia="en-US"/>
              </w:rPr>
              <w:t>Dermal</w:t>
            </w:r>
          </w:p>
          <w:p w14:paraId="384BFAC2" w14:textId="77777777" w:rsidR="0096178A" w:rsidRPr="00B65D57" w:rsidRDefault="0096178A" w:rsidP="00760DCC">
            <w:pPr>
              <w:spacing w:line="260" w:lineRule="atLeast"/>
              <w:rPr>
                <w:sz w:val="18"/>
                <w:szCs w:val="18"/>
                <w:lang w:eastAsia="en-US"/>
              </w:rPr>
            </w:pPr>
            <w:r w:rsidRPr="00B65D57">
              <w:rPr>
                <w:sz w:val="18"/>
                <w:szCs w:val="18"/>
                <w:lang w:eastAsia="en-US"/>
              </w:rPr>
              <w:t>(powder)</w:t>
            </w:r>
          </w:p>
          <w:p w14:paraId="55DFBD7E" w14:textId="77777777" w:rsidR="0096178A" w:rsidRPr="00B65D57" w:rsidRDefault="0096178A" w:rsidP="00760DCC">
            <w:pPr>
              <w:spacing w:line="260" w:lineRule="atLeast"/>
              <w:rPr>
                <w:sz w:val="18"/>
                <w:szCs w:val="18"/>
                <w:lang w:eastAsia="en-US"/>
              </w:rPr>
            </w:pPr>
            <w:r w:rsidRPr="00B65D57">
              <w:rPr>
                <w:sz w:val="18"/>
                <w:szCs w:val="18"/>
                <w:lang w:eastAsia="en-US"/>
              </w:rPr>
              <w:t>Inhalation</w:t>
            </w:r>
          </w:p>
          <w:p w14:paraId="03755C86" w14:textId="77777777" w:rsidR="0096178A" w:rsidRPr="00B65D57" w:rsidRDefault="0096178A" w:rsidP="00760DCC">
            <w:pPr>
              <w:spacing w:line="260" w:lineRule="atLeast"/>
              <w:rPr>
                <w:sz w:val="18"/>
                <w:szCs w:val="18"/>
                <w:lang w:eastAsia="en-US"/>
              </w:rPr>
            </w:pPr>
            <w:r w:rsidRPr="00B65D57">
              <w:rPr>
                <w:sz w:val="18"/>
                <w:szCs w:val="18"/>
                <w:lang w:eastAsia="en-US"/>
              </w:rPr>
              <w:t>(powder)</w:t>
            </w:r>
          </w:p>
        </w:tc>
        <w:tc>
          <w:tcPr>
            <w:tcW w:w="1289" w:type="dxa"/>
          </w:tcPr>
          <w:p w14:paraId="486B3AAD" w14:textId="77777777" w:rsidR="0096178A" w:rsidRPr="00B65D57" w:rsidRDefault="0096178A" w:rsidP="00760DCC">
            <w:pPr>
              <w:spacing w:line="260" w:lineRule="atLeast"/>
              <w:rPr>
                <w:sz w:val="18"/>
                <w:szCs w:val="18"/>
                <w:lang w:eastAsia="en-US"/>
              </w:rPr>
            </w:pPr>
            <w:r w:rsidRPr="00B65D57">
              <w:rPr>
                <w:sz w:val="18"/>
                <w:szCs w:val="18"/>
                <w:lang w:eastAsia="en-US"/>
              </w:rPr>
              <w:t xml:space="preserve">50 min/ day, 100 working days/year </w:t>
            </w:r>
          </w:p>
        </w:tc>
        <w:tc>
          <w:tcPr>
            <w:tcW w:w="1393" w:type="dxa"/>
          </w:tcPr>
          <w:p w14:paraId="54B6C8F3" w14:textId="77777777" w:rsidR="0096178A" w:rsidRPr="00B65D57" w:rsidRDefault="0096178A" w:rsidP="00760DCC">
            <w:pPr>
              <w:spacing w:line="260" w:lineRule="atLeast"/>
              <w:rPr>
                <w:sz w:val="18"/>
                <w:szCs w:val="18"/>
                <w:lang w:eastAsia="en-US"/>
              </w:rPr>
            </w:pPr>
            <w:r w:rsidRPr="00B65D57">
              <w:rPr>
                <w:sz w:val="18"/>
                <w:szCs w:val="18"/>
                <w:lang w:eastAsia="en-US"/>
              </w:rPr>
              <w:t>PPE:</w:t>
            </w:r>
            <w:r w:rsidRPr="00B65D57">
              <w:rPr>
                <w:b/>
                <w:bCs/>
                <w:sz w:val="18"/>
                <w:szCs w:val="18"/>
                <w:lang w:eastAsia="en-US"/>
              </w:rPr>
              <w:br/>
              <w:t>Protection goggles,</w:t>
            </w:r>
            <w:r w:rsidRPr="00B65D57">
              <w:rPr>
                <w:sz w:val="18"/>
                <w:szCs w:val="18"/>
                <w:lang w:eastAsia="en-US"/>
              </w:rPr>
              <w:t xml:space="preserve"> </w:t>
            </w:r>
            <w:r w:rsidRPr="00B65D57">
              <w:rPr>
                <w:b/>
                <w:bCs/>
                <w:sz w:val="18"/>
                <w:szCs w:val="18"/>
                <w:lang w:eastAsia="en-US"/>
              </w:rPr>
              <w:t>Respiratory mask with particle filter P3, Protective clothing, Protective gloves of nitrile rubber</w:t>
            </w:r>
          </w:p>
        </w:tc>
        <w:tc>
          <w:tcPr>
            <w:tcW w:w="1242" w:type="dxa"/>
          </w:tcPr>
          <w:p w14:paraId="034804C6" w14:textId="77777777" w:rsidR="0096178A" w:rsidRPr="00B65D57" w:rsidRDefault="0096178A" w:rsidP="00760DCC">
            <w:pPr>
              <w:spacing w:line="260" w:lineRule="atLeast"/>
              <w:rPr>
                <w:sz w:val="18"/>
                <w:szCs w:val="18"/>
                <w:lang w:eastAsia="en-US"/>
              </w:rPr>
            </w:pPr>
            <w:r w:rsidRPr="00B65D57">
              <w:rPr>
                <w:sz w:val="18"/>
                <w:szCs w:val="18"/>
                <w:lang w:eastAsia="en-US"/>
              </w:rPr>
              <w:t>Acceptable:      +Reversible effect     +Wearing of PPE  +Professionals  +</w:t>
            </w:r>
            <w:r w:rsidRPr="00B65D57" w:rsidDel="00EE09CC">
              <w:rPr>
                <w:sz w:val="18"/>
                <w:szCs w:val="18"/>
                <w:lang w:eastAsia="en-US"/>
              </w:rPr>
              <w:t xml:space="preserve"> </w:t>
            </w:r>
            <w:r w:rsidRPr="00B65D57">
              <w:rPr>
                <w:sz w:val="18"/>
                <w:szCs w:val="18"/>
                <w:lang w:eastAsia="en-US"/>
              </w:rPr>
              <w:t xml:space="preserve">Instructions for use </w:t>
            </w:r>
          </w:p>
        </w:tc>
        <w:tc>
          <w:tcPr>
            <w:tcW w:w="1866" w:type="dxa"/>
          </w:tcPr>
          <w:p w14:paraId="7CEBC205" w14:textId="77777777" w:rsidR="0096178A" w:rsidRPr="00B65D57" w:rsidRDefault="0096178A" w:rsidP="00760DCC">
            <w:pPr>
              <w:spacing w:line="260" w:lineRule="atLeast"/>
              <w:rPr>
                <w:sz w:val="18"/>
                <w:szCs w:val="18"/>
                <w:lang w:eastAsia="en-US"/>
              </w:rPr>
            </w:pPr>
            <w:r w:rsidRPr="00B65D57">
              <w:rPr>
                <w:sz w:val="18"/>
                <w:szCs w:val="18"/>
                <w:lang w:eastAsia="en-US"/>
              </w:rPr>
              <w:t>Adherence to instructions for use may</w:t>
            </w:r>
            <w:r w:rsidRPr="00B65D57">
              <w:rPr>
                <w:sz w:val="18"/>
                <w:szCs w:val="18"/>
                <w:lang w:eastAsia="en-US"/>
              </w:rPr>
              <w:br/>
              <w:t>vary (</w:t>
            </w:r>
            <w:r w:rsidRPr="00B65D57">
              <w:rPr>
                <w:rFonts w:ascii="Arial" w:hAnsi="Arial" w:cs="Arial"/>
                <w:sz w:val="18"/>
                <w:szCs w:val="18"/>
                <w:lang w:eastAsia="en-US"/>
              </w:rPr>
              <w:t>↑↓</w:t>
            </w:r>
            <w:r w:rsidRPr="00B65D57">
              <w:rPr>
                <w:sz w:val="18"/>
                <w:szCs w:val="18"/>
                <w:lang w:eastAsia="en-US"/>
              </w:rPr>
              <w:t>)   Frequency of use may be higher than recommended (</w:t>
            </w:r>
            <w:r w:rsidRPr="00B65D57">
              <w:rPr>
                <w:rFonts w:ascii="Arial" w:hAnsi="Arial" w:cs="Arial"/>
                <w:sz w:val="18"/>
                <w:szCs w:val="18"/>
                <w:lang w:eastAsia="en-US"/>
              </w:rPr>
              <w:t>↑</w:t>
            </w:r>
            <w:r w:rsidRPr="00B65D57">
              <w:rPr>
                <w:sz w:val="18"/>
                <w:szCs w:val="18"/>
                <w:lang w:eastAsia="en-US"/>
              </w:rPr>
              <w:t>)</w:t>
            </w:r>
          </w:p>
          <w:p w14:paraId="7B7F2C75" w14:textId="77777777" w:rsidR="0096178A" w:rsidRPr="00B65D57" w:rsidRDefault="0096178A" w:rsidP="00760DCC">
            <w:pPr>
              <w:spacing w:line="260" w:lineRule="atLeast"/>
              <w:rPr>
                <w:sz w:val="18"/>
                <w:szCs w:val="18"/>
                <w:lang w:eastAsia="en-US"/>
              </w:rPr>
            </w:pPr>
            <w:r w:rsidRPr="00B65D57">
              <w:rPr>
                <w:sz w:val="18"/>
                <w:szCs w:val="18"/>
                <w:lang w:eastAsia="en-US"/>
              </w:rPr>
              <w:t>Ventilation may vary (</w:t>
            </w:r>
            <w:r w:rsidRPr="00B65D57">
              <w:rPr>
                <w:rFonts w:ascii="Arial" w:hAnsi="Arial" w:cs="Arial"/>
                <w:sz w:val="18"/>
                <w:szCs w:val="18"/>
                <w:lang w:eastAsia="en-US"/>
              </w:rPr>
              <w:t>↑↓</w:t>
            </w:r>
            <w:r w:rsidRPr="00B65D57">
              <w:rPr>
                <w:sz w:val="18"/>
                <w:szCs w:val="18"/>
                <w:lang w:eastAsia="en-US"/>
              </w:rPr>
              <w:t xml:space="preserve">)  </w:t>
            </w:r>
          </w:p>
        </w:tc>
      </w:tr>
    </w:tbl>
    <w:p w14:paraId="0C5C39FE" w14:textId="4E63051B" w:rsidR="00DB0B2F" w:rsidRPr="00B65D57" w:rsidRDefault="00DB0B2F" w:rsidP="0061686C">
      <w:pPr>
        <w:spacing w:line="260" w:lineRule="atLeast"/>
        <w:rPr>
          <w:rFonts w:eastAsia="Calibri"/>
          <w:lang w:eastAsia="en-US"/>
        </w:rPr>
        <w:sectPr w:rsidR="00DB0B2F" w:rsidRPr="00B65D57" w:rsidSect="00DB0B2F">
          <w:endnotePr>
            <w:numFmt w:val="decimal"/>
          </w:endnotePr>
          <w:pgSz w:w="16840" w:h="11907" w:orient="landscape" w:code="9"/>
          <w:pgMar w:top="1446" w:right="1474" w:bottom="1247" w:left="2013" w:header="851" w:footer="851" w:gutter="0"/>
          <w:cols w:space="720"/>
          <w:docGrid w:linePitch="272"/>
        </w:sectPr>
      </w:pPr>
    </w:p>
    <w:p w14:paraId="244665D2" w14:textId="62DA99BA" w:rsidR="0061686C" w:rsidRPr="00B65D57" w:rsidRDefault="0061686C" w:rsidP="0061686C">
      <w:pPr>
        <w:spacing w:line="260" w:lineRule="atLeast"/>
        <w:rPr>
          <w:rFonts w:eastAsia="Calibri"/>
          <w:b/>
          <w:bCs/>
          <w:lang w:eastAsia="en-US"/>
        </w:rPr>
      </w:pPr>
      <w:bookmarkStart w:id="1594" w:name="_Toc389729091"/>
      <w:bookmarkStart w:id="1595" w:name="_Toc403472777"/>
      <w:r w:rsidRPr="00B65D57">
        <w:rPr>
          <w:rFonts w:eastAsia="Calibri"/>
          <w:b/>
          <w:bCs/>
          <w:lang w:eastAsia="en-US"/>
        </w:rPr>
        <w:lastRenderedPageBreak/>
        <w:t xml:space="preserve">Conclusion </w:t>
      </w:r>
      <w:r w:rsidR="00FB5EEA" w:rsidRPr="00B65D57">
        <w:rPr>
          <w:rFonts w:eastAsia="Calibri"/>
          <w:b/>
          <w:bCs/>
          <w:lang w:eastAsia="en-US"/>
        </w:rPr>
        <w:t>on local effects</w:t>
      </w:r>
    </w:p>
    <w:p w14:paraId="3BBCDCD7" w14:textId="77777777" w:rsidR="0061686C" w:rsidRPr="00B65D57" w:rsidRDefault="0061686C" w:rsidP="0061686C">
      <w:pPr>
        <w:rPr>
          <w:rFonts w:eastAsia="Verdana" w:cs="Verdana"/>
        </w:rPr>
      </w:pPr>
      <w:r w:rsidRPr="00B65D57">
        <w:rPr>
          <w:rFonts w:eastAsia="Verdana" w:cs="Verdana"/>
        </w:rPr>
        <w:t>The qualitative local risk assessment of Jerbor (see Table above) shows that the risk of eye irritation, from dust of granules (scenario 1 &amp; 2.1) when used by professionals is acceptable due to reversible effect and professionals wearing protective goggles and following the instructions for use. In addition, for scenario 1 LEV is used to minimise dusting.</w:t>
      </w:r>
    </w:p>
    <w:p w14:paraId="5770FCBF" w14:textId="77777777" w:rsidR="0061686C" w:rsidRPr="00B65D57" w:rsidRDefault="0061686C" w:rsidP="0061686C">
      <w:pPr>
        <w:rPr>
          <w:rFonts w:eastAsia="Verdana" w:cs="Verdana"/>
        </w:rPr>
      </w:pPr>
    </w:p>
    <w:p w14:paraId="249D00A8" w14:textId="362EFBA2" w:rsidR="0061686C" w:rsidRPr="00B65D57" w:rsidRDefault="0061686C" w:rsidP="0061686C">
      <w:pPr>
        <w:rPr>
          <w:rFonts w:eastAsia="Verdana" w:cs="Verdana"/>
        </w:rPr>
      </w:pPr>
      <w:r w:rsidRPr="00B65D57">
        <w:rPr>
          <w:rFonts w:eastAsia="Verdana" w:cs="Verdana"/>
        </w:rPr>
        <w:t>Also, when mixing sodium bentonite into the Jerbor/water solution (scenario 4), the risk of exposure to bentonite dust that could irritate the eyes, skin and respiratory tract could be considered acceptable, as this is only performed by professionals wearing appropriate PPE (protective goggles, respiratory mask with particle filter P3, protective clothing and protective gloves of nitrile rubber) and following the instructions for use.</w:t>
      </w:r>
    </w:p>
    <w:p w14:paraId="6E9DA13A" w14:textId="77777777" w:rsidR="0061686C" w:rsidRPr="00B65D57" w:rsidRDefault="0061686C" w:rsidP="00DF2F7C">
      <w:pPr>
        <w:rPr>
          <w:rFonts w:eastAsia="Calibri"/>
        </w:rPr>
      </w:pPr>
    </w:p>
    <w:p w14:paraId="452C77C0" w14:textId="3DA0F00B" w:rsidR="006E1988" w:rsidRPr="00B65D57" w:rsidRDefault="002C23EC" w:rsidP="008F4848">
      <w:pPr>
        <w:pStyle w:val="Rubrik5"/>
        <w:ind w:left="360"/>
        <w:rPr>
          <w:rFonts w:eastAsia="Calibri"/>
          <w:lang w:val="en-GB"/>
        </w:rPr>
      </w:pPr>
      <w:r w:rsidRPr="00B65D57">
        <w:rPr>
          <w:rFonts w:eastAsia="Calibri"/>
          <w:lang w:val="en-GB"/>
        </w:rPr>
        <w:t xml:space="preserve">2.2.6.3.4 </w:t>
      </w:r>
      <w:r w:rsidR="006E1988" w:rsidRPr="00B65D57">
        <w:rPr>
          <w:rFonts w:eastAsia="Calibri"/>
          <w:lang w:val="en-GB"/>
        </w:rPr>
        <w:t>Risk for non-professional users</w:t>
      </w:r>
      <w:bookmarkEnd w:id="1594"/>
      <w:bookmarkEnd w:id="1595"/>
      <w:r w:rsidR="006E1988" w:rsidRPr="00B65D57">
        <w:rPr>
          <w:rFonts w:eastAsia="Calibri"/>
          <w:lang w:val="en-GB"/>
        </w:rPr>
        <w:t xml:space="preserve"> </w:t>
      </w:r>
    </w:p>
    <w:p w14:paraId="55FADE56" w14:textId="5E45E46D" w:rsidR="006E1988" w:rsidRPr="00B65D57" w:rsidRDefault="006E1988" w:rsidP="008F4848">
      <w:pPr>
        <w:spacing w:line="260" w:lineRule="atLeast"/>
        <w:rPr>
          <w:rFonts w:eastAsia="Calibri"/>
          <w:lang w:eastAsia="en-US"/>
        </w:rPr>
      </w:pPr>
      <w:r w:rsidRPr="00B65D57">
        <w:rPr>
          <w:rFonts w:eastAsia="Calibri"/>
          <w:lang w:eastAsia="en-US"/>
        </w:rPr>
        <w:t>Not relevant since the product is only used by professionals.</w:t>
      </w:r>
    </w:p>
    <w:p w14:paraId="3A591AF7" w14:textId="77777777" w:rsidR="006E7AB2" w:rsidRPr="00B65D57" w:rsidRDefault="006E7AB2" w:rsidP="008F4848">
      <w:pPr>
        <w:spacing w:line="260" w:lineRule="atLeast"/>
        <w:rPr>
          <w:rFonts w:eastAsia="Calibri"/>
          <w:lang w:eastAsia="en-US"/>
        </w:rPr>
      </w:pPr>
    </w:p>
    <w:p w14:paraId="79FFB5DC" w14:textId="77777777" w:rsidR="004D6323" w:rsidRPr="00B65D57" w:rsidRDefault="004D6323" w:rsidP="008F4848">
      <w:pPr>
        <w:spacing w:line="260" w:lineRule="atLeast"/>
        <w:rPr>
          <w:rFonts w:eastAsia="Calibri"/>
          <w:sz w:val="22"/>
        </w:rPr>
      </w:pPr>
    </w:p>
    <w:p w14:paraId="4396C26E" w14:textId="5AF4351F" w:rsidR="006E1988" w:rsidRPr="00B65D57" w:rsidRDefault="002C23EC" w:rsidP="008F4848">
      <w:pPr>
        <w:pStyle w:val="Rubrik5"/>
        <w:ind w:left="360"/>
        <w:rPr>
          <w:rFonts w:eastAsia="Calibri"/>
          <w:lang w:val="en-GB"/>
        </w:rPr>
      </w:pPr>
      <w:bookmarkStart w:id="1596" w:name="_Toc389729092"/>
      <w:bookmarkStart w:id="1597" w:name="_Toc403472778"/>
      <w:r w:rsidRPr="00B65D57">
        <w:rPr>
          <w:rFonts w:eastAsia="Calibri"/>
          <w:lang w:val="en-GB"/>
        </w:rPr>
        <w:t xml:space="preserve">2.2.6.3.5 </w:t>
      </w:r>
      <w:r w:rsidR="006E1988" w:rsidRPr="00B65D57">
        <w:rPr>
          <w:rFonts w:eastAsia="Calibri"/>
          <w:lang w:val="en-GB"/>
        </w:rPr>
        <w:t>Risk for the general public</w:t>
      </w:r>
      <w:bookmarkEnd w:id="1596"/>
      <w:bookmarkEnd w:id="1597"/>
      <w:r w:rsidR="006E1988" w:rsidRPr="00B65D57">
        <w:rPr>
          <w:rFonts w:eastAsia="Calibri"/>
          <w:lang w:val="en-GB"/>
        </w:rPr>
        <w:t xml:space="preserve"> </w:t>
      </w:r>
    </w:p>
    <w:p w14:paraId="2BEBD398" w14:textId="09ADD976" w:rsidR="004D6323" w:rsidRPr="00B65D57" w:rsidRDefault="006E1988" w:rsidP="008F4848">
      <w:pPr>
        <w:spacing w:line="260" w:lineRule="atLeast"/>
        <w:rPr>
          <w:rFonts w:eastAsia="Calibri"/>
          <w:lang w:eastAsia="en-US"/>
        </w:rPr>
      </w:pPr>
      <w:r w:rsidRPr="00B65D57">
        <w:rPr>
          <w:rFonts w:eastAsia="Calibri"/>
          <w:lang w:eastAsia="en-US"/>
        </w:rPr>
        <w:t>Not relevant since only professionals are allowed in the working areas.</w:t>
      </w:r>
    </w:p>
    <w:p w14:paraId="112132A2" w14:textId="076C48C1" w:rsidR="004D6323" w:rsidRPr="00B65D57" w:rsidRDefault="004D6323" w:rsidP="008F4848">
      <w:pPr>
        <w:spacing w:line="260" w:lineRule="atLeast"/>
        <w:rPr>
          <w:rFonts w:eastAsia="Calibri"/>
          <w:lang w:eastAsia="en-US"/>
        </w:rPr>
      </w:pPr>
    </w:p>
    <w:p w14:paraId="602FD17A" w14:textId="77777777" w:rsidR="006E7AB2" w:rsidRPr="00B65D57" w:rsidRDefault="006E7AB2" w:rsidP="008F4848">
      <w:pPr>
        <w:spacing w:line="260" w:lineRule="atLeast"/>
        <w:rPr>
          <w:rFonts w:eastAsia="Calibri"/>
          <w:lang w:eastAsia="en-US"/>
        </w:rPr>
      </w:pPr>
    </w:p>
    <w:p w14:paraId="72FF42C0" w14:textId="48A5FCCF" w:rsidR="006E1988" w:rsidRPr="00B65D57" w:rsidRDefault="002C23EC" w:rsidP="008F4848">
      <w:pPr>
        <w:pStyle w:val="Rubrik5"/>
        <w:ind w:left="360"/>
        <w:rPr>
          <w:rFonts w:eastAsia="Calibri"/>
          <w:lang w:val="en-GB"/>
        </w:rPr>
      </w:pPr>
      <w:bookmarkStart w:id="1598" w:name="_Toc389729093"/>
      <w:bookmarkStart w:id="1599" w:name="_Toc403472779"/>
      <w:r w:rsidRPr="00B65D57">
        <w:rPr>
          <w:rFonts w:eastAsia="Calibri"/>
          <w:lang w:val="en-GB"/>
        </w:rPr>
        <w:t xml:space="preserve">2.2.6.3.6 </w:t>
      </w:r>
      <w:r w:rsidR="006E1988" w:rsidRPr="00B65D57">
        <w:rPr>
          <w:rFonts w:eastAsia="Calibri"/>
          <w:lang w:val="en-GB"/>
        </w:rPr>
        <w:t>Risk for consumers via residues in food</w:t>
      </w:r>
      <w:bookmarkEnd w:id="1598"/>
      <w:bookmarkEnd w:id="1599"/>
    </w:p>
    <w:p w14:paraId="45B0BAA2" w14:textId="40AEE111" w:rsidR="006E1988" w:rsidRPr="00B65D57" w:rsidRDefault="006E1988" w:rsidP="008F4848">
      <w:pPr>
        <w:rPr>
          <w:rFonts w:eastAsia="Calibri"/>
          <w:lang w:eastAsia="en-US"/>
        </w:rPr>
      </w:pPr>
      <w:r w:rsidRPr="00B65D57">
        <w:rPr>
          <w:rFonts w:eastAsia="Calibri"/>
          <w:lang w:eastAsia="en-US"/>
        </w:rPr>
        <w:t>Not relevant since the biocidal product should not be used in a way that results in dietary exposure.</w:t>
      </w:r>
    </w:p>
    <w:p w14:paraId="153AC1E8" w14:textId="77777777" w:rsidR="004D6323" w:rsidRPr="00B65D57" w:rsidRDefault="004D6323" w:rsidP="008F4848">
      <w:pPr>
        <w:rPr>
          <w:rFonts w:eastAsia="Calibri"/>
          <w:b/>
          <w:i/>
          <w:sz w:val="22"/>
          <w:szCs w:val="22"/>
          <w:lang w:eastAsia="en-US"/>
        </w:rPr>
      </w:pPr>
    </w:p>
    <w:p w14:paraId="0A2D906A" w14:textId="77777777" w:rsidR="004D6323" w:rsidRPr="00B65D57" w:rsidRDefault="004D6323" w:rsidP="008F4848">
      <w:pPr>
        <w:spacing w:line="260" w:lineRule="atLeast"/>
        <w:rPr>
          <w:rFonts w:eastAsia="Calibri"/>
          <w:lang w:eastAsia="en-US"/>
        </w:rPr>
      </w:pPr>
    </w:p>
    <w:p w14:paraId="49B70822" w14:textId="14D38330" w:rsidR="006E1988" w:rsidRPr="00B65D57" w:rsidRDefault="002C23EC" w:rsidP="008F4848">
      <w:pPr>
        <w:pStyle w:val="Rubrik5"/>
        <w:ind w:left="360"/>
        <w:rPr>
          <w:rFonts w:eastAsia="Calibri"/>
          <w:lang w:val="en-GB"/>
        </w:rPr>
      </w:pPr>
      <w:bookmarkStart w:id="1600" w:name="_Toc389729094"/>
      <w:bookmarkStart w:id="1601" w:name="_Toc403472780"/>
      <w:r w:rsidRPr="00B65D57">
        <w:rPr>
          <w:rFonts w:eastAsia="Calibri"/>
          <w:lang w:val="en-GB"/>
        </w:rPr>
        <w:t xml:space="preserve">2.2.6.3.7 </w:t>
      </w:r>
      <w:r w:rsidR="006E1988" w:rsidRPr="00B65D57">
        <w:rPr>
          <w:rFonts w:eastAsia="Calibri"/>
          <w:lang w:val="en-GB"/>
        </w:rPr>
        <w:t>Risk characterisation from combined exposure to several active substances or substances of concern within a biocidal product</w:t>
      </w:r>
      <w:bookmarkEnd w:id="1600"/>
      <w:bookmarkEnd w:id="1601"/>
      <w:r w:rsidR="006E1988" w:rsidRPr="00B65D57">
        <w:rPr>
          <w:rFonts w:eastAsia="Calibri"/>
          <w:lang w:val="en-GB"/>
        </w:rPr>
        <w:t xml:space="preserve"> </w:t>
      </w:r>
    </w:p>
    <w:p w14:paraId="0DBFDB2B" w14:textId="77777777" w:rsidR="006E1988" w:rsidRPr="00B65D57" w:rsidRDefault="006E1988" w:rsidP="008F4848">
      <w:pPr>
        <w:rPr>
          <w:rFonts w:eastAsia="Calibri"/>
          <w:lang w:eastAsia="en-US"/>
        </w:rPr>
      </w:pPr>
      <w:r w:rsidRPr="00B65D57">
        <w:rPr>
          <w:rFonts w:eastAsia="Calibri"/>
          <w:lang w:eastAsia="en-US"/>
        </w:rPr>
        <w:t>Not relevant since the biocidal product only contains the two active substances (boric acid and disodium tetraborate pentahydrate) and the risk is calculated for boron and the bentonite is considered inert.</w:t>
      </w:r>
    </w:p>
    <w:p w14:paraId="1447B9CB" w14:textId="77777777" w:rsidR="006E1988" w:rsidRPr="00B65D57" w:rsidRDefault="006E1988" w:rsidP="008F4848">
      <w:pPr>
        <w:rPr>
          <w:rFonts w:eastAsia="Calibri"/>
          <w:lang w:eastAsia="en-US"/>
        </w:rPr>
      </w:pPr>
    </w:p>
    <w:p w14:paraId="19E487A2" w14:textId="77777777" w:rsidR="004D6323" w:rsidRPr="00B65D57" w:rsidRDefault="004D6323" w:rsidP="008F4848">
      <w:pPr>
        <w:spacing w:line="260" w:lineRule="atLeast"/>
        <w:contextualSpacing/>
        <w:rPr>
          <w:rFonts w:eastAsia="Calibri"/>
          <w:sz w:val="22"/>
        </w:rPr>
      </w:pPr>
    </w:p>
    <w:p w14:paraId="66D89921" w14:textId="27E76531" w:rsidR="006E1988" w:rsidRPr="00B65D57" w:rsidRDefault="002C23EC" w:rsidP="008F4848">
      <w:pPr>
        <w:pStyle w:val="Rubrik5"/>
        <w:ind w:left="360"/>
        <w:rPr>
          <w:rFonts w:eastAsia="Calibri"/>
          <w:lang w:val="en-GB"/>
        </w:rPr>
      </w:pPr>
      <w:r w:rsidRPr="00B65D57">
        <w:rPr>
          <w:rFonts w:eastAsia="Calibri"/>
          <w:lang w:val="en-GB"/>
        </w:rPr>
        <w:t xml:space="preserve">2.2.6.3.8 </w:t>
      </w:r>
      <w:r w:rsidR="006E1988" w:rsidRPr="00B65D57">
        <w:rPr>
          <w:rFonts w:eastAsia="Calibri"/>
          <w:lang w:val="en-GB"/>
        </w:rPr>
        <w:t xml:space="preserve">Summary </w:t>
      </w:r>
      <w:r w:rsidR="006E7AB2" w:rsidRPr="00B65D57">
        <w:rPr>
          <w:rFonts w:eastAsia="Calibri"/>
          <w:lang w:val="en-GB"/>
        </w:rPr>
        <w:t>r</w:t>
      </w:r>
      <w:r w:rsidR="006E1988" w:rsidRPr="00B65D57">
        <w:rPr>
          <w:rFonts w:eastAsia="Calibri"/>
          <w:lang w:val="en-GB"/>
        </w:rPr>
        <w:t>isk assessment for human health</w:t>
      </w:r>
    </w:p>
    <w:p w14:paraId="1E777549" w14:textId="77777777" w:rsidR="006E1988" w:rsidRPr="00B65D57" w:rsidRDefault="006E1988" w:rsidP="008F4848">
      <w:pPr>
        <w:spacing w:line="260" w:lineRule="atLeast"/>
        <w:contextualSpacing/>
        <w:rPr>
          <w:rFonts w:eastAsia="Verdana" w:cs="Verdana"/>
        </w:rPr>
      </w:pPr>
      <w:r w:rsidRPr="00B65D57">
        <w:rPr>
          <w:rFonts w:eastAsia="Verdana" w:cs="Verdana"/>
        </w:rPr>
        <w:t>The risk is acceptable during production, mixing/loading, application, cleaning and maintenance/repair if the following risk mitigating measures are applied:</w:t>
      </w:r>
    </w:p>
    <w:p w14:paraId="67DB3361" w14:textId="77777777" w:rsidR="006E1988" w:rsidRPr="00B65D57" w:rsidRDefault="006E1988" w:rsidP="008F4848">
      <w:pPr>
        <w:spacing w:line="260" w:lineRule="atLeast"/>
        <w:contextualSpacing/>
        <w:rPr>
          <w:rFonts w:eastAsia="Verdana" w:cs="Verdana"/>
        </w:rPr>
      </w:pPr>
    </w:p>
    <w:p w14:paraId="5F4F037A" w14:textId="77777777" w:rsidR="006E1988" w:rsidRPr="00B65D57" w:rsidRDefault="006E1988" w:rsidP="008F4848">
      <w:pPr>
        <w:spacing w:line="260" w:lineRule="atLeast"/>
        <w:contextualSpacing/>
        <w:rPr>
          <w:rFonts w:eastAsia="Verdana" w:cs="Verdana"/>
          <w:u w:val="single"/>
        </w:rPr>
      </w:pPr>
      <w:r w:rsidRPr="00B65D57">
        <w:rPr>
          <w:rFonts w:eastAsia="Verdana" w:cs="Verdana"/>
          <w:u w:val="single"/>
        </w:rPr>
        <w:t>Production (scenario 1):</w:t>
      </w:r>
    </w:p>
    <w:p w14:paraId="75454718" w14:textId="77777777" w:rsidR="006E1988" w:rsidRPr="00B65D57" w:rsidRDefault="006E1988" w:rsidP="008F4848">
      <w:pPr>
        <w:spacing w:line="260" w:lineRule="atLeast"/>
        <w:contextualSpacing/>
        <w:rPr>
          <w:rFonts w:eastAsia="Verdana" w:cs="Verdana"/>
        </w:rPr>
      </w:pPr>
      <w:r w:rsidRPr="00B65D57">
        <w:rPr>
          <w:rFonts w:eastAsia="Verdana" w:cs="Verdana"/>
        </w:rPr>
        <w:t>The packages with the active substances should be opened under a ventilated hood (LEV).</w:t>
      </w:r>
    </w:p>
    <w:p w14:paraId="7DC55382" w14:textId="77777777" w:rsidR="006E1988" w:rsidRPr="00B65D57" w:rsidRDefault="006E1988" w:rsidP="008F4848">
      <w:pPr>
        <w:pStyle w:val="pf0"/>
        <w:rPr>
          <w:rFonts w:ascii="Verdana" w:eastAsia="Verdana" w:hAnsi="Verdana" w:cs="Verdana"/>
          <w:sz w:val="20"/>
          <w:szCs w:val="20"/>
          <w:lang w:val="en-GB" w:eastAsia="de-DE"/>
        </w:rPr>
      </w:pPr>
      <w:r w:rsidRPr="00B65D57">
        <w:rPr>
          <w:rFonts w:ascii="Verdana" w:eastAsia="Verdana" w:hAnsi="Verdana" w:cs="Verdana"/>
          <w:sz w:val="20"/>
          <w:szCs w:val="20"/>
          <w:lang w:val="en-GB" w:eastAsia="de-DE"/>
        </w:rPr>
        <w:t>Use of respiratory protective equipment (RPE) with particle filter P3 is mandatory (filter type (code letter, colour) to be specified by the authorisation holder within the product information).</w:t>
      </w:r>
    </w:p>
    <w:p w14:paraId="1621A2BB" w14:textId="45182467" w:rsidR="006E1988" w:rsidRPr="00B65D57" w:rsidRDefault="006E1988" w:rsidP="008F4848">
      <w:pPr>
        <w:spacing w:line="260" w:lineRule="atLeast"/>
        <w:contextualSpacing/>
        <w:rPr>
          <w:rFonts w:eastAsia="Verdana" w:cs="Verdana"/>
        </w:rPr>
      </w:pPr>
      <w:r w:rsidRPr="00B65D57">
        <w:rPr>
          <w:rFonts w:eastAsia="Verdana" w:cs="Verdana"/>
        </w:rPr>
        <w:t xml:space="preserve">Wear a protective coverall [type 6, EN 13034]. </w:t>
      </w:r>
    </w:p>
    <w:p w14:paraId="236CA731" w14:textId="77777777" w:rsidR="006E1988" w:rsidRPr="00B65D57" w:rsidRDefault="006E1988" w:rsidP="008F4848">
      <w:pPr>
        <w:spacing w:line="260" w:lineRule="atLeast"/>
        <w:contextualSpacing/>
        <w:rPr>
          <w:rFonts w:eastAsia="Verdana" w:cs="Verdana"/>
        </w:rPr>
      </w:pPr>
    </w:p>
    <w:p w14:paraId="1A56D2AD" w14:textId="77777777" w:rsidR="006E1988" w:rsidRPr="00B65D57" w:rsidRDefault="006E1988" w:rsidP="008F4848">
      <w:pPr>
        <w:spacing w:line="260" w:lineRule="atLeast"/>
        <w:contextualSpacing/>
        <w:rPr>
          <w:rFonts w:eastAsia="Verdana" w:cs="Verdana"/>
        </w:rPr>
      </w:pPr>
      <w:r w:rsidRPr="00B65D57">
        <w:rPr>
          <w:rFonts w:eastAsia="Verdana" w:cs="Verdana"/>
        </w:rPr>
        <w:lastRenderedPageBreak/>
        <w:t>Wear protective chemical resistant gloves during production (glove material to be specified by the authorisation holder within the product information).</w:t>
      </w:r>
    </w:p>
    <w:p w14:paraId="0FDD0274" w14:textId="77777777" w:rsidR="006E1988" w:rsidRPr="00B65D57" w:rsidRDefault="006E1988" w:rsidP="008F4848">
      <w:pPr>
        <w:spacing w:line="260" w:lineRule="atLeast"/>
        <w:contextualSpacing/>
        <w:rPr>
          <w:rFonts w:eastAsia="Verdana" w:cs="Verdana"/>
        </w:rPr>
      </w:pPr>
    </w:p>
    <w:p w14:paraId="2CB3DA2F" w14:textId="77777777" w:rsidR="006E1988" w:rsidRPr="00B65D57" w:rsidRDefault="006E1988" w:rsidP="008F4848">
      <w:pPr>
        <w:spacing w:line="260" w:lineRule="atLeast"/>
        <w:contextualSpacing/>
        <w:rPr>
          <w:rFonts w:eastAsia="Verdana" w:cs="Verdana"/>
        </w:rPr>
      </w:pPr>
      <w:r w:rsidRPr="00B65D57">
        <w:rPr>
          <w:rFonts w:eastAsia="Verdana" w:cs="Verdana"/>
        </w:rPr>
        <w:t xml:space="preserve">The use of eye protection during production of Jerbor is mandatory.  </w:t>
      </w:r>
    </w:p>
    <w:p w14:paraId="0AC5FFD7" w14:textId="77777777" w:rsidR="006E1988" w:rsidRPr="00B65D57" w:rsidRDefault="006E1988" w:rsidP="008F4848">
      <w:pPr>
        <w:spacing w:line="260" w:lineRule="atLeast"/>
        <w:contextualSpacing/>
        <w:rPr>
          <w:rFonts w:eastAsia="Verdana" w:cs="Verdana"/>
        </w:rPr>
      </w:pPr>
    </w:p>
    <w:p w14:paraId="68F48883" w14:textId="77777777" w:rsidR="006E1988" w:rsidRPr="00B65D57" w:rsidRDefault="006E1988" w:rsidP="008F4848">
      <w:pPr>
        <w:spacing w:line="260" w:lineRule="atLeast"/>
        <w:contextualSpacing/>
        <w:rPr>
          <w:rFonts w:eastAsia="Verdana" w:cs="Verdana"/>
          <w:u w:val="single"/>
        </w:rPr>
      </w:pPr>
      <w:r w:rsidRPr="00B65D57">
        <w:rPr>
          <w:rFonts w:eastAsia="Verdana" w:cs="Verdana"/>
          <w:u w:val="single"/>
        </w:rPr>
        <w:t>Mixing/loading (scenario 2-5):</w:t>
      </w:r>
    </w:p>
    <w:p w14:paraId="0825E648" w14:textId="77777777" w:rsidR="006E1988" w:rsidRPr="00B65D57" w:rsidRDefault="006E1988" w:rsidP="008F4848">
      <w:pPr>
        <w:pStyle w:val="pf0"/>
        <w:rPr>
          <w:rFonts w:ascii="Verdana" w:eastAsia="Verdana" w:hAnsi="Verdana" w:cs="Verdana"/>
          <w:sz w:val="20"/>
          <w:szCs w:val="20"/>
          <w:lang w:val="en-GB" w:eastAsia="de-DE"/>
        </w:rPr>
      </w:pPr>
      <w:r w:rsidRPr="00B65D57">
        <w:rPr>
          <w:rFonts w:ascii="Verdana" w:eastAsia="Verdana" w:hAnsi="Verdana" w:cs="Verdana"/>
          <w:sz w:val="20"/>
          <w:szCs w:val="20"/>
          <w:lang w:val="en-GB" w:eastAsia="de-DE"/>
        </w:rPr>
        <w:t>Use of respiratory protective equipment (RPE) with particle filter P3 is mandatory (filter type (code letter, colour) to be specified by the authorisation holder within the product information).</w:t>
      </w:r>
    </w:p>
    <w:p w14:paraId="30FFFFB8" w14:textId="6DE48F23" w:rsidR="006E1988" w:rsidRPr="00B65D57" w:rsidRDefault="006E1988" w:rsidP="008F4848">
      <w:pPr>
        <w:spacing w:line="260" w:lineRule="atLeast"/>
        <w:contextualSpacing/>
        <w:rPr>
          <w:rFonts w:eastAsia="Verdana" w:cs="Verdana"/>
        </w:rPr>
      </w:pPr>
      <w:r w:rsidRPr="00B65D57">
        <w:rPr>
          <w:rFonts w:eastAsia="Verdana" w:cs="Verdana"/>
        </w:rPr>
        <w:t xml:space="preserve">Wear a protective coverall [type 6, EN 13034]. </w:t>
      </w:r>
    </w:p>
    <w:p w14:paraId="68020C16" w14:textId="77777777" w:rsidR="006E1988" w:rsidRPr="00B65D57" w:rsidRDefault="006E1988" w:rsidP="008F4848">
      <w:pPr>
        <w:spacing w:line="260" w:lineRule="atLeast"/>
        <w:contextualSpacing/>
        <w:rPr>
          <w:rFonts w:eastAsia="Verdana" w:cs="Verdana"/>
        </w:rPr>
      </w:pPr>
    </w:p>
    <w:p w14:paraId="31968474" w14:textId="77777777" w:rsidR="006E1988" w:rsidRPr="00B65D57" w:rsidRDefault="006E1988" w:rsidP="008F4848">
      <w:pPr>
        <w:spacing w:line="260" w:lineRule="atLeast"/>
        <w:contextualSpacing/>
        <w:rPr>
          <w:rFonts w:eastAsia="Verdana" w:cs="Verdana"/>
        </w:rPr>
      </w:pPr>
      <w:r w:rsidRPr="00B65D57">
        <w:rPr>
          <w:rFonts w:eastAsia="Verdana" w:cs="Verdana"/>
        </w:rPr>
        <w:t>Wear protective chemical resistant gloves during mixing/loading of the product (glove material to be specified by the authorisation holder within the product information).</w:t>
      </w:r>
    </w:p>
    <w:p w14:paraId="76643585" w14:textId="77777777" w:rsidR="006E1988" w:rsidRPr="00B65D57" w:rsidRDefault="006E1988" w:rsidP="008F4848">
      <w:pPr>
        <w:spacing w:line="260" w:lineRule="atLeast"/>
        <w:contextualSpacing/>
        <w:rPr>
          <w:rFonts w:eastAsia="Verdana" w:cs="Verdana"/>
        </w:rPr>
      </w:pPr>
    </w:p>
    <w:p w14:paraId="7D663848" w14:textId="77777777" w:rsidR="006E1988" w:rsidRPr="00B65D57" w:rsidRDefault="006E1988" w:rsidP="008F4848">
      <w:pPr>
        <w:spacing w:line="260" w:lineRule="atLeast"/>
        <w:contextualSpacing/>
        <w:rPr>
          <w:rFonts w:eastAsia="Verdana" w:cs="Verdana"/>
        </w:rPr>
      </w:pPr>
      <w:r w:rsidRPr="00B65D57">
        <w:rPr>
          <w:rFonts w:eastAsia="Verdana" w:cs="Verdana"/>
        </w:rPr>
        <w:t xml:space="preserve">The use of eye protection during mixing/loading is mandatory.  </w:t>
      </w:r>
    </w:p>
    <w:p w14:paraId="558A23DB" w14:textId="77777777" w:rsidR="006E1988" w:rsidRPr="00B65D57" w:rsidRDefault="006E1988" w:rsidP="008F4848">
      <w:pPr>
        <w:spacing w:line="260" w:lineRule="atLeast"/>
        <w:contextualSpacing/>
        <w:rPr>
          <w:rFonts w:eastAsia="Verdana" w:cs="Verdana"/>
        </w:rPr>
      </w:pPr>
    </w:p>
    <w:p w14:paraId="2F8E7295" w14:textId="77777777" w:rsidR="006E1988" w:rsidRPr="00B65D57" w:rsidRDefault="006E1988" w:rsidP="008F4848">
      <w:pPr>
        <w:spacing w:line="260" w:lineRule="atLeast"/>
        <w:contextualSpacing/>
        <w:rPr>
          <w:rFonts w:eastAsia="Verdana" w:cs="Verdana"/>
          <w:u w:val="single"/>
        </w:rPr>
      </w:pPr>
      <w:r w:rsidRPr="00B65D57">
        <w:rPr>
          <w:rFonts w:eastAsia="Verdana" w:cs="Verdana"/>
          <w:u w:val="single"/>
        </w:rPr>
        <w:t>Application (scenario 6):</w:t>
      </w:r>
    </w:p>
    <w:p w14:paraId="06CE98CC" w14:textId="4DD7F2BA" w:rsidR="006E1988" w:rsidRPr="00B65D57" w:rsidRDefault="006E1988" w:rsidP="008F4848">
      <w:pPr>
        <w:spacing w:line="260" w:lineRule="atLeast"/>
        <w:contextualSpacing/>
        <w:rPr>
          <w:rFonts w:eastAsia="Verdana" w:cs="Verdana"/>
        </w:rPr>
      </w:pPr>
      <w:r w:rsidRPr="00B65D57">
        <w:rPr>
          <w:rFonts w:eastAsia="Verdana" w:cs="Verdana"/>
        </w:rPr>
        <w:t xml:space="preserve">Application </w:t>
      </w:r>
      <w:r w:rsidR="009B2557" w:rsidRPr="00B65D57">
        <w:rPr>
          <w:rFonts w:eastAsia="Verdana" w:cs="Verdana"/>
        </w:rPr>
        <w:t>must</w:t>
      </w:r>
      <w:r w:rsidRPr="00B65D57">
        <w:rPr>
          <w:rFonts w:eastAsia="Verdana" w:cs="Verdana"/>
        </w:rPr>
        <w:t xml:space="preserve"> be done </w:t>
      </w:r>
      <w:r w:rsidR="009B2557" w:rsidRPr="00B65D57">
        <w:rPr>
          <w:rFonts w:eastAsia="Verdana" w:cs="Verdana"/>
        </w:rPr>
        <w:t>via</w:t>
      </w:r>
      <w:r w:rsidRPr="00B65D57">
        <w:rPr>
          <w:rFonts w:eastAsia="Verdana" w:cs="Verdana"/>
        </w:rPr>
        <w:t xml:space="preserve"> a closed system.</w:t>
      </w:r>
    </w:p>
    <w:p w14:paraId="3EC87558" w14:textId="77777777" w:rsidR="006E1988" w:rsidRPr="00B65D57" w:rsidRDefault="006E1988" w:rsidP="008F4848">
      <w:pPr>
        <w:spacing w:line="260" w:lineRule="atLeast"/>
        <w:contextualSpacing/>
        <w:rPr>
          <w:rFonts w:eastAsia="Verdana" w:cs="Verdana"/>
        </w:rPr>
      </w:pPr>
    </w:p>
    <w:p w14:paraId="2B4A8364" w14:textId="485CC414" w:rsidR="006E1988" w:rsidRPr="00B65D57" w:rsidRDefault="006E1988" w:rsidP="008F4848">
      <w:pPr>
        <w:spacing w:line="260" w:lineRule="atLeast"/>
        <w:contextualSpacing/>
        <w:rPr>
          <w:rFonts w:eastAsia="Verdana" w:cs="Verdana"/>
        </w:rPr>
      </w:pPr>
      <w:r w:rsidRPr="00B65D57">
        <w:rPr>
          <w:rFonts w:eastAsia="Verdana" w:cs="Verdana"/>
        </w:rPr>
        <w:t xml:space="preserve">Wear a protective coverall [type 6, EN 13034]. </w:t>
      </w:r>
    </w:p>
    <w:p w14:paraId="649F65AC" w14:textId="77777777" w:rsidR="006E1988" w:rsidRPr="00B65D57" w:rsidRDefault="006E1988" w:rsidP="008F4848">
      <w:pPr>
        <w:spacing w:line="260" w:lineRule="atLeast"/>
        <w:contextualSpacing/>
        <w:rPr>
          <w:rFonts w:eastAsia="Verdana" w:cs="Verdana"/>
        </w:rPr>
      </w:pPr>
    </w:p>
    <w:p w14:paraId="520C693A" w14:textId="77777777" w:rsidR="006E1988" w:rsidRPr="00B65D57" w:rsidRDefault="006E1988" w:rsidP="008F4848">
      <w:pPr>
        <w:spacing w:line="260" w:lineRule="atLeast"/>
        <w:contextualSpacing/>
        <w:rPr>
          <w:rFonts w:eastAsia="Verdana" w:cs="Verdana"/>
        </w:rPr>
      </w:pPr>
      <w:r w:rsidRPr="00B65D57">
        <w:rPr>
          <w:rFonts w:eastAsia="Verdana" w:cs="Verdana"/>
        </w:rPr>
        <w:t>Wear protective chemical resistant gloves during application of the product (glove material to be specified by the authorisation holder within the product information).</w:t>
      </w:r>
    </w:p>
    <w:p w14:paraId="412DA592" w14:textId="77777777" w:rsidR="006E1988" w:rsidRPr="00B65D57" w:rsidRDefault="006E1988" w:rsidP="008F4848">
      <w:pPr>
        <w:spacing w:line="260" w:lineRule="atLeast"/>
        <w:contextualSpacing/>
        <w:rPr>
          <w:rFonts w:eastAsia="Verdana" w:cs="Verdana"/>
        </w:rPr>
      </w:pPr>
    </w:p>
    <w:p w14:paraId="0F35A12B" w14:textId="77777777" w:rsidR="006E1988" w:rsidRPr="00B65D57" w:rsidRDefault="006E1988" w:rsidP="008F4848">
      <w:pPr>
        <w:spacing w:line="260" w:lineRule="atLeast"/>
        <w:rPr>
          <w:rFonts w:eastAsia="Verdana" w:cs="Verdana"/>
          <w:u w:val="single"/>
        </w:rPr>
      </w:pPr>
      <w:r w:rsidRPr="00B65D57">
        <w:rPr>
          <w:rFonts w:eastAsia="Verdana" w:cs="Verdana"/>
          <w:u w:val="single"/>
        </w:rPr>
        <w:t>Cleaning (scenario 7-8):</w:t>
      </w:r>
    </w:p>
    <w:p w14:paraId="17749AE8" w14:textId="54DD7F0E" w:rsidR="006E1988" w:rsidRPr="00B65D57" w:rsidRDefault="006E1988" w:rsidP="008F4848">
      <w:pPr>
        <w:spacing w:line="260" w:lineRule="atLeast"/>
        <w:contextualSpacing/>
        <w:rPr>
          <w:rFonts w:eastAsia="Verdana" w:cs="Verdana"/>
        </w:rPr>
      </w:pPr>
      <w:r w:rsidRPr="00B65D57">
        <w:rPr>
          <w:rFonts w:eastAsia="Verdana" w:cs="Verdana"/>
        </w:rPr>
        <w:t xml:space="preserve">Wear a protective coverall [type 6, EN 13034]. </w:t>
      </w:r>
    </w:p>
    <w:p w14:paraId="6F67772B" w14:textId="77777777" w:rsidR="006E1988" w:rsidRPr="00B65D57" w:rsidRDefault="006E1988" w:rsidP="008F4848">
      <w:pPr>
        <w:spacing w:line="260" w:lineRule="atLeast"/>
        <w:contextualSpacing/>
        <w:rPr>
          <w:rFonts w:eastAsia="Verdana" w:cs="Verdana"/>
        </w:rPr>
      </w:pPr>
    </w:p>
    <w:p w14:paraId="6F5391FF" w14:textId="506011F4" w:rsidR="006E1988" w:rsidRPr="00B65D57" w:rsidRDefault="006E1988" w:rsidP="008F4848">
      <w:pPr>
        <w:spacing w:line="260" w:lineRule="atLeast"/>
        <w:contextualSpacing/>
        <w:rPr>
          <w:rFonts w:eastAsia="Verdana" w:cs="Verdana"/>
        </w:rPr>
      </w:pPr>
      <w:r w:rsidRPr="00B65D57">
        <w:rPr>
          <w:rFonts w:eastAsia="Verdana" w:cs="Verdana"/>
        </w:rPr>
        <w:t xml:space="preserve">Wear protective chemical resistant gloves during cleaning of the </w:t>
      </w:r>
      <w:r w:rsidR="00E87A4C" w:rsidRPr="00B65D57">
        <w:rPr>
          <w:rFonts w:eastAsia="Verdana" w:cs="Verdana"/>
        </w:rPr>
        <w:t>equipmentequipment</w:t>
      </w:r>
      <w:r w:rsidRPr="00B65D57">
        <w:rPr>
          <w:rFonts w:eastAsia="Verdana" w:cs="Verdana"/>
        </w:rPr>
        <w:t xml:space="preserve"> (glove material to be specified by the authorisation holder within the product information).</w:t>
      </w:r>
    </w:p>
    <w:p w14:paraId="7414DAB2" w14:textId="77777777" w:rsidR="006E1988" w:rsidRPr="00B65D57" w:rsidRDefault="006E1988" w:rsidP="008F4848">
      <w:pPr>
        <w:spacing w:line="260" w:lineRule="atLeast"/>
        <w:contextualSpacing/>
        <w:rPr>
          <w:rFonts w:eastAsia="Verdana" w:cs="Verdana"/>
        </w:rPr>
      </w:pPr>
    </w:p>
    <w:p w14:paraId="5F16D0A1" w14:textId="77777777" w:rsidR="006E1988" w:rsidRPr="00B65D57" w:rsidRDefault="006E1988" w:rsidP="008F4848">
      <w:pPr>
        <w:spacing w:line="260" w:lineRule="atLeast"/>
        <w:contextualSpacing/>
        <w:rPr>
          <w:rFonts w:eastAsia="Verdana" w:cs="Verdana"/>
        </w:rPr>
      </w:pPr>
      <w:r w:rsidRPr="00B65D57">
        <w:rPr>
          <w:rFonts w:eastAsia="Verdana" w:cs="Verdana"/>
        </w:rPr>
        <w:t xml:space="preserve">The use of eye protection during cleaning of the equipment is mandatory.  </w:t>
      </w:r>
    </w:p>
    <w:p w14:paraId="094E94F9" w14:textId="77777777" w:rsidR="006E1988" w:rsidRPr="00B65D57" w:rsidRDefault="006E1988" w:rsidP="008F4848">
      <w:pPr>
        <w:spacing w:line="260" w:lineRule="atLeast"/>
        <w:rPr>
          <w:rFonts w:eastAsia="Verdana" w:cs="Verdana"/>
        </w:rPr>
      </w:pPr>
    </w:p>
    <w:p w14:paraId="26B5B7D3" w14:textId="77777777" w:rsidR="006E1988" w:rsidRPr="00B65D57" w:rsidRDefault="006E1988" w:rsidP="008F4848">
      <w:pPr>
        <w:spacing w:line="260" w:lineRule="atLeast"/>
        <w:rPr>
          <w:rFonts w:eastAsia="Verdana" w:cs="Verdana"/>
          <w:u w:val="single"/>
        </w:rPr>
      </w:pPr>
      <w:r w:rsidRPr="00B65D57">
        <w:rPr>
          <w:rFonts w:eastAsia="Verdana" w:cs="Verdana"/>
          <w:u w:val="single"/>
        </w:rPr>
        <w:t>Maintenance/repair (scenario 9):</w:t>
      </w:r>
    </w:p>
    <w:p w14:paraId="2459E94E" w14:textId="6D547385" w:rsidR="006E1988" w:rsidRPr="00B65D57" w:rsidRDefault="006E1988" w:rsidP="008F4848">
      <w:pPr>
        <w:spacing w:line="260" w:lineRule="atLeast"/>
        <w:contextualSpacing/>
        <w:rPr>
          <w:rFonts w:eastAsia="Verdana" w:cs="Verdana"/>
        </w:rPr>
      </w:pPr>
      <w:r w:rsidRPr="00B65D57">
        <w:rPr>
          <w:rFonts w:eastAsia="Verdana" w:cs="Verdana"/>
        </w:rPr>
        <w:t xml:space="preserve">Wear a protective coverall [type 6, EN 13034]. </w:t>
      </w:r>
    </w:p>
    <w:p w14:paraId="28580C09" w14:textId="77777777" w:rsidR="006E1988" w:rsidRPr="00B65D57" w:rsidRDefault="006E1988" w:rsidP="008F4848">
      <w:pPr>
        <w:spacing w:line="260" w:lineRule="atLeast"/>
        <w:contextualSpacing/>
        <w:rPr>
          <w:rFonts w:eastAsia="Verdana" w:cs="Verdana"/>
        </w:rPr>
      </w:pPr>
    </w:p>
    <w:p w14:paraId="54D27FAC" w14:textId="44B22A70" w:rsidR="006E1988" w:rsidRPr="00B65D57" w:rsidRDefault="006E1988" w:rsidP="008F4848">
      <w:pPr>
        <w:spacing w:line="260" w:lineRule="atLeast"/>
        <w:contextualSpacing/>
        <w:rPr>
          <w:rFonts w:eastAsia="Verdana" w:cs="Verdana"/>
        </w:rPr>
      </w:pPr>
      <w:r w:rsidRPr="00B65D57">
        <w:rPr>
          <w:rFonts w:eastAsia="Verdana" w:cs="Verdana"/>
        </w:rPr>
        <w:t xml:space="preserve">Wear protective chemical resistant gloves during cleaning of the </w:t>
      </w:r>
      <w:r w:rsidR="004C72AB" w:rsidRPr="00B65D57">
        <w:rPr>
          <w:rFonts w:eastAsia="Verdana" w:cs="Verdana"/>
        </w:rPr>
        <w:t>equipment</w:t>
      </w:r>
      <w:r w:rsidRPr="00B65D57">
        <w:rPr>
          <w:rFonts w:eastAsia="Verdana" w:cs="Verdana"/>
        </w:rPr>
        <w:t xml:space="preserve"> (glove material to be specified by the authorisation holder within the product information).</w:t>
      </w:r>
    </w:p>
    <w:p w14:paraId="2A78D17D" w14:textId="77777777" w:rsidR="006E1988" w:rsidRPr="00B65D57" w:rsidRDefault="006E1988" w:rsidP="008F4848">
      <w:pPr>
        <w:spacing w:line="260" w:lineRule="atLeast"/>
        <w:contextualSpacing/>
        <w:rPr>
          <w:rFonts w:eastAsia="Verdana" w:cs="Verdana"/>
        </w:rPr>
      </w:pPr>
    </w:p>
    <w:p w14:paraId="78096061" w14:textId="77777777" w:rsidR="006E1988" w:rsidRPr="00B65D57" w:rsidRDefault="006E1988" w:rsidP="008F4848">
      <w:pPr>
        <w:spacing w:line="260" w:lineRule="atLeast"/>
        <w:contextualSpacing/>
        <w:rPr>
          <w:rFonts w:eastAsia="Verdana" w:cs="Verdana"/>
        </w:rPr>
      </w:pPr>
      <w:r w:rsidRPr="00B65D57">
        <w:rPr>
          <w:rFonts w:eastAsia="Verdana" w:cs="Verdana"/>
        </w:rPr>
        <w:t xml:space="preserve">The use of eye protection during cleaning of the equipment is mandatory.  </w:t>
      </w:r>
    </w:p>
    <w:p w14:paraId="0CD97F53" w14:textId="77777777" w:rsidR="004D6323" w:rsidRPr="00B65D57" w:rsidRDefault="004D6323" w:rsidP="008F4848">
      <w:pPr>
        <w:spacing w:line="260" w:lineRule="atLeast"/>
        <w:rPr>
          <w:rFonts w:ascii="Times New Roman" w:eastAsia="Calibri" w:hAnsi="Times New Roman"/>
          <w:iCs/>
          <w:lang w:eastAsia="en-US"/>
        </w:rPr>
      </w:pPr>
    </w:p>
    <w:p w14:paraId="5E5C16A2" w14:textId="0B1A550B" w:rsidR="00FD2055" w:rsidRPr="00B65D57" w:rsidRDefault="002C23EC" w:rsidP="00223981">
      <w:pPr>
        <w:pStyle w:val="Rubrik3"/>
        <w:rPr>
          <w:lang w:val="en-GB"/>
        </w:rPr>
      </w:pPr>
      <w:bookmarkStart w:id="1602" w:name="_Toc388285322"/>
      <w:bookmarkStart w:id="1603" w:name="_Toc389726249"/>
      <w:bookmarkStart w:id="1604" w:name="_Toc389727301"/>
      <w:bookmarkStart w:id="1605" w:name="_Toc389727659"/>
      <w:bookmarkStart w:id="1606" w:name="_Toc389728018"/>
      <w:bookmarkStart w:id="1607" w:name="_Toc389728377"/>
      <w:bookmarkStart w:id="1608" w:name="_Toc389728737"/>
      <w:bookmarkStart w:id="1609" w:name="_Toc389729095"/>
      <w:bookmarkStart w:id="1610" w:name="_Toc389729096"/>
      <w:bookmarkStart w:id="1611" w:name="_Toc403472781"/>
      <w:bookmarkStart w:id="1612" w:name="_Toc403566578"/>
      <w:bookmarkStart w:id="1613" w:name="_Toc129689601"/>
      <w:bookmarkEnd w:id="1602"/>
      <w:bookmarkEnd w:id="1603"/>
      <w:bookmarkEnd w:id="1604"/>
      <w:bookmarkEnd w:id="1605"/>
      <w:bookmarkEnd w:id="1606"/>
      <w:bookmarkEnd w:id="1607"/>
      <w:bookmarkEnd w:id="1608"/>
      <w:bookmarkEnd w:id="1609"/>
      <w:r w:rsidRPr="00B65D57">
        <w:rPr>
          <w:lang w:val="en-GB"/>
        </w:rPr>
        <w:t xml:space="preserve">2.2.7 </w:t>
      </w:r>
      <w:r w:rsidR="00FD2055" w:rsidRPr="00B65D57">
        <w:rPr>
          <w:lang w:val="en-GB"/>
        </w:rPr>
        <w:t>Risk assessment for animal health</w:t>
      </w:r>
      <w:bookmarkEnd w:id="1610"/>
      <w:bookmarkEnd w:id="1611"/>
      <w:bookmarkEnd w:id="1612"/>
      <w:bookmarkEnd w:id="1613"/>
    </w:p>
    <w:p w14:paraId="01C9357D" w14:textId="77777777" w:rsidR="006E1988" w:rsidRPr="00B65D57" w:rsidRDefault="006E1988" w:rsidP="008F4848">
      <w:pPr>
        <w:spacing w:line="260" w:lineRule="atLeast"/>
        <w:rPr>
          <w:rFonts w:eastAsia="Calibri"/>
          <w:lang w:eastAsia="en-US"/>
        </w:rPr>
      </w:pPr>
      <w:r w:rsidRPr="00B65D57">
        <w:rPr>
          <w:rFonts w:eastAsia="Calibri"/>
          <w:lang w:eastAsia="en-US"/>
        </w:rPr>
        <w:t xml:space="preserve">Not relevant since the treatment with Jerbor will not take place in the vicinity of animals.  </w:t>
      </w:r>
    </w:p>
    <w:p w14:paraId="5EB1C856" w14:textId="77777777" w:rsidR="00FD2055" w:rsidRPr="00B65D57" w:rsidRDefault="00FD2055" w:rsidP="008F4848">
      <w:pPr>
        <w:spacing w:line="260" w:lineRule="atLeast"/>
        <w:rPr>
          <w:rFonts w:ascii="Times New Roman" w:eastAsia="Calibri" w:hAnsi="Times New Roman"/>
          <w:i/>
          <w:iCs/>
          <w:lang w:eastAsia="en-US"/>
        </w:rPr>
      </w:pPr>
    </w:p>
    <w:p w14:paraId="655F6BAC" w14:textId="17019E91" w:rsidR="00FD2055" w:rsidRPr="00B65D57" w:rsidRDefault="002C23EC" w:rsidP="00223981">
      <w:pPr>
        <w:pStyle w:val="Rubrik3"/>
        <w:rPr>
          <w:lang w:val="en-GB"/>
        </w:rPr>
      </w:pPr>
      <w:bookmarkStart w:id="1614" w:name="_Toc389729097"/>
      <w:bookmarkStart w:id="1615" w:name="_Toc403472782"/>
      <w:bookmarkStart w:id="1616" w:name="_Toc403566579"/>
      <w:bookmarkStart w:id="1617" w:name="_Toc129689602"/>
      <w:r w:rsidRPr="00B65D57">
        <w:rPr>
          <w:lang w:val="en-GB"/>
        </w:rPr>
        <w:lastRenderedPageBreak/>
        <w:t xml:space="preserve">2.2.8 </w:t>
      </w:r>
      <w:r w:rsidR="00FD2055" w:rsidRPr="00B65D57">
        <w:rPr>
          <w:lang w:val="en-GB"/>
        </w:rPr>
        <w:t>Risk assessment for the environment</w:t>
      </w:r>
      <w:bookmarkEnd w:id="1614"/>
      <w:bookmarkEnd w:id="1615"/>
      <w:bookmarkEnd w:id="1616"/>
      <w:bookmarkEnd w:id="1617"/>
    </w:p>
    <w:p w14:paraId="629560F0" w14:textId="77777777" w:rsidR="009E404F" w:rsidRPr="00B65D57" w:rsidRDefault="009E404F" w:rsidP="008F4848">
      <w:pPr>
        <w:spacing w:after="240" w:line="276" w:lineRule="auto"/>
      </w:pPr>
      <w:bookmarkStart w:id="1618" w:name="_Hlk108092280"/>
      <w:r w:rsidRPr="00B65D57">
        <w:t xml:space="preserve">All naturally occurring forms of boron are oxidised and are present as the boric acid species at the concentrations and acidities typically found in the environment. For practical reasons boric acid and other boron species present in different environmental media are usually expressed on the basis of boron (B). </w:t>
      </w:r>
    </w:p>
    <w:p w14:paraId="17B4B706" w14:textId="77777777" w:rsidR="009E404F" w:rsidRPr="00B65D57" w:rsidRDefault="009E404F" w:rsidP="008F4848">
      <w:pPr>
        <w:spacing w:after="240" w:line="276" w:lineRule="auto"/>
      </w:pPr>
      <w:r w:rsidRPr="00B65D57">
        <w:t xml:space="preserve">Boron is a naturally occurring element that is essential to a variety of organisms. Boron concentrations in freshwater systems rarely exceed 1.0 mg B/L and are usually &lt;0.1 mg B/L. A recent review of European monitoring data report ranges of &lt;0.001 to 7.5 mg B/L, the mean 95-percentile concentration over 15 European countries ranges from 0.017 mg B/L in the United Kingdom to 0.632 mg B/L in Germany. Oceans have a natural level of boron of about 5 mg/L. </w:t>
      </w:r>
    </w:p>
    <w:p w14:paraId="0ADE20DF" w14:textId="77777777" w:rsidR="009E404F" w:rsidRPr="00B65D57" w:rsidRDefault="009E404F" w:rsidP="008F4848">
      <w:pPr>
        <w:spacing w:after="240" w:line="276" w:lineRule="auto"/>
      </w:pPr>
      <w:r w:rsidRPr="00B65D57">
        <w:t>Boron concentrations in soil are highly variable with ranges between 4 to 200 mg/kg. Boron occurs mostly as an unavailable</w:t>
      </w:r>
      <w:r w:rsidRPr="00B65D57">
        <w:rPr>
          <w:i/>
          <w:iCs/>
        </w:rPr>
        <w:t xml:space="preserve"> </w:t>
      </w:r>
      <w:r w:rsidRPr="00B65D57">
        <w:t xml:space="preserve">earth mineral tourmaline and its usual levels are 45-124 mg/kg dwt, based on observations in the United States. </w:t>
      </w:r>
    </w:p>
    <w:p w14:paraId="069FCDA0" w14:textId="77777777" w:rsidR="009E404F" w:rsidRPr="00B65D57" w:rsidRDefault="009E404F" w:rsidP="008F4848">
      <w:pPr>
        <w:spacing w:after="240" w:line="276" w:lineRule="auto"/>
      </w:pPr>
      <w:r w:rsidRPr="00B65D57">
        <w:t>Boron levels in European groundwater range for Italy and Spain from 0.5 to 1.5 mg/L (mean boron concentrations); up to approximately 0.6 mg boron/L in the Netherlands and the United Kingdom, and levels in approximately 90% of samples in Denmark, France, and Germany were found to be below 0.3, 0.3, and 0.1 mg boron/L respectively (all data in the paragraph above are from the final CAR (2008) for boric acid).</w:t>
      </w:r>
    </w:p>
    <w:p w14:paraId="3BA038F5" w14:textId="77777777" w:rsidR="009E404F" w:rsidRPr="00B65D57" w:rsidRDefault="009E404F" w:rsidP="008F4848">
      <w:pPr>
        <w:spacing w:after="240" w:line="276" w:lineRule="auto"/>
      </w:pPr>
      <w:r w:rsidRPr="00B65D57">
        <w:t>Since boron species are inorganic substances, they are not degraded in the environment. Concerning data on their distribution in the environment as well as their effects on biota, the applicant refers to the final CARs (2008) and assessment reports for the relevant boron species.</w:t>
      </w:r>
    </w:p>
    <w:p w14:paraId="0CB5F3F0" w14:textId="5C78881F" w:rsidR="009E404F" w:rsidRPr="00B65D57" w:rsidRDefault="009E404F" w:rsidP="008F4848">
      <w:pPr>
        <w:spacing w:after="240" w:line="276" w:lineRule="auto"/>
        <w:jc w:val="both"/>
        <w:rPr>
          <w:rFonts w:eastAsia="Calibri"/>
          <w:iCs/>
          <w:lang w:eastAsia="en-US"/>
        </w:rPr>
      </w:pPr>
      <w:r w:rsidRPr="00B65D57">
        <w:t>No new studies regarding the effects on non-target species of the active substances have been submitted with this application. However, data from a number of monitoring (field) studies and updated PEC-modelling regarding the fate and behaviour in the environment of the boric acid have been submitted. They are summarised in section 2.2.8.1.8. Moreover, a long-term monitoring study (Bandh, 2020) has been performed, and is submitted with the Jerbor product application.</w:t>
      </w:r>
    </w:p>
    <w:p w14:paraId="3B5BE500" w14:textId="77777777" w:rsidR="009E404F" w:rsidRPr="00B65D57" w:rsidRDefault="009E404F" w:rsidP="008F4848">
      <w:pPr>
        <w:spacing w:line="276" w:lineRule="auto"/>
      </w:pPr>
      <w:r w:rsidRPr="00B65D57">
        <w:rPr>
          <w:rFonts w:eastAsia="Verdana" w:cs="Verdana"/>
          <w:b/>
          <w:bCs/>
        </w:rPr>
        <w:t>Disclaimer:</w:t>
      </w:r>
      <w:r w:rsidRPr="00B65D57">
        <w:rPr>
          <w:rFonts w:eastAsia="Verdana" w:cs="Verdana"/>
        </w:rPr>
        <w:t xml:space="preserve"> Jerbor with borax pentahydrate is chemically identical with Jerbor with borax decahydrate regarding:</w:t>
      </w:r>
    </w:p>
    <w:p w14:paraId="4F6D0E49" w14:textId="77777777" w:rsidR="009E404F" w:rsidRPr="00B65D57" w:rsidRDefault="009E404F" w:rsidP="008F4848">
      <w:pPr>
        <w:spacing w:line="276" w:lineRule="auto"/>
        <w:ind w:left="360"/>
        <w:rPr>
          <w:rFonts w:eastAsia="Verdana" w:cs="Verdana"/>
        </w:rPr>
      </w:pPr>
      <w:r w:rsidRPr="00B65D57">
        <w:t>water solution i.e. dissolution in the preparation phase, and</w:t>
      </w:r>
    </w:p>
    <w:p w14:paraId="25C9E5D5" w14:textId="77777777" w:rsidR="009E404F" w:rsidRPr="00B65D57" w:rsidRDefault="009E404F" w:rsidP="008F4848">
      <w:pPr>
        <w:spacing w:line="276" w:lineRule="auto"/>
        <w:ind w:left="360"/>
        <w:rPr>
          <w:rFonts w:eastAsia="Verdana" w:cs="Verdana"/>
        </w:rPr>
      </w:pPr>
      <w:r w:rsidRPr="00B65D57">
        <w:t xml:space="preserve">in mixture with the additive, sodium bentonite </w:t>
      </w:r>
    </w:p>
    <w:p w14:paraId="4D82D1A7" w14:textId="77777777" w:rsidR="009E404F" w:rsidRPr="00B65D57" w:rsidRDefault="009E404F" w:rsidP="008F4848">
      <w:pPr>
        <w:spacing w:line="276" w:lineRule="auto"/>
      </w:pPr>
      <w:r w:rsidRPr="00B65D57">
        <w:rPr>
          <w:rFonts w:eastAsia="Verdana" w:cs="Verdana"/>
        </w:rPr>
        <w:t>The differentiation in water of formation for pentahydrate with 5 H</w:t>
      </w:r>
      <w:r w:rsidRPr="00B65D57">
        <w:rPr>
          <w:rFonts w:eastAsia="Verdana" w:cs="Verdana"/>
          <w:vertAlign w:val="subscript"/>
        </w:rPr>
        <w:t>2</w:t>
      </w:r>
      <w:r w:rsidRPr="00B65D57">
        <w:rPr>
          <w:rFonts w:eastAsia="Verdana" w:cs="Verdana"/>
        </w:rPr>
        <w:t>O compared to 10 H</w:t>
      </w:r>
      <w:r w:rsidRPr="00B65D57">
        <w:rPr>
          <w:rFonts w:eastAsia="Verdana" w:cs="Verdana"/>
          <w:vertAlign w:val="subscript"/>
        </w:rPr>
        <w:t>2</w:t>
      </w:r>
      <w:r w:rsidRPr="00B65D57">
        <w:rPr>
          <w:rFonts w:eastAsia="Verdana" w:cs="Verdana"/>
        </w:rPr>
        <w:t>O for decahydrate do not impact the chemistry of the tetraborate ion other than water content and dilution factor. Regardless, the active substance in application phase is characterized as concentration of boron (B) or boric acid (</w:t>
      </w:r>
      <w:r w:rsidRPr="00B65D57">
        <w:t>BAE – Boric Acid Equivalent)</w:t>
      </w:r>
      <w:r w:rsidRPr="00B65D57">
        <w:rPr>
          <w:rFonts w:eastAsia="Verdana" w:cs="Verdana"/>
        </w:rPr>
        <w:t xml:space="preserve"> depending on the method of analysis and it does not affect the function or efficacy. The active substance concentrations are presented in the report tables in both boron (B) and boric acid (BAE) equivalents. </w:t>
      </w:r>
    </w:p>
    <w:p w14:paraId="2EB1D321" w14:textId="77777777" w:rsidR="009E404F" w:rsidRPr="00B65D57" w:rsidRDefault="009E404F" w:rsidP="008F4848">
      <w:pPr>
        <w:pStyle w:val="Absatz"/>
        <w:spacing w:line="276" w:lineRule="auto"/>
        <w:ind w:left="0"/>
      </w:pPr>
    </w:p>
    <w:p w14:paraId="76FD5C32" w14:textId="77777777" w:rsidR="009E404F" w:rsidRPr="00B65D57" w:rsidRDefault="009E404F" w:rsidP="008F4848">
      <w:pPr>
        <w:spacing w:line="276" w:lineRule="auto"/>
      </w:pPr>
      <w:r w:rsidRPr="00B65D57">
        <w:rPr>
          <w:rFonts w:eastAsia="Calibri"/>
          <w:lang w:eastAsia="en-US"/>
        </w:rPr>
        <w:lastRenderedPageBreak/>
        <w:t xml:space="preserve">Jerbor is a fungicide used in remedial/curative in-situ treatment of supporting foundations (wooden piles and grillages) located in dense clay underneath buildings. The product contains the active substances boric acid (orthoboric acid) at 53.7% w/w, and Disodium tetraborate pentahydrate at 46.3% w/w. Jerbor is mixed with water and sodium bentonite to get a treatment solution/slurry which in daily speech is called Eurobor. </w:t>
      </w:r>
      <w:r w:rsidRPr="00B65D57">
        <w:t>The treatment solution contains 70.4% water and 20% bentonite. The concentration of the active substances in the final solution of the product is 9.6% BAE (Boric Acid Equivalent) w/w. The estimated dose is between 5 -12 kg BAE/m</w:t>
      </w:r>
      <w:r w:rsidRPr="00B65D57">
        <w:rPr>
          <w:vertAlign w:val="superscript"/>
        </w:rPr>
        <w:t>3</w:t>
      </w:r>
      <w:r w:rsidRPr="00B65D57">
        <w:t xml:space="preserve"> but the applied dose is determined during injection. Normally the applied dose is consistent with the estimated dose for a complete treatment but will differ somewhat within different parts of the foundation.</w:t>
      </w:r>
    </w:p>
    <w:p w14:paraId="70C6E7BE" w14:textId="77777777" w:rsidR="009E404F" w:rsidRPr="00B65D57" w:rsidRDefault="009E404F" w:rsidP="009E404F">
      <w:pPr>
        <w:spacing w:line="276" w:lineRule="auto"/>
      </w:pPr>
    </w:p>
    <w:p w14:paraId="19B54E59" w14:textId="77777777" w:rsidR="009E404F" w:rsidRPr="00B65D57" w:rsidRDefault="009E404F" w:rsidP="009E404F">
      <w:pPr>
        <w:spacing w:line="276" w:lineRule="auto"/>
      </w:pPr>
      <w:r w:rsidRPr="00B65D57">
        <w:rPr>
          <w:rFonts w:eastAsia="Calibri"/>
          <w:lang w:eastAsia="en-US"/>
        </w:rPr>
        <w:t xml:space="preserve">The treatment solution is applied by injection and is pumped through closed systems into small cavities surrounding the supporting foundations whereupon borates penetrate the wood. The surplus of borates constitutes a depot which maintains the protection of the wood for many years. Highly swelling sodium bentonite regulates the release of borates from the depot and seals the treatment zone (Bandh and Theorin, 2011a). Application is made once. Use of Jerbor is strictly limited to professionals trained according to </w:t>
      </w:r>
      <w:r w:rsidRPr="00B65D57">
        <w:t xml:space="preserve">Manual Euroborbehandling (manual of Eurobor technique, </w:t>
      </w:r>
      <w:r w:rsidRPr="00B65D57">
        <w:rPr>
          <w:rFonts w:eastAsia="Calibri"/>
          <w:noProof/>
          <w:lang w:eastAsia="en-US"/>
        </w:rPr>
        <w:t>Bandh 2022</w:t>
      </w:r>
      <w:r w:rsidRPr="00B65D57">
        <w:t>)</w:t>
      </w:r>
      <w:r w:rsidRPr="00B65D57">
        <w:rPr>
          <w:rFonts w:eastAsia="Calibri"/>
          <w:lang w:eastAsia="en-US"/>
        </w:rPr>
        <w:t>.</w:t>
      </w:r>
      <w:r w:rsidRPr="00B65D57">
        <w:t xml:space="preserve"> </w:t>
      </w:r>
    </w:p>
    <w:p w14:paraId="5B8B7C94" w14:textId="77777777" w:rsidR="009E404F" w:rsidRPr="00B65D57" w:rsidRDefault="009E404F" w:rsidP="009E404F">
      <w:pPr>
        <w:spacing w:line="276" w:lineRule="auto"/>
      </w:pPr>
    </w:p>
    <w:p w14:paraId="11372837" w14:textId="77777777" w:rsidR="009E404F" w:rsidRPr="00B65D57" w:rsidRDefault="009E404F" w:rsidP="009E404F">
      <w:pPr>
        <w:spacing w:line="260" w:lineRule="atLeast"/>
      </w:pPr>
    </w:p>
    <w:p w14:paraId="0C0E6F6B" w14:textId="77777777" w:rsidR="009E404F" w:rsidRPr="00B65D57" w:rsidRDefault="009E404F" w:rsidP="009E404F">
      <w:pPr>
        <w:spacing w:line="260" w:lineRule="atLeast"/>
        <w:rPr>
          <w:rFonts w:eastAsia="Calibri"/>
          <w:b/>
          <w:bCs/>
          <w:lang w:eastAsia="en-US"/>
        </w:rPr>
      </w:pPr>
      <w:bookmarkStart w:id="1619" w:name="_Toc339984750"/>
      <w:r w:rsidRPr="00B65D57">
        <w:rPr>
          <w:b/>
          <w:bCs/>
          <w:sz w:val="24"/>
          <w:szCs w:val="24"/>
        </w:rPr>
        <w:t>Description of the treatment area and prerequisites for treatment</w:t>
      </w:r>
      <w:bookmarkEnd w:id="1619"/>
    </w:p>
    <w:p w14:paraId="20D52082" w14:textId="77777777" w:rsidR="009E404F" w:rsidRPr="00B65D57" w:rsidRDefault="009E404F" w:rsidP="009E404F">
      <w:pPr>
        <w:spacing w:line="276" w:lineRule="auto"/>
      </w:pPr>
    </w:p>
    <w:p w14:paraId="2B4CDD64" w14:textId="42B7DD36" w:rsidR="009E404F" w:rsidRPr="00B65D57" w:rsidRDefault="009E404F" w:rsidP="009E404F">
      <w:pPr>
        <w:spacing w:after="240" w:line="276" w:lineRule="auto"/>
        <w:rPr>
          <w:rFonts w:eastAsia="Calibri"/>
        </w:rPr>
      </w:pPr>
      <w:r w:rsidRPr="00B65D57">
        <w:rPr>
          <w:rFonts w:eastAsia="Calibri"/>
          <w:lang w:eastAsia="en-US"/>
        </w:rPr>
        <w:t>Jerbor controls decay by wood</w:t>
      </w:r>
      <w:r w:rsidR="00262777" w:rsidRPr="00B65D57">
        <w:rPr>
          <w:rFonts w:eastAsia="Calibri"/>
          <w:lang w:eastAsia="en-US"/>
        </w:rPr>
        <w:t>-</w:t>
      </w:r>
      <w:r w:rsidRPr="00B65D57">
        <w:rPr>
          <w:rFonts w:eastAsia="Calibri"/>
          <w:lang w:eastAsia="en-US"/>
        </w:rPr>
        <w:t xml:space="preserve">rotting fungi in supporting foundations. Only buildings with proper geotechnical conditions may be subject to treatment. Treatment is only performed on foundations surrounded by dense clay </w:t>
      </w:r>
      <w:r w:rsidRPr="00B65D57">
        <w:t xml:space="preserve">both vertically and horizontally. The clay is of marine origin and the thickness of the layer of clay below the building must be at least 2 m but is usually more than 10 m. Naturally deposited clays have in general low permeability and the hydraulic conductivity for such clay is very low. The hydraulic conductivity (also called coefficient of permeability) of a soil or clay is a measure of soil ability to transmit water when submitted to a hydraulic gradient. Also, re-filled clays can be expected to show relatively low permeability but the disturbed structure of such clays generally makes them more permeable than the naturally deposited ones. It can be mentioned that clays are often used as geological barriers under landfills. </w:t>
      </w:r>
    </w:p>
    <w:p w14:paraId="0EBECF15" w14:textId="3FA751F8" w:rsidR="00212A3A" w:rsidRPr="00B65D57" w:rsidRDefault="009E404F" w:rsidP="0014683A">
      <w:pPr>
        <w:spacing w:after="240" w:line="276" w:lineRule="auto"/>
      </w:pPr>
      <w:r w:rsidRPr="00B65D57">
        <w:t xml:space="preserve">Treatment is only done after an investigation has been performed showing that treatment can be done without risks for dispersion/transport of the product from the treatment area to the surrounding environment for example through transport in storm water drainage/systems. There are a number of prerequisites that must be fulfilled in order for the treatment to be effective. The most important among these is, as mentioned above, that the treatment area is </w:t>
      </w:r>
      <w:r w:rsidRPr="00B65D57">
        <w:rPr>
          <w:i/>
          <w:iCs/>
        </w:rPr>
        <w:t>submerged in dense clay soils.</w:t>
      </w:r>
      <w:r w:rsidRPr="00B65D57">
        <w:t xml:space="preserve"> If there are reasons to suspect that the clay is not naturally deposited, an assessment of the risks of dispersion/transport must be made in order to be able to determine whether a treatment can be made or not. If the soil type and/or the layer of filling material around the shafts made for the foundation are too permeable then treatment will not be performed. Also, the groundwater below the building should be a </w:t>
      </w:r>
      <w:r w:rsidRPr="00B65D57">
        <w:rPr>
          <w:i/>
          <w:iCs/>
        </w:rPr>
        <w:t>separate aquifer</w:t>
      </w:r>
      <w:r w:rsidRPr="00B65D57">
        <w:t xml:space="preserve"> in order to reduce the risk for dispersion/transport. If the point of water discharge (outlet/drainage system shaft) in connection to the foundation is considered to be too low in relation to the treatment zone </w:t>
      </w:r>
      <w:r w:rsidRPr="00B65D57">
        <w:lastRenderedPageBreak/>
        <w:t xml:space="preserve">(at least 0.5 m above the lower (deeper) end of the foundation wall), </w:t>
      </w:r>
      <w:r w:rsidRPr="00B65D57">
        <w:rPr>
          <w:iCs/>
        </w:rPr>
        <w:t>sealing measures and other precautions are made before the treatment</w:t>
      </w:r>
      <w:r w:rsidRPr="00B65D57">
        <w:t xml:space="preserve"> (Bandh, 2022).</w:t>
      </w:r>
      <w:bookmarkStart w:id="1620" w:name="_Toc108703022"/>
      <w:bookmarkStart w:id="1621" w:name="_Toc377651043"/>
      <w:bookmarkStart w:id="1622" w:name="_Toc389729098"/>
      <w:bookmarkStart w:id="1623" w:name="_Toc403472783"/>
      <w:bookmarkStart w:id="1624" w:name="_Toc403566580"/>
      <w:bookmarkStart w:id="1625" w:name="_Toc103243641"/>
      <w:bookmarkEnd w:id="1620"/>
    </w:p>
    <w:p w14:paraId="11006DA4" w14:textId="0C4947DF" w:rsidR="0014683A" w:rsidRPr="00B65D57" w:rsidRDefault="002C23EC" w:rsidP="00223981">
      <w:pPr>
        <w:pStyle w:val="Rubrik3"/>
        <w:rPr>
          <w:sz w:val="20"/>
          <w:lang w:val="en-GB"/>
        </w:rPr>
      </w:pPr>
      <w:bookmarkStart w:id="1626" w:name="_Toc129689603"/>
      <w:r w:rsidRPr="00B65D57">
        <w:rPr>
          <w:lang w:val="en-GB"/>
        </w:rPr>
        <w:t xml:space="preserve">2.2.8.1 </w:t>
      </w:r>
      <w:r w:rsidR="0014683A" w:rsidRPr="00B65D57">
        <w:rPr>
          <w:lang w:val="en-GB"/>
        </w:rPr>
        <w:t>Effects assessment on the environment</w:t>
      </w:r>
      <w:bookmarkEnd w:id="1626"/>
    </w:p>
    <w:bookmarkEnd w:id="1621"/>
    <w:bookmarkEnd w:id="1622"/>
    <w:bookmarkEnd w:id="1623"/>
    <w:bookmarkEnd w:id="1624"/>
    <w:bookmarkEnd w:id="1625"/>
    <w:p w14:paraId="04F34CDD" w14:textId="77777777" w:rsidR="009E404F" w:rsidRPr="00B65D57" w:rsidRDefault="009E404F" w:rsidP="009E404F">
      <w:pPr>
        <w:spacing w:after="120" w:line="276" w:lineRule="auto"/>
        <w:rPr>
          <w:b/>
          <w:bCs/>
        </w:rPr>
      </w:pPr>
      <w:r w:rsidRPr="00B65D57">
        <w:rPr>
          <w:b/>
          <w:bCs/>
        </w:rPr>
        <w:t>Background concentration of boron in marine clay and groundwater</w:t>
      </w:r>
    </w:p>
    <w:p w14:paraId="04D85FFA" w14:textId="77777777" w:rsidR="009E404F" w:rsidRPr="00B65D57" w:rsidRDefault="009E404F" w:rsidP="009E404F">
      <w:pPr>
        <w:spacing w:after="240" w:line="276" w:lineRule="auto"/>
      </w:pPr>
      <w:r w:rsidRPr="00B65D57">
        <w:t xml:space="preserve">background concentration of boron in marine clay from different areas of the world varies considerably and values between 150 to 7400 mg BAE/kg have been reported (review in Theorin, 2011a). Results from recently performed analyses on marine clay from Gothenburg and Uppsala in Sweden showed boron concentrations between 300 and 770 mg BAE/kg (Theorin, 2011a). </w:t>
      </w:r>
    </w:p>
    <w:p w14:paraId="7BE6BB4E" w14:textId="77777777" w:rsidR="009E404F" w:rsidRPr="00B65D57" w:rsidRDefault="009E404F" w:rsidP="009E404F">
      <w:pPr>
        <w:spacing w:after="240" w:line="276" w:lineRule="auto"/>
      </w:pPr>
      <w:r w:rsidRPr="00B65D57">
        <w:t>The water turnover in a treatment area with marine clay can normally be expected to be low since the clay has low permeability and therefore also low infiltration. Rainwater can also be expected to be diverted in shallow porous soil to nearest drainage structure as cable shafts or surface water/storm water systems. Since the buildings in question are situated in central parts of urban areas they are often surrounded by hard surfaces where the major part of the rainwater is transported to sewers (Vickman and Bandh, 2011).</w:t>
      </w:r>
    </w:p>
    <w:p w14:paraId="5DAC9619" w14:textId="24A68928" w:rsidR="009E404F" w:rsidRPr="00B65D57" w:rsidRDefault="009E404F" w:rsidP="009E404F">
      <w:pPr>
        <w:spacing w:after="240" w:line="276" w:lineRule="auto"/>
      </w:pPr>
      <w:r w:rsidRPr="00B65D57">
        <w:t xml:space="preserve">Due to human activities like leakage of contaminated </w:t>
      </w:r>
      <w:r w:rsidR="0074104D" w:rsidRPr="00B65D57">
        <w:t>wastewater</w:t>
      </w:r>
      <w:r w:rsidRPr="00B65D57">
        <w:t xml:space="preserve"> and the location of these urban regions in areas under the marine shoreline</w:t>
      </w:r>
      <w:r w:rsidRPr="00B65D57">
        <w:rPr>
          <w:rStyle w:val="Fotnotsreferens"/>
          <w:sz w:val="20"/>
          <w:vertAlign w:val="superscript"/>
        </w:rPr>
        <w:footnoteReference w:id="2"/>
      </w:r>
      <w:r w:rsidRPr="00B65D57">
        <w:t>, the occurrence of boron in groundwaters is considerably higher than in other areas. In order to establish the background concentration of boron in this kind of environment, samples of urban groundwater have been collected at a number of locations in four of the Nordic countries (Vickman and Nilsson, 2011). In Sweden, samples were collected in Gothenburg, Stockholm and Uppsala and the results are displayed in the table below.</w:t>
      </w:r>
    </w:p>
    <w:p w14:paraId="4107132D" w14:textId="77777777" w:rsidR="009E404F" w:rsidRPr="00B65D57" w:rsidRDefault="009E404F" w:rsidP="009E404F">
      <w:pPr>
        <w:spacing w:before="240" w:after="120" w:line="276" w:lineRule="auto"/>
        <w:rPr>
          <w:bCs/>
        </w:rPr>
      </w:pPr>
      <w:r w:rsidRPr="00B65D57">
        <w:rPr>
          <w:bCs/>
        </w:rPr>
        <w:t>Background concentrations of boron in urban groundwater in Sweden</w:t>
      </w:r>
    </w:p>
    <w:tbl>
      <w:tblPr>
        <w:tblStyle w:val="Tabellrutnt"/>
        <w:tblW w:w="0" w:type="auto"/>
        <w:tblInd w:w="113" w:type="dxa"/>
        <w:tblLook w:val="04A0" w:firstRow="1" w:lastRow="0" w:firstColumn="1" w:lastColumn="0" w:noHBand="0" w:noVBand="1"/>
      </w:tblPr>
      <w:tblGrid>
        <w:gridCol w:w="3369"/>
        <w:gridCol w:w="1650"/>
        <w:gridCol w:w="1701"/>
        <w:gridCol w:w="1559"/>
      </w:tblGrid>
      <w:tr w:rsidR="009E404F" w:rsidRPr="00B65D57" w14:paraId="22306C3E" w14:textId="77777777" w:rsidTr="00DE498C">
        <w:tc>
          <w:tcPr>
            <w:tcW w:w="3369" w:type="dxa"/>
            <w:vAlign w:val="center"/>
          </w:tcPr>
          <w:p w14:paraId="477773DF" w14:textId="77777777" w:rsidR="009E404F" w:rsidRPr="00B65D57" w:rsidRDefault="009E404F" w:rsidP="00DE498C">
            <w:pPr>
              <w:spacing w:before="120" w:after="120" w:line="276" w:lineRule="auto"/>
              <w:jc w:val="center"/>
              <w:rPr>
                <w:b/>
              </w:rPr>
            </w:pPr>
          </w:p>
        </w:tc>
        <w:tc>
          <w:tcPr>
            <w:tcW w:w="1650" w:type="dxa"/>
            <w:vAlign w:val="center"/>
          </w:tcPr>
          <w:p w14:paraId="4CA519A3" w14:textId="77777777" w:rsidR="009E404F" w:rsidRPr="00B65D57" w:rsidRDefault="009E404F" w:rsidP="00DE498C">
            <w:pPr>
              <w:spacing w:before="120" w:after="120" w:line="276" w:lineRule="auto"/>
              <w:jc w:val="center"/>
              <w:rPr>
                <w:bCs/>
              </w:rPr>
            </w:pPr>
            <w:r w:rsidRPr="00B65D57">
              <w:rPr>
                <w:bCs/>
              </w:rPr>
              <w:t>Gothenburg</w:t>
            </w:r>
          </w:p>
        </w:tc>
        <w:tc>
          <w:tcPr>
            <w:tcW w:w="1701" w:type="dxa"/>
            <w:vAlign w:val="center"/>
          </w:tcPr>
          <w:p w14:paraId="74D56411" w14:textId="77777777" w:rsidR="009E404F" w:rsidRPr="00B65D57" w:rsidRDefault="009E404F" w:rsidP="00DE498C">
            <w:pPr>
              <w:spacing w:before="120" w:after="120" w:line="276" w:lineRule="auto"/>
              <w:jc w:val="center"/>
              <w:rPr>
                <w:bCs/>
              </w:rPr>
            </w:pPr>
            <w:r w:rsidRPr="00B65D57">
              <w:rPr>
                <w:bCs/>
              </w:rPr>
              <w:t>Stockholm</w:t>
            </w:r>
          </w:p>
        </w:tc>
        <w:tc>
          <w:tcPr>
            <w:tcW w:w="1559" w:type="dxa"/>
            <w:vAlign w:val="center"/>
          </w:tcPr>
          <w:p w14:paraId="396CE8EC" w14:textId="77777777" w:rsidR="009E404F" w:rsidRPr="00B65D57" w:rsidRDefault="009E404F" w:rsidP="00DE498C">
            <w:pPr>
              <w:spacing w:before="120" w:after="120" w:line="276" w:lineRule="auto"/>
              <w:jc w:val="center"/>
              <w:rPr>
                <w:bCs/>
              </w:rPr>
            </w:pPr>
            <w:r w:rsidRPr="00B65D57">
              <w:rPr>
                <w:bCs/>
              </w:rPr>
              <w:t>Uppsala</w:t>
            </w:r>
          </w:p>
        </w:tc>
      </w:tr>
      <w:tr w:rsidR="009E404F" w:rsidRPr="00B65D57" w14:paraId="33CC963C" w14:textId="77777777" w:rsidTr="00DE498C">
        <w:tc>
          <w:tcPr>
            <w:tcW w:w="3369" w:type="dxa"/>
            <w:vAlign w:val="center"/>
          </w:tcPr>
          <w:p w14:paraId="36B55D71" w14:textId="77777777" w:rsidR="009E404F" w:rsidRPr="00B65D57" w:rsidRDefault="009E404F" w:rsidP="00DE498C">
            <w:pPr>
              <w:spacing w:before="40" w:after="40" w:line="276" w:lineRule="auto"/>
              <w:ind w:left="-57" w:right="-57"/>
              <w:rPr>
                <w:bCs/>
              </w:rPr>
            </w:pPr>
            <w:r w:rsidRPr="00B65D57">
              <w:rPr>
                <w:bCs/>
              </w:rPr>
              <w:t>Number of samples</w:t>
            </w:r>
          </w:p>
        </w:tc>
        <w:tc>
          <w:tcPr>
            <w:tcW w:w="1650" w:type="dxa"/>
            <w:vAlign w:val="center"/>
          </w:tcPr>
          <w:p w14:paraId="66CE8680" w14:textId="77777777" w:rsidR="009E404F" w:rsidRPr="00B65D57" w:rsidRDefault="009E404F" w:rsidP="00DE498C">
            <w:pPr>
              <w:spacing w:before="40" w:after="40" w:line="276" w:lineRule="auto"/>
              <w:jc w:val="center"/>
            </w:pPr>
            <w:r w:rsidRPr="00B65D57">
              <w:t>208</w:t>
            </w:r>
          </w:p>
        </w:tc>
        <w:tc>
          <w:tcPr>
            <w:tcW w:w="1701" w:type="dxa"/>
            <w:vAlign w:val="center"/>
          </w:tcPr>
          <w:p w14:paraId="1C0ABD29" w14:textId="77777777" w:rsidR="009E404F" w:rsidRPr="00B65D57" w:rsidRDefault="009E404F" w:rsidP="00DE498C">
            <w:pPr>
              <w:spacing w:before="40" w:after="40" w:line="276" w:lineRule="auto"/>
              <w:jc w:val="center"/>
            </w:pPr>
            <w:r w:rsidRPr="00B65D57">
              <w:t>19</w:t>
            </w:r>
          </w:p>
        </w:tc>
        <w:tc>
          <w:tcPr>
            <w:tcW w:w="1559" w:type="dxa"/>
            <w:vAlign w:val="center"/>
          </w:tcPr>
          <w:p w14:paraId="63078D82" w14:textId="77777777" w:rsidR="009E404F" w:rsidRPr="00B65D57" w:rsidRDefault="009E404F" w:rsidP="00DE498C">
            <w:pPr>
              <w:spacing w:before="40" w:after="40" w:line="276" w:lineRule="auto"/>
              <w:jc w:val="center"/>
            </w:pPr>
            <w:r w:rsidRPr="00B65D57">
              <w:t>2</w:t>
            </w:r>
          </w:p>
        </w:tc>
      </w:tr>
      <w:tr w:rsidR="009E404F" w:rsidRPr="00B65D57" w14:paraId="3E28738C" w14:textId="77777777" w:rsidTr="00DE498C">
        <w:tc>
          <w:tcPr>
            <w:tcW w:w="3369" w:type="dxa"/>
            <w:vAlign w:val="center"/>
          </w:tcPr>
          <w:p w14:paraId="4AAC45C0" w14:textId="77777777" w:rsidR="009E404F" w:rsidRPr="00B65D57" w:rsidRDefault="009E404F" w:rsidP="00DE498C">
            <w:pPr>
              <w:spacing w:before="40" w:after="40" w:line="276" w:lineRule="auto"/>
              <w:ind w:left="-57" w:right="-57"/>
              <w:rPr>
                <w:bCs/>
              </w:rPr>
            </w:pPr>
            <w:r w:rsidRPr="00B65D57">
              <w:rPr>
                <w:bCs/>
              </w:rPr>
              <w:t>Mean concentration (mg BAE/l)</w:t>
            </w:r>
          </w:p>
        </w:tc>
        <w:tc>
          <w:tcPr>
            <w:tcW w:w="1650" w:type="dxa"/>
            <w:vAlign w:val="center"/>
          </w:tcPr>
          <w:p w14:paraId="4DFCBB4E" w14:textId="77777777" w:rsidR="009E404F" w:rsidRPr="00B65D57" w:rsidRDefault="009E404F" w:rsidP="00DE498C">
            <w:pPr>
              <w:spacing w:before="40" w:after="40" w:line="276" w:lineRule="auto"/>
              <w:jc w:val="center"/>
            </w:pPr>
            <w:r w:rsidRPr="00B65D57">
              <w:t>4.9</w:t>
            </w:r>
          </w:p>
        </w:tc>
        <w:tc>
          <w:tcPr>
            <w:tcW w:w="1701" w:type="dxa"/>
            <w:vAlign w:val="center"/>
          </w:tcPr>
          <w:p w14:paraId="73AA7008" w14:textId="77777777" w:rsidR="009E404F" w:rsidRPr="00B65D57" w:rsidRDefault="009E404F" w:rsidP="00DE498C">
            <w:pPr>
              <w:spacing w:before="40" w:after="40" w:line="276" w:lineRule="auto"/>
              <w:jc w:val="center"/>
            </w:pPr>
            <w:r w:rsidRPr="00B65D57">
              <w:t>26.7</w:t>
            </w:r>
          </w:p>
        </w:tc>
        <w:tc>
          <w:tcPr>
            <w:tcW w:w="1559" w:type="dxa"/>
            <w:vAlign w:val="center"/>
          </w:tcPr>
          <w:p w14:paraId="6C98D4CB" w14:textId="77777777" w:rsidR="009E404F" w:rsidRPr="00B65D57" w:rsidRDefault="009E404F" w:rsidP="00DE498C">
            <w:pPr>
              <w:spacing w:before="40" w:after="40" w:line="276" w:lineRule="auto"/>
              <w:jc w:val="center"/>
            </w:pPr>
            <w:r w:rsidRPr="00B65D57">
              <w:t>3.1</w:t>
            </w:r>
          </w:p>
        </w:tc>
      </w:tr>
      <w:tr w:rsidR="009E404F" w:rsidRPr="00B65D57" w14:paraId="7EFC4FB7" w14:textId="77777777" w:rsidTr="00DE498C">
        <w:tc>
          <w:tcPr>
            <w:tcW w:w="3369" w:type="dxa"/>
            <w:vAlign w:val="center"/>
          </w:tcPr>
          <w:p w14:paraId="30E588D1" w14:textId="77777777" w:rsidR="009E404F" w:rsidRPr="00B65D57" w:rsidRDefault="009E404F" w:rsidP="00DE498C">
            <w:pPr>
              <w:spacing w:before="40" w:after="40" w:line="276" w:lineRule="auto"/>
              <w:ind w:left="-57" w:right="-57"/>
              <w:rPr>
                <w:bCs/>
              </w:rPr>
            </w:pPr>
            <w:r w:rsidRPr="00B65D57">
              <w:rPr>
                <w:bCs/>
              </w:rPr>
              <w:t>Standard deviation</w:t>
            </w:r>
          </w:p>
        </w:tc>
        <w:tc>
          <w:tcPr>
            <w:tcW w:w="1650" w:type="dxa"/>
            <w:vAlign w:val="center"/>
          </w:tcPr>
          <w:p w14:paraId="70BE9449" w14:textId="77777777" w:rsidR="009E404F" w:rsidRPr="00B65D57" w:rsidRDefault="009E404F" w:rsidP="00DE498C">
            <w:pPr>
              <w:spacing w:before="40" w:after="40" w:line="276" w:lineRule="auto"/>
              <w:jc w:val="center"/>
            </w:pPr>
            <w:r w:rsidRPr="00B65D57">
              <w:t>5.8</w:t>
            </w:r>
          </w:p>
        </w:tc>
        <w:tc>
          <w:tcPr>
            <w:tcW w:w="1701" w:type="dxa"/>
            <w:vAlign w:val="center"/>
          </w:tcPr>
          <w:p w14:paraId="5A4BB6F8" w14:textId="77777777" w:rsidR="009E404F" w:rsidRPr="00B65D57" w:rsidRDefault="009E404F" w:rsidP="00DE498C">
            <w:pPr>
              <w:spacing w:before="40" w:after="40" w:line="276" w:lineRule="auto"/>
              <w:jc w:val="center"/>
            </w:pPr>
            <w:r w:rsidRPr="00B65D57">
              <w:t>35.1</w:t>
            </w:r>
          </w:p>
        </w:tc>
        <w:tc>
          <w:tcPr>
            <w:tcW w:w="1559" w:type="dxa"/>
            <w:vAlign w:val="center"/>
          </w:tcPr>
          <w:p w14:paraId="25B72B13" w14:textId="77777777" w:rsidR="009E404F" w:rsidRPr="00B65D57" w:rsidRDefault="009E404F" w:rsidP="00DE498C">
            <w:pPr>
              <w:spacing w:before="40" w:after="40" w:line="276" w:lineRule="auto"/>
              <w:jc w:val="center"/>
            </w:pPr>
            <w:r w:rsidRPr="00B65D57">
              <w:t>0.5</w:t>
            </w:r>
          </w:p>
        </w:tc>
      </w:tr>
      <w:tr w:rsidR="009E404F" w:rsidRPr="00B65D57" w14:paraId="66A26BA1" w14:textId="77777777" w:rsidTr="00DE498C">
        <w:tc>
          <w:tcPr>
            <w:tcW w:w="3369" w:type="dxa"/>
            <w:vAlign w:val="center"/>
          </w:tcPr>
          <w:p w14:paraId="308B1B30" w14:textId="77777777" w:rsidR="009E404F" w:rsidRPr="00B65D57" w:rsidRDefault="009E404F" w:rsidP="00DE498C">
            <w:pPr>
              <w:spacing w:before="40" w:after="40" w:line="276" w:lineRule="auto"/>
              <w:ind w:left="-57" w:right="-57"/>
              <w:rPr>
                <w:bCs/>
              </w:rPr>
            </w:pPr>
            <w:r w:rsidRPr="00B65D57">
              <w:rPr>
                <w:bCs/>
              </w:rPr>
              <w:t>Min concentration (mg BAE/l)</w:t>
            </w:r>
          </w:p>
        </w:tc>
        <w:tc>
          <w:tcPr>
            <w:tcW w:w="1650" w:type="dxa"/>
            <w:vAlign w:val="center"/>
          </w:tcPr>
          <w:p w14:paraId="639ED614" w14:textId="77777777" w:rsidR="009E404F" w:rsidRPr="00B65D57" w:rsidRDefault="009E404F" w:rsidP="00DE498C">
            <w:pPr>
              <w:spacing w:before="40" w:after="40" w:line="276" w:lineRule="auto"/>
              <w:jc w:val="center"/>
            </w:pPr>
            <w:r w:rsidRPr="00B65D57">
              <w:t>&lt;0.1</w:t>
            </w:r>
          </w:p>
        </w:tc>
        <w:tc>
          <w:tcPr>
            <w:tcW w:w="1701" w:type="dxa"/>
            <w:vAlign w:val="center"/>
          </w:tcPr>
          <w:p w14:paraId="5F87AEB5" w14:textId="77777777" w:rsidR="009E404F" w:rsidRPr="00B65D57" w:rsidRDefault="009E404F" w:rsidP="00DE498C">
            <w:pPr>
              <w:spacing w:before="40" w:after="40" w:line="276" w:lineRule="auto"/>
              <w:jc w:val="center"/>
            </w:pPr>
            <w:r w:rsidRPr="00B65D57">
              <w:t>1.2</w:t>
            </w:r>
          </w:p>
        </w:tc>
        <w:tc>
          <w:tcPr>
            <w:tcW w:w="1559" w:type="dxa"/>
            <w:vAlign w:val="center"/>
          </w:tcPr>
          <w:p w14:paraId="73462FBD" w14:textId="77777777" w:rsidR="009E404F" w:rsidRPr="00B65D57" w:rsidRDefault="009E404F" w:rsidP="00DE498C">
            <w:pPr>
              <w:spacing w:before="40" w:after="40" w:line="276" w:lineRule="auto"/>
              <w:jc w:val="center"/>
            </w:pPr>
            <w:r w:rsidRPr="00B65D57">
              <w:t>2.7</w:t>
            </w:r>
          </w:p>
        </w:tc>
      </w:tr>
      <w:tr w:rsidR="009E404F" w:rsidRPr="00B65D57" w14:paraId="4685D6DC" w14:textId="77777777" w:rsidTr="00DE498C">
        <w:tc>
          <w:tcPr>
            <w:tcW w:w="3369" w:type="dxa"/>
            <w:vAlign w:val="center"/>
          </w:tcPr>
          <w:p w14:paraId="0007F701" w14:textId="77777777" w:rsidR="009E404F" w:rsidRPr="00B65D57" w:rsidRDefault="009E404F" w:rsidP="00DE498C">
            <w:pPr>
              <w:spacing w:before="40" w:after="40" w:line="276" w:lineRule="auto"/>
              <w:ind w:left="-57" w:right="-57"/>
              <w:rPr>
                <w:bCs/>
              </w:rPr>
            </w:pPr>
            <w:r w:rsidRPr="00B65D57">
              <w:rPr>
                <w:bCs/>
              </w:rPr>
              <w:t>Max concentration (mg BAE/l)</w:t>
            </w:r>
          </w:p>
        </w:tc>
        <w:tc>
          <w:tcPr>
            <w:tcW w:w="1650" w:type="dxa"/>
            <w:vAlign w:val="center"/>
          </w:tcPr>
          <w:p w14:paraId="4C9B89F9" w14:textId="77777777" w:rsidR="009E404F" w:rsidRPr="00B65D57" w:rsidRDefault="009E404F" w:rsidP="00DE498C">
            <w:pPr>
              <w:spacing w:before="40" w:after="40" w:line="276" w:lineRule="auto"/>
              <w:jc w:val="center"/>
            </w:pPr>
            <w:r w:rsidRPr="00B65D57">
              <w:t>36</w:t>
            </w:r>
          </w:p>
        </w:tc>
        <w:tc>
          <w:tcPr>
            <w:tcW w:w="1701" w:type="dxa"/>
            <w:vAlign w:val="center"/>
          </w:tcPr>
          <w:p w14:paraId="06090089" w14:textId="77777777" w:rsidR="009E404F" w:rsidRPr="00B65D57" w:rsidRDefault="009E404F" w:rsidP="00DE498C">
            <w:pPr>
              <w:spacing w:before="40" w:after="40" w:line="276" w:lineRule="auto"/>
              <w:jc w:val="center"/>
            </w:pPr>
            <w:r w:rsidRPr="00B65D57">
              <w:t>130</w:t>
            </w:r>
          </w:p>
        </w:tc>
        <w:tc>
          <w:tcPr>
            <w:tcW w:w="1559" w:type="dxa"/>
            <w:vAlign w:val="center"/>
          </w:tcPr>
          <w:p w14:paraId="2266382D" w14:textId="77777777" w:rsidR="009E404F" w:rsidRPr="00B65D57" w:rsidRDefault="009E404F" w:rsidP="00DE498C">
            <w:pPr>
              <w:spacing w:before="40" w:after="40" w:line="276" w:lineRule="auto"/>
              <w:jc w:val="center"/>
            </w:pPr>
            <w:r w:rsidRPr="00B65D57">
              <w:t>3.4</w:t>
            </w:r>
          </w:p>
        </w:tc>
      </w:tr>
    </w:tbl>
    <w:p w14:paraId="17909ED3" w14:textId="77777777" w:rsidR="009E404F" w:rsidRPr="00B65D57" w:rsidRDefault="009E404F" w:rsidP="009E404F">
      <w:pPr>
        <w:spacing w:before="240" w:after="240" w:line="276" w:lineRule="auto"/>
      </w:pPr>
      <w:r w:rsidRPr="00B65D57">
        <w:rPr>
          <w:rFonts w:eastAsia="Calibri"/>
          <w:lang w:eastAsia="en-US"/>
        </w:rPr>
        <w:t xml:space="preserve">Based on these measurements, the background level of boron for urban groundwater of </w:t>
      </w:r>
      <w:r w:rsidRPr="00B65D57">
        <w:rPr>
          <w:rFonts w:eastAsia="Calibri"/>
          <w:b/>
          <w:bCs/>
          <w:lang w:eastAsia="en-US"/>
        </w:rPr>
        <w:t xml:space="preserve">5 mg BAE/L </w:t>
      </w:r>
      <w:r w:rsidRPr="00B65D57">
        <w:rPr>
          <w:rFonts w:eastAsia="Calibri"/>
          <w:lang w:eastAsia="en-US"/>
        </w:rPr>
        <w:t>was applied (based on urban background levels in groundwater Vickman &amp; Nilsson, 2011) in the PEC modelling calculations.</w:t>
      </w:r>
    </w:p>
    <w:p w14:paraId="2229C385" w14:textId="77777777" w:rsidR="009E404F" w:rsidRPr="00B65D57" w:rsidRDefault="009E404F" w:rsidP="009E404F">
      <w:pPr>
        <w:spacing w:line="276" w:lineRule="auto"/>
      </w:pPr>
    </w:p>
    <w:p w14:paraId="373E8801" w14:textId="77777777" w:rsidR="009E404F" w:rsidRPr="00B65D57" w:rsidRDefault="009E404F" w:rsidP="009E404F">
      <w:pPr>
        <w:spacing w:after="120" w:line="276" w:lineRule="auto"/>
        <w:rPr>
          <w:b/>
          <w:bCs/>
        </w:rPr>
      </w:pPr>
      <w:r w:rsidRPr="00B65D57">
        <w:rPr>
          <w:b/>
          <w:bCs/>
        </w:rPr>
        <w:t>PNECs</w:t>
      </w:r>
    </w:p>
    <w:p w14:paraId="74F45B29" w14:textId="1922A9D0" w:rsidR="009E404F" w:rsidRPr="00B65D57" w:rsidRDefault="009E404F" w:rsidP="009E404F">
      <w:pPr>
        <w:spacing w:after="120" w:line="276" w:lineRule="auto"/>
      </w:pPr>
      <w:r w:rsidRPr="00B65D57">
        <w:lastRenderedPageBreak/>
        <w:t>In the final CARs for boric acid and disodium tetraborate the Reference Member State (RMS) conducts the risk assessment based on added concentrations. Following the argumentation in the final CARs for all boron species, the PNEC</w:t>
      </w:r>
      <w:r w:rsidRPr="00B65D57">
        <w:rPr>
          <w:vertAlign w:val="subscript"/>
        </w:rPr>
        <w:t>add</w:t>
      </w:r>
      <w:r w:rsidRPr="00B65D57">
        <w:t xml:space="preserve"> is used in the risk characterisation for Jerbor (please refer to section 2.2.8.3 for </w:t>
      </w:r>
      <w:r w:rsidR="005675C1" w:rsidRPr="00B65D57">
        <w:t>the risk characterisation</w:t>
      </w:r>
      <w:r w:rsidRPr="00B65D57">
        <w:t xml:space="preserve">). </w:t>
      </w:r>
    </w:p>
    <w:p w14:paraId="5D5A3B10" w14:textId="77777777" w:rsidR="009E404F" w:rsidRPr="00B65D57" w:rsidRDefault="009E404F" w:rsidP="009E404F">
      <w:pPr>
        <w:spacing w:after="120" w:line="276" w:lineRule="auto"/>
      </w:pPr>
      <w:r w:rsidRPr="00B65D57">
        <w:t>The PNEC</w:t>
      </w:r>
      <w:r w:rsidRPr="00B65D57">
        <w:rPr>
          <w:vertAlign w:val="subscript"/>
        </w:rPr>
        <w:t>add</w:t>
      </w:r>
      <w:r w:rsidRPr="00B65D57">
        <w:t xml:space="preserve"> should be regarded as the concentration that may be added to the background without inducing any adverse effects on the ecosystem. It is assumed that the background concentration itself does not induce a toxic effect and that the background concentration is sufficient to meet the natural demands of the organisms and that there is no risk for deficiency.</w:t>
      </w:r>
    </w:p>
    <w:p w14:paraId="6998C8B9" w14:textId="77777777" w:rsidR="009E404F" w:rsidRPr="00B65D57" w:rsidRDefault="009E404F" w:rsidP="009E404F">
      <w:pPr>
        <w:spacing w:after="120" w:line="276" w:lineRule="auto"/>
        <w:rPr>
          <w:rFonts w:eastAsia="Calibri"/>
          <w:iCs/>
          <w:u w:val="single"/>
          <w:lang w:eastAsia="en-US"/>
        </w:rPr>
      </w:pPr>
      <w:r w:rsidRPr="00B65D57">
        <w:rPr>
          <w:rFonts w:eastAsia="Calibri"/>
          <w:iCs/>
          <w:u w:val="single"/>
          <w:lang w:eastAsia="en-US"/>
        </w:rPr>
        <w:t>Terrestrial compartment</w:t>
      </w:r>
    </w:p>
    <w:p w14:paraId="25596156" w14:textId="77777777" w:rsidR="009E404F" w:rsidRPr="00B65D57" w:rsidRDefault="009E404F" w:rsidP="009E404F">
      <w:pPr>
        <w:spacing w:after="120" w:line="276" w:lineRule="auto"/>
        <w:rPr>
          <w:rFonts w:eastAsia="Calibri"/>
          <w:iCs/>
          <w:lang w:eastAsia="en-US"/>
        </w:rPr>
      </w:pPr>
      <w:r w:rsidRPr="00B65D57">
        <w:rPr>
          <w:rFonts w:eastAsia="Calibri"/>
          <w:iCs/>
          <w:lang w:eastAsia="en-US"/>
        </w:rPr>
        <w:t xml:space="preserve">The </w:t>
      </w:r>
      <w:r w:rsidRPr="00B65D57">
        <w:rPr>
          <w:rFonts w:eastAsia="Calibri"/>
          <w:b/>
          <w:bCs/>
          <w:iCs/>
          <w:lang w:eastAsia="en-US"/>
        </w:rPr>
        <w:t>PNEC</w:t>
      </w:r>
      <w:r w:rsidRPr="00B65D57">
        <w:rPr>
          <w:rFonts w:eastAsia="Calibri"/>
          <w:b/>
          <w:bCs/>
          <w:iCs/>
          <w:vertAlign w:val="subscript"/>
          <w:lang w:eastAsia="en-US"/>
        </w:rPr>
        <w:t>add,terrestrial</w:t>
      </w:r>
      <w:r w:rsidRPr="00B65D57">
        <w:rPr>
          <w:rFonts w:eastAsia="Calibri"/>
          <w:iCs/>
          <w:vertAlign w:val="subscript"/>
          <w:lang w:eastAsia="en-US"/>
        </w:rPr>
        <w:t xml:space="preserve"> </w:t>
      </w:r>
      <w:r w:rsidRPr="00B65D57">
        <w:rPr>
          <w:rFonts w:eastAsia="Calibri"/>
          <w:iCs/>
          <w:lang w:eastAsia="en-US"/>
        </w:rPr>
        <w:t xml:space="preserve">is </w:t>
      </w:r>
      <w:r w:rsidRPr="00B65D57">
        <w:rPr>
          <w:rFonts w:eastAsia="Calibri"/>
          <w:b/>
          <w:bCs/>
          <w:iCs/>
          <w:lang w:eastAsia="en-US"/>
        </w:rPr>
        <w:t>0.4 mg B/kg dwt</w:t>
      </w:r>
      <w:r w:rsidRPr="00B65D57">
        <w:rPr>
          <w:rFonts w:eastAsia="Calibri"/>
          <w:iCs/>
          <w:lang w:eastAsia="en-US"/>
        </w:rPr>
        <w:t xml:space="preserve"> soil, which is equivalent to </w:t>
      </w:r>
      <w:r w:rsidRPr="00B65D57">
        <w:rPr>
          <w:rFonts w:eastAsia="Calibri"/>
          <w:b/>
          <w:bCs/>
          <w:iCs/>
          <w:lang w:eastAsia="en-US"/>
        </w:rPr>
        <w:t>0.35 mg B/kg wwt</w:t>
      </w:r>
      <w:r w:rsidRPr="00B65D57">
        <w:rPr>
          <w:rFonts w:eastAsia="Calibri"/>
          <w:iCs/>
          <w:lang w:eastAsia="en-US"/>
        </w:rPr>
        <w:t xml:space="preserve"> soil (Assessment Report Boric acid, 2009, and Assessment Report Disodium tetraborate, 2009). The PNEC</w:t>
      </w:r>
      <w:r w:rsidRPr="00B65D57">
        <w:rPr>
          <w:rFonts w:eastAsia="Calibri"/>
          <w:iCs/>
          <w:vertAlign w:val="subscript"/>
          <w:lang w:eastAsia="en-US"/>
        </w:rPr>
        <w:t xml:space="preserve">add,terristrial </w:t>
      </w:r>
      <w:r w:rsidRPr="00B65D57">
        <w:rPr>
          <w:rFonts w:eastAsia="Calibri"/>
          <w:iCs/>
          <w:lang w:eastAsia="en-US"/>
        </w:rPr>
        <w:t>is estimated based on data from the most sensitive species which is a plant (</w:t>
      </w:r>
      <w:r w:rsidRPr="00B65D57">
        <w:rPr>
          <w:rFonts w:eastAsia="Calibri"/>
          <w:i/>
          <w:iCs/>
          <w:lang w:eastAsia="en-US"/>
        </w:rPr>
        <w:t>Hordeum vulgare)</w:t>
      </w:r>
      <w:r w:rsidRPr="00B65D57">
        <w:rPr>
          <w:rFonts w:eastAsia="Calibri"/>
          <w:iCs/>
          <w:lang w:eastAsia="en-US"/>
        </w:rPr>
        <w:t xml:space="preserve"> (Assessment Report Boric acid, 2009</w:t>
      </w:r>
      <w:r w:rsidRPr="00B65D57">
        <w:t xml:space="preserve"> and </w:t>
      </w:r>
      <w:r w:rsidRPr="00B65D57">
        <w:rPr>
          <w:rFonts w:eastAsia="Calibri"/>
          <w:iCs/>
          <w:lang w:eastAsia="en-US"/>
        </w:rPr>
        <w:t>Assessment Report Disodium tetraborate, 2009).</w:t>
      </w:r>
    </w:p>
    <w:p w14:paraId="70F7EAF1" w14:textId="77777777" w:rsidR="009E404F" w:rsidRPr="00B65D57" w:rsidRDefault="009E404F" w:rsidP="009E404F">
      <w:pPr>
        <w:spacing w:line="276" w:lineRule="auto"/>
        <w:contextualSpacing/>
        <w:jc w:val="both"/>
        <w:rPr>
          <w:rFonts w:eastAsia="Calibri"/>
          <w:iCs/>
          <w:highlight w:val="yellow"/>
          <w:lang w:eastAsia="en-US"/>
        </w:rPr>
      </w:pPr>
    </w:p>
    <w:p w14:paraId="71FD236C" w14:textId="77777777" w:rsidR="009E404F" w:rsidRPr="00B65D57" w:rsidRDefault="009E404F" w:rsidP="009E404F">
      <w:pPr>
        <w:spacing w:line="276" w:lineRule="auto"/>
        <w:contextualSpacing/>
        <w:jc w:val="both"/>
        <w:rPr>
          <w:rFonts w:eastAsia="Calibri"/>
          <w:iCs/>
          <w:u w:val="single"/>
          <w:lang w:eastAsia="en-US"/>
        </w:rPr>
      </w:pPr>
      <w:r w:rsidRPr="00B65D57">
        <w:rPr>
          <w:rFonts w:eastAsia="Calibri"/>
          <w:iCs/>
          <w:u w:val="single"/>
          <w:lang w:eastAsia="en-US"/>
        </w:rPr>
        <w:t xml:space="preserve">Aquatic compartment </w:t>
      </w:r>
    </w:p>
    <w:p w14:paraId="1744DA73" w14:textId="77777777" w:rsidR="009E404F" w:rsidRPr="00B65D57" w:rsidRDefault="009E404F" w:rsidP="009E404F">
      <w:pPr>
        <w:spacing w:line="276" w:lineRule="auto"/>
        <w:contextualSpacing/>
        <w:rPr>
          <w:rFonts w:eastAsia="Calibri"/>
          <w:iCs/>
          <w:lang w:eastAsia="en-US"/>
        </w:rPr>
      </w:pPr>
      <w:r w:rsidRPr="00B65D57">
        <w:rPr>
          <w:rFonts w:eastAsia="Calibri"/>
          <w:iCs/>
          <w:lang w:eastAsia="en-US"/>
        </w:rPr>
        <w:t xml:space="preserve">The </w:t>
      </w:r>
      <w:r w:rsidRPr="00B65D57">
        <w:rPr>
          <w:rFonts w:eastAsia="Calibri"/>
          <w:b/>
          <w:bCs/>
          <w:iCs/>
          <w:lang w:eastAsia="en-US"/>
        </w:rPr>
        <w:t>PNEC</w:t>
      </w:r>
      <w:r w:rsidRPr="00B65D57">
        <w:rPr>
          <w:rFonts w:eastAsia="Calibri"/>
          <w:b/>
          <w:bCs/>
          <w:iCs/>
          <w:vertAlign w:val="subscript"/>
          <w:lang w:eastAsia="en-US"/>
        </w:rPr>
        <w:t>add,aquatic</w:t>
      </w:r>
      <w:r w:rsidRPr="00B65D57">
        <w:rPr>
          <w:rFonts w:eastAsia="Calibri"/>
          <w:iCs/>
          <w:vertAlign w:val="subscript"/>
          <w:lang w:eastAsia="en-US"/>
        </w:rPr>
        <w:t xml:space="preserve"> </w:t>
      </w:r>
      <w:r w:rsidRPr="00B65D57">
        <w:rPr>
          <w:rFonts w:eastAsia="Calibri"/>
          <w:iCs/>
          <w:lang w:eastAsia="en-US"/>
        </w:rPr>
        <w:t xml:space="preserve">for freshwater systems is </w:t>
      </w:r>
      <w:r w:rsidRPr="00B65D57">
        <w:rPr>
          <w:rFonts w:eastAsia="Calibri"/>
          <w:b/>
          <w:bCs/>
          <w:iCs/>
          <w:lang w:eastAsia="en-US"/>
        </w:rPr>
        <w:t>0.18 mg B/L</w:t>
      </w:r>
      <w:r w:rsidRPr="00B65D57">
        <w:rPr>
          <w:rFonts w:eastAsia="Calibri"/>
          <w:iCs/>
          <w:lang w:eastAsia="en-US"/>
        </w:rPr>
        <w:t xml:space="preserve"> which is based on the lowest NOEC of 1.8 mg B/L and an assessment factor of 10. The PNEC</w:t>
      </w:r>
      <w:r w:rsidRPr="00B65D57">
        <w:rPr>
          <w:rFonts w:eastAsia="Calibri"/>
          <w:iCs/>
          <w:vertAlign w:val="subscript"/>
          <w:lang w:eastAsia="en-US"/>
        </w:rPr>
        <w:t xml:space="preserve">add,sediment </w:t>
      </w:r>
      <w:r w:rsidRPr="00B65D57">
        <w:rPr>
          <w:rFonts w:eastAsia="Calibri"/>
          <w:iCs/>
          <w:lang w:eastAsia="en-US"/>
        </w:rPr>
        <w:t>is adjusted to 0.24 mg B/kg wwt using equilibrium partitioning.</w:t>
      </w:r>
    </w:p>
    <w:p w14:paraId="477D3D20" w14:textId="77777777" w:rsidR="009E404F" w:rsidRPr="00B65D57" w:rsidRDefault="009E404F" w:rsidP="009E404F">
      <w:pPr>
        <w:spacing w:line="276" w:lineRule="auto"/>
        <w:contextualSpacing/>
        <w:rPr>
          <w:rFonts w:eastAsia="Calibri"/>
          <w:iCs/>
          <w:lang w:eastAsia="en-US"/>
        </w:rPr>
      </w:pPr>
    </w:p>
    <w:p w14:paraId="2A9EDC2D" w14:textId="77777777" w:rsidR="009E404F" w:rsidRPr="00B65D57" w:rsidRDefault="009E404F" w:rsidP="009E404F">
      <w:pPr>
        <w:spacing w:line="276" w:lineRule="auto"/>
        <w:contextualSpacing/>
        <w:rPr>
          <w:rFonts w:eastAsia="Calibri"/>
          <w:iCs/>
          <w:lang w:eastAsia="en-US"/>
        </w:rPr>
      </w:pPr>
      <w:r w:rsidRPr="00B65D57">
        <w:rPr>
          <w:rFonts w:eastAsia="Calibri"/>
          <w:iCs/>
          <w:lang w:eastAsia="en-US"/>
        </w:rPr>
        <w:t xml:space="preserve">The </w:t>
      </w:r>
      <w:r w:rsidRPr="00B65D57">
        <w:rPr>
          <w:rFonts w:eastAsia="Calibri"/>
          <w:b/>
          <w:bCs/>
          <w:iCs/>
          <w:lang w:eastAsia="en-US"/>
        </w:rPr>
        <w:t>PNEC</w:t>
      </w:r>
      <w:r w:rsidRPr="00B65D57">
        <w:rPr>
          <w:rFonts w:eastAsia="Calibri"/>
          <w:b/>
          <w:bCs/>
          <w:iCs/>
          <w:vertAlign w:val="subscript"/>
          <w:lang w:eastAsia="en-US"/>
        </w:rPr>
        <w:t>add, STP</w:t>
      </w:r>
      <w:r w:rsidRPr="00B65D57">
        <w:rPr>
          <w:rFonts w:eastAsia="Calibri"/>
          <w:iCs/>
          <w:vertAlign w:val="subscript"/>
          <w:lang w:eastAsia="en-US"/>
        </w:rPr>
        <w:t xml:space="preserve"> </w:t>
      </w:r>
      <w:r w:rsidRPr="00B65D57">
        <w:rPr>
          <w:rFonts w:eastAsia="Calibri"/>
          <w:iCs/>
          <w:lang w:eastAsia="en-US"/>
        </w:rPr>
        <w:t xml:space="preserve">is </w:t>
      </w:r>
      <w:r w:rsidRPr="00B65D57">
        <w:rPr>
          <w:rFonts w:eastAsia="Calibri"/>
          <w:b/>
          <w:bCs/>
          <w:iCs/>
          <w:lang w:eastAsia="en-US"/>
        </w:rPr>
        <w:t>1.8 mg B/L</w:t>
      </w:r>
      <w:r w:rsidRPr="00B65D57">
        <w:rPr>
          <w:rFonts w:eastAsia="Calibri"/>
          <w:iCs/>
          <w:lang w:eastAsia="en-US"/>
        </w:rPr>
        <w:t xml:space="preserve"> which is based on a NOEC of 17.5 mg B/L from a microbial inhibition test with microorganisms in activated sludge and an assessment factor of 10 (Assessment Report Boric acid, 2009 and Assessment Report Disodium tetraborate, 2009).</w:t>
      </w:r>
    </w:p>
    <w:p w14:paraId="2B71853D" w14:textId="77777777" w:rsidR="009E404F" w:rsidRPr="00B65D57" w:rsidRDefault="009E404F" w:rsidP="009E404F">
      <w:pPr>
        <w:spacing w:line="276" w:lineRule="auto"/>
        <w:contextualSpacing/>
        <w:rPr>
          <w:rFonts w:eastAsia="Calibri"/>
          <w:iCs/>
          <w:highlight w:val="yellow"/>
          <w:lang w:eastAsia="en-US"/>
        </w:rPr>
      </w:pPr>
    </w:p>
    <w:p w14:paraId="3D11354D" w14:textId="77777777" w:rsidR="009E404F" w:rsidRPr="00B65D57" w:rsidRDefault="009E404F" w:rsidP="009E404F">
      <w:pPr>
        <w:spacing w:line="276" w:lineRule="auto"/>
        <w:contextualSpacing/>
        <w:rPr>
          <w:rFonts w:eastAsia="Calibri"/>
          <w:iCs/>
          <w:u w:val="single"/>
          <w:lang w:eastAsia="en-US"/>
        </w:rPr>
      </w:pPr>
      <w:r w:rsidRPr="00B65D57">
        <w:rPr>
          <w:rFonts w:eastAsia="Calibri"/>
          <w:iCs/>
          <w:u w:val="single"/>
          <w:lang w:eastAsia="en-US"/>
        </w:rPr>
        <w:t xml:space="preserve">Ground water </w:t>
      </w:r>
    </w:p>
    <w:p w14:paraId="58369108" w14:textId="77777777" w:rsidR="009E404F" w:rsidRPr="00B65D57" w:rsidRDefault="009E404F" w:rsidP="009E404F">
      <w:pPr>
        <w:spacing w:line="276" w:lineRule="auto"/>
        <w:contextualSpacing/>
        <w:rPr>
          <w:rFonts w:eastAsia="Calibri"/>
          <w:iCs/>
          <w:highlight w:val="yellow"/>
          <w:lang w:eastAsia="en-US"/>
        </w:rPr>
      </w:pPr>
      <w:r w:rsidRPr="00B65D57">
        <w:rPr>
          <w:rFonts w:eastAsia="Calibri"/>
          <w:iCs/>
          <w:lang w:eastAsia="en-US"/>
        </w:rPr>
        <w:t xml:space="preserve">The limit value for boron in drinking water is </w:t>
      </w:r>
      <w:r w:rsidRPr="00B65D57">
        <w:rPr>
          <w:rFonts w:eastAsia="Calibri"/>
          <w:b/>
          <w:bCs/>
          <w:iCs/>
          <w:lang w:eastAsia="en-US"/>
        </w:rPr>
        <w:t>1 mg B/L</w:t>
      </w:r>
      <w:r w:rsidRPr="00B65D57">
        <w:t xml:space="preserve"> a</w:t>
      </w:r>
      <w:r w:rsidRPr="00B65D57">
        <w:rPr>
          <w:rFonts w:eastAsia="Calibri"/>
          <w:iCs/>
          <w:lang w:eastAsia="en-US"/>
        </w:rPr>
        <w:t>ccording to Directive 98/83/EC Annex I, part B (Assessment Report Boric acid, 2009 and Assessment Report Disodium tetraborate, 2009).</w:t>
      </w:r>
      <w:r w:rsidRPr="00B65D57">
        <w:rPr>
          <w:rFonts w:eastAsia="Calibri"/>
          <w:lang w:eastAsia="en-US"/>
        </w:rPr>
        <w:t xml:space="preserve"> </w:t>
      </w:r>
    </w:p>
    <w:p w14:paraId="4066B360" w14:textId="77777777" w:rsidR="009E404F" w:rsidRPr="00B65D57" w:rsidRDefault="009E404F" w:rsidP="009E404F">
      <w:pPr>
        <w:spacing w:line="276" w:lineRule="auto"/>
        <w:contextualSpacing/>
        <w:rPr>
          <w:rFonts w:eastAsia="Calibri"/>
          <w:iCs/>
          <w:highlight w:val="yellow"/>
          <w:lang w:eastAsia="en-US"/>
        </w:rPr>
      </w:pPr>
    </w:p>
    <w:p w14:paraId="3EFC510D" w14:textId="77777777" w:rsidR="009E404F" w:rsidRPr="00B65D57" w:rsidRDefault="009E404F" w:rsidP="009E404F">
      <w:pPr>
        <w:spacing w:line="276" w:lineRule="auto"/>
        <w:contextualSpacing/>
        <w:rPr>
          <w:rFonts w:eastAsia="Calibri"/>
          <w:iCs/>
          <w:u w:val="single"/>
          <w:lang w:eastAsia="en-US"/>
        </w:rPr>
      </w:pPr>
      <w:r w:rsidRPr="00B65D57">
        <w:rPr>
          <w:rFonts w:eastAsia="Calibri"/>
          <w:iCs/>
          <w:u w:val="single"/>
          <w:lang w:eastAsia="en-US"/>
        </w:rPr>
        <w:t xml:space="preserve">Atmosphere </w:t>
      </w:r>
    </w:p>
    <w:p w14:paraId="70BE3E21" w14:textId="77777777" w:rsidR="009E404F" w:rsidRPr="00B65D57" w:rsidRDefault="009E404F" w:rsidP="009E404F">
      <w:pPr>
        <w:spacing w:line="276" w:lineRule="auto"/>
        <w:contextualSpacing/>
        <w:rPr>
          <w:rFonts w:eastAsia="Calibri"/>
          <w:iCs/>
          <w:lang w:eastAsia="en-US"/>
        </w:rPr>
      </w:pPr>
      <w:r w:rsidRPr="00B65D57">
        <w:rPr>
          <w:rFonts w:eastAsia="Calibri"/>
          <w:iCs/>
          <w:lang w:eastAsia="en-US"/>
        </w:rPr>
        <w:t>No toxicity data for air are available (Assessment Report Boric acid, 2009 and Assessment Report Disodium tetraborate, 2009). Therefore, a PNEC</w:t>
      </w:r>
      <w:r w:rsidRPr="00B65D57">
        <w:rPr>
          <w:rFonts w:eastAsia="Calibri"/>
          <w:iCs/>
          <w:vertAlign w:val="subscript"/>
          <w:lang w:eastAsia="en-US"/>
        </w:rPr>
        <w:t>air</w:t>
      </w:r>
      <w:r w:rsidRPr="00B65D57">
        <w:rPr>
          <w:rFonts w:eastAsia="Calibri"/>
          <w:iCs/>
          <w:lang w:eastAsia="en-US"/>
        </w:rPr>
        <w:t xml:space="preserve"> has not been calculated. </w:t>
      </w:r>
    </w:p>
    <w:p w14:paraId="4D627318" w14:textId="77777777" w:rsidR="009E404F" w:rsidRPr="00B65D57" w:rsidRDefault="009E404F" w:rsidP="009E404F">
      <w:pPr>
        <w:spacing w:line="276" w:lineRule="auto"/>
        <w:contextualSpacing/>
        <w:jc w:val="both"/>
        <w:rPr>
          <w:rFonts w:eastAsia="Calibri"/>
          <w:iCs/>
          <w:highlight w:val="yellow"/>
          <w:lang w:eastAsia="en-US"/>
        </w:rPr>
      </w:pPr>
    </w:p>
    <w:p w14:paraId="54E64A57" w14:textId="77777777" w:rsidR="009E404F" w:rsidRPr="00B65D57" w:rsidRDefault="009E404F" w:rsidP="009E404F">
      <w:pPr>
        <w:spacing w:line="276" w:lineRule="auto"/>
        <w:contextualSpacing/>
        <w:jc w:val="both"/>
        <w:rPr>
          <w:rFonts w:eastAsia="Calibri"/>
          <w:iCs/>
          <w:u w:val="single"/>
          <w:lang w:eastAsia="en-US"/>
        </w:rPr>
      </w:pPr>
      <w:r w:rsidRPr="00B65D57">
        <w:rPr>
          <w:rFonts w:eastAsia="Calibri"/>
          <w:iCs/>
          <w:u w:val="single"/>
          <w:lang w:eastAsia="en-US"/>
        </w:rPr>
        <w:t>Primary poisoning</w:t>
      </w:r>
    </w:p>
    <w:p w14:paraId="21BED7A7" w14:textId="77777777" w:rsidR="009E404F" w:rsidRPr="00B65D57" w:rsidRDefault="009E404F" w:rsidP="009E404F">
      <w:pPr>
        <w:spacing w:line="276" w:lineRule="auto"/>
        <w:contextualSpacing/>
        <w:jc w:val="both"/>
        <w:rPr>
          <w:rFonts w:eastAsia="Calibri"/>
          <w:iCs/>
          <w:highlight w:val="yellow"/>
          <w:lang w:eastAsia="en-US"/>
        </w:rPr>
      </w:pPr>
      <w:r w:rsidRPr="00B65D57">
        <w:rPr>
          <w:rFonts w:eastAsia="Calibri"/>
          <w:iCs/>
          <w:lang w:eastAsia="en-US"/>
        </w:rPr>
        <w:t>The toxicity values for birds and mammals are presented in the table below.</w:t>
      </w:r>
    </w:p>
    <w:p w14:paraId="3163F8A9" w14:textId="77777777" w:rsidR="009E404F" w:rsidRPr="00B65D57" w:rsidRDefault="009E404F" w:rsidP="009E404F">
      <w:pPr>
        <w:spacing w:line="260" w:lineRule="atLeast"/>
        <w:contextualSpacing/>
        <w:jc w:val="both"/>
        <w:rPr>
          <w:rFonts w:eastAsia="Calibri"/>
          <w:iCs/>
          <w:highlight w:val="yellow"/>
          <w:lang w:eastAsia="en-US"/>
        </w:rPr>
      </w:pPr>
    </w:p>
    <w:tbl>
      <w:tblPr>
        <w:tblW w:w="9453" w:type="dxa"/>
        <w:jc w:val="center"/>
        <w:tblLayout w:type="fixed"/>
        <w:tblCellMar>
          <w:left w:w="0" w:type="dxa"/>
          <w:right w:w="0" w:type="dxa"/>
        </w:tblCellMar>
        <w:tblLook w:val="01E0" w:firstRow="1" w:lastRow="1" w:firstColumn="1" w:lastColumn="1" w:noHBand="0" w:noVBand="0"/>
      </w:tblPr>
      <w:tblGrid>
        <w:gridCol w:w="1664"/>
        <w:gridCol w:w="2402"/>
        <w:gridCol w:w="2791"/>
        <w:gridCol w:w="2596"/>
      </w:tblGrid>
      <w:tr w:rsidR="009E404F" w:rsidRPr="00B65D57" w14:paraId="3F8E4819" w14:textId="77777777" w:rsidTr="00DE498C">
        <w:trPr>
          <w:trHeight w:hRule="exact" w:val="483"/>
          <w:jc w:val="center"/>
        </w:trPr>
        <w:tc>
          <w:tcPr>
            <w:tcW w:w="9453" w:type="dxa"/>
            <w:gridSpan w:val="4"/>
            <w:tcBorders>
              <w:top w:val="single" w:sz="4" w:space="0" w:color="231F20"/>
              <w:left w:val="single" w:sz="4" w:space="0" w:color="231F20"/>
              <w:bottom w:val="single" w:sz="4" w:space="0" w:color="231F20"/>
              <w:right w:val="single" w:sz="4" w:space="0" w:color="231F20"/>
            </w:tcBorders>
            <w:shd w:val="clear" w:color="auto" w:fill="F8FEC2"/>
            <w:vAlign w:val="center"/>
          </w:tcPr>
          <w:p w14:paraId="634740D0" w14:textId="77777777" w:rsidR="009E404F" w:rsidRPr="00B65D57" w:rsidRDefault="009E404F" w:rsidP="00DE498C">
            <w:pPr>
              <w:widowControl w:val="0"/>
              <w:jc w:val="center"/>
              <w:rPr>
                <w:rFonts w:eastAsia="Tahoma"/>
                <w:b/>
                <w:spacing w:val="1"/>
                <w:w w:val="112"/>
                <w:sz w:val="18"/>
                <w:szCs w:val="18"/>
              </w:rPr>
            </w:pPr>
            <w:r w:rsidRPr="00B65D57">
              <w:rPr>
                <w:rFonts w:eastAsia="Tahoma"/>
                <w:b/>
                <w:w w:val="115"/>
                <w:sz w:val="18"/>
                <w:szCs w:val="18"/>
              </w:rPr>
              <w:t>Acute and reproductive toxicity values for birds and mammals exposed to borates.</w:t>
            </w:r>
          </w:p>
        </w:tc>
      </w:tr>
      <w:tr w:rsidR="009E404F" w:rsidRPr="00B65D57" w14:paraId="306D41FE" w14:textId="77777777" w:rsidTr="00DE498C">
        <w:trPr>
          <w:trHeight w:hRule="exact" w:val="483"/>
          <w:jc w:val="center"/>
        </w:trPr>
        <w:tc>
          <w:tcPr>
            <w:tcW w:w="1664"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5070CD6F" w14:textId="77777777" w:rsidR="009E404F" w:rsidRPr="00B65D57" w:rsidRDefault="009E404F" w:rsidP="00DE498C">
            <w:pPr>
              <w:widowControl w:val="0"/>
              <w:jc w:val="center"/>
              <w:rPr>
                <w:rFonts w:eastAsia="Tahoma"/>
                <w:b/>
                <w:spacing w:val="1"/>
                <w:w w:val="115"/>
                <w:sz w:val="18"/>
                <w:szCs w:val="18"/>
              </w:rPr>
            </w:pPr>
            <w:r w:rsidRPr="00B65D57">
              <w:rPr>
                <w:rFonts w:eastAsia="Tahoma"/>
                <w:b/>
                <w:spacing w:val="1"/>
                <w:w w:val="115"/>
                <w:sz w:val="18"/>
                <w:szCs w:val="18"/>
              </w:rPr>
              <w:t>A</w:t>
            </w:r>
            <w:r w:rsidRPr="00B65D57">
              <w:rPr>
                <w:rFonts w:eastAsia="Tahoma"/>
                <w:b/>
                <w:w w:val="115"/>
                <w:sz w:val="18"/>
                <w:szCs w:val="18"/>
              </w:rPr>
              <w:t>c</w:t>
            </w:r>
            <w:r w:rsidRPr="00B65D57">
              <w:rPr>
                <w:rFonts w:eastAsia="Tahoma"/>
                <w:b/>
                <w:spacing w:val="-1"/>
                <w:w w:val="115"/>
                <w:sz w:val="18"/>
                <w:szCs w:val="18"/>
              </w:rPr>
              <w:t>t</w:t>
            </w:r>
            <w:r w:rsidRPr="00B65D57">
              <w:rPr>
                <w:rFonts w:eastAsia="Tahoma"/>
                <w:b/>
                <w:w w:val="115"/>
                <w:sz w:val="18"/>
                <w:szCs w:val="18"/>
              </w:rPr>
              <w:t>ive</w:t>
            </w:r>
            <w:r w:rsidRPr="00B65D57">
              <w:rPr>
                <w:b/>
                <w:spacing w:val="8"/>
                <w:w w:val="115"/>
                <w:sz w:val="18"/>
                <w:szCs w:val="18"/>
              </w:rPr>
              <w:t xml:space="preserve"> </w:t>
            </w:r>
            <w:r w:rsidRPr="00B65D57">
              <w:rPr>
                <w:rFonts w:eastAsia="Tahoma"/>
                <w:b/>
                <w:spacing w:val="1"/>
                <w:w w:val="115"/>
                <w:sz w:val="18"/>
                <w:szCs w:val="18"/>
              </w:rPr>
              <w:t>s</w:t>
            </w:r>
            <w:r w:rsidRPr="00B65D57">
              <w:rPr>
                <w:rFonts w:eastAsia="Tahoma"/>
                <w:b/>
                <w:spacing w:val="2"/>
                <w:w w:val="115"/>
                <w:sz w:val="18"/>
                <w:szCs w:val="18"/>
              </w:rPr>
              <w:t>u</w:t>
            </w:r>
            <w:r w:rsidRPr="00B65D57">
              <w:rPr>
                <w:rFonts w:eastAsia="Tahoma"/>
                <w:b/>
                <w:spacing w:val="-1"/>
                <w:w w:val="115"/>
                <w:sz w:val="18"/>
                <w:szCs w:val="18"/>
              </w:rPr>
              <w:t>b</w:t>
            </w:r>
            <w:r w:rsidRPr="00B65D57">
              <w:rPr>
                <w:rFonts w:eastAsia="Tahoma"/>
                <w:b/>
                <w:spacing w:val="1"/>
                <w:w w:val="115"/>
                <w:sz w:val="18"/>
                <w:szCs w:val="18"/>
              </w:rPr>
              <w:t>s</w:t>
            </w:r>
            <w:r w:rsidRPr="00B65D57">
              <w:rPr>
                <w:rFonts w:eastAsia="Tahoma"/>
                <w:b/>
                <w:spacing w:val="-1"/>
                <w:w w:val="115"/>
                <w:sz w:val="18"/>
                <w:szCs w:val="18"/>
              </w:rPr>
              <w:t>t</w:t>
            </w:r>
            <w:r w:rsidRPr="00B65D57">
              <w:rPr>
                <w:rFonts w:eastAsia="Tahoma"/>
                <w:b/>
                <w:spacing w:val="5"/>
                <w:w w:val="115"/>
                <w:sz w:val="18"/>
                <w:szCs w:val="18"/>
              </w:rPr>
              <w:t>a</w:t>
            </w:r>
            <w:r w:rsidRPr="00B65D57">
              <w:rPr>
                <w:rFonts w:eastAsia="Tahoma"/>
                <w:b/>
                <w:w w:val="115"/>
                <w:sz w:val="18"/>
                <w:szCs w:val="18"/>
              </w:rPr>
              <w:t>nce</w:t>
            </w:r>
          </w:p>
        </w:tc>
        <w:tc>
          <w:tcPr>
            <w:tcW w:w="2402"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1285F9D0" w14:textId="77777777" w:rsidR="009E404F" w:rsidRPr="00B65D57" w:rsidRDefault="009E404F" w:rsidP="00DE498C">
            <w:pPr>
              <w:widowControl w:val="0"/>
              <w:jc w:val="center"/>
              <w:rPr>
                <w:rFonts w:eastAsia="Tahoma"/>
                <w:b/>
                <w:w w:val="112"/>
                <w:sz w:val="18"/>
                <w:szCs w:val="18"/>
              </w:rPr>
            </w:pPr>
            <w:r w:rsidRPr="00B65D57">
              <w:rPr>
                <w:rFonts w:eastAsia="Tahoma"/>
                <w:b/>
                <w:w w:val="112"/>
                <w:sz w:val="18"/>
                <w:szCs w:val="18"/>
              </w:rPr>
              <w:t>Type of endpoint</w:t>
            </w:r>
          </w:p>
        </w:tc>
        <w:tc>
          <w:tcPr>
            <w:tcW w:w="2791"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38CD55EA" w14:textId="77777777" w:rsidR="009E404F" w:rsidRPr="00B65D57" w:rsidRDefault="009E404F" w:rsidP="00DE498C">
            <w:pPr>
              <w:widowControl w:val="0"/>
              <w:jc w:val="center"/>
              <w:rPr>
                <w:rFonts w:eastAsia="Tahoma"/>
                <w:b/>
                <w:w w:val="119"/>
                <w:sz w:val="18"/>
                <w:szCs w:val="18"/>
              </w:rPr>
            </w:pPr>
            <w:r w:rsidRPr="00B65D57">
              <w:rPr>
                <w:rFonts w:eastAsia="Tahoma"/>
                <w:b/>
                <w:w w:val="119"/>
                <w:sz w:val="18"/>
                <w:szCs w:val="18"/>
              </w:rPr>
              <w:t>Endpoint</w:t>
            </w:r>
          </w:p>
        </w:tc>
        <w:tc>
          <w:tcPr>
            <w:tcW w:w="2596"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3865B213" w14:textId="77777777" w:rsidR="009E404F" w:rsidRPr="00B65D57" w:rsidRDefault="009E404F" w:rsidP="00DE498C">
            <w:pPr>
              <w:widowControl w:val="0"/>
              <w:jc w:val="center"/>
              <w:rPr>
                <w:rFonts w:eastAsia="Tahoma"/>
                <w:b/>
                <w:spacing w:val="1"/>
                <w:w w:val="112"/>
                <w:sz w:val="18"/>
                <w:szCs w:val="18"/>
              </w:rPr>
            </w:pPr>
            <w:r w:rsidRPr="00B65D57">
              <w:rPr>
                <w:rFonts w:eastAsia="Tahoma"/>
                <w:b/>
                <w:spacing w:val="1"/>
                <w:w w:val="112"/>
                <w:sz w:val="18"/>
                <w:szCs w:val="18"/>
              </w:rPr>
              <w:t>Reference</w:t>
            </w:r>
          </w:p>
        </w:tc>
      </w:tr>
      <w:tr w:rsidR="009E404F" w:rsidRPr="00B65D57" w14:paraId="34A73F67" w14:textId="77777777" w:rsidTr="00DE498C">
        <w:trPr>
          <w:trHeight w:hRule="exact" w:val="579"/>
          <w:jc w:val="center"/>
        </w:trPr>
        <w:tc>
          <w:tcPr>
            <w:tcW w:w="1664" w:type="dxa"/>
            <w:vMerge w:val="restart"/>
            <w:tcBorders>
              <w:top w:val="single" w:sz="4" w:space="0" w:color="231F20"/>
              <w:left w:val="single" w:sz="4" w:space="0" w:color="231F20"/>
              <w:bottom w:val="single" w:sz="4" w:space="0" w:color="231F20"/>
              <w:right w:val="single" w:sz="4" w:space="0" w:color="231F20"/>
            </w:tcBorders>
            <w:vAlign w:val="center"/>
          </w:tcPr>
          <w:p w14:paraId="6A8984DD" w14:textId="77777777" w:rsidR="009E404F" w:rsidRPr="00B65D57" w:rsidRDefault="009E404F" w:rsidP="00DE498C">
            <w:pPr>
              <w:widowControl w:val="0"/>
              <w:jc w:val="center"/>
              <w:rPr>
                <w:rFonts w:eastAsia="Tahoma"/>
                <w:b/>
                <w:sz w:val="18"/>
                <w:szCs w:val="18"/>
              </w:rPr>
            </w:pPr>
            <w:r w:rsidRPr="00B65D57">
              <w:rPr>
                <w:rFonts w:eastAsia="Tahoma"/>
                <w:iCs/>
                <w:sz w:val="18"/>
                <w:szCs w:val="18"/>
              </w:rPr>
              <w:t xml:space="preserve">Boric acid </w:t>
            </w: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38BAF916"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Acute toxicity to mammals (rat)</w:t>
            </w:r>
          </w:p>
        </w:tc>
        <w:tc>
          <w:tcPr>
            <w:tcW w:w="2791" w:type="dxa"/>
            <w:tcBorders>
              <w:top w:val="single" w:sz="4" w:space="0" w:color="231F20"/>
              <w:left w:val="single" w:sz="4" w:space="0" w:color="231F20"/>
              <w:bottom w:val="single" w:sz="4" w:space="0" w:color="231F20"/>
              <w:right w:val="single" w:sz="4" w:space="0" w:color="231F20"/>
            </w:tcBorders>
            <w:vAlign w:val="center"/>
          </w:tcPr>
          <w:p w14:paraId="77F2A2EC" w14:textId="77777777" w:rsidR="009E404F" w:rsidRPr="00B65D57" w:rsidRDefault="009E404F" w:rsidP="00DE498C">
            <w:pPr>
              <w:widowControl w:val="0"/>
              <w:jc w:val="center"/>
              <w:rPr>
                <w:rFonts w:eastAsia="Tahoma"/>
                <w:sz w:val="18"/>
                <w:szCs w:val="18"/>
              </w:rPr>
            </w:pPr>
            <w:r w:rsidRPr="00B65D57">
              <w:rPr>
                <w:rFonts w:eastAsia="Tahoma"/>
                <w:sz w:val="18"/>
                <w:szCs w:val="18"/>
              </w:rPr>
              <w:t>Oral LD</w:t>
            </w:r>
            <w:r w:rsidRPr="00B65D57">
              <w:rPr>
                <w:rFonts w:eastAsia="Tahoma"/>
                <w:sz w:val="18"/>
                <w:szCs w:val="18"/>
                <w:vertAlign w:val="subscript"/>
              </w:rPr>
              <w:t>50</w:t>
            </w:r>
            <w:r w:rsidRPr="00B65D57">
              <w:rPr>
                <w:rFonts w:eastAsia="Tahoma"/>
                <w:sz w:val="18"/>
                <w:szCs w:val="18"/>
              </w:rPr>
              <w:t xml:space="preserve"> = 3450 mg/kg bw</w:t>
            </w:r>
          </w:p>
          <w:p w14:paraId="32612116" w14:textId="77777777" w:rsidR="009E404F" w:rsidRPr="00B65D57" w:rsidRDefault="009E404F" w:rsidP="00DE498C">
            <w:pPr>
              <w:widowControl w:val="0"/>
              <w:jc w:val="center"/>
              <w:rPr>
                <w:rFonts w:eastAsia="Tahoma"/>
                <w:sz w:val="18"/>
                <w:szCs w:val="18"/>
              </w:rPr>
            </w:pPr>
            <w:r w:rsidRPr="00B65D57">
              <w:rPr>
                <w:rFonts w:eastAsia="Tahoma"/>
                <w:sz w:val="18"/>
                <w:szCs w:val="18"/>
              </w:rPr>
              <w:t>Oral LD</w:t>
            </w:r>
            <w:r w:rsidRPr="00B65D57">
              <w:rPr>
                <w:rFonts w:eastAsia="Tahoma"/>
                <w:sz w:val="18"/>
                <w:szCs w:val="18"/>
                <w:vertAlign w:val="subscript"/>
              </w:rPr>
              <w:t>50</w:t>
            </w:r>
            <w:r w:rsidRPr="00B65D57">
              <w:rPr>
                <w:rFonts w:eastAsia="Tahoma"/>
                <w:sz w:val="18"/>
                <w:szCs w:val="18"/>
              </w:rPr>
              <w:t xml:space="preserve"> &gt; 2500 mg/kg bw</w:t>
            </w:r>
          </w:p>
        </w:tc>
        <w:tc>
          <w:tcPr>
            <w:tcW w:w="2596" w:type="dxa"/>
            <w:tcBorders>
              <w:top w:val="single" w:sz="4" w:space="0" w:color="231F20"/>
              <w:left w:val="single" w:sz="4" w:space="0" w:color="231F20"/>
              <w:bottom w:val="single" w:sz="4" w:space="0" w:color="231F20"/>
              <w:right w:val="single" w:sz="4" w:space="0" w:color="231F20"/>
            </w:tcBorders>
            <w:vAlign w:val="center"/>
          </w:tcPr>
          <w:p w14:paraId="533F0B74" w14:textId="77777777" w:rsidR="009E404F" w:rsidRPr="00B65D57" w:rsidRDefault="009E404F" w:rsidP="00DE498C">
            <w:pPr>
              <w:widowControl w:val="0"/>
              <w:jc w:val="center"/>
              <w:rPr>
                <w:rFonts w:eastAsia="Tahoma"/>
                <w:spacing w:val="-1"/>
                <w:sz w:val="18"/>
                <w:szCs w:val="18"/>
                <w:highlight w:val="yellow"/>
              </w:rPr>
            </w:pPr>
            <w:r w:rsidRPr="00B65D57">
              <w:rPr>
                <w:rFonts w:eastAsia="Tahoma"/>
                <w:iCs/>
                <w:spacing w:val="-1"/>
                <w:sz w:val="18"/>
                <w:szCs w:val="18"/>
              </w:rPr>
              <w:t>Assessment Report Boric acid, 2009</w:t>
            </w:r>
          </w:p>
        </w:tc>
      </w:tr>
      <w:tr w:rsidR="009E404F" w:rsidRPr="00B65D57" w14:paraId="24896DC3" w14:textId="77777777" w:rsidTr="00DE498C">
        <w:trPr>
          <w:trHeight w:hRule="exact" w:val="575"/>
          <w:jc w:val="center"/>
        </w:trPr>
        <w:tc>
          <w:tcPr>
            <w:tcW w:w="1664" w:type="dxa"/>
            <w:vMerge/>
            <w:tcBorders>
              <w:left w:val="single" w:sz="4" w:space="0" w:color="231F20"/>
              <w:bottom w:val="single" w:sz="4" w:space="0" w:color="231F20"/>
            </w:tcBorders>
            <w:vAlign w:val="center"/>
          </w:tcPr>
          <w:p w14:paraId="0F38193A" w14:textId="77777777" w:rsidR="009E404F" w:rsidRPr="00B65D57" w:rsidRDefault="009E404F" w:rsidP="00DE498C">
            <w:pPr>
              <w:widowControl w:val="0"/>
              <w:jc w:val="center"/>
              <w:rPr>
                <w:rFonts w:eastAsia="Tahoma"/>
                <w:iCs/>
                <w:sz w:val="18"/>
                <w:szCs w:val="18"/>
              </w:rPr>
            </w:pP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762C927F"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Acute toxicity to birds</w:t>
            </w:r>
          </w:p>
          <w:p w14:paraId="26FCF678"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w:t>
            </w:r>
            <w:r w:rsidRPr="00B65D57">
              <w:rPr>
                <w:rFonts w:eastAsia="Tahoma"/>
                <w:i/>
                <w:spacing w:val="1"/>
                <w:w w:val="112"/>
                <w:sz w:val="18"/>
                <w:szCs w:val="18"/>
              </w:rPr>
              <w:t>Colinus virginianus</w:t>
            </w:r>
            <w:r w:rsidRPr="00B65D57">
              <w:rPr>
                <w:rFonts w:eastAsia="Tahoma"/>
                <w:spacing w:val="1"/>
                <w:w w:val="112"/>
                <w:sz w:val="18"/>
                <w:szCs w:val="18"/>
              </w:rPr>
              <w:t>)</w:t>
            </w:r>
          </w:p>
        </w:tc>
        <w:tc>
          <w:tcPr>
            <w:tcW w:w="2791" w:type="dxa"/>
            <w:tcBorders>
              <w:top w:val="single" w:sz="4" w:space="0" w:color="231F20"/>
              <w:left w:val="single" w:sz="4" w:space="0" w:color="231F20"/>
              <w:bottom w:val="single" w:sz="4" w:space="0" w:color="231F20"/>
              <w:right w:val="single" w:sz="4" w:space="0" w:color="231F20"/>
            </w:tcBorders>
            <w:vAlign w:val="center"/>
          </w:tcPr>
          <w:p w14:paraId="51881576" w14:textId="77777777" w:rsidR="009E404F" w:rsidRPr="00B65D57" w:rsidRDefault="009E404F" w:rsidP="00DE498C">
            <w:pPr>
              <w:widowControl w:val="0"/>
              <w:jc w:val="center"/>
              <w:rPr>
                <w:rFonts w:eastAsia="Tahoma"/>
                <w:iCs/>
                <w:sz w:val="18"/>
                <w:szCs w:val="18"/>
              </w:rPr>
            </w:pPr>
            <w:r w:rsidRPr="00B65D57">
              <w:rPr>
                <w:rFonts w:eastAsia="Tahoma"/>
                <w:iCs/>
                <w:sz w:val="18"/>
                <w:szCs w:val="18"/>
              </w:rPr>
              <w:t>LD</w:t>
            </w:r>
            <w:r w:rsidRPr="00B65D57">
              <w:rPr>
                <w:rFonts w:eastAsia="Tahoma"/>
                <w:iCs/>
                <w:sz w:val="18"/>
                <w:szCs w:val="18"/>
                <w:vertAlign w:val="subscript"/>
              </w:rPr>
              <w:t>50</w:t>
            </w:r>
            <w:r w:rsidRPr="00B65D57">
              <w:rPr>
                <w:rFonts w:eastAsia="Tahoma"/>
                <w:iCs/>
                <w:sz w:val="18"/>
                <w:szCs w:val="18"/>
              </w:rPr>
              <w:t xml:space="preserve"> &gt; 527 mg B/kg bw</w:t>
            </w:r>
          </w:p>
        </w:tc>
        <w:tc>
          <w:tcPr>
            <w:tcW w:w="2596" w:type="dxa"/>
            <w:tcBorders>
              <w:top w:val="single" w:sz="4" w:space="0" w:color="231F20"/>
              <w:left w:val="single" w:sz="4" w:space="0" w:color="231F20"/>
              <w:bottom w:val="single" w:sz="4" w:space="0" w:color="231F20"/>
              <w:right w:val="single" w:sz="4" w:space="0" w:color="231F20"/>
            </w:tcBorders>
            <w:vAlign w:val="center"/>
          </w:tcPr>
          <w:p w14:paraId="6CAC2EB9" w14:textId="77777777" w:rsidR="009E404F" w:rsidRPr="00B65D57" w:rsidRDefault="009E404F" w:rsidP="00DE498C">
            <w:pPr>
              <w:widowControl w:val="0"/>
              <w:jc w:val="center"/>
              <w:rPr>
                <w:rFonts w:eastAsia="Tahoma"/>
                <w:spacing w:val="-1"/>
                <w:sz w:val="18"/>
                <w:szCs w:val="18"/>
              </w:rPr>
            </w:pPr>
            <w:r w:rsidRPr="00B65D57">
              <w:rPr>
                <w:rFonts w:eastAsia="Tahoma"/>
                <w:iCs/>
                <w:spacing w:val="-1"/>
                <w:sz w:val="18"/>
                <w:szCs w:val="18"/>
              </w:rPr>
              <w:t>Assessment Report Boric acid, 2009</w:t>
            </w:r>
          </w:p>
        </w:tc>
      </w:tr>
      <w:tr w:rsidR="009E404F" w:rsidRPr="00B65D57" w14:paraId="4E9E4CA3" w14:textId="77777777" w:rsidTr="00DE498C">
        <w:trPr>
          <w:trHeight w:hRule="exact" w:val="992"/>
          <w:jc w:val="center"/>
        </w:trPr>
        <w:tc>
          <w:tcPr>
            <w:tcW w:w="1664" w:type="dxa"/>
            <w:vMerge/>
            <w:tcBorders>
              <w:left w:val="single" w:sz="4" w:space="0" w:color="231F20"/>
              <w:bottom w:val="single" w:sz="4" w:space="0" w:color="231F20"/>
            </w:tcBorders>
            <w:vAlign w:val="center"/>
          </w:tcPr>
          <w:p w14:paraId="4744A3BD" w14:textId="77777777" w:rsidR="009E404F" w:rsidRPr="00B65D57" w:rsidRDefault="009E404F" w:rsidP="00DE498C">
            <w:pPr>
              <w:widowControl w:val="0"/>
              <w:jc w:val="center"/>
              <w:rPr>
                <w:rFonts w:eastAsia="Tahoma"/>
                <w:iCs/>
                <w:sz w:val="18"/>
                <w:szCs w:val="18"/>
              </w:rPr>
            </w:pP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2F4A5198"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Reproductive toxicity to mammals (lowest relevant developmental)</w:t>
            </w:r>
          </w:p>
        </w:tc>
        <w:tc>
          <w:tcPr>
            <w:tcW w:w="2791" w:type="dxa"/>
            <w:tcBorders>
              <w:top w:val="single" w:sz="4" w:space="0" w:color="231F20"/>
              <w:left w:val="single" w:sz="4" w:space="0" w:color="231F20"/>
              <w:bottom w:val="single" w:sz="4" w:space="0" w:color="231F20"/>
              <w:right w:val="single" w:sz="4" w:space="0" w:color="231F20"/>
            </w:tcBorders>
            <w:vAlign w:val="center"/>
          </w:tcPr>
          <w:p w14:paraId="5128F614" w14:textId="77777777" w:rsidR="009E404F" w:rsidRPr="00B65D57" w:rsidRDefault="009E404F" w:rsidP="00DE498C">
            <w:pPr>
              <w:widowControl w:val="0"/>
              <w:jc w:val="center"/>
              <w:rPr>
                <w:rFonts w:eastAsia="Tahoma"/>
                <w:iCs/>
                <w:sz w:val="18"/>
                <w:szCs w:val="18"/>
              </w:rPr>
            </w:pPr>
            <w:r w:rsidRPr="00B65D57">
              <w:rPr>
                <w:rFonts w:eastAsia="Tahoma"/>
                <w:iCs/>
                <w:sz w:val="18"/>
                <w:szCs w:val="18"/>
              </w:rPr>
              <w:t>NOAEL/LOAEL = 9.6 mg boron/kg bw/day</w:t>
            </w:r>
          </w:p>
        </w:tc>
        <w:tc>
          <w:tcPr>
            <w:tcW w:w="2596" w:type="dxa"/>
            <w:tcBorders>
              <w:top w:val="single" w:sz="4" w:space="0" w:color="231F20"/>
              <w:left w:val="single" w:sz="4" w:space="0" w:color="231F20"/>
              <w:bottom w:val="single" w:sz="4" w:space="0" w:color="231F20"/>
              <w:right w:val="single" w:sz="4" w:space="0" w:color="231F20"/>
            </w:tcBorders>
            <w:vAlign w:val="center"/>
          </w:tcPr>
          <w:p w14:paraId="2B755082" w14:textId="77777777" w:rsidR="009E404F" w:rsidRPr="00B65D57" w:rsidRDefault="009E404F" w:rsidP="00DE498C">
            <w:pPr>
              <w:widowControl w:val="0"/>
              <w:jc w:val="center"/>
              <w:rPr>
                <w:rFonts w:eastAsia="Tahoma"/>
                <w:iCs/>
                <w:spacing w:val="-1"/>
                <w:sz w:val="18"/>
                <w:szCs w:val="18"/>
              </w:rPr>
            </w:pPr>
            <w:r w:rsidRPr="00B65D57">
              <w:rPr>
                <w:rFonts w:eastAsia="Tahoma"/>
                <w:iCs/>
                <w:spacing w:val="-1"/>
                <w:sz w:val="18"/>
                <w:szCs w:val="18"/>
              </w:rPr>
              <w:t>Assessment Report Boric acid, 2009</w:t>
            </w:r>
          </w:p>
        </w:tc>
      </w:tr>
      <w:tr w:rsidR="009E404F" w:rsidRPr="00B65D57" w14:paraId="488CCE3E" w14:textId="77777777" w:rsidTr="00DE498C">
        <w:trPr>
          <w:trHeight w:hRule="exact" w:val="575"/>
          <w:jc w:val="center"/>
        </w:trPr>
        <w:tc>
          <w:tcPr>
            <w:tcW w:w="1664" w:type="dxa"/>
            <w:vMerge/>
            <w:tcBorders>
              <w:left w:val="single" w:sz="4" w:space="0" w:color="231F20"/>
              <w:bottom w:val="single" w:sz="4" w:space="0" w:color="231F20"/>
            </w:tcBorders>
            <w:vAlign w:val="center"/>
          </w:tcPr>
          <w:p w14:paraId="29EEF902" w14:textId="77777777" w:rsidR="009E404F" w:rsidRPr="00B65D57" w:rsidRDefault="009E404F" w:rsidP="00DE498C">
            <w:pPr>
              <w:widowControl w:val="0"/>
              <w:jc w:val="center"/>
              <w:rPr>
                <w:rFonts w:eastAsia="Tahoma"/>
                <w:iCs/>
                <w:sz w:val="18"/>
                <w:szCs w:val="18"/>
              </w:rPr>
            </w:pP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4FD39BDD"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Reproductive toxicity to birds</w:t>
            </w:r>
          </w:p>
        </w:tc>
        <w:tc>
          <w:tcPr>
            <w:tcW w:w="2791" w:type="dxa"/>
            <w:tcBorders>
              <w:top w:val="single" w:sz="4" w:space="0" w:color="231F20"/>
              <w:left w:val="single" w:sz="4" w:space="0" w:color="231F20"/>
              <w:bottom w:val="single" w:sz="4" w:space="0" w:color="231F20"/>
              <w:right w:val="single" w:sz="4" w:space="0" w:color="231F20"/>
            </w:tcBorders>
            <w:vAlign w:val="center"/>
          </w:tcPr>
          <w:p w14:paraId="040F5AD6" w14:textId="77777777" w:rsidR="009E404F" w:rsidRPr="00B65D57" w:rsidRDefault="009E404F" w:rsidP="00DE498C">
            <w:pPr>
              <w:jc w:val="center"/>
              <w:rPr>
                <w:rFonts w:eastAsia="Tahoma"/>
                <w:iCs/>
                <w:sz w:val="18"/>
                <w:szCs w:val="18"/>
              </w:rPr>
            </w:pPr>
            <w:r w:rsidRPr="00B65D57">
              <w:rPr>
                <w:rFonts w:eastAsia="Tahoma"/>
                <w:iCs/>
                <w:sz w:val="18"/>
                <w:szCs w:val="18"/>
              </w:rPr>
              <w:t>no data available</w:t>
            </w:r>
          </w:p>
        </w:tc>
        <w:tc>
          <w:tcPr>
            <w:tcW w:w="2596" w:type="dxa"/>
            <w:tcBorders>
              <w:top w:val="single" w:sz="4" w:space="0" w:color="231F20"/>
              <w:left w:val="single" w:sz="4" w:space="0" w:color="231F20"/>
              <w:bottom w:val="single" w:sz="4" w:space="0" w:color="231F20"/>
              <w:right w:val="single" w:sz="4" w:space="0" w:color="231F20"/>
            </w:tcBorders>
            <w:vAlign w:val="center"/>
          </w:tcPr>
          <w:p w14:paraId="5C1C6648" w14:textId="77777777" w:rsidR="009E404F" w:rsidRPr="00B65D57" w:rsidRDefault="009E404F" w:rsidP="00DE498C">
            <w:pPr>
              <w:widowControl w:val="0"/>
              <w:jc w:val="center"/>
              <w:rPr>
                <w:rFonts w:eastAsia="Tahoma"/>
                <w:iCs/>
                <w:spacing w:val="-1"/>
                <w:sz w:val="18"/>
                <w:szCs w:val="18"/>
              </w:rPr>
            </w:pPr>
            <w:r w:rsidRPr="00B65D57">
              <w:rPr>
                <w:rFonts w:eastAsia="Tahoma"/>
                <w:iCs/>
                <w:spacing w:val="-1"/>
                <w:sz w:val="18"/>
                <w:szCs w:val="18"/>
              </w:rPr>
              <w:t>Assessment Report Boric acid, 2009</w:t>
            </w:r>
          </w:p>
        </w:tc>
      </w:tr>
      <w:tr w:rsidR="009E404F" w:rsidRPr="00B65D57" w14:paraId="333E89CF" w14:textId="77777777" w:rsidTr="00DE498C">
        <w:trPr>
          <w:trHeight w:hRule="exact" w:val="567"/>
          <w:jc w:val="center"/>
        </w:trPr>
        <w:tc>
          <w:tcPr>
            <w:tcW w:w="1664" w:type="dxa"/>
            <w:vMerge w:val="restart"/>
            <w:tcBorders>
              <w:top w:val="single" w:sz="4" w:space="0" w:color="231F20"/>
              <w:left w:val="single" w:sz="4" w:space="0" w:color="231F20"/>
              <w:bottom w:val="single" w:sz="4" w:space="0" w:color="231F20"/>
              <w:right w:val="single" w:sz="4" w:space="0" w:color="231F20"/>
            </w:tcBorders>
            <w:vAlign w:val="center"/>
          </w:tcPr>
          <w:p w14:paraId="5CD1048D" w14:textId="77777777" w:rsidR="009E404F" w:rsidRPr="00B65D57" w:rsidRDefault="009E404F" w:rsidP="00DE498C">
            <w:pPr>
              <w:widowControl w:val="0"/>
              <w:jc w:val="center"/>
              <w:rPr>
                <w:rFonts w:eastAsia="Tahoma"/>
                <w:sz w:val="18"/>
                <w:szCs w:val="18"/>
              </w:rPr>
            </w:pPr>
            <w:r w:rsidRPr="00B65D57">
              <w:rPr>
                <w:rFonts w:eastAsia="Tahoma"/>
                <w:sz w:val="18"/>
                <w:szCs w:val="18"/>
              </w:rPr>
              <w:t>Disodium tetraborate pentahydrate</w:t>
            </w: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9A881DE"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Acute toxicity to mammals (rat)</w:t>
            </w:r>
          </w:p>
        </w:tc>
        <w:tc>
          <w:tcPr>
            <w:tcW w:w="2791" w:type="dxa"/>
            <w:tcBorders>
              <w:top w:val="single" w:sz="4" w:space="0" w:color="231F20"/>
              <w:left w:val="single" w:sz="4" w:space="0" w:color="231F20"/>
              <w:bottom w:val="single" w:sz="4" w:space="0" w:color="231F20"/>
              <w:right w:val="single" w:sz="4" w:space="0" w:color="231F20"/>
            </w:tcBorders>
            <w:vAlign w:val="center"/>
          </w:tcPr>
          <w:p w14:paraId="308B0A06" w14:textId="77777777" w:rsidR="009E404F" w:rsidRPr="00B65D57" w:rsidRDefault="009E404F" w:rsidP="00DE498C">
            <w:pPr>
              <w:widowControl w:val="0"/>
              <w:jc w:val="center"/>
              <w:rPr>
                <w:rFonts w:eastAsia="Tahoma"/>
                <w:iCs/>
                <w:sz w:val="18"/>
                <w:szCs w:val="18"/>
              </w:rPr>
            </w:pPr>
            <w:r w:rsidRPr="00B65D57">
              <w:rPr>
                <w:rFonts w:eastAsia="Tahoma"/>
                <w:iCs/>
                <w:sz w:val="18"/>
                <w:szCs w:val="18"/>
              </w:rPr>
              <w:t>Oral LD</w:t>
            </w:r>
            <w:r w:rsidRPr="00B65D57">
              <w:rPr>
                <w:rFonts w:eastAsia="Tahoma"/>
                <w:iCs/>
                <w:sz w:val="18"/>
                <w:szCs w:val="18"/>
                <w:vertAlign w:val="subscript"/>
              </w:rPr>
              <w:t>50</w:t>
            </w:r>
            <w:r w:rsidRPr="00B65D57">
              <w:rPr>
                <w:rFonts w:eastAsia="Tahoma"/>
                <w:iCs/>
                <w:sz w:val="18"/>
                <w:szCs w:val="18"/>
              </w:rPr>
              <w:t xml:space="preserve"> &gt; 2000 mg/kg bw</w:t>
            </w:r>
          </w:p>
        </w:tc>
        <w:tc>
          <w:tcPr>
            <w:tcW w:w="2596" w:type="dxa"/>
            <w:tcBorders>
              <w:top w:val="single" w:sz="4" w:space="0" w:color="231F20"/>
              <w:left w:val="single" w:sz="4" w:space="0" w:color="231F20"/>
              <w:bottom w:val="single" w:sz="4" w:space="0" w:color="231F20"/>
              <w:right w:val="single" w:sz="4" w:space="0" w:color="231F20"/>
            </w:tcBorders>
            <w:vAlign w:val="center"/>
          </w:tcPr>
          <w:p w14:paraId="610C62FE" w14:textId="77777777" w:rsidR="009E404F" w:rsidRPr="00B65D57" w:rsidRDefault="009E404F" w:rsidP="00DE498C">
            <w:pPr>
              <w:widowControl w:val="0"/>
              <w:jc w:val="center"/>
              <w:rPr>
                <w:rFonts w:eastAsia="Tahoma"/>
                <w:spacing w:val="-1"/>
                <w:sz w:val="18"/>
                <w:szCs w:val="18"/>
              </w:rPr>
            </w:pPr>
            <w:r w:rsidRPr="00B65D57">
              <w:rPr>
                <w:rFonts w:eastAsia="Tahoma"/>
                <w:spacing w:val="-1"/>
                <w:sz w:val="18"/>
                <w:szCs w:val="18"/>
              </w:rPr>
              <w:t>Assessment Report Disodium tetraborate, 2009</w:t>
            </w:r>
          </w:p>
        </w:tc>
      </w:tr>
      <w:tr w:rsidR="009E404F" w:rsidRPr="00B65D57" w14:paraId="60B978F7" w14:textId="77777777" w:rsidTr="00DE498C">
        <w:trPr>
          <w:trHeight w:hRule="exact" w:val="563"/>
          <w:jc w:val="center"/>
        </w:trPr>
        <w:tc>
          <w:tcPr>
            <w:tcW w:w="1664" w:type="dxa"/>
            <w:vMerge/>
            <w:tcBorders>
              <w:left w:val="single" w:sz="4" w:space="0" w:color="231F20"/>
              <w:bottom w:val="single" w:sz="4" w:space="0" w:color="231F20"/>
            </w:tcBorders>
            <w:vAlign w:val="center"/>
          </w:tcPr>
          <w:p w14:paraId="01399462" w14:textId="77777777" w:rsidR="009E404F" w:rsidRPr="00B65D57" w:rsidRDefault="009E404F" w:rsidP="00DE498C">
            <w:pPr>
              <w:widowControl w:val="0"/>
              <w:jc w:val="center"/>
              <w:rPr>
                <w:rFonts w:eastAsia="Tahoma"/>
                <w:iCs/>
                <w:sz w:val="18"/>
                <w:szCs w:val="18"/>
              </w:rPr>
            </w:pP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18FE2056"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Acute toxicity to birds</w:t>
            </w:r>
          </w:p>
          <w:p w14:paraId="682B4793"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w:t>
            </w:r>
            <w:r w:rsidRPr="00B65D57">
              <w:rPr>
                <w:rFonts w:eastAsia="Tahoma"/>
                <w:i/>
                <w:spacing w:val="1"/>
                <w:w w:val="112"/>
                <w:sz w:val="18"/>
                <w:szCs w:val="18"/>
              </w:rPr>
              <w:t>Colinus virginianus</w:t>
            </w:r>
            <w:r w:rsidRPr="00B65D57">
              <w:rPr>
                <w:rFonts w:eastAsia="Tahoma"/>
                <w:spacing w:val="1"/>
                <w:w w:val="112"/>
                <w:sz w:val="18"/>
                <w:szCs w:val="18"/>
              </w:rPr>
              <w:t>)</w:t>
            </w:r>
          </w:p>
        </w:tc>
        <w:tc>
          <w:tcPr>
            <w:tcW w:w="2791" w:type="dxa"/>
            <w:tcBorders>
              <w:top w:val="single" w:sz="4" w:space="0" w:color="231F20"/>
              <w:left w:val="single" w:sz="4" w:space="0" w:color="231F20"/>
              <w:bottom w:val="single" w:sz="4" w:space="0" w:color="231F20"/>
              <w:right w:val="single" w:sz="4" w:space="0" w:color="231F20"/>
            </w:tcBorders>
            <w:vAlign w:val="center"/>
          </w:tcPr>
          <w:p w14:paraId="5F65D0EB" w14:textId="77777777" w:rsidR="009E404F" w:rsidRPr="00B65D57" w:rsidRDefault="009E404F" w:rsidP="00DE498C">
            <w:pPr>
              <w:widowControl w:val="0"/>
              <w:jc w:val="center"/>
              <w:rPr>
                <w:rFonts w:eastAsia="Tahoma"/>
                <w:iCs/>
                <w:sz w:val="18"/>
                <w:szCs w:val="18"/>
              </w:rPr>
            </w:pPr>
            <w:r w:rsidRPr="00B65D57">
              <w:rPr>
                <w:rFonts w:eastAsia="Tahoma"/>
                <w:iCs/>
                <w:sz w:val="18"/>
                <w:szCs w:val="18"/>
              </w:rPr>
              <w:t>LD</w:t>
            </w:r>
            <w:r w:rsidRPr="00B65D57">
              <w:rPr>
                <w:rFonts w:eastAsia="Tahoma"/>
                <w:iCs/>
                <w:sz w:val="18"/>
                <w:szCs w:val="18"/>
                <w:vertAlign w:val="subscript"/>
              </w:rPr>
              <w:t>50</w:t>
            </w:r>
            <w:r w:rsidRPr="00B65D57">
              <w:rPr>
                <w:rFonts w:eastAsia="Tahoma"/>
                <w:iCs/>
                <w:sz w:val="18"/>
                <w:szCs w:val="18"/>
              </w:rPr>
              <w:t xml:space="preserve"> &gt; 527 mg B/kg bw</w:t>
            </w:r>
          </w:p>
        </w:tc>
        <w:tc>
          <w:tcPr>
            <w:tcW w:w="2596" w:type="dxa"/>
            <w:tcBorders>
              <w:top w:val="single" w:sz="4" w:space="0" w:color="231F20"/>
              <w:left w:val="single" w:sz="4" w:space="0" w:color="231F20"/>
              <w:bottom w:val="single" w:sz="4" w:space="0" w:color="231F20"/>
              <w:right w:val="single" w:sz="4" w:space="0" w:color="231F20"/>
            </w:tcBorders>
            <w:vAlign w:val="center"/>
          </w:tcPr>
          <w:p w14:paraId="600CA8ED" w14:textId="77777777" w:rsidR="009E404F" w:rsidRPr="00B65D57" w:rsidRDefault="009E404F" w:rsidP="00DE498C">
            <w:pPr>
              <w:widowControl w:val="0"/>
              <w:jc w:val="center"/>
              <w:rPr>
                <w:rFonts w:eastAsia="Tahoma"/>
                <w:spacing w:val="-1"/>
                <w:sz w:val="18"/>
                <w:szCs w:val="18"/>
              </w:rPr>
            </w:pPr>
            <w:r w:rsidRPr="00B65D57">
              <w:rPr>
                <w:rFonts w:eastAsia="Tahoma"/>
                <w:spacing w:val="-1"/>
                <w:sz w:val="18"/>
                <w:szCs w:val="18"/>
              </w:rPr>
              <w:t>Assessment Report Disodium tetraborate, 2009</w:t>
            </w:r>
          </w:p>
        </w:tc>
      </w:tr>
      <w:tr w:rsidR="009E404F" w:rsidRPr="00B65D57" w14:paraId="1E71F66E" w14:textId="77777777" w:rsidTr="00DE498C">
        <w:trPr>
          <w:trHeight w:hRule="exact" w:val="982"/>
          <w:jc w:val="center"/>
        </w:trPr>
        <w:tc>
          <w:tcPr>
            <w:tcW w:w="1664" w:type="dxa"/>
            <w:vMerge/>
            <w:tcBorders>
              <w:left w:val="single" w:sz="4" w:space="0" w:color="231F20"/>
              <w:bottom w:val="single" w:sz="4" w:space="0" w:color="231F20"/>
            </w:tcBorders>
            <w:vAlign w:val="center"/>
          </w:tcPr>
          <w:p w14:paraId="46629903" w14:textId="77777777" w:rsidR="009E404F" w:rsidRPr="00B65D57" w:rsidRDefault="009E404F" w:rsidP="00DE498C">
            <w:pPr>
              <w:widowControl w:val="0"/>
              <w:jc w:val="center"/>
              <w:rPr>
                <w:rFonts w:eastAsia="Tahoma"/>
                <w:iCs/>
                <w:sz w:val="18"/>
                <w:szCs w:val="18"/>
              </w:rPr>
            </w:pP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4F94D68A"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Reproductive toxicity to mammals</w:t>
            </w:r>
            <w:r w:rsidRPr="00B65D57">
              <w:t xml:space="preserve"> </w:t>
            </w:r>
            <w:r w:rsidRPr="00B65D57">
              <w:rPr>
                <w:rFonts w:eastAsia="Tahoma"/>
                <w:spacing w:val="1"/>
                <w:w w:val="112"/>
                <w:sz w:val="18"/>
                <w:szCs w:val="18"/>
              </w:rPr>
              <w:t>(lowest relevant developmental)</w:t>
            </w:r>
          </w:p>
        </w:tc>
        <w:tc>
          <w:tcPr>
            <w:tcW w:w="2791" w:type="dxa"/>
            <w:tcBorders>
              <w:top w:val="single" w:sz="4" w:space="0" w:color="231F20"/>
              <w:left w:val="single" w:sz="4" w:space="0" w:color="231F20"/>
              <w:bottom w:val="single" w:sz="4" w:space="0" w:color="231F20"/>
              <w:right w:val="single" w:sz="4" w:space="0" w:color="231F20"/>
            </w:tcBorders>
            <w:vAlign w:val="center"/>
          </w:tcPr>
          <w:p w14:paraId="1BF74CCB" w14:textId="77777777" w:rsidR="009E404F" w:rsidRPr="00B65D57" w:rsidRDefault="009E404F" w:rsidP="00DE498C">
            <w:pPr>
              <w:widowControl w:val="0"/>
              <w:jc w:val="center"/>
              <w:rPr>
                <w:rFonts w:eastAsia="Tahoma"/>
                <w:iCs/>
                <w:sz w:val="18"/>
                <w:szCs w:val="18"/>
              </w:rPr>
            </w:pPr>
            <w:r w:rsidRPr="00B65D57">
              <w:rPr>
                <w:rFonts w:eastAsia="Tahoma"/>
                <w:iCs/>
                <w:sz w:val="18"/>
                <w:szCs w:val="18"/>
              </w:rPr>
              <w:t>NOAEL/LOAEL = 9.6 mg boron/kg bw/day</w:t>
            </w:r>
          </w:p>
        </w:tc>
        <w:tc>
          <w:tcPr>
            <w:tcW w:w="2596" w:type="dxa"/>
            <w:tcBorders>
              <w:top w:val="single" w:sz="4" w:space="0" w:color="231F20"/>
              <w:left w:val="single" w:sz="4" w:space="0" w:color="231F20"/>
              <w:bottom w:val="single" w:sz="4" w:space="0" w:color="231F20"/>
              <w:right w:val="single" w:sz="4" w:space="0" w:color="231F20"/>
            </w:tcBorders>
            <w:vAlign w:val="center"/>
          </w:tcPr>
          <w:p w14:paraId="7949C75B" w14:textId="77777777" w:rsidR="009E404F" w:rsidRPr="00B65D57" w:rsidRDefault="009E404F" w:rsidP="00DE498C">
            <w:pPr>
              <w:widowControl w:val="0"/>
              <w:jc w:val="center"/>
              <w:rPr>
                <w:rFonts w:eastAsia="Tahoma"/>
                <w:spacing w:val="-1"/>
                <w:sz w:val="18"/>
                <w:szCs w:val="18"/>
              </w:rPr>
            </w:pPr>
            <w:r w:rsidRPr="00B65D57">
              <w:rPr>
                <w:rFonts w:eastAsia="Tahoma"/>
                <w:spacing w:val="-1"/>
                <w:sz w:val="18"/>
                <w:szCs w:val="18"/>
              </w:rPr>
              <w:t>Assessment Report Disodium tetraborate, 2009</w:t>
            </w:r>
          </w:p>
        </w:tc>
      </w:tr>
      <w:tr w:rsidR="009E404F" w:rsidRPr="00B65D57" w14:paraId="7FE339D5" w14:textId="77777777" w:rsidTr="00DE498C">
        <w:trPr>
          <w:trHeight w:hRule="exact" w:val="563"/>
          <w:jc w:val="center"/>
        </w:trPr>
        <w:tc>
          <w:tcPr>
            <w:tcW w:w="1664" w:type="dxa"/>
            <w:vMerge/>
            <w:tcBorders>
              <w:left w:val="single" w:sz="4" w:space="0" w:color="231F20"/>
              <w:bottom w:val="single" w:sz="4" w:space="0" w:color="231F20"/>
            </w:tcBorders>
            <w:vAlign w:val="center"/>
          </w:tcPr>
          <w:p w14:paraId="1507A3EB" w14:textId="77777777" w:rsidR="009E404F" w:rsidRPr="00B65D57" w:rsidRDefault="009E404F" w:rsidP="00DE498C">
            <w:pPr>
              <w:widowControl w:val="0"/>
              <w:jc w:val="center"/>
              <w:rPr>
                <w:rFonts w:eastAsia="Tahoma"/>
                <w:iCs/>
                <w:sz w:val="18"/>
                <w:szCs w:val="18"/>
              </w:rPr>
            </w:pPr>
          </w:p>
        </w:tc>
        <w:tc>
          <w:tcPr>
            <w:tcW w:w="2402" w:type="dxa"/>
            <w:tcBorders>
              <w:top w:val="single" w:sz="4" w:space="0" w:color="231F20"/>
              <w:left w:val="single" w:sz="4" w:space="0" w:color="231F20"/>
              <w:bottom w:val="single" w:sz="4" w:space="0" w:color="231F20"/>
              <w:right w:val="single" w:sz="4" w:space="0" w:color="231F20"/>
            </w:tcBorders>
            <w:shd w:val="clear" w:color="auto" w:fill="auto"/>
            <w:vAlign w:val="center"/>
          </w:tcPr>
          <w:p w14:paraId="61282C8F" w14:textId="77777777" w:rsidR="009E404F" w:rsidRPr="00B65D57" w:rsidRDefault="009E404F" w:rsidP="00DE498C">
            <w:pPr>
              <w:widowControl w:val="0"/>
              <w:jc w:val="center"/>
              <w:rPr>
                <w:rFonts w:eastAsia="Tahoma"/>
                <w:spacing w:val="1"/>
                <w:w w:val="112"/>
                <w:sz w:val="18"/>
                <w:szCs w:val="18"/>
              </w:rPr>
            </w:pPr>
            <w:r w:rsidRPr="00B65D57">
              <w:rPr>
                <w:rFonts w:eastAsia="Tahoma"/>
                <w:spacing w:val="1"/>
                <w:w w:val="112"/>
                <w:sz w:val="18"/>
                <w:szCs w:val="18"/>
              </w:rPr>
              <w:t>Reproductive toxicity to birds</w:t>
            </w:r>
          </w:p>
        </w:tc>
        <w:tc>
          <w:tcPr>
            <w:tcW w:w="2791" w:type="dxa"/>
            <w:tcBorders>
              <w:top w:val="single" w:sz="4" w:space="0" w:color="231F20"/>
              <w:left w:val="single" w:sz="4" w:space="0" w:color="231F20"/>
              <w:bottom w:val="single" w:sz="4" w:space="0" w:color="231F20"/>
              <w:right w:val="single" w:sz="4" w:space="0" w:color="231F20"/>
            </w:tcBorders>
            <w:vAlign w:val="center"/>
          </w:tcPr>
          <w:p w14:paraId="5D426102" w14:textId="77777777" w:rsidR="009E404F" w:rsidRPr="00B65D57" w:rsidRDefault="009E404F" w:rsidP="00DE498C">
            <w:pPr>
              <w:jc w:val="center"/>
              <w:rPr>
                <w:rFonts w:eastAsia="Tahoma"/>
                <w:iCs/>
                <w:sz w:val="18"/>
                <w:szCs w:val="18"/>
              </w:rPr>
            </w:pPr>
            <w:r w:rsidRPr="00B65D57">
              <w:rPr>
                <w:rFonts w:eastAsia="Tahoma"/>
                <w:iCs/>
                <w:sz w:val="18"/>
                <w:szCs w:val="18"/>
              </w:rPr>
              <w:t>no data available</w:t>
            </w:r>
          </w:p>
        </w:tc>
        <w:tc>
          <w:tcPr>
            <w:tcW w:w="2596" w:type="dxa"/>
            <w:tcBorders>
              <w:top w:val="single" w:sz="4" w:space="0" w:color="231F20"/>
              <w:left w:val="single" w:sz="4" w:space="0" w:color="231F20"/>
              <w:bottom w:val="single" w:sz="4" w:space="0" w:color="231F20"/>
              <w:right w:val="single" w:sz="4" w:space="0" w:color="231F20"/>
            </w:tcBorders>
            <w:vAlign w:val="center"/>
          </w:tcPr>
          <w:p w14:paraId="56907B9E" w14:textId="77777777" w:rsidR="009E404F" w:rsidRPr="00B65D57" w:rsidRDefault="009E404F" w:rsidP="00DE498C">
            <w:pPr>
              <w:widowControl w:val="0"/>
              <w:jc w:val="center"/>
              <w:rPr>
                <w:rFonts w:eastAsia="Tahoma"/>
                <w:spacing w:val="-1"/>
                <w:sz w:val="18"/>
                <w:szCs w:val="18"/>
              </w:rPr>
            </w:pPr>
            <w:r w:rsidRPr="00B65D57">
              <w:rPr>
                <w:rFonts w:eastAsia="Tahoma"/>
                <w:spacing w:val="-1"/>
                <w:sz w:val="18"/>
                <w:szCs w:val="18"/>
              </w:rPr>
              <w:t>Assessment Report Disodium tetraborate, 2009</w:t>
            </w:r>
          </w:p>
        </w:tc>
      </w:tr>
    </w:tbl>
    <w:p w14:paraId="4B2E8DA0" w14:textId="77777777" w:rsidR="009E404F" w:rsidRPr="00B65D57" w:rsidRDefault="009E404F" w:rsidP="009E404F">
      <w:pPr>
        <w:spacing w:line="260" w:lineRule="atLeast"/>
        <w:contextualSpacing/>
        <w:jc w:val="both"/>
        <w:rPr>
          <w:rFonts w:eastAsia="Calibri"/>
          <w:iCs/>
          <w:highlight w:val="yellow"/>
          <w:lang w:eastAsia="en-US"/>
        </w:rPr>
      </w:pPr>
    </w:p>
    <w:p w14:paraId="53FC06AB" w14:textId="77777777" w:rsidR="009E404F" w:rsidRPr="00B65D57" w:rsidRDefault="009E404F" w:rsidP="009E404F">
      <w:pPr>
        <w:spacing w:line="276" w:lineRule="auto"/>
        <w:contextualSpacing/>
        <w:jc w:val="both"/>
        <w:rPr>
          <w:rFonts w:eastAsia="Calibri"/>
          <w:iCs/>
          <w:u w:val="single"/>
          <w:lang w:eastAsia="en-US"/>
        </w:rPr>
      </w:pPr>
      <w:r w:rsidRPr="00B65D57">
        <w:rPr>
          <w:rFonts w:eastAsia="Calibri"/>
          <w:iCs/>
          <w:u w:val="single"/>
          <w:lang w:eastAsia="en-US"/>
        </w:rPr>
        <w:t xml:space="preserve">Secondary poisoning </w:t>
      </w:r>
    </w:p>
    <w:p w14:paraId="0698BC45" w14:textId="77777777" w:rsidR="009E404F" w:rsidRPr="00B65D57" w:rsidRDefault="009E404F" w:rsidP="009E404F">
      <w:pPr>
        <w:spacing w:line="276" w:lineRule="auto"/>
        <w:contextualSpacing/>
        <w:rPr>
          <w:rFonts w:eastAsia="Calibri"/>
          <w:iCs/>
          <w:lang w:eastAsia="en-US"/>
        </w:rPr>
      </w:pPr>
      <w:r w:rsidRPr="00B65D57">
        <w:rPr>
          <w:rFonts w:eastAsia="Calibri"/>
          <w:iCs/>
          <w:lang w:eastAsia="en-US"/>
        </w:rPr>
        <w:t xml:space="preserve">Boron is not bioconcentrated or bioaccumulated along the food chain in neither aquatic nor terrestrial ecosystems (Assessment Report Boric acid, 2009 and Assessment Report Disodium tetraborate, 2009). </w:t>
      </w:r>
    </w:p>
    <w:p w14:paraId="2C7B56FE" w14:textId="77777777" w:rsidR="009E404F" w:rsidRPr="00B65D57" w:rsidRDefault="009E404F" w:rsidP="009E404F">
      <w:pPr>
        <w:spacing w:line="276" w:lineRule="auto"/>
        <w:contextualSpacing/>
        <w:jc w:val="both"/>
        <w:rPr>
          <w:rFonts w:eastAsia="Calibri"/>
          <w:iCs/>
          <w:lang w:eastAsia="en-US"/>
        </w:rPr>
      </w:pPr>
    </w:p>
    <w:p w14:paraId="12C52365" w14:textId="77777777" w:rsidR="009E404F" w:rsidRPr="00B65D57" w:rsidRDefault="009E404F" w:rsidP="009E404F">
      <w:pPr>
        <w:spacing w:line="276" w:lineRule="auto"/>
        <w:contextualSpacing/>
        <w:jc w:val="both"/>
        <w:rPr>
          <w:rFonts w:eastAsia="Calibri"/>
          <w:iCs/>
          <w:u w:val="single"/>
          <w:lang w:eastAsia="en-US"/>
        </w:rPr>
      </w:pPr>
      <w:r w:rsidRPr="00B65D57">
        <w:rPr>
          <w:rFonts w:eastAsia="Calibri"/>
          <w:iCs/>
          <w:u w:val="single"/>
          <w:lang w:eastAsia="en-US"/>
        </w:rPr>
        <w:t>Summary of PNECs of the active substances</w:t>
      </w:r>
    </w:p>
    <w:p w14:paraId="2FEB9A5B" w14:textId="77777777" w:rsidR="009E404F" w:rsidRPr="00B65D57" w:rsidRDefault="009E404F" w:rsidP="009E404F">
      <w:pPr>
        <w:spacing w:line="276" w:lineRule="auto"/>
      </w:pPr>
      <w:r w:rsidRPr="00B65D57">
        <w:t>The PNEC</w:t>
      </w:r>
      <w:r w:rsidRPr="00B65D57">
        <w:rPr>
          <w:vertAlign w:val="subscript"/>
        </w:rPr>
        <w:t>add</w:t>
      </w:r>
      <w:r w:rsidRPr="00B65D57">
        <w:t xml:space="preserve"> values considered relevant to use in the risk characterisation are presented in the table below.</w:t>
      </w:r>
    </w:p>
    <w:p w14:paraId="7C8D6587" w14:textId="77777777" w:rsidR="009E404F" w:rsidRPr="00B65D57" w:rsidRDefault="009E404F" w:rsidP="009E404F">
      <w:pPr>
        <w:pStyle w:val="Beskrivning"/>
        <w:keepNext/>
        <w:rPr>
          <w:rFonts w:ascii="Verdana" w:hAnsi="Verdana"/>
          <w:sz w:val="18"/>
          <w:szCs w:val="18"/>
        </w:rPr>
      </w:pPr>
    </w:p>
    <w:tbl>
      <w:tblPr>
        <w:tblW w:w="9825" w:type="dxa"/>
        <w:jc w:val="center"/>
        <w:tblLayout w:type="fixed"/>
        <w:tblCellMar>
          <w:left w:w="0" w:type="dxa"/>
          <w:right w:w="0" w:type="dxa"/>
        </w:tblCellMar>
        <w:tblLook w:val="01E0" w:firstRow="1" w:lastRow="1" w:firstColumn="1" w:lastColumn="1" w:noHBand="0" w:noVBand="0"/>
      </w:tblPr>
      <w:tblGrid>
        <w:gridCol w:w="1595"/>
        <w:gridCol w:w="2113"/>
        <w:gridCol w:w="1560"/>
        <w:gridCol w:w="1439"/>
        <w:gridCol w:w="1320"/>
        <w:gridCol w:w="1798"/>
      </w:tblGrid>
      <w:tr w:rsidR="009E404F" w:rsidRPr="00B65D57" w14:paraId="6EF8B933" w14:textId="77777777" w:rsidTr="00DE498C">
        <w:trPr>
          <w:trHeight w:hRule="exact" w:val="359"/>
          <w:jc w:val="center"/>
        </w:trPr>
        <w:tc>
          <w:tcPr>
            <w:tcW w:w="9825" w:type="dxa"/>
            <w:gridSpan w:val="6"/>
            <w:tcBorders>
              <w:top w:val="single" w:sz="4" w:space="0" w:color="231F20"/>
              <w:left w:val="single" w:sz="4" w:space="0" w:color="231F20"/>
              <w:bottom w:val="single" w:sz="4" w:space="0" w:color="231F20"/>
              <w:right w:val="single" w:sz="4" w:space="0" w:color="231F20"/>
            </w:tcBorders>
            <w:shd w:val="clear" w:color="auto" w:fill="F8FEC2"/>
            <w:vAlign w:val="center"/>
          </w:tcPr>
          <w:p w14:paraId="577CEF64" w14:textId="77777777" w:rsidR="009E404F" w:rsidRPr="00B65D57" w:rsidRDefault="009E404F" w:rsidP="00DE498C">
            <w:pPr>
              <w:widowControl w:val="0"/>
              <w:jc w:val="center"/>
              <w:rPr>
                <w:rFonts w:eastAsia="Tahoma"/>
                <w:bCs/>
                <w:spacing w:val="1"/>
                <w:w w:val="118"/>
              </w:rPr>
            </w:pPr>
            <w:r w:rsidRPr="00B65D57">
              <w:rPr>
                <w:rFonts w:eastAsia="Tahoma"/>
                <w:b/>
                <w:w w:val="115"/>
              </w:rPr>
              <w:t>Summary table of PNEC values for the active substances</w:t>
            </w:r>
          </w:p>
        </w:tc>
      </w:tr>
      <w:tr w:rsidR="009E404F" w:rsidRPr="00B65D57" w14:paraId="6D10D967" w14:textId="77777777" w:rsidTr="00DE498C">
        <w:trPr>
          <w:trHeight w:hRule="exact" w:val="857"/>
          <w:jc w:val="center"/>
        </w:trPr>
        <w:tc>
          <w:tcPr>
            <w:tcW w:w="1595"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56E5CC9E" w14:textId="77777777" w:rsidR="009E404F" w:rsidRPr="00B65D57" w:rsidRDefault="009E404F" w:rsidP="00DE498C">
            <w:pPr>
              <w:widowControl w:val="0"/>
              <w:jc w:val="center"/>
              <w:rPr>
                <w:rFonts w:eastAsia="Tahoma"/>
                <w:b/>
                <w:spacing w:val="1"/>
                <w:w w:val="115"/>
              </w:rPr>
            </w:pPr>
            <w:bookmarkStart w:id="1627" w:name="_Hlk11156839"/>
            <w:r w:rsidRPr="00B65D57">
              <w:rPr>
                <w:rFonts w:eastAsia="Tahoma"/>
                <w:b/>
                <w:spacing w:val="1"/>
                <w:w w:val="115"/>
              </w:rPr>
              <w:t>A</w:t>
            </w:r>
            <w:r w:rsidRPr="00B65D57">
              <w:rPr>
                <w:rFonts w:eastAsia="Tahoma"/>
                <w:b/>
                <w:w w:val="115"/>
              </w:rPr>
              <w:t>c</w:t>
            </w:r>
            <w:r w:rsidRPr="00B65D57">
              <w:rPr>
                <w:rFonts w:eastAsia="Tahoma"/>
                <w:b/>
                <w:spacing w:val="-1"/>
                <w:w w:val="115"/>
              </w:rPr>
              <w:t>t</w:t>
            </w:r>
            <w:r w:rsidRPr="00B65D57">
              <w:rPr>
                <w:rFonts w:eastAsia="Tahoma"/>
                <w:b/>
                <w:w w:val="115"/>
              </w:rPr>
              <w:t>ive</w:t>
            </w:r>
            <w:r w:rsidRPr="00B65D57">
              <w:rPr>
                <w:b/>
                <w:spacing w:val="8"/>
                <w:w w:val="115"/>
              </w:rPr>
              <w:t xml:space="preserve"> </w:t>
            </w:r>
            <w:r w:rsidRPr="00B65D57">
              <w:rPr>
                <w:rFonts w:eastAsia="Tahoma"/>
                <w:b/>
                <w:spacing w:val="1"/>
                <w:w w:val="115"/>
              </w:rPr>
              <w:t>s</w:t>
            </w:r>
            <w:r w:rsidRPr="00B65D57">
              <w:rPr>
                <w:rFonts w:eastAsia="Tahoma"/>
                <w:b/>
                <w:spacing w:val="2"/>
                <w:w w:val="115"/>
              </w:rPr>
              <w:t>u</w:t>
            </w:r>
            <w:r w:rsidRPr="00B65D57">
              <w:rPr>
                <w:rFonts w:eastAsia="Tahoma"/>
                <w:b/>
                <w:spacing w:val="-1"/>
                <w:w w:val="115"/>
              </w:rPr>
              <w:t>b</w:t>
            </w:r>
            <w:r w:rsidRPr="00B65D57">
              <w:rPr>
                <w:rFonts w:eastAsia="Tahoma"/>
                <w:b/>
                <w:spacing w:val="1"/>
                <w:w w:val="115"/>
              </w:rPr>
              <w:t>s</w:t>
            </w:r>
            <w:r w:rsidRPr="00B65D57">
              <w:rPr>
                <w:rFonts w:eastAsia="Tahoma"/>
                <w:b/>
                <w:spacing w:val="-1"/>
                <w:w w:val="115"/>
              </w:rPr>
              <w:t>t</w:t>
            </w:r>
            <w:r w:rsidRPr="00B65D57">
              <w:rPr>
                <w:rFonts w:eastAsia="Tahoma"/>
                <w:b/>
                <w:spacing w:val="5"/>
                <w:w w:val="115"/>
              </w:rPr>
              <w:t>a</w:t>
            </w:r>
            <w:r w:rsidRPr="00B65D57">
              <w:rPr>
                <w:rFonts w:eastAsia="Tahoma"/>
                <w:b/>
                <w:w w:val="115"/>
              </w:rPr>
              <w:t>nce</w:t>
            </w:r>
          </w:p>
        </w:tc>
        <w:tc>
          <w:tcPr>
            <w:tcW w:w="2113"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48E7A33D" w14:textId="77777777" w:rsidR="009E404F" w:rsidRPr="00B65D57" w:rsidRDefault="009E404F" w:rsidP="00DE498C">
            <w:pPr>
              <w:widowControl w:val="0"/>
              <w:jc w:val="center"/>
              <w:rPr>
                <w:rFonts w:eastAsia="Tahoma"/>
                <w:b/>
                <w:w w:val="112"/>
                <w:vertAlign w:val="subscript"/>
              </w:rPr>
            </w:pPr>
            <w:r w:rsidRPr="00B65D57">
              <w:rPr>
                <w:rFonts w:eastAsia="Tahoma"/>
                <w:b/>
                <w:spacing w:val="1"/>
                <w:w w:val="112"/>
              </w:rPr>
              <w:t>PN</w:t>
            </w:r>
            <w:r w:rsidRPr="00B65D57">
              <w:rPr>
                <w:rFonts w:eastAsia="Tahoma"/>
                <w:b/>
                <w:w w:val="112"/>
              </w:rPr>
              <w:t>EC</w:t>
            </w:r>
            <w:r w:rsidRPr="00B65D57">
              <w:rPr>
                <w:rFonts w:eastAsia="Tahoma"/>
                <w:b/>
                <w:w w:val="112"/>
                <w:vertAlign w:val="subscript"/>
              </w:rPr>
              <w:t>add, terrestrial</w:t>
            </w:r>
          </w:p>
        </w:tc>
        <w:tc>
          <w:tcPr>
            <w:tcW w:w="1560"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796E2CD4" w14:textId="77777777" w:rsidR="009E404F" w:rsidRPr="00B65D57" w:rsidRDefault="009E404F" w:rsidP="00DE498C">
            <w:pPr>
              <w:widowControl w:val="0"/>
              <w:jc w:val="center"/>
              <w:rPr>
                <w:rFonts w:eastAsia="Tahoma"/>
                <w:b/>
                <w:w w:val="119"/>
                <w:vertAlign w:val="subscript"/>
              </w:rPr>
            </w:pPr>
            <w:r w:rsidRPr="00B65D57">
              <w:rPr>
                <w:rFonts w:eastAsia="Tahoma"/>
                <w:b/>
                <w:spacing w:val="1"/>
                <w:w w:val="118"/>
                <w:position w:val="3"/>
              </w:rPr>
              <w:t>P</w:t>
            </w:r>
            <w:r w:rsidRPr="00B65D57">
              <w:rPr>
                <w:rFonts w:eastAsia="Tahoma"/>
                <w:b/>
                <w:spacing w:val="1"/>
                <w:w w:val="114"/>
                <w:position w:val="3"/>
              </w:rPr>
              <w:t>N</w:t>
            </w:r>
            <w:r w:rsidRPr="00B65D57">
              <w:rPr>
                <w:rFonts w:eastAsia="Tahoma"/>
                <w:b/>
                <w:w w:val="109"/>
                <w:position w:val="3"/>
              </w:rPr>
              <w:t>E</w:t>
            </w:r>
            <w:r w:rsidRPr="00B65D57">
              <w:rPr>
                <w:rFonts w:eastAsia="Tahoma"/>
                <w:b/>
                <w:spacing w:val="-1"/>
                <w:w w:val="110"/>
                <w:position w:val="3"/>
              </w:rPr>
              <w:t>C</w:t>
            </w:r>
            <w:r w:rsidRPr="00B65D57">
              <w:rPr>
                <w:rFonts w:eastAsia="Tahoma"/>
                <w:b/>
                <w:spacing w:val="-1"/>
                <w:w w:val="110"/>
                <w:position w:val="3"/>
                <w:vertAlign w:val="subscript"/>
              </w:rPr>
              <w:t>add, aquatic</w:t>
            </w:r>
          </w:p>
        </w:tc>
        <w:tc>
          <w:tcPr>
            <w:tcW w:w="1439"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12BAC0C5" w14:textId="77777777" w:rsidR="009E404F" w:rsidRPr="00B65D57" w:rsidRDefault="009E404F" w:rsidP="00DE498C">
            <w:pPr>
              <w:widowControl w:val="0"/>
              <w:jc w:val="center"/>
              <w:rPr>
                <w:rFonts w:eastAsia="Tahoma"/>
                <w:b/>
                <w:spacing w:val="1"/>
                <w:w w:val="112"/>
                <w:vertAlign w:val="subscript"/>
              </w:rPr>
            </w:pPr>
            <w:r w:rsidRPr="00B65D57">
              <w:rPr>
                <w:rFonts w:eastAsia="Tahoma"/>
                <w:b/>
                <w:spacing w:val="1"/>
                <w:w w:val="112"/>
              </w:rPr>
              <w:t>PNEC</w:t>
            </w:r>
            <w:r w:rsidRPr="00B65D57">
              <w:rPr>
                <w:rFonts w:eastAsia="Tahoma"/>
                <w:b/>
                <w:spacing w:val="1"/>
                <w:w w:val="112"/>
                <w:vertAlign w:val="subscript"/>
              </w:rPr>
              <w:t>add, sediment</w:t>
            </w:r>
          </w:p>
        </w:tc>
        <w:tc>
          <w:tcPr>
            <w:tcW w:w="1320"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218213DE" w14:textId="77777777" w:rsidR="009E404F" w:rsidRPr="00B65D57" w:rsidRDefault="009E404F" w:rsidP="00DE498C">
            <w:pPr>
              <w:widowControl w:val="0"/>
              <w:jc w:val="center"/>
              <w:rPr>
                <w:rFonts w:eastAsia="Tahoma"/>
                <w:b/>
                <w:w w:val="118"/>
                <w:position w:val="-3"/>
                <w:vertAlign w:val="subscript"/>
              </w:rPr>
            </w:pPr>
            <w:r w:rsidRPr="00B65D57">
              <w:rPr>
                <w:rFonts w:eastAsia="Tahoma"/>
                <w:b/>
                <w:spacing w:val="1"/>
                <w:w w:val="118"/>
              </w:rPr>
              <w:t>PNEC</w:t>
            </w:r>
            <w:r w:rsidRPr="00B65D57">
              <w:rPr>
                <w:rFonts w:eastAsia="Tahoma"/>
                <w:b/>
                <w:spacing w:val="1"/>
                <w:w w:val="118"/>
                <w:vertAlign w:val="subscript"/>
              </w:rPr>
              <w:t>add, STP</w:t>
            </w:r>
          </w:p>
        </w:tc>
        <w:tc>
          <w:tcPr>
            <w:tcW w:w="1798" w:type="dxa"/>
            <w:tcBorders>
              <w:top w:val="single" w:sz="4" w:space="0" w:color="231F20"/>
              <w:left w:val="single" w:sz="4" w:space="0" w:color="231F20"/>
              <w:bottom w:val="single" w:sz="4" w:space="0" w:color="231F20"/>
              <w:right w:val="single" w:sz="4" w:space="0" w:color="231F20"/>
            </w:tcBorders>
            <w:shd w:val="clear" w:color="auto" w:fill="F8FEC2"/>
            <w:vAlign w:val="center"/>
          </w:tcPr>
          <w:p w14:paraId="1640FE5F" w14:textId="77777777" w:rsidR="009E404F" w:rsidRPr="00B65D57" w:rsidRDefault="009E404F" w:rsidP="00DE498C">
            <w:pPr>
              <w:widowControl w:val="0"/>
              <w:jc w:val="center"/>
              <w:rPr>
                <w:rFonts w:eastAsia="Tahoma"/>
                <w:b/>
                <w:spacing w:val="1"/>
                <w:w w:val="118"/>
                <w:vertAlign w:val="subscript"/>
              </w:rPr>
            </w:pPr>
            <w:r w:rsidRPr="00B65D57">
              <w:rPr>
                <w:rFonts w:eastAsia="Tahoma"/>
                <w:b/>
                <w:spacing w:val="1"/>
                <w:w w:val="118"/>
              </w:rPr>
              <w:t>PNEC</w:t>
            </w:r>
            <w:r w:rsidRPr="00B65D57">
              <w:rPr>
                <w:rFonts w:eastAsia="Tahoma"/>
                <w:b/>
                <w:spacing w:val="1"/>
                <w:w w:val="118"/>
                <w:vertAlign w:val="subscript"/>
              </w:rPr>
              <w:t>gw</w:t>
            </w:r>
          </w:p>
          <w:p w14:paraId="566B4A5E" w14:textId="77777777" w:rsidR="009E404F" w:rsidRPr="00B65D57" w:rsidRDefault="009E404F" w:rsidP="00DE498C">
            <w:pPr>
              <w:widowControl w:val="0"/>
              <w:jc w:val="center"/>
              <w:rPr>
                <w:rFonts w:eastAsia="Tahoma"/>
                <w:b/>
                <w:spacing w:val="1"/>
                <w:w w:val="118"/>
              </w:rPr>
            </w:pPr>
            <w:r w:rsidRPr="00B65D57">
              <w:rPr>
                <w:rFonts w:eastAsia="Tahoma"/>
                <w:b/>
                <w:spacing w:val="1"/>
                <w:w w:val="118"/>
              </w:rPr>
              <w:t>(drinking water limit)</w:t>
            </w:r>
          </w:p>
        </w:tc>
      </w:tr>
      <w:tr w:rsidR="009E404F" w:rsidRPr="00FE19C9" w14:paraId="656ADEE5" w14:textId="77777777" w:rsidTr="00DE498C">
        <w:trPr>
          <w:trHeight w:hRule="exact" w:val="1428"/>
          <w:jc w:val="center"/>
        </w:trPr>
        <w:tc>
          <w:tcPr>
            <w:tcW w:w="1595" w:type="dxa"/>
            <w:tcBorders>
              <w:top w:val="single" w:sz="4" w:space="0" w:color="231F20"/>
              <w:left w:val="single" w:sz="4" w:space="0" w:color="231F20"/>
              <w:bottom w:val="single" w:sz="4" w:space="0" w:color="231F20"/>
              <w:right w:val="single" w:sz="4" w:space="0" w:color="231F20"/>
            </w:tcBorders>
            <w:vAlign w:val="center"/>
          </w:tcPr>
          <w:p w14:paraId="3A713BC8" w14:textId="77777777" w:rsidR="009E404F" w:rsidRPr="00B65D57" w:rsidRDefault="009E404F" w:rsidP="00DE498C">
            <w:pPr>
              <w:widowControl w:val="0"/>
              <w:jc w:val="center"/>
              <w:rPr>
                <w:rFonts w:eastAsia="Tahoma"/>
                <w:iCs/>
              </w:rPr>
            </w:pPr>
            <w:r w:rsidRPr="00B65D57">
              <w:rPr>
                <w:rFonts w:eastAsia="Tahoma"/>
                <w:iCs/>
              </w:rPr>
              <w:t>Boric acid and</w:t>
            </w:r>
          </w:p>
          <w:p w14:paraId="250F28C5" w14:textId="77777777" w:rsidR="009E404F" w:rsidRPr="00B65D57" w:rsidRDefault="009E404F" w:rsidP="00DE498C">
            <w:pPr>
              <w:widowControl w:val="0"/>
              <w:jc w:val="center"/>
              <w:rPr>
                <w:rFonts w:eastAsia="Tahoma"/>
                <w:b/>
                <w:bCs/>
              </w:rPr>
            </w:pPr>
            <w:r w:rsidRPr="00B65D57">
              <w:rPr>
                <w:rFonts w:eastAsia="Tahoma"/>
              </w:rPr>
              <w:t>Disodium tetraborate pentahydrate</w:t>
            </w:r>
          </w:p>
        </w:tc>
        <w:tc>
          <w:tcPr>
            <w:tcW w:w="2113"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19BE17C" w14:textId="77777777" w:rsidR="009E404F" w:rsidRPr="00B65D57" w:rsidRDefault="009E404F" w:rsidP="00DE498C">
            <w:pPr>
              <w:widowControl w:val="0"/>
              <w:spacing w:after="120"/>
              <w:jc w:val="center"/>
              <w:rPr>
                <w:rFonts w:eastAsia="Tahoma"/>
                <w:spacing w:val="1"/>
                <w:w w:val="112"/>
              </w:rPr>
            </w:pPr>
            <w:r w:rsidRPr="00B65D57">
              <w:rPr>
                <w:rFonts w:eastAsia="Tahoma"/>
                <w:spacing w:val="1"/>
                <w:w w:val="112"/>
              </w:rPr>
              <w:t>0.4 mg B/kg dw</w:t>
            </w:r>
          </w:p>
          <w:p w14:paraId="64263CAB" w14:textId="77777777" w:rsidR="009E404F" w:rsidRPr="00B65D57" w:rsidRDefault="009E404F" w:rsidP="00DE498C">
            <w:pPr>
              <w:widowControl w:val="0"/>
              <w:spacing w:after="120"/>
              <w:jc w:val="center"/>
              <w:rPr>
                <w:rFonts w:eastAsia="Tahoma"/>
                <w:spacing w:val="1"/>
                <w:w w:val="112"/>
              </w:rPr>
            </w:pPr>
            <w:r w:rsidRPr="00B65D57">
              <w:rPr>
                <w:rFonts w:eastAsia="Tahoma"/>
                <w:spacing w:val="1"/>
                <w:w w:val="112"/>
              </w:rPr>
              <w:t>(2.29 mg BAE/kg dw)*</w:t>
            </w:r>
          </w:p>
        </w:tc>
        <w:tc>
          <w:tcPr>
            <w:tcW w:w="1560" w:type="dxa"/>
            <w:tcBorders>
              <w:top w:val="single" w:sz="4" w:space="0" w:color="231F20"/>
              <w:left w:val="single" w:sz="4" w:space="0" w:color="231F20"/>
              <w:bottom w:val="single" w:sz="4" w:space="0" w:color="231F20"/>
              <w:right w:val="single" w:sz="4" w:space="0" w:color="231F20"/>
            </w:tcBorders>
            <w:vAlign w:val="center"/>
          </w:tcPr>
          <w:p w14:paraId="29F2582B" w14:textId="77777777" w:rsidR="009E404F" w:rsidRPr="00325E28" w:rsidRDefault="009E404F" w:rsidP="00DE498C">
            <w:pPr>
              <w:widowControl w:val="0"/>
              <w:spacing w:after="120"/>
              <w:jc w:val="center"/>
              <w:rPr>
                <w:rFonts w:eastAsia="Tahoma"/>
                <w:lang w:val="da-DK"/>
              </w:rPr>
            </w:pPr>
            <w:r w:rsidRPr="00325E28">
              <w:rPr>
                <w:rFonts w:eastAsia="Tahoma"/>
                <w:lang w:val="da-DK"/>
              </w:rPr>
              <w:t>0.18 mg B/L</w:t>
            </w:r>
          </w:p>
          <w:p w14:paraId="512D409D" w14:textId="77777777" w:rsidR="009E404F" w:rsidRPr="00325E28" w:rsidRDefault="009E404F" w:rsidP="00DE498C">
            <w:pPr>
              <w:widowControl w:val="0"/>
              <w:spacing w:after="120"/>
              <w:jc w:val="center"/>
              <w:rPr>
                <w:rFonts w:eastAsia="Tahoma"/>
                <w:highlight w:val="yellow"/>
                <w:lang w:val="da-DK"/>
              </w:rPr>
            </w:pPr>
            <w:r w:rsidRPr="00325E28">
              <w:rPr>
                <w:rFonts w:eastAsia="Tahoma"/>
                <w:lang w:val="da-DK"/>
              </w:rPr>
              <w:t>(1.03 mg BAE/L)*</w:t>
            </w:r>
          </w:p>
        </w:tc>
        <w:tc>
          <w:tcPr>
            <w:tcW w:w="1439" w:type="dxa"/>
            <w:tcBorders>
              <w:top w:val="single" w:sz="4" w:space="0" w:color="231F20"/>
              <w:left w:val="single" w:sz="4" w:space="0" w:color="231F20"/>
              <w:bottom w:val="single" w:sz="4" w:space="0" w:color="231F20"/>
              <w:right w:val="single" w:sz="4" w:space="0" w:color="231F20"/>
            </w:tcBorders>
            <w:vAlign w:val="center"/>
          </w:tcPr>
          <w:p w14:paraId="50149C74" w14:textId="77777777" w:rsidR="009E404F" w:rsidRPr="00325E28" w:rsidRDefault="009E404F" w:rsidP="00DE498C">
            <w:pPr>
              <w:widowControl w:val="0"/>
              <w:spacing w:after="120"/>
              <w:jc w:val="center"/>
              <w:rPr>
                <w:rFonts w:eastAsia="Tahoma"/>
                <w:spacing w:val="-1"/>
                <w:lang w:val="da-DK"/>
              </w:rPr>
            </w:pPr>
            <w:r w:rsidRPr="00325E28">
              <w:rPr>
                <w:rFonts w:eastAsia="Tahoma"/>
                <w:spacing w:val="-1"/>
                <w:lang w:val="da-DK"/>
              </w:rPr>
              <w:t>0.24 mg B/kg wwt</w:t>
            </w:r>
          </w:p>
          <w:p w14:paraId="41C2EAAD" w14:textId="77777777" w:rsidR="009E404F" w:rsidRPr="00325E28" w:rsidRDefault="009E404F" w:rsidP="00DE498C">
            <w:pPr>
              <w:widowControl w:val="0"/>
              <w:spacing w:after="120"/>
              <w:jc w:val="center"/>
              <w:rPr>
                <w:rFonts w:eastAsia="Tahoma"/>
                <w:spacing w:val="-1"/>
                <w:highlight w:val="yellow"/>
                <w:lang w:val="da-DK"/>
              </w:rPr>
            </w:pPr>
            <w:r w:rsidRPr="00325E28">
              <w:rPr>
                <w:rFonts w:eastAsia="Tahoma"/>
                <w:spacing w:val="-1"/>
                <w:lang w:val="da-DK"/>
              </w:rPr>
              <w:t>(1.37 mg BAE/kg ww)*</w:t>
            </w:r>
          </w:p>
        </w:tc>
        <w:tc>
          <w:tcPr>
            <w:tcW w:w="1320" w:type="dxa"/>
            <w:tcBorders>
              <w:top w:val="single" w:sz="4" w:space="0" w:color="231F20"/>
              <w:left w:val="single" w:sz="4" w:space="0" w:color="231F20"/>
              <w:bottom w:val="single" w:sz="4" w:space="0" w:color="231F20"/>
              <w:right w:val="single" w:sz="4" w:space="0" w:color="231F20"/>
            </w:tcBorders>
            <w:vAlign w:val="center"/>
          </w:tcPr>
          <w:p w14:paraId="6DB1D532" w14:textId="77777777" w:rsidR="009E404F" w:rsidRPr="00325E28" w:rsidRDefault="009E404F" w:rsidP="00DE498C">
            <w:pPr>
              <w:widowControl w:val="0"/>
              <w:spacing w:after="120"/>
              <w:jc w:val="center"/>
              <w:rPr>
                <w:rFonts w:eastAsia="Tahoma"/>
                <w:lang w:val="da-DK"/>
              </w:rPr>
            </w:pPr>
            <w:r w:rsidRPr="00325E28">
              <w:rPr>
                <w:rFonts w:eastAsia="Tahoma"/>
                <w:lang w:val="da-DK"/>
              </w:rPr>
              <w:t>1.8 mg B/L</w:t>
            </w:r>
          </w:p>
          <w:p w14:paraId="5A4CE403" w14:textId="77777777" w:rsidR="009E404F" w:rsidRPr="00325E28" w:rsidRDefault="009E404F" w:rsidP="00DE498C">
            <w:pPr>
              <w:widowControl w:val="0"/>
              <w:spacing w:after="120"/>
              <w:jc w:val="center"/>
              <w:rPr>
                <w:rFonts w:eastAsia="Tahoma"/>
                <w:highlight w:val="yellow"/>
                <w:lang w:val="da-DK"/>
              </w:rPr>
            </w:pPr>
            <w:r w:rsidRPr="00325E28">
              <w:rPr>
                <w:rFonts w:eastAsia="Tahoma"/>
                <w:lang w:val="da-DK"/>
              </w:rPr>
              <w:t>(10.3 mg BAE/L)*</w:t>
            </w:r>
          </w:p>
        </w:tc>
        <w:tc>
          <w:tcPr>
            <w:tcW w:w="1798"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2D422E0" w14:textId="77777777" w:rsidR="009E404F" w:rsidRPr="00325E28" w:rsidRDefault="009E404F" w:rsidP="00DE498C">
            <w:pPr>
              <w:widowControl w:val="0"/>
              <w:spacing w:after="120"/>
              <w:jc w:val="center"/>
              <w:rPr>
                <w:rFonts w:eastAsia="Tahoma"/>
                <w:spacing w:val="1"/>
                <w:w w:val="112"/>
                <w:lang w:val="da-DK"/>
              </w:rPr>
            </w:pPr>
            <w:r w:rsidRPr="00325E28">
              <w:rPr>
                <w:rFonts w:eastAsia="Tahoma"/>
                <w:spacing w:val="1"/>
                <w:w w:val="112"/>
                <w:lang w:val="da-DK"/>
              </w:rPr>
              <w:t>1 mg B/L</w:t>
            </w:r>
          </w:p>
          <w:p w14:paraId="2F4AD8C6" w14:textId="77777777" w:rsidR="009E404F" w:rsidRPr="00325E28" w:rsidRDefault="009E404F" w:rsidP="00DE498C">
            <w:pPr>
              <w:widowControl w:val="0"/>
              <w:spacing w:after="120"/>
              <w:jc w:val="center"/>
              <w:rPr>
                <w:rFonts w:eastAsia="Tahoma"/>
                <w:spacing w:val="1"/>
                <w:w w:val="112"/>
                <w:highlight w:val="yellow"/>
                <w:lang w:val="da-DK"/>
              </w:rPr>
            </w:pPr>
            <w:r w:rsidRPr="00325E28">
              <w:rPr>
                <w:rFonts w:eastAsia="Tahoma"/>
                <w:spacing w:val="1"/>
                <w:w w:val="112"/>
                <w:lang w:val="da-DK"/>
              </w:rPr>
              <w:t>(5.72 mg BAE/L)*</w:t>
            </w:r>
          </w:p>
        </w:tc>
      </w:tr>
    </w:tbl>
    <w:bookmarkEnd w:id="1627"/>
    <w:p w14:paraId="03E805DB" w14:textId="64429F9E" w:rsidR="00A33577" w:rsidRPr="00B65D57" w:rsidRDefault="009E404F" w:rsidP="00A33577">
      <w:pPr>
        <w:spacing w:after="240" w:line="276" w:lineRule="auto"/>
        <w:jc w:val="both"/>
        <w:rPr>
          <w:rFonts w:eastAsia="Calibri"/>
          <w:i/>
          <w:iCs/>
          <w:sz w:val="18"/>
          <w:szCs w:val="18"/>
          <w:highlight w:val="yellow"/>
          <w:lang w:eastAsia="en-US"/>
        </w:rPr>
      </w:pPr>
      <w:r w:rsidRPr="00B65D57">
        <w:rPr>
          <w:rFonts w:eastAsia="Calibri"/>
          <w:i/>
          <w:iCs/>
          <w:sz w:val="18"/>
          <w:szCs w:val="18"/>
          <w:lang w:eastAsia="en-US"/>
        </w:rPr>
        <w:t>*</w:t>
      </w:r>
      <w:r w:rsidRPr="00B65D57">
        <w:rPr>
          <w:i/>
          <w:sz w:val="18"/>
          <w:szCs w:val="18"/>
        </w:rPr>
        <w:t>T</w:t>
      </w:r>
      <w:r w:rsidRPr="00B65D57">
        <w:rPr>
          <w:rFonts w:eastAsia="Calibri"/>
          <w:i/>
          <w:iCs/>
          <w:sz w:val="18"/>
          <w:szCs w:val="18"/>
          <w:lang w:eastAsia="en-US"/>
        </w:rPr>
        <w:t>he values in brackets are recalculated to boric acid equivalents (BAE) using the factor of 5.72.</w:t>
      </w:r>
      <w:bookmarkStart w:id="1628" w:name="_Toc389729099"/>
      <w:bookmarkStart w:id="1629" w:name="_Toc403472784"/>
    </w:p>
    <w:p w14:paraId="7E1404E8" w14:textId="7134AD01" w:rsidR="009E404F" w:rsidRPr="00B65D57" w:rsidRDefault="002C23EC" w:rsidP="008F4848">
      <w:pPr>
        <w:pStyle w:val="Rubrik5"/>
        <w:rPr>
          <w:lang w:val="en-GB"/>
        </w:rPr>
      </w:pPr>
      <w:r w:rsidRPr="00B65D57">
        <w:rPr>
          <w:lang w:val="en-GB"/>
        </w:rPr>
        <w:t xml:space="preserve">2.2.8.1.1 </w:t>
      </w:r>
      <w:r w:rsidR="009E404F" w:rsidRPr="00B65D57">
        <w:rPr>
          <w:lang w:val="en-GB"/>
        </w:rPr>
        <w:t>Information relating to the ecotoxicity of the biocidal product which is sufficient to enable a decision to be made concerning the classification of the product</w:t>
      </w:r>
      <w:bookmarkEnd w:id="1628"/>
      <w:bookmarkEnd w:id="1629"/>
    </w:p>
    <w:p w14:paraId="610D2380" w14:textId="77777777" w:rsidR="009E404F" w:rsidRPr="00B65D57" w:rsidRDefault="009E404F" w:rsidP="008F4848">
      <w:pPr>
        <w:spacing w:after="120" w:line="276" w:lineRule="auto"/>
        <w:rPr>
          <w:rFonts w:eastAsia="Calibri"/>
          <w:lang w:eastAsia="en-US"/>
        </w:rPr>
      </w:pPr>
      <w:r w:rsidRPr="00B65D57">
        <w:rPr>
          <w:rFonts w:eastAsia="Calibri"/>
          <w:lang w:eastAsia="en-US"/>
        </w:rPr>
        <w:t>No environmental classification of the active substances is needed (please refer to Annex VI of Regulation (EC) No 1272/2008), and no other constituents in the product have an influence on the environmental classification and labelling of the product.</w:t>
      </w:r>
      <w:r w:rsidRPr="00B65D57">
        <w:t xml:space="preserve"> </w:t>
      </w:r>
      <w:r w:rsidRPr="00B65D57">
        <w:rPr>
          <w:rFonts w:eastAsia="Calibri"/>
          <w:lang w:eastAsia="en-US"/>
        </w:rPr>
        <w:t>The conclusion of the environmental classification of the product is presented below.</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9E404F" w:rsidRPr="00B65D57" w14:paraId="3F6C80B8" w14:textId="77777777" w:rsidTr="00DE498C">
        <w:tc>
          <w:tcPr>
            <w:tcW w:w="5000" w:type="pct"/>
            <w:tcBorders>
              <w:top w:val="single" w:sz="4" w:space="0" w:color="auto"/>
              <w:left w:val="single" w:sz="4" w:space="0" w:color="auto"/>
              <w:bottom w:val="single" w:sz="6" w:space="0" w:color="auto"/>
              <w:right w:val="single" w:sz="6" w:space="0" w:color="auto"/>
            </w:tcBorders>
            <w:shd w:val="clear" w:color="auto" w:fill="CCFFCC"/>
          </w:tcPr>
          <w:p w14:paraId="5017E301" w14:textId="77777777" w:rsidR="009E404F" w:rsidRPr="00B65D57" w:rsidRDefault="009E404F" w:rsidP="008F4848">
            <w:pPr>
              <w:rPr>
                <w:rFonts w:eastAsia="Calibri"/>
                <w:b/>
                <w:sz w:val="18"/>
                <w:szCs w:val="18"/>
              </w:rPr>
            </w:pPr>
            <w:r w:rsidRPr="00B65D57">
              <w:rPr>
                <w:rFonts w:eastAsia="Calibri"/>
                <w:b/>
                <w:sz w:val="18"/>
                <w:szCs w:val="18"/>
              </w:rPr>
              <w:t>Environmental classification and labelling of the product</w:t>
            </w:r>
          </w:p>
        </w:tc>
      </w:tr>
      <w:tr w:rsidR="009E404F" w:rsidRPr="00B65D57" w14:paraId="2323F95F" w14:textId="77777777" w:rsidTr="006B6838">
        <w:trPr>
          <w:trHeight w:val="59"/>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092E723" w14:textId="77777777" w:rsidR="009E404F" w:rsidRPr="00B65D57" w:rsidRDefault="009E404F" w:rsidP="008F4848">
            <w:pPr>
              <w:spacing w:before="60" w:after="40"/>
              <w:rPr>
                <w:rFonts w:eastAsia="Calibri"/>
                <w:b/>
                <w:sz w:val="18"/>
                <w:szCs w:val="18"/>
              </w:rPr>
            </w:pPr>
            <w:r w:rsidRPr="00B65D57">
              <w:rPr>
                <w:rFonts w:eastAsia="Calibri"/>
                <w:b/>
                <w:sz w:val="18"/>
                <w:szCs w:val="18"/>
              </w:rPr>
              <w:t>Classification: none</w:t>
            </w:r>
          </w:p>
          <w:p w14:paraId="5EBA10D1" w14:textId="77777777" w:rsidR="009E404F" w:rsidRPr="00B65D57" w:rsidRDefault="009E404F" w:rsidP="008F4848">
            <w:pPr>
              <w:spacing w:after="60"/>
              <w:rPr>
                <w:rFonts w:eastAsia="Calibri"/>
                <w:b/>
                <w:i/>
                <w:sz w:val="18"/>
                <w:szCs w:val="18"/>
              </w:rPr>
            </w:pPr>
            <w:r w:rsidRPr="00B65D57">
              <w:rPr>
                <w:rFonts w:eastAsia="Calibri"/>
                <w:b/>
                <w:sz w:val="18"/>
                <w:szCs w:val="18"/>
              </w:rPr>
              <w:lastRenderedPageBreak/>
              <w:t>Labelling: none</w:t>
            </w:r>
          </w:p>
        </w:tc>
      </w:tr>
    </w:tbl>
    <w:p w14:paraId="36226404" w14:textId="77777777" w:rsidR="009E404F" w:rsidRPr="00B65D57" w:rsidRDefault="009E404F" w:rsidP="008F4848">
      <w:pPr>
        <w:spacing w:line="260" w:lineRule="atLeast"/>
        <w:rPr>
          <w:rFonts w:ascii="Times New Roman" w:eastAsia="Calibri" w:hAnsi="Times New Roman"/>
          <w:lang w:eastAsia="en-US"/>
        </w:rPr>
      </w:pPr>
    </w:p>
    <w:p w14:paraId="6063B143" w14:textId="0CE489CE" w:rsidR="009E404F" w:rsidRPr="00B65D57" w:rsidRDefault="002C23EC" w:rsidP="008F4848">
      <w:pPr>
        <w:pStyle w:val="Rubrik5"/>
        <w:spacing w:line="276" w:lineRule="auto"/>
        <w:rPr>
          <w:lang w:val="en-GB"/>
        </w:rPr>
      </w:pPr>
      <w:bookmarkStart w:id="1630" w:name="_Toc389729100"/>
      <w:bookmarkStart w:id="1631" w:name="_Toc403472785"/>
      <w:r w:rsidRPr="00B65D57">
        <w:rPr>
          <w:lang w:val="en-GB"/>
        </w:rPr>
        <w:t xml:space="preserve">2.2.8.1.2 </w:t>
      </w:r>
      <w:r w:rsidR="009E404F" w:rsidRPr="00B65D57">
        <w:rPr>
          <w:lang w:val="en-GB"/>
        </w:rPr>
        <w:t>Further Ecotoxicological studies</w:t>
      </w:r>
      <w:bookmarkEnd w:id="1630"/>
      <w:bookmarkEnd w:id="1631"/>
    </w:p>
    <w:p w14:paraId="6B943FF0" w14:textId="77777777" w:rsidR="009E404F" w:rsidRPr="00B65D57" w:rsidRDefault="009E404F" w:rsidP="008F4848">
      <w:pPr>
        <w:spacing w:line="276" w:lineRule="auto"/>
        <w:jc w:val="both"/>
        <w:rPr>
          <w:rFonts w:eastAsia="Calibri"/>
          <w:lang w:eastAsia="en-US"/>
        </w:rPr>
      </w:pPr>
      <w:r w:rsidRPr="00B65D57">
        <w:rPr>
          <w:rFonts w:eastAsia="Calibri"/>
          <w:lang w:eastAsia="en-US"/>
        </w:rPr>
        <w:t>No further ecotoxicological studies are required.</w:t>
      </w:r>
    </w:p>
    <w:p w14:paraId="3165C9E8" w14:textId="77777777" w:rsidR="009E404F" w:rsidRPr="00B65D57" w:rsidRDefault="009E404F" w:rsidP="008F4848">
      <w:pPr>
        <w:spacing w:line="276" w:lineRule="auto"/>
        <w:rPr>
          <w:rFonts w:eastAsia="Calibri"/>
          <w:iCs/>
          <w:lang w:eastAsia="en-US"/>
        </w:rPr>
      </w:pPr>
    </w:p>
    <w:p w14:paraId="28FF9C87" w14:textId="78BC7923" w:rsidR="009E404F" w:rsidRPr="00B65D57" w:rsidRDefault="002C23EC" w:rsidP="008F4848">
      <w:pPr>
        <w:pStyle w:val="Rubrik5"/>
        <w:spacing w:line="276" w:lineRule="auto"/>
        <w:rPr>
          <w:lang w:val="en-GB"/>
        </w:rPr>
      </w:pPr>
      <w:bookmarkStart w:id="1632" w:name="_Toc389729101"/>
      <w:bookmarkStart w:id="1633" w:name="_Toc403472786"/>
      <w:r w:rsidRPr="00B65D57">
        <w:rPr>
          <w:lang w:val="en-GB"/>
        </w:rPr>
        <w:t xml:space="preserve">2.2.8.1.3 </w:t>
      </w:r>
      <w:r w:rsidR="009E404F" w:rsidRPr="00B65D57">
        <w:rPr>
          <w:lang w:val="en-GB"/>
        </w:rPr>
        <w:t>Effects on any other specific, non-target organisms (flora and fauna) believed to be at risk (ADS)</w:t>
      </w:r>
      <w:bookmarkEnd w:id="1632"/>
      <w:bookmarkEnd w:id="1633"/>
    </w:p>
    <w:p w14:paraId="7124B950" w14:textId="77777777" w:rsidR="009E404F" w:rsidRPr="00B65D57" w:rsidRDefault="009E404F" w:rsidP="008F4848">
      <w:pPr>
        <w:spacing w:line="276" w:lineRule="auto"/>
        <w:rPr>
          <w:rFonts w:eastAsia="Calibri"/>
          <w:lang w:eastAsia="en-US"/>
        </w:rPr>
      </w:pPr>
      <w:bookmarkStart w:id="1634" w:name="_Hlk9602038"/>
      <w:r w:rsidRPr="00B65D57">
        <w:rPr>
          <w:rFonts w:eastAsia="Calibri"/>
          <w:lang w:eastAsia="en-US"/>
        </w:rPr>
        <w:t>No additional data are required. The data in the CARs for boric acid and disodium tetraborate pentahydrate are sufficient.</w:t>
      </w:r>
    </w:p>
    <w:bookmarkEnd w:id="1634"/>
    <w:p w14:paraId="28E61CD6" w14:textId="77777777" w:rsidR="009E404F" w:rsidRPr="00B65D57" w:rsidRDefault="009E404F" w:rsidP="008F4848">
      <w:pPr>
        <w:spacing w:line="276" w:lineRule="auto"/>
        <w:rPr>
          <w:rFonts w:eastAsia="Calibri"/>
          <w:i/>
          <w:iCs/>
          <w:lang w:eastAsia="en-US"/>
        </w:rPr>
      </w:pPr>
    </w:p>
    <w:p w14:paraId="1EED1170" w14:textId="7333B63A" w:rsidR="009E404F" w:rsidRPr="00B65D57" w:rsidRDefault="002C23EC" w:rsidP="008F4848">
      <w:pPr>
        <w:pStyle w:val="Rubrik5"/>
        <w:spacing w:line="276" w:lineRule="auto"/>
        <w:rPr>
          <w:lang w:val="en-GB"/>
        </w:rPr>
      </w:pPr>
      <w:bookmarkStart w:id="1635" w:name="_Toc389729102"/>
      <w:bookmarkStart w:id="1636" w:name="_Toc403472787"/>
      <w:r w:rsidRPr="00B65D57">
        <w:rPr>
          <w:lang w:val="en-GB"/>
        </w:rPr>
        <w:t xml:space="preserve">2.2.8.1.4 </w:t>
      </w:r>
      <w:r w:rsidR="009E404F" w:rsidRPr="00B65D57">
        <w:rPr>
          <w:lang w:val="en-GB"/>
        </w:rPr>
        <w:t xml:space="preserve">Supervised </w:t>
      </w:r>
      <w:bookmarkStart w:id="1637" w:name="_Hlk15303762"/>
      <w:r w:rsidR="009E404F" w:rsidRPr="00B65D57">
        <w:rPr>
          <w:lang w:val="en-GB"/>
        </w:rPr>
        <w:t>trials to assess risks to non-target organisms under field conditions</w:t>
      </w:r>
      <w:bookmarkEnd w:id="1635"/>
      <w:bookmarkEnd w:id="1636"/>
      <w:bookmarkEnd w:id="1637"/>
    </w:p>
    <w:p w14:paraId="07C2CB69" w14:textId="77777777" w:rsidR="009E404F" w:rsidRPr="00B65D57" w:rsidRDefault="009E404F" w:rsidP="008F4848">
      <w:pPr>
        <w:spacing w:line="276" w:lineRule="auto"/>
        <w:rPr>
          <w:rFonts w:eastAsia="Calibri"/>
          <w:iCs/>
          <w:lang w:eastAsia="en-US"/>
        </w:rPr>
      </w:pPr>
      <w:r w:rsidRPr="00B65D57">
        <w:rPr>
          <w:rFonts w:eastAsia="Calibri"/>
          <w:iCs/>
          <w:lang w:eastAsia="en-US"/>
        </w:rPr>
        <w:t>Exposure of the product to non-target organisms is unlikely due to the following reasons:</w:t>
      </w:r>
    </w:p>
    <w:p w14:paraId="570226D4" w14:textId="77777777" w:rsidR="009E404F" w:rsidRPr="00B65D57" w:rsidRDefault="009E404F" w:rsidP="008F4848">
      <w:pPr>
        <w:spacing w:line="276" w:lineRule="auto"/>
        <w:ind w:left="360"/>
        <w:rPr>
          <w:rFonts w:eastAsia="Calibri"/>
          <w:iCs/>
          <w:lang w:eastAsia="en-US"/>
        </w:rPr>
      </w:pPr>
      <w:r w:rsidRPr="00B65D57">
        <w:rPr>
          <w:rFonts w:eastAsia="Calibri"/>
          <w:iCs/>
          <w:lang w:eastAsia="en-US"/>
        </w:rPr>
        <w:t>The treatment solution is applied by injection and is pumped through closed systems into the ground.</w:t>
      </w:r>
    </w:p>
    <w:p w14:paraId="089868E3" w14:textId="77777777" w:rsidR="009E404F" w:rsidRPr="00B65D57" w:rsidRDefault="009E404F" w:rsidP="008F4848">
      <w:pPr>
        <w:spacing w:line="276" w:lineRule="auto"/>
        <w:ind w:left="360"/>
        <w:rPr>
          <w:rFonts w:eastAsia="Calibri"/>
          <w:iCs/>
          <w:lang w:eastAsia="en-US"/>
        </w:rPr>
      </w:pPr>
      <w:r w:rsidRPr="00B65D57">
        <w:rPr>
          <w:rFonts w:eastAsia="Calibri"/>
          <w:iCs/>
          <w:lang w:eastAsia="en-US"/>
        </w:rPr>
        <w:t>If an accident occurs and there is a spill, exposure to non-target organisms will be stopped by:</w:t>
      </w:r>
    </w:p>
    <w:p w14:paraId="59FC8615" w14:textId="77777777" w:rsidR="009E404F" w:rsidRPr="00B65D57" w:rsidRDefault="009E404F" w:rsidP="008F4848">
      <w:pPr>
        <w:spacing w:line="276" w:lineRule="auto"/>
        <w:ind w:left="709"/>
        <w:rPr>
          <w:rFonts w:eastAsia="Calibri"/>
          <w:iCs/>
          <w:lang w:eastAsia="en-US"/>
        </w:rPr>
      </w:pPr>
      <w:r w:rsidRPr="00B65D57">
        <w:rPr>
          <w:rFonts w:eastAsia="Calibri"/>
          <w:iCs/>
          <w:lang w:eastAsia="en-US"/>
        </w:rPr>
        <w:t xml:space="preserve">sweeping /shovelling up large spills alternatively using an industrial vacuum cleaner if the spill is in the form of granules. </w:t>
      </w:r>
    </w:p>
    <w:p w14:paraId="47B0C79E" w14:textId="77777777" w:rsidR="009E404F" w:rsidRPr="00B65D57" w:rsidRDefault="009E404F" w:rsidP="008F4848">
      <w:pPr>
        <w:spacing w:after="240" w:line="276" w:lineRule="auto"/>
        <w:ind w:left="709"/>
        <w:rPr>
          <w:rFonts w:eastAsia="Calibri"/>
          <w:iCs/>
          <w:lang w:eastAsia="en-US"/>
        </w:rPr>
      </w:pPr>
      <w:r w:rsidRPr="00B65D57">
        <w:rPr>
          <w:rFonts w:eastAsia="Calibri"/>
          <w:iCs/>
          <w:lang w:eastAsia="en-US"/>
        </w:rPr>
        <w:t>pumping off product or picking it up with suitable absorbent material if the spill is in the form of a water</w:t>
      </w:r>
      <w:r w:rsidRPr="00B65D57">
        <w:rPr>
          <w:rFonts w:eastAsia="Calibri"/>
          <w:lang w:eastAsia="en-US"/>
        </w:rPr>
        <w:t>-</w:t>
      </w:r>
      <w:r w:rsidRPr="00B65D57">
        <w:rPr>
          <w:rFonts w:eastAsia="Calibri"/>
          <w:iCs/>
          <w:lang w:eastAsia="en-US"/>
        </w:rPr>
        <w:t>based slurry.</w:t>
      </w:r>
    </w:p>
    <w:p w14:paraId="63E6D921" w14:textId="77777777" w:rsidR="009E404F" w:rsidRPr="00B65D57" w:rsidRDefault="009E404F" w:rsidP="008F4848">
      <w:pPr>
        <w:spacing w:before="60" w:line="276" w:lineRule="auto"/>
        <w:rPr>
          <w:rFonts w:eastAsia="Calibri"/>
          <w:lang w:eastAsia="en-US"/>
        </w:rPr>
      </w:pPr>
      <w:r w:rsidRPr="00B65D57">
        <w:rPr>
          <w:rFonts w:eastAsia="Calibri"/>
          <w:lang w:eastAsia="en-US"/>
        </w:rPr>
        <w:t>Trials to assess risks to non-target organisms under field conditions are therefore not considered to be required. The data in the CARs for boric acid and disodium tetraborate pentahydrate are sufficient.</w:t>
      </w:r>
    </w:p>
    <w:p w14:paraId="2A24B3F0" w14:textId="77777777" w:rsidR="009E404F" w:rsidRPr="00B65D57" w:rsidRDefault="009E404F" w:rsidP="008F4848">
      <w:pPr>
        <w:spacing w:line="276" w:lineRule="auto"/>
        <w:rPr>
          <w:rFonts w:eastAsia="Calibri"/>
          <w:iCs/>
          <w:lang w:eastAsia="en-US"/>
        </w:rPr>
      </w:pPr>
    </w:p>
    <w:p w14:paraId="5D17B5B5" w14:textId="329190DD" w:rsidR="009E404F" w:rsidRPr="00B65D57" w:rsidRDefault="002C23EC" w:rsidP="008F4848">
      <w:pPr>
        <w:pStyle w:val="Rubrik5"/>
        <w:spacing w:line="276" w:lineRule="auto"/>
        <w:ind w:left="66"/>
        <w:rPr>
          <w:lang w:val="en-GB"/>
        </w:rPr>
      </w:pPr>
      <w:bookmarkStart w:id="1638" w:name="_Toc389729103"/>
      <w:bookmarkStart w:id="1639" w:name="_Toc403472788"/>
      <w:r w:rsidRPr="00B65D57">
        <w:rPr>
          <w:lang w:val="en-GB"/>
        </w:rPr>
        <w:t xml:space="preserve">2.2.8.1.5 </w:t>
      </w:r>
      <w:r w:rsidR="009E404F" w:rsidRPr="00B65D57">
        <w:rPr>
          <w:lang w:val="en-GB"/>
        </w:rPr>
        <w:t>Studies on acceptance by ingestion of the biocidal product by any non-target organisms thought to be at risk</w:t>
      </w:r>
      <w:bookmarkEnd w:id="1638"/>
      <w:bookmarkEnd w:id="1639"/>
    </w:p>
    <w:p w14:paraId="71A2D171" w14:textId="6AFFA5FA" w:rsidR="009E404F" w:rsidRPr="00B65D57" w:rsidRDefault="009E404F" w:rsidP="008F4848">
      <w:pPr>
        <w:spacing w:after="120" w:line="276" w:lineRule="auto"/>
        <w:rPr>
          <w:rFonts w:eastAsia="Calibri"/>
          <w:iCs/>
          <w:lang w:eastAsia="en-US"/>
        </w:rPr>
      </w:pPr>
      <w:r w:rsidRPr="00B65D57">
        <w:rPr>
          <w:rFonts w:eastAsia="Calibri"/>
          <w:iCs/>
          <w:lang w:eastAsia="en-US"/>
        </w:rPr>
        <w:t>Exposure of the product to non-target organisms is unlikely due to the reasons mentioned in 2.2.8.1.4.</w:t>
      </w:r>
    </w:p>
    <w:p w14:paraId="0E49E373" w14:textId="77777777" w:rsidR="009E404F" w:rsidRPr="00B65D57" w:rsidRDefault="009E404F" w:rsidP="008F4848">
      <w:pPr>
        <w:spacing w:before="60" w:line="276" w:lineRule="auto"/>
        <w:rPr>
          <w:rFonts w:eastAsia="Calibri"/>
          <w:lang w:eastAsia="en-US"/>
        </w:rPr>
      </w:pPr>
      <w:r w:rsidRPr="00B65D57">
        <w:rPr>
          <w:rFonts w:eastAsia="Calibri"/>
          <w:lang w:eastAsia="en-US"/>
        </w:rPr>
        <w:t>Studies on acceptance by ingestion of the product by non-target organisms are therefore not considered to be required. The data in the CARs for boric acid and disodium tetraborate pentahydrate are sufficient.</w:t>
      </w:r>
    </w:p>
    <w:p w14:paraId="43A76EF2" w14:textId="77777777" w:rsidR="009E404F" w:rsidRPr="00B65D57" w:rsidRDefault="009E404F" w:rsidP="009E404F">
      <w:pPr>
        <w:spacing w:line="276" w:lineRule="auto"/>
        <w:rPr>
          <w:rFonts w:eastAsia="Calibri"/>
          <w:iCs/>
          <w:lang w:eastAsia="en-US"/>
        </w:rPr>
      </w:pPr>
    </w:p>
    <w:p w14:paraId="09580E49" w14:textId="261E849D" w:rsidR="009E404F" w:rsidRPr="00B65D57" w:rsidRDefault="002C23EC" w:rsidP="008F4848">
      <w:pPr>
        <w:pStyle w:val="Rubrik5"/>
        <w:spacing w:line="276" w:lineRule="auto"/>
        <w:rPr>
          <w:lang w:val="en-GB"/>
        </w:rPr>
      </w:pPr>
      <w:bookmarkStart w:id="1640" w:name="_Toc389729104"/>
      <w:bookmarkStart w:id="1641" w:name="_Toc403472789"/>
      <w:r w:rsidRPr="00B65D57">
        <w:rPr>
          <w:lang w:val="en-GB"/>
        </w:rPr>
        <w:t xml:space="preserve">2.2.8.1.6 </w:t>
      </w:r>
      <w:r w:rsidR="009E404F" w:rsidRPr="00B65D57">
        <w:rPr>
          <w:lang w:val="en-GB"/>
        </w:rPr>
        <w:t>Secondary ecological effect e.g. when a large proportion of a specific habitat type is treated (ADS)</w:t>
      </w:r>
      <w:bookmarkEnd w:id="1640"/>
      <w:bookmarkEnd w:id="1641"/>
    </w:p>
    <w:p w14:paraId="1228CE3B" w14:textId="77777777" w:rsidR="009E404F" w:rsidRPr="00B65D57" w:rsidRDefault="009E404F" w:rsidP="008F4848">
      <w:pPr>
        <w:spacing w:line="276" w:lineRule="auto"/>
        <w:rPr>
          <w:rFonts w:eastAsia="Calibri"/>
          <w:lang w:eastAsia="en-US"/>
        </w:rPr>
      </w:pPr>
      <w:r w:rsidRPr="00B65D57">
        <w:rPr>
          <w:rFonts w:eastAsia="Calibri"/>
          <w:lang w:eastAsia="en-US"/>
        </w:rPr>
        <w:t>No additional data are required. The data in the CARs for boric acid and disodium tetraborate pentahydrate are sufficient.</w:t>
      </w:r>
    </w:p>
    <w:p w14:paraId="427C5A64" w14:textId="77777777" w:rsidR="009E404F" w:rsidRPr="00B65D57" w:rsidRDefault="009E404F" w:rsidP="008F4848">
      <w:pPr>
        <w:spacing w:line="276" w:lineRule="auto"/>
        <w:rPr>
          <w:rFonts w:eastAsia="Calibri"/>
          <w:lang w:eastAsia="en-US"/>
        </w:rPr>
      </w:pPr>
    </w:p>
    <w:p w14:paraId="37A48792" w14:textId="0F9ED4D3" w:rsidR="009E404F" w:rsidRPr="00B65D57" w:rsidRDefault="002C23EC" w:rsidP="008F4848">
      <w:pPr>
        <w:pStyle w:val="Rubrik5"/>
        <w:tabs>
          <w:tab w:val="left" w:pos="2759"/>
        </w:tabs>
        <w:spacing w:line="276" w:lineRule="auto"/>
        <w:ind w:left="-76"/>
        <w:rPr>
          <w:lang w:val="en-GB"/>
        </w:rPr>
      </w:pPr>
      <w:bookmarkStart w:id="1642" w:name="_Toc389729105"/>
      <w:bookmarkStart w:id="1643" w:name="_Toc403472790"/>
      <w:r w:rsidRPr="00B65D57">
        <w:rPr>
          <w:lang w:val="en-GB"/>
        </w:rPr>
        <w:lastRenderedPageBreak/>
        <w:t xml:space="preserve">2.2.8.1.7 </w:t>
      </w:r>
      <w:r w:rsidR="009E404F" w:rsidRPr="00B65D57">
        <w:rPr>
          <w:lang w:val="en-GB"/>
        </w:rPr>
        <w:t>Foreseeable routes of entry into the environment on the basis of the use envisaged</w:t>
      </w:r>
      <w:bookmarkEnd w:id="1642"/>
      <w:bookmarkEnd w:id="1643"/>
    </w:p>
    <w:p w14:paraId="3DF1AC54" w14:textId="77777777" w:rsidR="009E404F" w:rsidRPr="00B65D57" w:rsidRDefault="009E404F" w:rsidP="008F4848">
      <w:pPr>
        <w:spacing w:line="276" w:lineRule="auto"/>
        <w:rPr>
          <w:rFonts w:eastAsia="Calibri"/>
          <w:iCs/>
          <w:lang w:eastAsia="en-US"/>
        </w:rPr>
      </w:pPr>
      <w:r w:rsidRPr="00B65D57">
        <w:rPr>
          <w:rFonts w:eastAsia="Calibri"/>
          <w:iCs/>
          <w:lang w:eastAsia="en-US"/>
        </w:rPr>
        <w:t xml:space="preserve">The following environmental compartments have been identified as relevant for the exposure assessment (Vickman, 2011): </w:t>
      </w:r>
    </w:p>
    <w:p w14:paraId="7B6CE682" w14:textId="77777777" w:rsidR="009E404F" w:rsidRPr="00B65D57" w:rsidRDefault="009E404F" w:rsidP="008F4848">
      <w:pPr>
        <w:spacing w:line="276" w:lineRule="auto"/>
        <w:rPr>
          <w:rFonts w:eastAsia="Calibri"/>
          <w:iCs/>
          <w:lang w:eastAsia="en-US"/>
        </w:rPr>
      </w:pPr>
      <w:r w:rsidRPr="00B65D57">
        <w:rPr>
          <w:rFonts w:eastAsia="Calibri"/>
          <w:iCs/>
          <w:lang w:eastAsia="en-US"/>
        </w:rPr>
        <w:t xml:space="preserve">Soil (clay) </w:t>
      </w:r>
    </w:p>
    <w:p w14:paraId="1BD3FAD2" w14:textId="77777777" w:rsidR="009E404F" w:rsidRPr="00B65D57" w:rsidRDefault="009E404F" w:rsidP="008F4848">
      <w:pPr>
        <w:spacing w:after="120" w:line="276" w:lineRule="auto"/>
        <w:rPr>
          <w:rFonts w:eastAsia="Calibri"/>
          <w:iCs/>
          <w:lang w:eastAsia="en-US"/>
        </w:rPr>
      </w:pPr>
      <w:r w:rsidRPr="00B65D57">
        <w:rPr>
          <w:rFonts w:eastAsia="Calibri"/>
          <w:iCs/>
          <w:lang w:eastAsia="en-US"/>
        </w:rPr>
        <w:t xml:space="preserve">Groundwater </w:t>
      </w:r>
    </w:p>
    <w:p w14:paraId="2E4A0BDA" w14:textId="77777777" w:rsidR="009E404F" w:rsidRPr="00B65D57" w:rsidRDefault="009E404F" w:rsidP="008F4848">
      <w:pPr>
        <w:spacing w:after="120" w:line="276" w:lineRule="auto"/>
        <w:rPr>
          <w:rFonts w:eastAsia="Calibri"/>
          <w:lang w:eastAsia="en-US"/>
        </w:rPr>
      </w:pPr>
      <w:r w:rsidRPr="00B65D57">
        <w:rPr>
          <w:rFonts w:eastAsia="Calibri"/>
          <w:lang w:eastAsia="en-US"/>
        </w:rPr>
        <w:t xml:space="preserve">Boron in the groundwater could also be transported to surface water and STP via drainage structures. However, exposure of these compartments is not very likely since treatment is not allowed near surface water if there is a risk for leakage. Moreover, mending of any broken parts of the sewage system is mandatory before treatment according to the instructions for use (Bandh, 2022). </w:t>
      </w:r>
    </w:p>
    <w:p w14:paraId="69B5818F" w14:textId="77777777" w:rsidR="009E404F" w:rsidRPr="00B65D57" w:rsidRDefault="009E404F" w:rsidP="008F4848">
      <w:pPr>
        <w:spacing w:after="120" w:line="276" w:lineRule="auto"/>
        <w:rPr>
          <w:rFonts w:eastAsia="Calibri"/>
          <w:lang w:eastAsia="en-US"/>
        </w:rPr>
      </w:pPr>
      <w:r w:rsidRPr="00B65D57">
        <w:rPr>
          <w:rFonts w:eastAsia="Calibri"/>
          <w:lang w:eastAsia="en-US"/>
        </w:rPr>
        <w:t>Air is not considered to be a relevant environmental compartment since the release of boron to the air will be minimal because of its low vapour pressure according to the CARs for boric acid (Assessment Report Boric acid, 2009) and disodium tetraborate pentahydrate (Assessment Report Disodium tetraborate, 2009).</w:t>
      </w:r>
    </w:p>
    <w:p w14:paraId="73384335" w14:textId="77777777" w:rsidR="009E404F" w:rsidRPr="00B65D57" w:rsidRDefault="009E404F" w:rsidP="008F4848">
      <w:pPr>
        <w:spacing w:before="60" w:line="276" w:lineRule="auto"/>
        <w:rPr>
          <w:rFonts w:eastAsia="Calibri"/>
          <w:lang w:eastAsia="en-US"/>
        </w:rPr>
      </w:pPr>
    </w:p>
    <w:p w14:paraId="5077368C" w14:textId="2EC7359C" w:rsidR="009E404F" w:rsidRPr="00B65D57" w:rsidRDefault="002C23EC" w:rsidP="008F4848">
      <w:pPr>
        <w:pStyle w:val="Rubrik5"/>
        <w:spacing w:line="276" w:lineRule="auto"/>
        <w:rPr>
          <w:lang w:val="en-GB"/>
        </w:rPr>
      </w:pPr>
      <w:bookmarkStart w:id="1644" w:name="_Toc389729106"/>
      <w:bookmarkStart w:id="1645" w:name="_Toc403472791"/>
      <w:r w:rsidRPr="00B65D57">
        <w:rPr>
          <w:lang w:val="en-GB"/>
        </w:rPr>
        <w:t xml:space="preserve">2.2.8.1.8 </w:t>
      </w:r>
      <w:r w:rsidR="009E404F" w:rsidRPr="00B65D57">
        <w:rPr>
          <w:lang w:val="en-GB"/>
        </w:rPr>
        <w:t>Further studies on fate and behaviour in the environment</w:t>
      </w:r>
      <w:bookmarkEnd w:id="1644"/>
      <w:bookmarkEnd w:id="1645"/>
    </w:p>
    <w:p w14:paraId="08748117" w14:textId="755AEA49" w:rsidR="009E404F" w:rsidRPr="00B65D57" w:rsidRDefault="002C23EC" w:rsidP="008F4848">
      <w:pPr>
        <w:pStyle w:val="Rubrik6"/>
        <w:numPr>
          <w:ilvl w:val="0"/>
          <w:numId w:val="0"/>
        </w:numPr>
        <w:spacing w:line="276" w:lineRule="auto"/>
        <w:rPr>
          <w:lang w:val="en-GB"/>
        </w:rPr>
      </w:pPr>
      <w:bookmarkStart w:id="1646" w:name="_Hlk15305472"/>
      <w:r w:rsidRPr="00B65D57">
        <w:rPr>
          <w:i/>
          <w:iCs/>
          <w:caps w:val="0"/>
          <w:lang w:val="en-GB"/>
        </w:rPr>
        <w:t xml:space="preserve">2.2.8.1.8.1 </w:t>
      </w:r>
      <w:r w:rsidR="009E404F" w:rsidRPr="00B65D57">
        <w:rPr>
          <w:i/>
          <w:iCs/>
          <w:caps w:val="0"/>
          <w:lang w:val="en-GB"/>
        </w:rPr>
        <w:t>Monitoring of variation in groundwater levels in dry wall foundations (Bandh</w:t>
      </w:r>
      <w:r w:rsidR="009E404F" w:rsidRPr="00B65D57">
        <w:rPr>
          <w:i/>
          <w:iCs/>
          <w:lang w:val="en-GB"/>
        </w:rPr>
        <w:t>, 2012</w:t>
      </w:r>
      <w:r w:rsidR="009E404F" w:rsidRPr="00B65D57">
        <w:rPr>
          <w:i/>
          <w:iCs/>
          <w:caps w:val="0"/>
          <w:lang w:val="en-GB"/>
        </w:rPr>
        <w:t>a</w:t>
      </w:r>
      <w:r w:rsidR="009E404F" w:rsidRPr="00B65D57">
        <w:rPr>
          <w:lang w:val="en-GB"/>
        </w:rPr>
        <w:t>)</w:t>
      </w:r>
    </w:p>
    <w:p w14:paraId="7888F5DE" w14:textId="77777777" w:rsidR="009E404F" w:rsidRPr="00B65D57" w:rsidRDefault="009E404F" w:rsidP="008F4848">
      <w:pPr>
        <w:spacing w:line="276" w:lineRule="auto"/>
      </w:pPr>
      <w:r w:rsidRPr="00B65D57">
        <w:t xml:space="preserve">The purpose of the study by Bandh (2012a) was to show the magnitude of variation in groundwater levels in dry wall foundations. Fifteen buildings were sampled at random occasions not related to rainfall. The results showed that a rise of the groundwater level (relative to a mean value) of &gt; 20 cm did not occur during any of the observations made which were 228 in total. </w:t>
      </w:r>
    </w:p>
    <w:p w14:paraId="394D2D6D" w14:textId="77777777" w:rsidR="009E404F" w:rsidRPr="00B65D57" w:rsidRDefault="009E404F" w:rsidP="008F4848">
      <w:pPr>
        <w:spacing w:line="276" w:lineRule="auto"/>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9E404F" w:rsidRPr="00B65D57" w14:paraId="52105E8D" w14:textId="77777777" w:rsidTr="00DE498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60D4781A" w14:textId="77777777" w:rsidR="009E404F" w:rsidRPr="00B65D57" w:rsidRDefault="009E404F" w:rsidP="008F4848">
            <w:pPr>
              <w:spacing w:line="276" w:lineRule="auto"/>
              <w:rPr>
                <w:rFonts w:eastAsia="Calibri"/>
                <w:b/>
                <w:sz w:val="18"/>
                <w:szCs w:val="18"/>
                <w:lang w:eastAsia="da-DK"/>
              </w:rPr>
            </w:pPr>
            <w:r w:rsidRPr="00B65D57">
              <w:rPr>
                <w:rFonts w:eastAsia="Calibri"/>
                <w:b/>
                <w:sz w:val="18"/>
                <w:szCs w:val="18"/>
                <w:lang w:eastAsia="en-US"/>
              </w:rPr>
              <w:t>Conclusion used in Risk Assessment</w:t>
            </w:r>
          </w:p>
        </w:tc>
      </w:tr>
      <w:tr w:rsidR="009E404F" w:rsidRPr="00B65D57" w14:paraId="51C55BB2" w14:textId="77777777" w:rsidTr="00DE498C">
        <w:tc>
          <w:tcPr>
            <w:tcW w:w="1200" w:type="pct"/>
            <w:tcBorders>
              <w:top w:val="single" w:sz="4" w:space="0" w:color="auto"/>
              <w:left w:val="single" w:sz="4" w:space="0" w:color="auto"/>
              <w:bottom w:val="single" w:sz="4" w:space="0" w:color="auto"/>
              <w:right w:val="single" w:sz="4" w:space="0" w:color="auto"/>
            </w:tcBorders>
            <w:shd w:val="clear" w:color="auto" w:fill="auto"/>
          </w:tcPr>
          <w:p w14:paraId="590830A5" w14:textId="77777777" w:rsidR="009E404F" w:rsidRPr="00B65D57" w:rsidRDefault="009E404F" w:rsidP="008F4848">
            <w:pPr>
              <w:spacing w:line="276" w:lineRule="auto"/>
              <w:rPr>
                <w:rFonts w:eastAsia="Calibri"/>
                <w:bCs/>
                <w:sz w:val="18"/>
                <w:szCs w:val="18"/>
                <w:highlight w:val="yellow"/>
                <w:lang w:eastAsia="en-US"/>
              </w:rPr>
            </w:pPr>
            <w:r w:rsidRPr="00B65D57">
              <w:rPr>
                <w:rFonts w:eastAsia="Calibri"/>
                <w:bCs/>
                <w:sz w:val="18"/>
                <w:szCs w:val="18"/>
                <w:lang w:eastAsia="en-US"/>
              </w:rPr>
              <w:t>Conclusion</w:t>
            </w:r>
          </w:p>
        </w:tc>
        <w:tc>
          <w:tcPr>
            <w:tcW w:w="3800" w:type="pct"/>
            <w:tcBorders>
              <w:top w:val="single" w:sz="4" w:space="0" w:color="auto"/>
              <w:left w:val="single" w:sz="4" w:space="0" w:color="auto"/>
              <w:bottom w:val="single" w:sz="4" w:space="0" w:color="auto"/>
              <w:right w:val="single" w:sz="4" w:space="0" w:color="auto"/>
            </w:tcBorders>
          </w:tcPr>
          <w:p w14:paraId="2A3F1996" w14:textId="77777777" w:rsidR="009E404F" w:rsidRPr="00B65D57" w:rsidRDefault="009E404F" w:rsidP="008F4848">
            <w:pPr>
              <w:spacing w:line="276" w:lineRule="auto"/>
              <w:rPr>
                <w:rFonts w:eastAsia="Calibri"/>
                <w:bCs/>
                <w:sz w:val="18"/>
                <w:szCs w:val="18"/>
                <w:lang w:eastAsia="en-US"/>
              </w:rPr>
            </w:pPr>
            <w:r w:rsidRPr="00B65D57">
              <w:rPr>
                <w:rFonts w:eastAsia="Calibri"/>
                <w:bCs/>
                <w:sz w:val="18"/>
                <w:szCs w:val="18"/>
                <w:lang w:eastAsia="en-US"/>
              </w:rPr>
              <w:t>The variation in groundwater level is small in dry wall foundations.</w:t>
            </w:r>
          </w:p>
        </w:tc>
      </w:tr>
    </w:tbl>
    <w:p w14:paraId="1B5B8B17" w14:textId="77777777" w:rsidR="009E404F" w:rsidRPr="00B65D57" w:rsidRDefault="009E404F" w:rsidP="008F4848">
      <w:pPr>
        <w:spacing w:line="276" w:lineRule="auto"/>
        <w:rPr>
          <w:highlight w:val="yellow"/>
        </w:rPr>
      </w:pPr>
    </w:p>
    <w:p w14:paraId="21F3B983" w14:textId="63BFD621" w:rsidR="009E404F" w:rsidRPr="00B65D57" w:rsidRDefault="002C23EC" w:rsidP="008F4848">
      <w:pPr>
        <w:pStyle w:val="Rubrik6"/>
        <w:numPr>
          <w:ilvl w:val="0"/>
          <w:numId w:val="0"/>
        </w:numPr>
        <w:spacing w:line="276" w:lineRule="auto"/>
        <w:rPr>
          <w:i/>
          <w:iCs/>
          <w:lang w:val="en-GB"/>
        </w:rPr>
      </w:pPr>
      <w:bookmarkStart w:id="1647" w:name="_Hlk15462135"/>
      <w:bookmarkEnd w:id="1646"/>
      <w:r w:rsidRPr="00B65D57">
        <w:rPr>
          <w:i/>
          <w:iCs/>
          <w:caps w:val="0"/>
          <w:lang w:val="en-GB"/>
        </w:rPr>
        <w:t xml:space="preserve">2.2.8.1.8.2 </w:t>
      </w:r>
      <w:r w:rsidR="009E404F" w:rsidRPr="00B65D57">
        <w:rPr>
          <w:rFonts w:eastAsia="Calibri"/>
          <w:i/>
          <w:iCs/>
          <w:caps w:val="0"/>
          <w:lang w:val="en-GB" w:eastAsia="en-US"/>
        </w:rPr>
        <w:t>Monitoring studies of the environmental distribution and exposure of ground water and soil related to treatment with</w:t>
      </w:r>
      <w:r w:rsidR="009E404F" w:rsidRPr="00B65D57">
        <w:rPr>
          <w:i/>
          <w:iCs/>
          <w:lang w:val="en-GB"/>
        </w:rPr>
        <w:t xml:space="preserve"> </w:t>
      </w:r>
      <w:r w:rsidR="009E404F" w:rsidRPr="00B65D57">
        <w:rPr>
          <w:i/>
          <w:iCs/>
          <w:caps w:val="0"/>
          <w:lang w:val="en-GB"/>
        </w:rPr>
        <w:t>Jerbor</w:t>
      </w:r>
      <w:r w:rsidR="009E404F" w:rsidRPr="00B65D57">
        <w:rPr>
          <w:i/>
          <w:iCs/>
          <w:lang w:val="en-GB"/>
        </w:rPr>
        <w:t xml:space="preserve"> (V</w:t>
      </w:r>
      <w:r w:rsidR="009E404F" w:rsidRPr="00B65D57">
        <w:rPr>
          <w:i/>
          <w:iCs/>
          <w:caps w:val="0"/>
          <w:lang w:val="en-GB"/>
        </w:rPr>
        <w:t>ickman and Danielsson, 2011, supplemented by Bandh, 2012b and 2020</w:t>
      </w:r>
      <w:r w:rsidR="009E404F" w:rsidRPr="00B65D57">
        <w:rPr>
          <w:i/>
          <w:iCs/>
          <w:lang w:val="en-GB"/>
        </w:rPr>
        <w:t>)</w:t>
      </w:r>
    </w:p>
    <w:bookmarkEnd w:id="1647"/>
    <w:p w14:paraId="1E20AD5C" w14:textId="77777777" w:rsidR="009E404F" w:rsidRPr="00B65D57" w:rsidRDefault="009E404F" w:rsidP="009E404F">
      <w:pPr>
        <w:spacing w:after="240" w:line="276" w:lineRule="auto"/>
        <w:rPr>
          <w:rFonts w:eastAsia="Calibri"/>
          <w:lang w:eastAsia="en-US"/>
        </w:rPr>
      </w:pPr>
      <w:r w:rsidRPr="00B65D57">
        <w:rPr>
          <w:rFonts w:eastAsia="Calibri"/>
          <w:lang w:eastAsia="en-US"/>
        </w:rPr>
        <w:t xml:space="preserve">A monitoring study of the environmental distribution and exposure related to treatment with Eurobor in urban Gothenburg were performed by Vickman and Danielsson (2011) and supplemented by Bandh (2012b) and (2020). Three buildings (on Kobbarnas väg 2 to 8), which were built during 1935 to 1937, were part of the study. The foundation of the buildings consists of concrete walls and a foundation bedding (plate) resting on embedded wooden piles. In order to monitor the environmental exposure during and after treatment with Eurobor, groundwater tubes were installed at different locations inside the buildings by drilling through the cellar or installed in test pits. These tubes were both used for Eurobor application and groundwater sampling in the treatment zone to ensure a sufficiently high concentration of boron. Since the depth of the clay within the properties was over 40 meters (according to the City Planning Office of the City of Gothenburg's </w:t>
      </w:r>
      <w:r w:rsidRPr="00B65D57">
        <w:rPr>
          <w:rFonts w:eastAsia="Calibri"/>
          <w:lang w:eastAsia="en-US"/>
        </w:rPr>
        <w:lastRenderedPageBreak/>
        <w:t>geographic map), the greatest risk of undesirable spread of the borates would therefore be a horizontal transfer in the groundwater above the clay layer via shafts where the sewers leave the buildings. In the treated buildings, the sewage communications go out into the Kobbarnas väg where they connect to a larger pipeline that runs along the street on to the municipal treatment plant. To monitor a possible leakage of borates via this route, six control tubes for groundwater sampling were installed prior to treatment 6-7 m outside the western and eastern sides of the buildings. The groundwater tubes west of the buildings were installed in the shafts for sewers in the Kobbarnas väg.</w:t>
      </w:r>
    </w:p>
    <w:p w14:paraId="66A762EF" w14:textId="77777777" w:rsidR="009E404F" w:rsidRPr="00B65D57" w:rsidRDefault="009E404F" w:rsidP="009E404F">
      <w:pPr>
        <w:spacing w:after="240" w:line="276" w:lineRule="auto"/>
        <w:rPr>
          <w:rFonts w:eastAsia="Calibri"/>
          <w:lang w:eastAsia="en-US"/>
        </w:rPr>
      </w:pPr>
      <w:r w:rsidRPr="00B65D57">
        <w:rPr>
          <w:rFonts w:eastAsia="Calibri"/>
          <w:lang w:eastAsia="en-US"/>
        </w:rPr>
        <w:t xml:space="preserve">Water samples were taken from the tubes </w:t>
      </w:r>
      <w:r w:rsidRPr="00B65D57">
        <w:rPr>
          <w:rFonts w:eastAsia="Calibri"/>
          <w:b/>
          <w:bCs/>
          <w:lang w:eastAsia="en-US"/>
        </w:rPr>
        <w:t>prior-, during- and after the treatment</w:t>
      </w:r>
      <w:r w:rsidRPr="00B65D57">
        <w:rPr>
          <w:rFonts w:eastAsia="Calibri"/>
          <w:lang w:eastAsia="en-US"/>
        </w:rPr>
        <w:t>. The concentration of boron in the groundwater measured prior to treatment varied between &lt;1 and 2 mg BAE/L outside the buildings, and between &lt;1 and 8.3 mg BAE/L (and a mean value of 3 mg BAE/L) in the prospective treatment zone under the buildings. The treatment period lasted approximately a month during which injections of Eurobor were done on 15 occasions. Totally 11400 litres of Eurobor were injected (approx. 1000 kg Jerbor) equally split between the three properties in 2011. During the four-weeks treatment period, on 2 out of 9 sampling occasions the groundwater samples showed somewhat elevated levels of boron, compared to the levels measured before treatment. Although slightly elevated, the levels (of max. 4.2 and 13 mg BAE/L) were however not different from what has been found as being representative for urban groundwater in Gothenburg which ranges between &lt;1.0 and 36 mg BAE/L with a mean of 4.9 mg BAE/L (</w:t>
      </w:r>
      <w:r w:rsidRPr="00B65D57">
        <w:rPr>
          <w:lang w:eastAsia="en-US"/>
        </w:rPr>
        <w:t>Vickman &amp; Nilsson, 2011</w:t>
      </w:r>
      <w:r w:rsidRPr="00B65D57">
        <w:rPr>
          <w:rFonts w:eastAsia="Calibri"/>
          <w:lang w:eastAsia="en-US"/>
        </w:rPr>
        <w:t xml:space="preserve">). The authors of the report did not believe that the slightly elevated levels were related to the treatment since the groundwater concentrations in the same tube at seven other sampling occasions during the treatment were &lt;1.0 mg BAE/L. </w:t>
      </w:r>
    </w:p>
    <w:p w14:paraId="3E8B53B9" w14:textId="77777777" w:rsidR="009E404F" w:rsidRPr="00B65D57" w:rsidRDefault="009E404F" w:rsidP="009E404F">
      <w:pPr>
        <w:spacing w:after="240" w:line="276" w:lineRule="auto"/>
        <w:rPr>
          <w:rFonts w:eastAsia="Calibri"/>
          <w:lang w:eastAsia="en-US"/>
        </w:rPr>
      </w:pPr>
      <w:r w:rsidRPr="00B65D57">
        <w:rPr>
          <w:rFonts w:eastAsia="Calibri"/>
          <w:lang w:eastAsia="en-US"/>
        </w:rPr>
        <w:t xml:space="preserve">Sampling in the </w:t>
      </w:r>
      <w:r w:rsidRPr="00B65D57">
        <w:rPr>
          <w:rFonts w:eastAsia="Calibri"/>
          <w:b/>
          <w:bCs/>
          <w:lang w:eastAsia="en-US"/>
        </w:rPr>
        <w:t>groundwater tubes outside the buildings</w:t>
      </w:r>
      <w:r w:rsidRPr="00B65D57">
        <w:rPr>
          <w:rFonts w:eastAsia="Calibri"/>
          <w:lang w:eastAsia="en-US"/>
        </w:rPr>
        <w:t xml:space="preserve"> four and twelve weeks after treatment did not show any elevated levels of boron in the groundwater (all samples &lt;1.0 mg BAE/L). Additional measurements have been made (after finalisation of the report by Vickman and Danielsson, 2011) on two occasions: January 2012 and September 2012 equivalent to 8 and 16 months respectively, after the treatment. The results showed that the concentration in the groundwater at the locations outside the buildings was still below the background concentration on site &lt; 3 mg BAE/L (Bandh, 2012b). </w:t>
      </w:r>
    </w:p>
    <w:p w14:paraId="0217C570" w14:textId="77777777" w:rsidR="009E404F" w:rsidRPr="00B65D57" w:rsidRDefault="009E404F" w:rsidP="009E404F">
      <w:pPr>
        <w:spacing w:after="240" w:line="276" w:lineRule="auto"/>
        <w:rPr>
          <w:rFonts w:eastAsia="Calibri"/>
          <w:lang w:eastAsia="en-US"/>
        </w:rPr>
      </w:pPr>
      <w:r w:rsidRPr="00B65D57">
        <w:rPr>
          <w:rFonts w:eastAsia="Calibri"/>
          <w:lang w:eastAsia="en-US"/>
        </w:rPr>
        <w:t>An additional point treatment of BAE was performed for the Kobbarnas väg 4 in the result of the 5-year warranty control inspection in 2016 (Bandh, 2020). Three years later (and 8 years after the original treatment in 2011) a long-term follow-up of boron levels in the groundwater from the control tubes outside the building was done in July 2019 (Bandh, 2020). The samples taken from 3 of the 6 original tubes showed boron variation from &lt;1 to 2.3 mg BAE/L (mean &lt;1.6 mg BAE/L) which is within the limit of the 5 mg BAE/L background level of boron (based on urban background levels in groundwater Vickman &amp; Nilsson, 2011).</w:t>
      </w:r>
    </w:p>
    <w:p w14:paraId="64FE1C5F" w14:textId="77777777" w:rsidR="009E404F" w:rsidRPr="00B65D57" w:rsidRDefault="009E404F" w:rsidP="009E404F">
      <w:pPr>
        <w:spacing w:after="240" w:line="276" w:lineRule="auto"/>
        <w:rPr>
          <w:rFonts w:eastAsia="Calibri"/>
          <w:lang w:eastAsia="en-US"/>
        </w:rPr>
      </w:pPr>
      <w:r w:rsidRPr="00B65D57">
        <w:rPr>
          <w:rFonts w:eastAsia="Calibri"/>
          <w:lang w:eastAsia="en-US"/>
        </w:rPr>
        <w:t xml:space="preserve">Sampling in the four </w:t>
      </w:r>
      <w:r w:rsidRPr="00B65D57">
        <w:rPr>
          <w:rFonts w:eastAsia="Calibri"/>
          <w:b/>
          <w:bCs/>
          <w:lang w:eastAsia="en-US"/>
        </w:rPr>
        <w:t>groundwater tubes located inside the building</w:t>
      </w:r>
      <w:r w:rsidRPr="00B65D57">
        <w:rPr>
          <w:rFonts w:eastAsia="Calibri"/>
          <w:lang w:eastAsia="en-US"/>
        </w:rPr>
        <w:t>, but not in direct contact with the treatment zones, showed that the groundwater in one of the tubes, very close to the treatment zone, was somewhat elevated four days after injection (58 mg BAE/L). The other three tubes did not show any markedly elevated groundwater levels during or after treatment. Still, 8 and 16 months after treatment the levels sampled in these tubes were not elevated compared to boron levels measured prior to treatment.</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9E404F" w:rsidRPr="00B65D57" w14:paraId="4730F3A8" w14:textId="77777777" w:rsidTr="00DE498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03935BAF" w14:textId="77777777" w:rsidR="009E404F" w:rsidRPr="00B65D57" w:rsidRDefault="009E404F" w:rsidP="00DE498C">
            <w:pPr>
              <w:spacing w:line="260" w:lineRule="atLeast"/>
              <w:rPr>
                <w:rFonts w:eastAsia="Calibri"/>
                <w:b/>
                <w:lang w:eastAsia="da-DK"/>
              </w:rPr>
            </w:pPr>
            <w:r w:rsidRPr="00B65D57">
              <w:rPr>
                <w:rFonts w:eastAsia="Calibri"/>
                <w:b/>
                <w:lang w:eastAsia="en-US"/>
              </w:rPr>
              <w:lastRenderedPageBreak/>
              <w:t>Conclusion used in Risk Assessment</w:t>
            </w:r>
          </w:p>
        </w:tc>
      </w:tr>
      <w:tr w:rsidR="009E404F" w:rsidRPr="00B65D57" w14:paraId="68603924" w14:textId="77777777" w:rsidTr="00DE498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3C005EE1" w14:textId="77777777" w:rsidR="009E404F" w:rsidRPr="00B65D57" w:rsidRDefault="009E404F" w:rsidP="00DE498C">
            <w:pPr>
              <w:spacing w:line="260" w:lineRule="atLeast"/>
              <w:rPr>
                <w:rFonts w:eastAsia="Calibri"/>
                <w:bCs/>
                <w:highlight w:val="yellow"/>
                <w:lang w:eastAsia="en-US"/>
              </w:rPr>
            </w:pPr>
            <w:r w:rsidRPr="00B65D57">
              <w:rPr>
                <w:rFonts w:eastAsia="Calibri"/>
                <w:bCs/>
                <w:lang w:eastAsia="en-US"/>
              </w:rPr>
              <w:t>Conclusion</w:t>
            </w:r>
          </w:p>
        </w:tc>
        <w:tc>
          <w:tcPr>
            <w:tcW w:w="3800" w:type="pct"/>
            <w:tcBorders>
              <w:top w:val="single" w:sz="4" w:space="0" w:color="auto"/>
              <w:left w:val="single" w:sz="4" w:space="0" w:color="auto"/>
              <w:bottom w:val="single" w:sz="4" w:space="0" w:color="auto"/>
              <w:right w:val="single" w:sz="4" w:space="0" w:color="auto"/>
            </w:tcBorders>
          </w:tcPr>
          <w:p w14:paraId="7544B853" w14:textId="77777777" w:rsidR="009E404F" w:rsidRPr="00B65D57" w:rsidRDefault="009E404F" w:rsidP="009E404F">
            <w:pPr>
              <w:spacing w:line="276" w:lineRule="auto"/>
              <w:rPr>
                <w:rFonts w:eastAsia="Calibri"/>
                <w:bCs/>
                <w:lang w:eastAsia="en-US"/>
              </w:rPr>
            </w:pPr>
            <w:r w:rsidRPr="00B65D57">
              <w:rPr>
                <w:rFonts w:eastAsia="Calibri"/>
                <w:bCs/>
                <w:lang w:eastAsia="en-US"/>
              </w:rPr>
              <w:t>The treatment with Jerbor does not result in any significant environmental exposure. The Jerbor injected under the foundation of the buildings remains within the treatment area and the transport/dispersal from the area is limited</w:t>
            </w:r>
          </w:p>
        </w:tc>
      </w:tr>
    </w:tbl>
    <w:p w14:paraId="4E7D16FC" w14:textId="77777777" w:rsidR="009E404F" w:rsidRPr="00B65D57" w:rsidRDefault="009E404F" w:rsidP="009E404F">
      <w:pPr>
        <w:spacing w:line="260" w:lineRule="atLeast"/>
        <w:rPr>
          <w:rFonts w:eastAsia="Calibri"/>
          <w:i/>
          <w:lang w:eastAsia="en-US"/>
        </w:rPr>
      </w:pPr>
    </w:p>
    <w:p w14:paraId="2FE79385" w14:textId="77777777" w:rsidR="009E404F" w:rsidRPr="00B65D57" w:rsidRDefault="009E404F" w:rsidP="009E404F">
      <w:pPr>
        <w:rPr>
          <w:rFonts w:eastAsia="Calibri"/>
          <w:lang w:eastAsia="en-US"/>
        </w:rPr>
      </w:pPr>
      <w:r w:rsidRPr="00B65D57">
        <w:rPr>
          <w:rFonts w:eastAsia="Calibri"/>
          <w:lang w:eastAsia="en-US"/>
        </w:rPr>
        <w:br w:type="page"/>
      </w:r>
    </w:p>
    <w:p w14:paraId="62132437" w14:textId="77777777" w:rsidR="009E404F" w:rsidRPr="00B65D57" w:rsidRDefault="009E404F" w:rsidP="009E404F">
      <w:pPr>
        <w:spacing w:line="260" w:lineRule="atLeast"/>
        <w:rPr>
          <w:rFonts w:eastAsia="Calibri"/>
          <w:lang w:eastAsia="en-US"/>
        </w:rPr>
      </w:pPr>
    </w:p>
    <w:p w14:paraId="13613616" w14:textId="366A21C0" w:rsidR="009E404F" w:rsidRPr="00B65D57" w:rsidRDefault="002C23EC" w:rsidP="008F4848">
      <w:pPr>
        <w:pStyle w:val="Rubrik6"/>
        <w:numPr>
          <w:ilvl w:val="0"/>
          <w:numId w:val="0"/>
        </w:numPr>
        <w:spacing w:line="276" w:lineRule="auto"/>
        <w:rPr>
          <w:i/>
          <w:iCs/>
          <w:lang w:val="en-GB"/>
        </w:rPr>
      </w:pPr>
      <w:r w:rsidRPr="00B65D57">
        <w:rPr>
          <w:i/>
          <w:iCs/>
          <w:caps w:val="0"/>
          <w:lang w:val="en-GB"/>
        </w:rPr>
        <w:t xml:space="preserve">2.2.8.1.8.3 </w:t>
      </w:r>
      <w:r w:rsidR="009E404F" w:rsidRPr="00B65D57">
        <w:rPr>
          <w:i/>
          <w:iCs/>
          <w:caps w:val="0"/>
          <w:lang w:val="en-GB"/>
        </w:rPr>
        <w:t xml:space="preserve">Literature review on dispersal of boron to the surrounding groundwater </w:t>
      </w:r>
      <w:r w:rsidR="009E404F" w:rsidRPr="00B65D57">
        <w:rPr>
          <w:i/>
          <w:iCs/>
          <w:lang w:val="en-GB"/>
        </w:rPr>
        <w:t>(</w:t>
      </w:r>
      <w:r w:rsidR="009E404F" w:rsidRPr="00B65D57">
        <w:rPr>
          <w:i/>
          <w:iCs/>
          <w:caps w:val="0"/>
          <w:lang w:val="en-GB"/>
        </w:rPr>
        <w:t>Vickman and Nilsson, 2011</w:t>
      </w:r>
      <w:r w:rsidR="009E404F" w:rsidRPr="00B65D57">
        <w:rPr>
          <w:i/>
          <w:iCs/>
          <w:lang w:val="en-GB"/>
        </w:rPr>
        <w:t>)</w:t>
      </w:r>
    </w:p>
    <w:p w14:paraId="1364B73F" w14:textId="77777777" w:rsidR="009E404F" w:rsidRPr="00B65D57" w:rsidRDefault="009E404F" w:rsidP="008F4848">
      <w:pPr>
        <w:spacing w:after="240" w:line="276" w:lineRule="auto"/>
      </w:pPr>
      <w:r w:rsidRPr="00B65D57">
        <w:t xml:space="preserve">A literature review was performed by Vickman and Nilsson (2011) with the aim of clarifying whether Eurobor treatments cause dispersal of boron to the surrounding </w:t>
      </w:r>
      <w:r w:rsidRPr="0079523E">
        <w:rPr>
          <w:b/>
          <w:bCs/>
        </w:rPr>
        <w:t>groundwater</w:t>
      </w:r>
      <w:r w:rsidRPr="00B65D57">
        <w:t xml:space="preserve">. The report summarizes seven field studies; four studies performed during 2002-2009 and three studies conducted in 2011. </w:t>
      </w:r>
    </w:p>
    <w:p w14:paraId="19D6A9C8" w14:textId="77777777" w:rsidR="009E404F" w:rsidRPr="00B65D57" w:rsidRDefault="009E404F" w:rsidP="008F4848">
      <w:pPr>
        <w:spacing w:after="240" w:line="276" w:lineRule="auto"/>
      </w:pPr>
      <w:r w:rsidRPr="00B65D57">
        <w:t xml:space="preserve">The result from the four studies conducted between 2002-2009 showed no transport of borates to the environment outside the treatment zone. There were high levels of borates in direct connection to the treatment area, but the levels were significantly lower in the groundwater a short distance from the treatment zone. </w:t>
      </w:r>
    </w:p>
    <w:p w14:paraId="5B3C127B" w14:textId="77777777" w:rsidR="009E404F" w:rsidRPr="00B65D57" w:rsidRDefault="009E404F" w:rsidP="008F4848">
      <w:pPr>
        <w:spacing w:after="240" w:line="276" w:lineRule="auto"/>
      </w:pPr>
      <w:r w:rsidRPr="00B65D57">
        <w:t>One of the studies (Humlegårdsgatan 17, Åbo, Finland) reports elevated levels of boron 1-</w:t>
      </w:r>
      <w:r w:rsidRPr="0079523E">
        <w:rPr>
          <w:b/>
          <w:bCs/>
        </w:rPr>
        <w:t>4 years after the treatment</w:t>
      </w:r>
      <w:r w:rsidRPr="00B65D57">
        <w:t xml:space="preserve"> in 2005 in one of the groundwater sampling tubes installed outside the building in the drain shaft just behind a bentonite seal created before the treatment to reduce the spread of the boron (&lt;0.57 mg BAE/L before the treatment vs. the maximum value of 13.2 mg BAE/L 2 years after the treatment). This isolated case emphases the importance of a proper sealing of low-lying openings of drain shafts.</w:t>
      </w:r>
    </w:p>
    <w:p w14:paraId="2A9DD4B2" w14:textId="77777777" w:rsidR="009E404F" w:rsidRPr="00B65D57" w:rsidRDefault="009E404F" w:rsidP="008F4848">
      <w:pPr>
        <w:spacing w:after="240" w:line="276" w:lineRule="auto"/>
      </w:pPr>
      <w:r w:rsidRPr="00B65D57">
        <w:t>Elevated boron levels (19-44 mg B/L or 103-252 mg BAE/L) in the groundwater samples outside the building in another study (Sten Sturegatan 10, Göteborg, 2011) was subsequently interpreted that the groundwater tubes were installed in connection to the treatment zone (i.e., the foundation shaft for the house).</w:t>
      </w:r>
    </w:p>
    <w:p w14:paraId="03F58C9B" w14:textId="77777777" w:rsidR="009E404F" w:rsidRPr="00B65D57" w:rsidRDefault="009E404F" w:rsidP="008F4848">
      <w:pPr>
        <w:spacing w:after="240" w:line="276" w:lineRule="auto"/>
        <w:rPr>
          <w:highlight w:val="yellow"/>
        </w:rPr>
      </w:pPr>
      <w:r w:rsidRPr="00B65D57">
        <w:t>The result from three studies performed in 2011 showed high levels of boron in the treatment tubes and close to the treatment tubes. There were also elevated levels in the observation tubes a short distance from the treatment tubes. This was explained by the fact that all tubes (treatment and observation tubes) were located within the treatment zone. The detected levels were significantly lower in the observation tubes in comparison with the treatment tubes.</w:t>
      </w:r>
    </w:p>
    <w:p w14:paraId="7E1FC4E9" w14:textId="77777777" w:rsidR="009E404F" w:rsidRPr="00B65D57" w:rsidRDefault="009E404F" w:rsidP="008F4848">
      <w:pPr>
        <w:spacing w:after="240" w:line="276" w:lineRule="auto"/>
      </w:pPr>
      <w:r w:rsidRPr="00B65D57">
        <w:t>The study also set out to establish the background concentration of boron in urban environments by sampling urban groundwater at several locations in four of the Nordic countries. Sampling in areas relevant for treatment with Jerbor (but far from treated buildings) in Gothenburg, Uppsala, Copenhagen, Stockholm, Oslo, Åbo and Helsinki) showed mean concentrations of 3.0 – 26.7 mg BAE/L (0.5 – 4.6 mg B/L).</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9E404F" w:rsidRPr="00B65D57" w14:paraId="4ED97DDF" w14:textId="77777777" w:rsidTr="00DE498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23D21E19" w14:textId="77777777" w:rsidR="009E404F" w:rsidRPr="00B65D57" w:rsidRDefault="009E404F" w:rsidP="008F4848">
            <w:pPr>
              <w:spacing w:line="276" w:lineRule="auto"/>
              <w:rPr>
                <w:rFonts w:eastAsia="Calibri"/>
                <w:b/>
                <w:lang w:eastAsia="da-DK"/>
              </w:rPr>
            </w:pPr>
            <w:bookmarkStart w:id="1648" w:name="_Hlk19280713"/>
            <w:r w:rsidRPr="00B65D57">
              <w:rPr>
                <w:rFonts w:eastAsia="Calibri"/>
                <w:b/>
                <w:lang w:eastAsia="en-US"/>
              </w:rPr>
              <w:t>Conclusion used in Risk Assessment</w:t>
            </w:r>
          </w:p>
        </w:tc>
      </w:tr>
      <w:tr w:rsidR="009E404F" w:rsidRPr="00B65D57" w14:paraId="49ECB35F" w14:textId="77777777" w:rsidTr="00DE498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08BEB738" w14:textId="77777777" w:rsidR="009E404F" w:rsidRPr="00B65D57" w:rsidRDefault="009E404F" w:rsidP="008F4848">
            <w:pPr>
              <w:spacing w:line="276" w:lineRule="auto"/>
              <w:rPr>
                <w:rFonts w:eastAsia="Calibri"/>
                <w:bCs/>
                <w:highlight w:val="yellow"/>
                <w:lang w:eastAsia="en-US"/>
              </w:rPr>
            </w:pPr>
            <w:r w:rsidRPr="00B65D57">
              <w:rPr>
                <w:rFonts w:eastAsia="Calibri"/>
                <w:bCs/>
                <w:lang w:eastAsia="en-US"/>
              </w:rPr>
              <w:t>Conclusion</w:t>
            </w:r>
          </w:p>
        </w:tc>
        <w:tc>
          <w:tcPr>
            <w:tcW w:w="3800" w:type="pct"/>
            <w:tcBorders>
              <w:top w:val="single" w:sz="4" w:space="0" w:color="auto"/>
              <w:left w:val="single" w:sz="4" w:space="0" w:color="auto"/>
              <w:bottom w:val="single" w:sz="4" w:space="0" w:color="auto"/>
              <w:right w:val="single" w:sz="4" w:space="0" w:color="auto"/>
            </w:tcBorders>
          </w:tcPr>
          <w:p w14:paraId="1787A5B4" w14:textId="77777777" w:rsidR="009E404F" w:rsidRPr="00B65D57" w:rsidRDefault="009E404F" w:rsidP="008F4848">
            <w:pPr>
              <w:spacing w:line="276" w:lineRule="auto"/>
              <w:rPr>
                <w:rFonts w:eastAsia="Calibri"/>
                <w:bCs/>
                <w:lang w:eastAsia="en-US"/>
              </w:rPr>
            </w:pPr>
            <w:r w:rsidRPr="00B65D57">
              <w:rPr>
                <w:rFonts w:eastAsia="Calibri"/>
                <w:bCs/>
                <w:lang w:eastAsia="en-US"/>
              </w:rPr>
              <w:t>The treatment with Jerbor does not result in any significant environmental exposure. The Jerbor injected under the foundation of the buildings remains within the treatment area and the transport/dispersal from the area is limited.</w:t>
            </w:r>
          </w:p>
        </w:tc>
      </w:tr>
      <w:bookmarkEnd w:id="1648"/>
    </w:tbl>
    <w:p w14:paraId="18AA1A35" w14:textId="77777777" w:rsidR="009E404F" w:rsidRPr="00B65D57" w:rsidRDefault="009E404F" w:rsidP="008F4848">
      <w:pPr>
        <w:spacing w:line="260" w:lineRule="atLeast"/>
        <w:rPr>
          <w:rFonts w:eastAsia="Calibri"/>
          <w:lang w:eastAsia="en-US"/>
        </w:rPr>
      </w:pPr>
    </w:p>
    <w:p w14:paraId="50BC1CCC" w14:textId="58C3E794" w:rsidR="009E404F" w:rsidRPr="00B65D57" w:rsidRDefault="002C23EC" w:rsidP="008F4848">
      <w:pPr>
        <w:pStyle w:val="Rubrik6"/>
        <w:numPr>
          <w:ilvl w:val="0"/>
          <w:numId w:val="0"/>
        </w:numPr>
        <w:rPr>
          <w:rFonts w:eastAsia="Calibri"/>
          <w:i/>
          <w:iCs/>
          <w:lang w:val="en-GB" w:eastAsia="en-US"/>
        </w:rPr>
      </w:pPr>
      <w:r w:rsidRPr="00B65D57">
        <w:rPr>
          <w:i/>
          <w:iCs/>
          <w:caps w:val="0"/>
          <w:lang w:val="en-GB"/>
        </w:rPr>
        <w:lastRenderedPageBreak/>
        <w:t xml:space="preserve">2.2.8.1.8.4 </w:t>
      </w:r>
      <w:r w:rsidR="009E404F" w:rsidRPr="00B65D57">
        <w:rPr>
          <w:rFonts w:eastAsia="Calibri"/>
          <w:i/>
          <w:iCs/>
          <w:caps w:val="0"/>
          <w:lang w:val="en-GB" w:eastAsia="en-US"/>
        </w:rPr>
        <w:t>Monitoring studies</w:t>
      </w:r>
      <w:r w:rsidR="009E404F" w:rsidRPr="00B65D57">
        <w:rPr>
          <w:rFonts w:eastAsia="Calibri"/>
          <w:i/>
          <w:iCs/>
          <w:lang w:val="en-GB" w:eastAsia="en-US"/>
        </w:rPr>
        <w:t xml:space="preserve"> </w:t>
      </w:r>
      <w:r w:rsidR="009E404F" w:rsidRPr="00B65D57">
        <w:rPr>
          <w:rFonts w:eastAsia="Calibri"/>
          <w:i/>
          <w:iCs/>
          <w:caps w:val="0"/>
          <w:lang w:val="en-GB" w:eastAsia="en-US"/>
        </w:rPr>
        <w:t>of groundwater and clay related to Jerbor treatment</w:t>
      </w:r>
      <w:r w:rsidR="009E404F" w:rsidRPr="00B65D57">
        <w:rPr>
          <w:rFonts w:eastAsia="Calibri"/>
          <w:i/>
          <w:iCs/>
          <w:lang w:val="en-GB" w:eastAsia="en-US"/>
        </w:rPr>
        <w:t xml:space="preserve"> (</w:t>
      </w:r>
      <w:r w:rsidR="009E404F" w:rsidRPr="00B65D57">
        <w:rPr>
          <w:rFonts w:eastAsia="Calibri"/>
          <w:i/>
          <w:iCs/>
          <w:caps w:val="0"/>
          <w:lang w:val="en-GB" w:eastAsia="en-US"/>
        </w:rPr>
        <w:t>Theorin, 2011b</w:t>
      </w:r>
      <w:r w:rsidR="009E404F" w:rsidRPr="00B65D57">
        <w:rPr>
          <w:rFonts w:eastAsia="Calibri"/>
          <w:i/>
          <w:iCs/>
          <w:lang w:val="en-GB" w:eastAsia="en-US"/>
        </w:rPr>
        <w:t xml:space="preserve">) </w:t>
      </w:r>
    </w:p>
    <w:p w14:paraId="5BA9AB21" w14:textId="290CA9C5" w:rsidR="009E404F" w:rsidRPr="00B65D57" w:rsidRDefault="009E404F" w:rsidP="008F4848">
      <w:pPr>
        <w:spacing w:after="240" w:line="276" w:lineRule="auto"/>
        <w:rPr>
          <w:rFonts w:eastAsia="Calibri"/>
          <w:lang w:eastAsia="en-US"/>
        </w:rPr>
      </w:pPr>
      <w:r w:rsidRPr="00B65D57">
        <w:rPr>
          <w:rFonts w:eastAsia="Calibri"/>
          <w:lang w:eastAsia="en-US"/>
        </w:rPr>
        <w:t xml:space="preserve">The aim of this study by Theorin (2011b) was to investigate what concentrations of boron remain in samples taken from foundations which have been treated with Jerbor in the past. </w:t>
      </w:r>
      <w:r w:rsidRPr="0079523E">
        <w:rPr>
          <w:rFonts w:eastAsia="Calibri"/>
          <w:b/>
          <w:bCs/>
          <w:lang w:eastAsia="en-US"/>
        </w:rPr>
        <w:t>Groundwater and clay</w:t>
      </w:r>
      <w:r w:rsidRPr="00B65D57">
        <w:rPr>
          <w:rFonts w:eastAsia="Calibri"/>
          <w:lang w:eastAsia="en-US"/>
        </w:rPr>
        <w:t xml:space="preserve"> were sampled underneath a number of buildings and </w:t>
      </w:r>
      <w:r w:rsidR="004C72AB" w:rsidRPr="00B65D57">
        <w:rPr>
          <w:rFonts w:eastAsia="Calibri"/>
          <w:lang w:eastAsia="en-US"/>
        </w:rPr>
        <w:t>analysed</w:t>
      </w:r>
      <w:r w:rsidRPr="00B65D57">
        <w:rPr>
          <w:rFonts w:eastAsia="Calibri"/>
          <w:lang w:eastAsia="en-US"/>
        </w:rPr>
        <w:t xml:space="preserve"> for boric acid. The results showed that 19 - 89% of the applied concentration still remained in the treatment zone several years after treatment. Groundwater in direct connection to the Eurobor slurry in the treatment tubes contained significant amounts of borates. However, groundwater and clay at the outer edges of the treatment zone only contained concentrations in the same range as the background concentration of borates in clay from the same area (i.e., Gothenburg and Uppsala in areas relevant for treatment with Jerbor but far from treated buildings).</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9E404F" w:rsidRPr="00B65D57" w14:paraId="66E225AD" w14:textId="77777777" w:rsidTr="00DE498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1716F5D8" w14:textId="77777777" w:rsidR="009E404F" w:rsidRPr="00B65D57" w:rsidRDefault="009E404F" w:rsidP="008F4848">
            <w:pPr>
              <w:spacing w:line="276" w:lineRule="auto"/>
              <w:rPr>
                <w:rFonts w:eastAsia="Calibri"/>
                <w:b/>
                <w:lang w:eastAsia="da-DK"/>
              </w:rPr>
            </w:pPr>
            <w:r w:rsidRPr="00B65D57">
              <w:rPr>
                <w:rFonts w:eastAsia="Calibri"/>
                <w:b/>
                <w:lang w:eastAsia="en-US"/>
              </w:rPr>
              <w:t>Conclusion used in Risk Assessment</w:t>
            </w:r>
          </w:p>
        </w:tc>
      </w:tr>
      <w:tr w:rsidR="009E404F" w:rsidRPr="00B65D57" w14:paraId="2560FD05" w14:textId="77777777" w:rsidTr="00DE498C">
        <w:tc>
          <w:tcPr>
            <w:tcW w:w="1200" w:type="pct"/>
            <w:tcBorders>
              <w:top w:val="single" w:sz="4" w:space="0" w:color="auto"/>
              <w:left w:val="single" w:sz="4" w:space="0" w:color="auto"/>
              <w:bottom w:val="single" w:sz="4" w:space="0" w:color="auto"/>
              <w:right w:val="single" w:sz="4" w:space="0" w:color="auto"/>
            </w:tcBorders>
            <w:shd w:val="clear" w:color="auto" w:fill="auto"/>
          </w:tcPr>
          <w:p w14:paraId="0CCC3F42" w14:textId="77777777" w:rsidR="009E404F" w:rsidRPr="00B65D57" w:rsidRDefault="009E404F" w:rsidP="008F4848">
            <w:pPr>
              <w:spacing w:line="276" w:lineRule="auto"/>
              <w:rPr>
                <w:rFonts w:eastAsia="Calibri"/>
                <w:bCs/>
                <w:lang w:eastAsia="en-US"/>
              </w:rPr>
            </w:pPr>
            <w:r w:rsidRPr="00B65D57">
              <w:rPr>
                <w:rFonts w:eastAsia="Calibri"/>
                <w:bCs/>
                <w:lang w:eastAsia="en-US"/>
              </w:rPr>
              <w:t>Conclusion</w:t>
            </w:r>
          </w:p>
        </w:tc>
        <w:tc>
          <w:tcPr>
            <w:tcW w:w="3800" w:type="pct"/>
            <w:tcBorders>
              <w:top w:val="single" w:sz="4" w:space="0" w:color="auto"/>
              <w:left w:val="single" w:sz="4" w:space="0" w:color="auto"/>
              <w:bottom w:val="single" w:sz="4" w:space="0" w:color="auto"/>
              <w:right w:val="single" w:sz="4" w:space="0" w:color="auto"/>
            </w:tcBorders>
          </w:tcPr>
          <w:p w14:paraId="12A37F8D" w14:textId="77777777" w:rsidR="009E404F" w:rsidRPr="00B65D57" w:rsidRDefault="009E404F" w:rsidP="008F4848">
            <w:pPr>
              <w:spacing w:line="276" w:lineRule="auto"/>
              <w:rPr>
                <w:rFonts w:eastAsia="Calibri"/>
                <w:bCs/>
                <w:lang w:eastAsia="en-US"/>
              </w:rPr>
            </w:pPr>
            <w:r w:rsidRPr="00B65D57">
              <w:rPr>
                <w:rFonts w:eastAsia="Calibri"/>
                <w:bCs/>
                <w:lang w:eastAsia="en-US"/>
              </w:rPr>
              <w:t>Clay located at the outer edges of an area which has been treated with Jerbor shows boron concentration in the same range as the background concentration of boron in clay from the same area.</w:t>
            </w:r>
            <w:r w:rsidRPr="00B65D57">
              <w:t xml:space="preserve"> </w:t>
            </w:r>
          </w:p>
        </w:tc>
      </w:tr>
    </w:tbl>
    <w:p w14:paraId="14D77685" w14:textId="77777777" w:rsidR="009E404F" w:rsidRPr="00B65D57" w:rsidRDefault="009E404F" w:rsidP="008F4848">
      <w:pPr>
        <w:spacing w:after="240" w:line="260" w:lineRule="atLeast"/>
        <w:rPr>
          <w:rFonts w:eastAsia="Calibri"/>
          <w:i/>
          <w:sz w:val="22"/>
          <w:szCs w:val="22"/>
          <w:u w:val="single"/>
          <w:lang w:eastAsia="en-US"/>
        </w:rPr>
      </w:pPr>
    </w:p>
    <w:p w14:paraId="28EA8DA8" w14:textId="592E545B" w:rsidR="009E404F" w:rsidRPr="00B65D57" w:rsidRDefault="002C23EC" w:rsidP="008F4848">
      <w:pPr>
        <w:pStyle w:val="Rubrik6"/>
        <w:numPr>
          <w:ilvl w:val="0"/>
          <w:numId w:val="0"/>
        </w:numPr>
        <w:spacing w:after="240"/>
        <w:rPr>
          <w:rFonts w:eastAsia="Calibri"/>
          <w:i/>
          <w:szCs w:val="22"/>
          <w:lang w:val="en-GB" w:eastAsia="en-US"/>
        </w:rPr>
      </w:pPr>
      <w:r w:rsidRPr="00B65D57">
        <w:rPr>
          <w:i/>
          <w:iCs/>
          <w:caps w:val="0"/>
          <w:lang w:val="en-GB"/>
        </w:rPr>
        <w:t xml:space="preserve">2.2.8.1.8.5 </w:t>
      </w:r>
      <w:r w:rsidR="009E404F" w:rsidRPr="00B65D57">
        <w:rPr>
          <w:rFonts w:eastAsia="Calibri"/>
          <w:i/>
          <w:caps w:val="0"/>
          <w:lang w:val="en-GB" w:eastAsia="en-US"/>
        </w:rPr>
        <w:t>Monitoring studies</w:t>
      </w:r>
      <w:r w:rsidR="009E404F" w:rsidRPr="00B65D57">
        <w:rPr>
          <w:rFonts w:eastAsia="Calibri"/>
          <w:i/>
          <w:lang w:val="en-GB" w:eastAsia="en-US"/>
        </w:rPr>
        <w:t xml:space="preserve"> </w:t>
      </w:r>
      <w:r w:rsidR="009E404F" w:rsidRPr="00B65D57">
        <w:rPr>
          <w:rFonts w:eastAsia="Calibri"/>
          <w:i/>
          <w:caps w:val="0"/>
          <w:lang w:val="en-GB" w:eastAsia="en-US"/>
        </w:rPr>
        <w:t xml:space="preserve">of sediment and clay related to </w:t>
      </w:r>
      <w:r w:rsidR="004C72AB" w:rsidRPr="00B65D57">
        <w:rPr>
          <w:rFonts w:eastAsia="Calibri"/>
          <w:i/>
          <w:caps w:val="0"/>
          <w:lang w:val="en-GB" w:eastAsia="en-US"/>
        </w:rPr>
        <w:t>Jerbor</w:t>
      </w:r>
      <w:r w:rsidR="009E404F" w:rsidRPr="00B65D57">
        <w:rPr>
          <w:rFonts w:eastAsia="Calibri"/>
          <w:i/>
          <w:caps w:val="0"/>
          <w:lang w:val="en-GB" w:eastAsia="en-US"/>
        </w:rPr>
        <w:t xml:space="preserve"> treatment</w:t>
      </w:r>
      <w:r w:rsidR="009E404F" w:rsidRPr="00B65D57">
        <w:rPr>
          <w:rFonts w:eastAsia="Calibri"/>
          <w:i/>
          <w:lang w:val="en-GB" w:eastAsia="en-US"/>
        </w:rPr>
        <w:t xml:space="preserve"> (T</w:t>
      </w:r>
      <w:r w:rsidR="009E404F" w:rsidRPr="00B65D57">
        <w:rPr>
          <w:rFonts w:eastAsia="Calibri"/>
          <w:i/>
          <w:caps w:val="0"/>
          <w:szCs w:val="22"/>
          <w:lang w:val="en-GB" w:eastAsia="en-US"/>
        </w:rPr>
        <w:t>heorin, 2011c</w:t>
      </w:r>
      <w:r w:rsidR="009E404F" w:rsidRPr="00B65D57">
        <w:rPr>
          <w:rFonts w:eastAsia="Calibri"/>
          <w:i/>
          <w:szCs w:val="22"/>
          <w:lang w:val="en-GB" w:eastAsia="en-US"/>
        </w:rPr>
        <w:t>)</w:t>
      </w:r>
    </w:p>
    <w:p w14:paraId="4949287E" w14:textId="77777777" w:rsidR="009E404F" w:rsidRPr="00B65D57" w:rsidRDefault="009E404F" w:rsidP="008F4848">
      <w:pPr>
        <w:spacing w:after="240" w:line="260" w:lineRule="atLeast"/>
        <w:rPr>
          <w:rFonts w:eastAsia="Calibri"/>
          <w:lang w:eastAsia="en-US"/>
        </w:rPr>
      </w:pPr>
      <w:r w:rsidRPr="00B65D57">
        <w:rPr>
          <w:rFonts w:eastAsia="Calibri"/>
          <w:lang w:eastAsia="en-US"/>
        </w:rPr>
        <w:t xml:space="preserve">The purpose of this study, performed by Theorin (2011c), was to supplement the data on the concentration of boric acid and borax in </w:t>
      </w:r>
      <w:r w:rsidRPr="00C86DEF">
        <w:rPr>
          <w:rFonts w:eastAsia="Calibri"/>
          <w:b/>
          <w:bCs/>
          <w:lang w:eastAsia="en-US"/>
        </w:rPr>
        <w:t>sediment and clay</w:t>
      </w:r>
      <w:r w:rsidRPr="00B65D57">
        <w:rPr>
          <w:rFonts w:eastAsia="Calibri"/>
          <w:lang w:eastAsia="en-US"/>
        </w:rPr>
        <w:t>, and to show</w:t>
      </w:r>
      <w:r w:rsidRPr="00B65D57">
        <w:t xml:space="preserve"> </w:t>
      </w:r>
      <w:r w:rsidRPr="00B65D57">
        <w:rPr>
          <w:rFonts w:eastAsia="Calibri"/>
          <w:lang w:eastAsia="en-US"/>
        </w:rPr>
        <w:t xml:space="preserve">what the typical background concentration is in clay of marine origin sampled in areas in which treatment with Jerbor is commonly made. Sampling of the clay was done underneath existing buildings in central parts of Gothenburg and Uppsala in spring 2011. The results of the study coincide with other published data of boron concentrations in clay of marine origin.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9E404F" w:rsidRPr="00B65D57" w14:paraId="110F4814" w14:textId="77777777" w:rsidTr="00DE498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16A34809" w14:textId="77777777" w:rsidR="009E404F" w:rsidRPr="00B65D57" w:rsidRDefault="009E404F" w:rsidP="008F4848">
            <w:pPr>
              <w:spacing w:line="260" w:lineRule="atLeast"/>
              <w:rPr>
                <w:rFonts w:eastAsia="Calibri"/>
                <w:b/>
                <w:lang w:eastAsia="da-DK"/>
              </w:rPr>
            </w:pPr>
            <w:r w:rsidRPr="00B65D57">
              <w:rPr>
                <w:rFonts w:eastAsia="Calibri"/>
                <w:b/>
                <w:lang w:eastAsia="en-US"/>
              </w:rPr>
              <w:t>Conclusion used in Risk Assessment</w:t>
            </w:r>
          </w:p>
        </w:tc>
      </w:tr>
      <w:tr w:rsidR="009E404F" w:rsidRPr="00B65D57" w14:paraId="4D044FA5" w14:textId="77777777" w:rsidTr="00DE498C">
        <w:tc>
          <w:tcPr>
            <w:tcW w:w="1200" w:type="pct"/>
            <w:tcBorders>
              <w:top w:val="single" w:sz="4" w:space="0" w:color="auto"/>
              <w:left w:val="single" w:sz="4" w:space="0" w:color="auto"/>
              <w:bottom w:val="single" w:sz="4" w:space="0" w:color="auto"/>
              <w:right w:val="single" w:sz="4" w:space="0" w:color="auto"/>
            </w:tcBorders>
            <w:shd w:val="clear" w:color="auto" w:fill="auto"/>
          </w:tcPr>
          <w:p w14:paraId="124CF3B2" w14:textId="77777777" w:rsidR="009E404F" w:rsidRPr="00B65D57" w:rsidRDefault="009E404F" w:rsidP="008F4848">
            <w:pPr>
              <w:spacing w:line="260" w:lineRule="atLeast"/>
              <w:rPr>
                <w:rFonts w:eastAsia="Calibri"/>
                <w:bCs/>
                <w:highlight w:val="yellow"/>
                <w:lang w:eastAsia="en-US"/>
              </w:rPr>
            </w:pPr>
            <w:r w:rsidRPr="00B65D57">
              <w:rPr>
                <w:rFonts w:eastAsia="Calibri"/>
                <w:bCs/>
                <w:lang w:eastAsia="en-US"/>
              </w:rPr>
              <w:t>Conclusion</w:t>
            </w:r>
          </w:p>
        </w:tc>
        <w:tc>
          <w:tcPr>
            <w:tcW w:w="3800" w:type="pct"/>
            <w:tcBorders>
              <w:top w:val="single" w:sz="4" w:space="0" w:color="auto"/>
              <w:left w:val="single" w:sz="4" w:space="0" w:color="auto"/>
              <w:bottom w:val="single" w:sz="4" w:space="0" w:color="auto"/>
              <w:right w:val="single" w:sz="4" w:space="0" w:color="auto"/>
            </w:tcBorders>
          </w:tcPr>
          <w:p w14:paraId="2D2DB1A2" w14:textId="77777777" w:rsidR="009E404F" w:rsidRPr="00B65D57" w:rsidRDefault="009E404F" w:rsidP="008F4848">
            <w:pPr>
              <w:spacing w:line="260" w:lineRule="atLeast"/>
              <w:rPr>
                <w:rFonts w:eastAsia="Calibri"/>
                <w:bCs/>
                <w:lang w:eastAsia="en-US"/>
              </w:rPr>
            </w:pPr>
            <w:r w:rsidRPr="00B65D57">
              <w:rPr>
                <w:rFonts w:eastAsia="Calibri"/>
                <w:bCs/>
                <w:lang w:eastAsia="en-US"/>
              </w:rPr>
              <w:t>The background concentration of boron in clay, sampled in areas where treatment with Jerbor is commonly made, is in the same range as background concentrations of boron in clay from other areas of the world.</w:t>
            </w:r>
          </w:p>
        </w:tc>
      </w:tr>
    </w:tbl>
    <w:p w14:paraId="397044D5" w14:textId="77777777" w:rsidR="009E404F" w:rsidRPr="00B65D57" w:rsidRDefault="009E404F" w:rsidP="008F4848">
      <w:pPr>
        <w:spacing w:line="260" w:lineRule="atLeast"/>
        <w:rPr>
          <w:rFonts w:eastAsia="Calibri"/>
          <w:lang w:eastAsia="en-US"/>
        </w:rPr>
      </w:pPr>
    </w:p>
    <w:p w14:paraId="230D7BB1" w14:textId="77777777" w:rsidR="009E404F" w:rsidRPr="00B65D57" w:rsidRDefault="009E404F" w:rsidP="008F4848">
      <w:pPr>
        <w:spacing w:line="260" w:lineRule="atLeast"/>
        <w:rPr>
          <w:rFonts w:eastAsia="Calibri"/>
          <w:lang w:eastAsia="en-US"/>
        </w:rPr>
      </w:pPr>
    </w:p>
    <w:p w14:paraId="574F06BF" w14:textId="47F64517" w:rsidR="009E404F" w:rsidRPr="00B65D57" w:rsidRDefault="002C23EC" w:rsidP="008F4848">
      <w:pPr>
        <w:pStyle w:val="Rubrik6"/>
        <w:numPr>
          <w:ilvl w:val="0"/>
          <w:numId w:val="0"/>
        </w:numPr>
        <w:rPr>
          <w:rFonts w:eastAsia="Calibri"/>
          <w:i/>
          <w:iCs/>
          <w:lang w:val="en-GB" w:eastAsia="en-US"/>
        </w:rPr>
      </w:pPr>
      <w:r w:rsidRPr="00B65D57">
        <w:rPr>
          <w:i/>
          <w:iCs/>
          <w:caps w:val="0"/>
          <w:lang w:val="en-GB"/>
        </w:rPr>
        <w:t xml:space="preserve">2.2.8.1.8.6 </w:t>
      </w:r>
      <w:r w:rsidR="009E404F" w:rsidRPr="00B65D57">
        <w:rPr>
          <w:rFonts w:eastAsia="Calibri"/>
          <w:i/>
          <w:iCs/>
          <w:lang w:val="en-GB" w:eastAsia="en-US"/>
        </w:rPr>
        <w:t>L</w:t>
      </w:r>
      <w:r w:rsidR="009E404F" w:rsidRPr="00B65D57">
        <w:rPr>
          <w:rFonts w:eastAsia="Calibri"/>
          <w:i/>
          <w:iCs/>
          <w:caps w:val="0"/>
          <w:lang w:val="en-GB" w:eastAsia="en-US"/>
        </w:rPr>
        <w:t>iterature review on borates in marine clays</w:t>
      </w:r>
      <w:r w:rsidR="009E404F" w:rsidRPr="00B65D57">
        <w:rPr>
          <w:rFonts w:eastAsia="Calibri"/>
          <w:i/>
          <w:iCs/>
          <w:lang w:val="en-GB" w:eastAsia="en-US"/>
        </w:rPr>
        <w:t xml:space="preserve"> (</w:t>
      </w:r>
      <w:r w:rsidR="009E404F" w:rsidRPr="00B65D57">
        <w:rPr>
          <w:rFonts w:eastAsia="Calibri"/>
          <w:i/>
          <w:iCs/>
          <w:caps w:val="0"/>
          <w:lang w:val="en-GB" w:eastAsia="en-US"/>
        </w:rPr>
        <w:t>Theorin, 2011a</w:t>
      </w:r>
      <w:r w:rsidR="009E404F" w:rsidRPr="00B65D57">
        <w:rPr>
          <w:rFonts w:eastAsia="Calibri"/>
          <w:i/>
          <w:iCs/>
          <w:lang w:val="en-GB" w:eastAsia="en-US"/>
        </w:rPr>
        <w:t>)</w:t>
      </w:r>
    </w:p>
    <w:p w14:paraId="0DC2B83D" w14:textId="77777777" w:rsidR="009E404F" w:rsidRPr="00B65D57" w:rsidRDefault="009E404F" w:rsidP="008F4848">
      <w:pPr>
        <w:spacing w:after="240" w:line="260" w:lineRule="atLeast"/>
        <w:rPr>
          <w:rFonts w:eastAsia="Calibri"/>
          <w:lang w:eastAsia="en-US"/>
        </w:rPr>
      </w:pPr>
      <w:r w:rsidRPr="00B65D57">
        <w:rPr>
          <w:rFonts w:eastAsia="Calibri"/>
          <w:lang w:eastAsia="en-US"/>
        </w:rPr>
        <w:t xml:space="preserve">The study is a literature review which compiles the data on borates in clay that is available from published studies. The study describes the formation and occurrence of marine clays, the amount of boron in clay of marine origin, and the intrinsic properties of borates such as the rate of diffusion and adsorption of boron in clay.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9E404F" w:rsidRPr="00B65D57" w14:paraId="07D59099" w14:textId="77777777" w:rsidTr="00DE498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0222B064" w14:textId="77777777" w:rsidR="009E404F" w:rsidRPr="00B65D57" w:rsidRDefault="009E404F" w:rsidP="008F4848">
            <w:pPr>
              <w:spacing w:line="260" w:lineRule="atLeast"/>
              <w:rPr>
                <w:rFonts w:eastAsia="Calibri"/>
                <w:b/>
                <w:lang w:eastAsia="da-DK"/>
              </w:rPr>
            </w:pPr>
            <w:r w:rsidRPr="00B65D57">
              <w:rPr>
                <w:rFonts w:eastAsia="Calibri"/>
                <w:b/>
                <w:lang w:eastAsia="en-US"/>
              </w:rPr>
              <w:t>Conclusion used in Risk Assessment</w:t>
            </w:r>
          </w:p>
        </w:tc>
      </w:tr>
      <w:tr w:rsidR="009E404F" w:rsidRPr="00B65D57" w14:paraId="26EACDC9" w14:textId="77777777" w:rsidTr="00DE498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718EDC4" w14:textId="77777777" w:rsidR="009E404F" w:rsidRPr="00B65D57" w:rsidRDefault="009E404F" w:rsidP="008F4848">
            <w:pPr>
              <w:spacing w:line="260" w:lineRule="atLeast"/>
              <w:rPr>
                <w:rFonts w:eastAsia="Calibri"/>
                <w:bCs/>
                <w:highlight w:val="yellow"/>
                <w:lang w:eastAsia="en-US"/>
              </w:rPr>
            </w:pPr>
            <w:r w:rsidRPr="00B65D57">
              <w:rPr>
                <w:rFonts w:eastAsia="Calibri"/>
                <w:bCs/>
                <w:lang w:eastAsia="en-US"/>
              </w:rPr>
              <w:t>Conclusion</w:t>
            </w:r>
          </w:p>
        </w:tc>
        <w:tc>
          <w:tcPr>
            <w:tcW w:w="3800" w:type="pct"/>
            <w:tcBorders>
              <w:top w:val="single" w:sz="4" w:space="0" w:color="auto"/>
              <w:left w:val="single" w:sz="4" w:space="0" w:color="auto"/>
              <w:bottom w:val="single" w:sz="4" w:space="0" w:color="auto"/>
              <w:right w:val="single" w:sz="4" w:space="0" w:color="auto"/>
            </w:tcBorders>
          </w:tcPr>
          <w:p w14:paraId="02663ACF" w14:textId="77777777" w:rsidR="009E404F" w:rsidRPr="00B65D57" w:rsidRDefault="009E404F" w:rsidP="008F4848">
            <w:pPr>
              <w:spacing w:line="260" w:lineRule="atLeast"/>
              <w:rPr>
                <w:rFonts w:eastAsia="Calibri"/>
                <w:bCs/>
                <w:lang w:eastAsia="en-US"/>
              </w:rPr>
            </w:pPr>
            <w:r w:rsidRPr="00B65D57">
              <w:rPr>
                <w:rFonts w:eastAsia="Calibri"/>
                <w:bCs/>
                <w:lang w:eastAsia="en-US"/>
              </w:rPr>
              <w:t>The background concentration of boron in marine clays from different areas of the world varies considerably and values between 25 and 1300 mg B/kg have been reported.</w:t>
            </w:r>
          </w:p>
        </w:tc>
      </w:tr>
    </w:tbl>
    <w:p w14:paraId="18E56B28" w14:textId="77777777" w:rsidR="009E404F" w:rsidRPr="00B65D57" w:rsidRDefault="009E404F" w:rsidP="008F4848">
      <w:pPr>
        <w:spacing w:line="260" w:lineRule="atLeast"/>
        <w:rPr>
          <w:rFonts w:eastAsia="Calibri"/>
          <w:lang w:eastAsia="en-US"/>
        </w:rPr>
      </w:pPr>
    </w:p>
    <w:p w14:paraId="344CA92C" w14:textId="77777777" w:rsidR="009E404F" w:rsidRPr="00B65D57" w:rsidRDefault="009E404F" w:rsidP="008F4848">
      <w:pPr>
        <w:spacing w:line="260" w:lineRule="atLeast"/>
        <w:rPr>
          <w:rFonts w:eastAsia="Calibri"/>
          <w:lang w:eastAsia="en-US"/>
        </w:rPr>
      </w:pPr>
    </w:p>
    <w:p w14:paraId="7C02D1B0" w14:textId="722A93AA" w:rsidR="009E404F" w:rsidRPr="00B65D57" w:rsidRDefault="002C23EC" w:rsidP="008F4848">
      <w:pPr>
        <w:pStyle w:val="Rubrik5"/>
        <w:spacing w:line="276" w:lineRule="auto"/>
        <w:ind w:left="-76"/>
        <w:rPr>
          <w:lang w:val="en-GB"/>
        </w:rPr>
      </w:pPr>
      <w:bookmarkStart w:id="1649" w:name="_Toc388285334"/>
      <w:bookmarkStart w:id="1650" w:name="_Toc388374383"/>
      <w:bookmarkStart w:id="1651" w:name="_Toc388285335"/>
      <w:bookmarkStart w:id="1652" w:name="_Toc388374384"/>
      <w:bookmarkStart w:id="1653" w:name="_Toc389729107"/>
      <w:bookmarkStart w:id="1654" w:name="_Toc403472792"/>
      <w:bookmarkEnd w:id="1649"/>
      <w:bookmarkEnd w:id="1650"/>
      <w:bookmarkEnd w:id="1651"/>
      <w:bookmarkEnd w:id="1652"/>
      <w:r w:rsidRPr="00B65D57">
        <w:rPr>
          <w:lang w:val="en-GB"/>
        </w:rPr>
        <w:t>2.2.8.1.9</w:t>
      </w:r>
      <w:r w:rsidR="009E404F" w:rsidRPr="00B65D57">
        <w:rPr>
          <w:lang w:val="en-GB"/>
        </w:rPr>
        <w:t xml:space="preserve"> Leaching behaviour </w:t>
      </w:r>
      <w:bookmarkEnd w:id="1653"/>
      <w:bookmarkEnd w:id="1654"/>
    </w:p>
    <w:p w14:paraId="13334730" w14:textId="77777777" w:rsidR="009E404F" w:rsidRPr="00B65D57" w:rsidRDefault="009E404F" w:rsidP="008F4848">
      <w:pPr>
        <w:spacing w:line="276" w:lineRule="auto"/>
        <w:ind w:left="284"/>
        <w:rPr>
          <w:rFonts w:eastAsia="Calibri"/>
          <w:lang w:eastAsia="en-US"/>
        </w:rPr>
      </w:pPr>
      <w:r w:rsidRPr="00B65D57">
        <w:rPr>
          <w:rFonts w:eastAsia="Calibri"/>
          <w:lang w:eastAsia="en-US"/>
        </w:rPr>
        <w:t>No additional data is required. The data in the CARs for boric acid and disodium tetraborate pentahydrate is sufficient.</w:t>
      </w:r>
    </w:p>
    <w:p w14:paraId="313EAA12" w14:textId="77777777" w:rsidR="009E404F" w:rsidRPr="00B65D57" w:rsidRDefault="009E404F" w:rsidP="008F4848">
      <w:pPr>
        <w:spacing w:line="276" w:lineRule="auto"/>
        <w:ind w:left="284"/>
        <w:rPr>
          <w:rFonts w:eastAsia="Calibri"/>
          <w:iCs/>
          <w:lang w:eastAsia="en-US"/>
        </w:rPr>
      </w:pPr>
    </w:p>
    <w:p w14:paraId="4C0F3FC4" w14:textId="360814AA" w:rsidR="009E404F" w:rsidRPr="00B65D57" w:rsidRDefault="002C23EC" w:rsidP="008F4848">
      <w:pPr>
        <w:pStyle w:val="Rubrik5"/>
        <w:spacing w:line="276" w:lineRule="auto"/>
        <w:ind w:left="-76"/>
        <w:rPr>
          <w:lang w:val="en-GB"/>
        </w:rPr>
      </w:pPr>
      <w:bookmarkStart w:id="1655" w:name="_Toc389729108"/>
      <w:bookmarkStart w:id="1656" w:name="_Toc403472793"/>
      <w:r w:rsidRPr="00B65D57">
        <w:rPr>
          <w:lang w:val="en-GB"/>
        </w:rPr>
        <w:t xml:space="preserve">2.2.8.1.10 </w:t>
      </w:r>
      <w:r w:rsidR="009E404F" w:rsidRPr="00B65D57">
        <w:rPr>
          <w:lang w:val="en-GB"/>
        </w:rPr>
        <w:t>Testing for distribution and dissipation in soil</w:t>
      </w:r>
      <w:bookmarkEnd w:id="1655"/>
      <w:bookmarkEnd w:id="1656"/>
    </w:p>
    <w:p w14:paraId="000E2A22" w14:textId="77777777" w:rsidR="009E404F" w:rsidRPr="00B65D57" w:rsidRDefault="009E404F" w:rsidP="008F4848">
      <w:pPr>
        <w:spacing w:line="276" w:lineRule="auto"/>
        <w:ind w:left="284"/>
      </w:pPr>
      <w:bookmarkStart w:id="1657" w:name="_Hlk9602174"/>
      <w:r w:rsidRPr="00B65D57">
        <w:t>No additional data is required. The data in the CARs for boric acid and disodium tetraborate pentahydrate is sufficient.</w:t>
      </w:r>
    </w:p>
    <w:bookmarkEnd w:id="1657"/>
    <w:p w14:paraId="3A730B5B" w14:textId="77777777" w:rsidR="009E404F" w:rsidRPr="00B65D57" w:rsidRDefault="009E404F" w:rsidP="008F4848">
      <w:pPr>
        <w:spacing w:line="276" w:lineRule="auto"/>
        <w:ind w:left="284"/>
        <w:rPr>
          <w:rFonts w:eastAsia="Calibri"/>
          <w:lang w:eastAsia="en-US"/>
        </w:rPr>
      </w:pPr>
    </w:p>
    <w:p w14:paraId="6A8773F4" w14:textId="5E2AF92E" w:rsidR="009E404F" w:rsidRPr="00B65D57" w:rsidRDefault="002C23EC" w:rsidP="008F4848">
      <w:pPr>
        <w:pStyle w:val="Rubrik5"/>
        <w:spacing w:line="276" w:lineRule="auto"/>
        <w:ind w:left="-76"/>
        <w:rPr>
          <w:lang w:val="en-GB"/>
        </w:rPr>
      </w:pPr>
      <w:bookmarkStart w:id="1658" w:name="_Toc389729109"/>
      <w:bookmarkStart w:id="1659" w:name="_Toc403472794"/>
      <w:r w:rsidRPr="00B65D57">
        <w:rPr>
          <w:lang w:val="en-GB"/>
        </w:rPr>
        <w:t xml:space="preserve">2.2.8.1.11 </w:t>
      </w:r>
      <w:r w:rsidR="009E404F" w:rsidRPr="00B65D57">
        <w:rPr>
          <w:lang w:val="en-GB"/>
        </w:rPr>
        <w:t>Testing for distribution and dissipation in water and sediment</w:t>
      </w:r>
      <w:bookmarkEnd w:id="1658"/>
      <w:bookmarkEnd w:id="1659"/>
    </w:p>
    <w:p w14:paraId="69785392" w14:textId="77777777" w:rsidR="009E404F" w:rsidRPr="00B65D57" w:rsidRDefault="009E404F" w:rsidP="008F4848">
      <w:pPr>
        <w:spacing w:line="276" w:lineRule="auto"/>
        <w:ind w:left="284"/>
      </w:pPr>
      <w:r w:rsidRPr="00B65D57">
        <w:t>No additional data is required. The data in the CARs for boric acid and disodium tetraborate pentahydrate is sufficient.</w:t>
      </w:r>
    </w:p>
    <w:p w14:paraId="482AF283" w14:textId="77777777" w:rsidR="009E404F" w:rsidRPr="00B65D57" w:rsidRDefault="009E404F" w:rsidP="008F4848">
      <w:pPr>
        <w:spacing w:line="276" w:lineRule="auto"/>
        <w:ind w:left="284"/>
      </w:pPr>
    </w:p>
    <w:p w14:paraId="32A669B3" w14:textId="18765AD8" w:rsidR="009E404F" w:rsidRPr="00B65D57" w:rsidRDefault="002C23EC" w:rsidP="008F4848">
      <w:pPr>
        <w:pStyle w:val="Rubrik5"/>
        <w:spacing w:line="276" w:lineRule="auto"/>
        <w:ind w:left="-76"/>
        <w:rPr>
          <w:lang w:val="en-GB"/>
        </w:rPr>
      </w:pPr>
      <w:bookmarkStart w:id="1660" w:name="_Toc389729110"/>
      <w:bookmarkStart w:id="1661" w:name="_Toc403472795"/>
      <w:r w:rsidRPr="00B65D57">
        <w:rPr>
          <w:lang w:val="en-GB"/>
        </w:rPr>
        <w:t xml:space="preserve">2.2.8.1.12 </w:t>
      </w:r>
      <w:r w:rsidR="009E404F" w:rsidRPr="00B65D57">
        <w:rPr>
          <w:lang w:val="en-GB"/>
        </w:rPr>
        <w:t>Testing for distribution and dissipation in air</w:t>
      </w:r>
      <w:bookmarkEnd w:id="1660"/>
      <w:bookmarkEnd w:id="1661"/>
    </w:p>
    <w:p w14:paraId="3531D743" w14:textId="77777777" w:rsidR="009E404F" w:rsidRPr="00B65D57" w:rsidRDefault="009E404F" w:rsidP="008F4848">
      <w:pPr>
        <w:spacing w:line="276" w:lineRule="auto"/>
        <w:ind w:left="284"/>
      </w:pPr>
      <w:r w:rsidRPr="00B65D57">
        <w:t>No additional data is required. The data in the CARs for boric acid and disodium tetraborate pentahydrate is sufficient.</w:t>
      </w:r>
    </w:p>
    <w:p w14:paraId="541BFA02" w14:textId="77777777" w:rsidR="009E404F" w:rsidRPr="00B65D57" w:rsidRDefault="009E404F" w:rsidP="008F4848">
      <w:pPr>
        <w:spacing w:line="276" w:lineRule="auto"/>
        <w:ind w:left="284"/>
        <w:rPr>
          <w:rFonts w:eastAsia="Calibri"/>
          <w:i/>
          <w:iCs/>
          <w:lang w:eastAsia="en-US"/>
        </w:rPr>
      </w:pPr>
    </w:p>
    <w:p w14:paraId="5053024E" w14:textId="48E26E9F" w:rsidR="009E404F" w:rsidRPr="00B65D57" w:rsidRDefault="002C23EC" w:rsidP="008F4848">
      <w:pPr>
        <w:pStyle w:val="Rubrik5"/>
        <w:spacing w:line="276" w:lineRule="auto"/>
        <w:ind w:left="-76"/>
        <w:rPr>
          <w:lang w:val="en-GB"/>
        </w:rPr>
      </w:pPr>
      <w:bookmarkStart w:id="1662" w:name="_Toc387250869"/>
      <w:bookmarkStart w:id="1663" w:name="_Toc388374389"/>
      <w:bookmarkStart w:id="1664" w:name="_Toc388610091"/>
      <w:bookmarkStart w:id="1665" w:name="_Toc388625125"/>
      <w:bookmarkStart w:id="1666" w:name="_Toc388625379"/>
      <w:bookmarkStart w:id="1667" w:name="_Toc388633780"/>
      <w:bookmarkStart w:id="1668" w:name="_Toc389725272"/>
      <w:bookmarkStart w:id="1669" w:name="_Toc389729111"/>
      <w:bookmarkStart w:id="1670" w:name="_Toc403472796"/>
      <w:bookmarkEnd w:id="1662"/>
      <w:bookmarkEnd w:id="1663"/>
      <w:bookmarkEnd w:id="1664"/>
      <w:bookmarkEnd w:id="1665"/>
      <w:bookmarkEnd w:id="1666"/>
      <w:bookmarkEnd w:id="1667"/>
      <w:bookmarkEnd w:id="1668"/>
      <w:r w:rsidRPr="00B65D57">
        <w:rPr>
          <w:lang w:val="en-GB"/>
        </w:rPr>
        <w:t xml:space="preserve">2.2.8.1.13 </w:t>
      </w:r>
      <w:r w:rsidR="009E404F" w:rsidRPr="00B65D57">
        <w:rPr>
          <w:lang w:val="en-GB"/>
        </w:rPr>
        <w:t>If the biocidal product is to be sprayed near to surface waters then an overspray study may be required to assess risks to aquatic organisms or plants under field conditions</w:t>
      </w:r>
      <w:bookmarkEnd w:id="1669"/>
      <w:bookmarkEnd w:id="1670"/>
    </w:p>
    <w:p w14:paraId="1B8C538A" w14:textId="77777777" w:rsidR="009E404F" w:rsidRPr="00B65D57" w:rsidRDefault="009E404F" w:rsidP="008F4848">
      <w:pPr>
        <w:spacing w:line="276" w:lineRule="auto"/>
        <w:ind w:left="284"/>
      </w:pPr>
      <w:r w:rsidRPr="00B65D57">
        <w:t>The product is not sprayed. Thus, no additional data is required. The data in the CARs for boric acid and disodium tetraborate pentahydrate is sufficient.</w:t>
      </w:r>
    </w:p>
    <w:p w14:paraId="716D8981" w14:textId="77777777" w:rsidR="009E404F" w:rsidRPr="00B65D57" w:rsidRDefault="009E404F" w:rsidP="008F4848">
      <w:pPr>
        <w:spacing w:line="276" w:lineRule="auto"/>
        <w:ind w:left="284"/>
        <w:rPr>
          <w:rFonts w:eastAsia="Calibri"/>
          <w:lang w:eastAsia="en-US"/>
        </w:rPr>
      </w:pPr>
    </w:p>
    <w:p w14:paraId="124118CC" w14:textId="07A56192" w:rsidR="009E404F" w:rsidRPr="00B65D57" w:rsidRDefault="002C23EC" w:rsidP="008F4848">
      <w:pPr>
        <w:pStyle w:val="Rubrik5"/>
        <w:spacing w:line="276" w:lineRule="auto"/>
        <w:ind w:left="-76"/>
        <w:rPr>
          <w:lang w:val="en-GB"/>
        </w:rPr>
      </w:pPr>
      <w:bookmarkStart w:id="1671" w:name="_Toc388285341"/>
      <w:bookmarkStart w:id="1672" w:name="_Toc388374391"/>
      <w:bookmarkStart w:id="1673" w:name="_Toc388285342"/>
      <w:bookmarkStart w:id="1674" w:name="_Toc388374392"/>
      <w:bookmarkStart w:id="1675" w:name="_Toc389729112"/>
      <w:bookmarkStart w:id="1676" w:name="_Toc403472797"/>
      <w:bookmarkEnd w:id="1671"/>
      <w:bookmarkEnd w:id="1672"/>
      <w:bookmarkEnd w:id="1673"/>
      <w:bookmarkEnd w:id="1674"/>
      <w:r w:rsidRPr="00B65D57">
        <w:rPr>
          <w:lang w:val="en-GB"/>
        </w:rPr>
        <w:t xml:space="preserve">2.2.8.1.14 </w:t>
      </w:r>
      <w:r w:rsidR="009E404F" w:rsidRPr="00B65D57">
        <w:rPr>
          <w:lang w:val="en-GB"/>
        </w:rPr>
        <w:t>If the biocidal product is to be sprayed outside or if potential for large scale formation of dust is given then data on overspray behaviour may be required to assess risks to bees and non-target arthropods under field conditions (ADS)</w:t>
      </w:r>
      <w:bookmarkEnd w:id="1675"/>
      <w:bookmarkEnd w:id="1676"/>
    </w:p>
    <w:p w14:paraId="6660F232" w14:textId="77777777" w:rsidR="009E404F" w:rsidRPr="00B65D57" w:rsidRDefault="009E404F" w:rsidP="008F4848">
      <w:pPr>
        <w:spacing w:line="276" w:lineRule="auto"/>
      </w:pPr>
      <w:bookmarkStart w:id="1677" w:name="_Toc388374394"/>
      <w:bookmarkEnd w:id="1677"/>
      <w:r w:rsidRPr="00B65D57">
        <w:t>No additional data is required. The data in the CARs for boric acid and disodium tetraborate pentahydrate is sufficient.</w:t>
      </w:r>
    </w:p>
    <w:p w14:paraId="303848D3" w14:textId="77777777" w:rsidR="009E404F" w:rsidRPr="00B65D57" w:rsidRDefault="009E404F" w:rsidP="008F4848">
      <w:pPr>
        <w:spacing w:line="276" w:lineRule="auto"/>
        <w:rPr>
          <w:rFonts w:eastAsia="Calibri"/>
          <w:lang w:eastAsia="en-US"/>
        </w:rPr>
      </w:pPr>
    </w:p>
    <w:p w14:paraId="7A4E8643" w14:textId="17DD8950" w:rsidR="009E404F" w:rsidRPr="00B65D57" w:rsidRDefault="002C23EC" w:rsidP="00065CC0">
      <w:pPr>
        <w:pStyle w:val="Rubrik4"/>
      </w:pPr>
      <w:bookmarkStart w:id="1678" w:name="_Toc377651044"/>
      <w:bookmarkStart w:id="1679" w:name="_Toc389729113"/>
      <w:bookmarkStart w:id="1680" w:name="_Toc403472798"/>
      <w:bookmarkStart w:id="1681" w:name="_Toc403566581"/>
      <w:bookmarkStart w:id="1682" w:name="_Toc103243642"/>
      <w:bookmarkStart w:id="1683" w:name="_Toc129689604"/>
      <w:r w:rsidRPr="00B65D57">
        <w:t xml:space="preserve">2.2.8.2 </w:t>
      </w:r>
      <w:r w:rsidR="009E404F" w:rsidRPr="00B65D57">
        <w:t>Exposure assessment</w:t>
      </w:r>
      <w:bookmarkEnd w:id="1678"/>
      <w:bookmarkEnd w:id="1679"/>
      <w:bookmarkEnd w:id="1680"/>
      <w:bookmarkEnd w:id="1681"/>
      <w:bookmarkEnd w:id="1682"/>
      <w:bookmarkEnd w:id="1683"/>
    </w:p>
    <w:p w14:paraId="3181C0B6" w14:textId="77777777" w:rsidR="009E404F" w:rsidRPr="00B65D57" w:rsidRDefault="009E404F" w:rsidP="009E404F">
      <w:pPr>
        <w:spacing w:line="276" w:lineRule="auto"/>
      </w:pPr>
      <w:bookmarkStart w:id="1684" w:name="_Toc377651045"/>
      <w:r w:rsidRPr="00B65D57">
        <w:t xml:space="preserve">The routes of environmental exposure as foreseen by the applicant are illustrated in the figure below. </w:t>
      </w:r>
    </w:p>
    <w:p w14:paraId="59CAD012" w14:textId="77777777" w:rsidR="009E404F" w:rsidRPr="00B65D57" w:rsidRDefault="009E404F" w:rsidP="009E404F">
      <w:pPr>
        <w:spacing w:line="276" w:lineRule="auto"/>
      </w:pPr>
      <w:r w:rsidRPr="00B65D57">
        <w:rPr>
          <w:noProof/>
        </w:rPr>
        <w:lastRenderedPageBreak/>
        <w:drawing>
          <wp:inline distT="0" distB="0" distL="0" distR="0" wp14:anchorId="79F6F55F" wp14:editId="12303074">
            <wp:extent cx="4019550" cy="3005924"/>
            <wp:effectExtent l="0" t="0" r="0" b="444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4114" cy="3009337"/>
                    </a:xfrm>
                    <a:prstGeom prst="rect">
                      <a:avLst/>
                    </a:prstGeom>
                    <a:noFill/>
                    <a:ln>
                      <a:noFill/>
                    </a:ln>
                  </pic:spPr>
                </pic:pic>
              </a:graphicData>
            </a:graphic>
          </wp:inline>
        </w:drawing>
      </w:r>
    </w:p>
    <w:p w14:paraId="549D2718" w14:textId="77777777" w:rsidR="009E404F" w:rsidRPr="00B65D57" w:rsidRDefault="009E404F" w:rsidP="009E404F">
      <w:pPr>
        <w:pStyle w:val="FigTabCaption"/>
        <w:spacing w:before="0" w:after="0"/>
        <w:jc w:val="both"/>
        <w:rPr>
          <w:color w:val="auto"/>
        </w:rPr>
      </w:pPr>
      <w:r w:rsidRPr="00B65D57">
        <w:rPr>
          <w:color w:val="auto"/>
        </w:rPr>
        <w:t>Routes of environmental exposure. From top to bottom:</w:t>
      </w:r>
    </w:p>
    <w:p w14:paraId="2BF1946B" w14:textId="77777777" w:rsidR="009E404F" w:rsidRPr="00251079" w:rsidRDefault="009E404F" w:rsidP="009E404F">
      <w:pPr>
        <w:pStyle w:val="FigTabCaption"/>
        <w:spacing w:before="0" w:after="0"/>
        <w:jc w:val="both"/>
        <w:rPr>
          <w:color w:val="auto"/>
          <w:lang w:val="sv-SE"/>
        </w:rPr>
      </w:pPr>
      <w:r w:rsidRPr="00251079">
        <w:rPr>
          <w:color w:val="auto"/>
          <w:lang w:val="sv-SE"/>
        </w:rPr>
        <w:t xml:space="preserve">Injektering = Eurobor injection; </w:t>
      </w:r>
    </w:p>
    <w:p w14:paraId="6DD79865" w14:textId="77777777" w:rsidR="009E404F" w:rsidRPr="00251079" w:rsidRDefault="009E404F" w:rsidP="009E404F">
      <w:pPr>
        <w:pStyle w:val="FigTabCaption"/>
        <w:spacing w:before="0" w:after="0"/>
        <w:jc w:val="both"/>
        <w:rPr>
          <w:color w:val="auto"/>
          <w:lang w:val="sv-SE"/>
        </w:rPr>
      </w:pPr>
      <w:r w:rsidRPr="00251079">
        <w:rPr>
          <w:color w:val="auto"/>
          <w:lang w:val="sv-SE"/>
        </w:rPr>
        <w:t xml:space="preserve">Behandlingszon = Treatment zone; </w:t>
      </w:r>
    </w:p>
    <w:p w14:paraId="02FE5E7F" w14:textId="77777777" w:rsidR="009E404F" w:rsidRPr="00251079" w:rsidRDefault="009E404F" w:rsidP="009E404F">
      <w:pPr>
        <w:pStyle w:val="FigTabCaption"/>
        <w:spacing w:before="0" w:after="0"/>
        <w:jc w:val="both"/>
        <w:rPr>
          <w:color w:val="auto"/>
          <w:lang w:val="sv-SE"/>
        </w:rPr>
      </w:pPr>
      <w:r w:rsidRPr="00251079">
        <w:rPr>
          <w:color w:val="auto"/>
          <w:lang w:val="sv-SE"/>
        </w:rPr>
        <w:t xml:space="preserve">Grundvatten = Groundwater; </w:t>
      </w:r>
    </w:p>
    <w:p w14:paraId="737BCEBA" w14:textId="77777777" w:rsidR="009E404F" w:rsidRPr="00251079" w:rsidRDefault="009E404F" w:rsidP="009E404F">
      <w:pPr>
        <w:pStyle w:val="FigTabCaption"/>
        <w:spacing w:before="0" w:after="0"/>
        <w:jc w:val="both"/>
        <w:rPr>
          <w:color w:val="auto"/>
          <w:lang w:val="sv-SE"/>
        </w:rPr>
      </w:pPr>
      <w:r w:rsidRPr="00251079">
        <w:rPr>
          <w:color w:val="auto"/>
          <w:lang w:val="sv-SE"/>
        </w:rPr>
        <w:t xml:space="preserve">Jord = Soil; </w:t>
      </w:r>
    </w:p>
    <w:p w14:paraId="6FB6B64C" w14:textId="77777777" w:rsidR="009E404F" w:rsidRPr="00251079" w:rsidRDefault="009E404F" w:rsidP="009E404F">
      <w:pPr>
        <w:pStyle w:val="FigTabCaption"/>
        <w:spacing w:before="0" w:after="0"/>
        <w:jc w:val="both"/>
        <w:rPr>
          <w:color w:val="auto"/>
          <w:lang w:val="sv-SE"/>
        </w:rPr>
      </w:pPr>
      <w:r w:rsidRPr="00251079">
        <w:rPr>
          <w:color w:val="auto"/>
          <w:lang w:val="sv-SE"/>
        </w:rPr>
        <w:t xml:space="preserve">Ledningsschakt/Dränering = Discharge/Drainage structure (shafts); </w:t>
      </w:r>
    </w:p>
    <w:p w14:paraId="4F7C74C6" w14:textId="77777777" w:rsidR="009E404F" w:rsidRPr="00B65D57" w:rsidRDefault="009E404F" w:rsidP="009E404F">
      <w:pPr>
        <w:pStyle w:val="FigTabCaption"/>
        <w:spacing w:before="0" w:after="0"/>
        <w:jc w:val="both"/>
        <w:rPr>
          <w:color w:val="auto"/>
        </w:rPr>
      </w:pPr>
      <w:r w:rsidRPr="00B65D57">
        <w:rPr>
          <w:color w:val="auto"/>
        </w:rPr>
        <w:t xml:space="preserve">Ytvatten = Surface water; </w:t>
      </w:r>
    </w:p>
    <w:p w14:paraId="7498B0CF" w14:textId="2A2FC21F" w:rsidR="009E404F" w:rsidRPr="00B65D57" w:rsidRDefault="009E404F" w:rsidP="009E404F">
      <w:pPr>
        <w:pStyle w:val="FigTabCaption"/>
        <w:spacing w:before="0" w:after="0"/>
        <w:jc w:val="both"/>
        <w:rPr>
          <w:color w:val="auto"/>
        </w:rPr>
      </w:pPr>
      <w:r w:rsidRPr="00B65D57">
        <w:rPr>
          <w:color w:val="auto"/>
        </w:rPr>
        <w:t xml:space="preserve">Spillvattenledning = </w:t>
      </w:r>
      <w:r w:rsidR="0074104D" w:rsidRPr="00B65D57">
        <w:rPr>
          <w:color w:val="auto"/>
        </w:rPr>
        <w:t>Wastewater</w:t>
      </w:r>
      <w:r w:rsidRPr="00B65D57">
        <w:rPr>
          <w:color w:val="auto"/>
        </w:rPr>
        <w:t xml:space="preserve"> pipes; </w:t>
      </w:r>
    </w:p>
    <w:p w14:paraId="20C3F015" w14:textId="0536EBC4" w:rsidR="009E404F" w:rsidRPr="00B65D57" w:rsidRDefault="009E404F" w:rsidP="009E404F">
      <w:pPr>
        <w:pStyle w:val="FigTabCaption"/>
        <w:spacing w:before="0" w:after="0"/>
        <w:jc w:val="both"/>
        <w:rPr>
          <w:color w:val="auto"/>
        </w:rPr>
      </w:pPr>
      <w:r w:rsidRPr="00B65D57">
        <w:rPr>
          <w:color w:val="auto"/>
        </w:rPr>
        <w:t xml:space="preserve">Reningsverk = Wastewater/sewage treatment plant. </w:t>
      </w:r>
    </w:p>
    <w:p w14:paraId="17DE2B46" w14:textId="77777777" w:rsidR="009E404F" w:rsidRPr="00B65D57" w:rsidRDefault="009E404F" w:rsidP="009E404F">
      <w:pPr>
        <w:pStyle w:val="FigTabCaption"/>
        <w:spacing w:before="0" w:after="240"/>
        <w:jc w:val="both"/>
        <w:rPr>
          <w:color w:val="auto"/>
        </w:rPr>
      </w:pPr>
      <w:r w:rsidRPr="00B65D57">
        <w:rPr>
          <w:color w:val="auto"/>
        </w:rPr>
        <w:t>The picture is taken from Vickman (2011b).</w:t>
      </w:r>
    </w:p>
    <w:p w14:paraId="412EE782" w14:textId="77777777" w:rsidR="009E404F" w:rsidRPr="00B65D57" w:rsidRDefault="009E404F" w:rsidP="009E404F">
      <w:pPr>
        <w:spacing w:after="120" w:line="276" w:lineRule="auto"/>
      </w:pPr>
      <w:r w:rsidRPr="00B65D57">
        <w:t>The environmental compartments that are considered to be relevant for exposure estimations are thus: the soil/clay, groundwater, surface water and a sewage treatment plant (STP).</w:t>
      </w:r>
    </w:p>
    <w:p w14:paraId="3F744037" w14:textId="77777777" w:rsidR="009E404F" w:rsidRPr="00B65D57" w:rsidRDefault="009E404F" w:rsidP="009E404F">
      <w:pPr>
        <w:spacing w:after="120" w:line="276" w:lineRule="auto"/>
      </w:pPr>
      <w:r w:rsidRPr="00B65D57">
        <w:t>The most important route for transport of boron from the treatment zone to other areas and compartments is via the groundwater (Vickman, 2011). If the inflow of water is larger than what can be diverted in the clay downwards and sideways (horizontally), the level of the groundwater will rise in the filling layer/soil and eventually overflow at the lowest point which is usually represented by a drainage structure (drainage shaft) for outgoing discharge and these have in most cases been constructed above (i.e. at a higher level than) the wooden foundations in order for the groundwater to cover the wood for it to be protected. In the drainage system it can be expected that the transport is faster and that a faster dilution of the boron species occurs. The level of the groundwater is however, over a longer time perspective, usually below the threshold level since the use area of Jerbor is against wood-decaying fungi which requires oxygen, i.e. if the wooden foundation was submerged in water, the oxygen access would be very limited and the fungi would not grow.</w:t>
      </w:r>
    </w:p>
    <w:p w14:paraId="69D05D96" w14:textId="77777777" w:rsidR="009E404F" w:rsidRPr="00B65D57" w:rsidRDefault="009E404F" w:rsidP="009E404F">
      <w:pPr>
        <w:spacing w:after="120" w:line="276" w:lineRule="auto"/>
      </w:pPr>
      <w:r w:rsidRPr="00B65D57">
        <w:t xml:space="preserve">Boron species can also penetrate the surrounding clay by diffusion and by the very limited water transport within the clay. These processes can result in an increased concentration of boron in the clay, both in the porewater and adsorbed to the clay particles. If the boron </w:t>
      </w:r>
      <w:r w:rsidRPr="00B65D57">
        <w:lastRenderedPageBreak/>
        <w:t xml:space="preserve">is transported in the groundwater via drainage structures as described above, also adsorption to the soil of fill can occur. </w:t>
      </w:r>
    </w:p>
    <w:p w14:paraId="79A33B00" w14:textId="77777777" w:rsidR="009E404F" w:rsidRPr="00B65D57" w:rsidRDefault="009E404F" w:rsidP="009E404F">
      <w:pPr>
        <w:spacing w:after="120" w:line="276" w:lineRule="auto"/>
        <w:rPr>
          <w:rFonts w:eastAsia="Calibri"/>
          <w:lang w:eastAsia="en-US"/>
        </w:rPr>
      </w:pPr>
      <w:r w:rsidRPr="00B65D57">
        <w:rPr>
          <w:rFonts w:eastAsia="Calibri"/>
          <w:lang w:eastAsia="en-US"/>
        </w:rPr>
        <w:t>The environment in which Jerbor is used is very specific and different from environments usually exposed to wood preservatives (Vickman and Bandh, 2011). Jerbor is applied by injection and is pumped through closed systems into small cavities surrounding foundation wood. Only foundations surrounded by dense clay are treated (Bandh, 2022). The thickness of the clay below the building is at least 2 m but usually &gt; 10 m.</w:t>
      </w:r>
    </w:p>
    <w:p w14:paraId="63E52276" w14:textId="77777777" w:rsidR="009E404F" w:rsidRPr="00B65D57" w:rsidRDefault="009E404F" w:rsidP="009E404F">
      <w:pPr>
        <w:spacing w:after="120" w:line="276" w:lineRule="auto"/>
        <w:rPr>
          <w:rFonts w:eastAsia="Calibri"/>
          <w:lang w:eastAsia="en-US"/>
        </w:rPr>
      </w:pPr>
      <w:r w:rsidRPr="00B65D57">
        <w:rPr>
          <w:rFonts w:eastAsia="Calibri"/>
          <w:lang w:eastAsia="en-US"/>
        </w:rPr>
        <w:t xml:space="preserve">Three different approaches have been used in order to estimate the boron concentration added by the treatment of Jerbor in different compartments: </w:t>
      </w:r>
    </w:p>
    <w:p w14:paraId="6868064C" w14:textId="77777777" w:rsidR="009E404F" w:rsidRPr="00B65D57" w:rsidRDefault="009E404F" w:rsidP="001F5CF2">
      <w:pPr>
        <w:pStyle w:val="Liststycke"/>
        <w:numPr>
          <w:ilvl w:val="0"/>
          <w:numId w:val="16"/>
        </w:numPr>
        <w:spacing w:after="120" w:line="276" w:lineRule="auto"/>
        <w:rPr>
          <w:rFonts w:eastAsia="Calibri"/>
          <w:lang w:eastAsia="en-US"/>
        </w:rPr>
      </w:pPr>
      <w:r w:rsidRPr="00B65D57">
        <w:rPr>
          <w:rFonts w:eastAsia="Calibri"/>
          <w:lang w:eastAsia="en-US"/>
        </w:rPr>
        <w:t xml:space="preserve">mathematical modelling, </w:t>
      </w:r>
    </w:p>
    <w:p w14:paraId="79C66DFE" w14:textId="77777777" w:rsidR="009E404F" w:rsidRPr="00B65D57" w:rsidRDefault="009E404F" w:rsidP="001F5CF2">
      <w:pPr>
        <w:pStyle w:val="Liststycke"/>
        <w:numPr>
          <w:ilvl w:val="0"/>
          <w:numId w:val="16"/>
        </w:numPr>
        <w:spacing w:after="120" w:line="276" w:lineRule="auto"/>
        <w:rPr>
          <w:rFonts w:eastAsia="Calibri"/>
          <w:lang w:eastAsia="en-US"/>
        </w:rPr>
      </w:pPr>
      <w:r w:rsidRPr="00B65D57">
        <w:rPr>
          <w:rFonts w:eastAsia="Calibri"/>
          <w:lang w:eastAsia="en-US"/>
        </w:rPr>
        <w:t xml:space="preserve">analytical calculations and </w:t>
      </w:r>
    </w:p>
    <w:p w14:paraId="4C76A80D" w14:textId="23202C1D" w:rsidR="009E404F" w:rsidRPr="00B65D57" w:rsidRDefault="009E404F" w:rsidP="001F5CF2">
      <w:pPr>
        <w:pStyle w:val="Liststycke"/>
        <w:numPr>
          <w:ilvl w:val="0"/>
          <w:numId w:val="16"/>
        </w:numPr>
        <w:spacing w:after="120" w:line="276" w:lineRule="auto"/>
        <w:rPr>
          <w:rFonts w:eastAsia="Calibri"/>
          <w:lang w:eastAsia="en-US"/>
        </w:rPr>
      </w:pPr>
      <w:r w:rsidRPr="00B65D57">
        <w:rPr>
          <w:rFonts w:eastAsia="Calibri"/>
          <w:lang w:eastAsia="en-US"/>
        </w:rPr>
        <w:t xml:space="preserve">direct measurements (see 2.2.8.1.8). </w:t>
      </w:r>
    </w:p>
    <w:p w14:paraId="7F19E172" w14:textId="77777777" w:rsidR="009E404F" w:rsidRPr="00B65D57" w:rsidRDefault="009E404F" w:rsidP="009E404F">
      <w:pPr>
        <w:spacing w:after="240" w:line="276" w:lineRule="auto"/>
        <w:rPr>
          <w:rFonts w:eastAsia="Calibri"/>
          <w:lang w:eastAsia="en-US"/>
        </w:rPr>
      </w:pPr>
    </w:p>
    <w:p w14:paraId="1EEAD3BE" w14:textId="77777777" w:rsidR="009E404F" w:rsidRPr="00B65D57" w:rsidRDefault="009E404F" w:rsidP="009E404F">
      <w:pPr>
        <w:spacing w:after="200" w:line="276" w:lineRule="auto"/>
        <w:rPr>
          <w:rFonts w:eastAsia="Calibri"/>
          <w:b/>
          <w:bCs/>
          <w:lang w:eastAsia="en-US"/>
        </w:rPr>
      </w:pPr>
      <w:r w:rsidRPr="00B65D57">
        <w:rPr>
          <w:rFonts w:eastAsia="Calibri"/>
          <w:b/>
          <w:bCs/>
          <w:lang w:eastAsia="en-US"/>
        </w:rPr>
        <w:t>Mathematical modelling and analytical calculations</w:t>
      </w:r>
    </w:p>
    <w:p w14:paraId="31C9E748" w14:textId="77777777" w:rsidR="009E404F" w:rsidRPr="00B65D57" w:rsidRDefault="009E404F" w:rsidP="009E404F">
      <w:pPr>
        <w:spacing w:after="120" w:line="276" w:lineRule="auto"/>
        <w:rPr>
          <w:rFonts w:eastAsia="Calibri"/>
        </w:rPr>
      </w:pPr>
      <w:r w:rsidRPr="00B65D57">
        <w:rPr>
          <w:rFonts w:eastAsia="Calibri"/>
        </w:rPr>
        <w:t>The groundwater flow has been estimated with MODFLOW-FLEX since the models (e.g. PEARL and PELMO) suggested in the technical guidance document on the Biocidal Products Regulation (ECHA, 2017) and in the revised ESD for wood preservatives (OECD, 2013) are not suitable to predict the transport of inorganic substances below the groundwater table. The reasons for using Modflow are explained in Joodaki &amp; Vickman (2020).</w:t>
      </w:r>
    </w:p>
    <w:p w14:paraId="29BA8508" w14:textId="77777777" w:rsidR="009E404F" w:rsidRPr="00B65D57" w:rsidRDefault="009E404F" w:rsidP="009E404F">
      <w:pPr>
        <w:spacing w:after="120" w:line="276" w:lineRule="auto"/>
      </w:pPr>
      <w:r w:rsidRPr="00B65D57">
        <w:rPr>
          <w:rFonts w:eastAsia="Calibri"/>
        </w:rPr>
        <w:t>MODFLOW is a modelling program developed by the U.S. Geological Survey. It has been used with the graphical user interface Visual MODFLOW FLEX (Schlumberger Water Services, 2006), and the belonging module MT3D (Zheng and Wang, 1999) (please refer to Joodaki &amp; Vickman, 2020 for more information).</w:t>
      </w:r>
      <w:r w:rsidRPr="00B65D57">
        <w:t xml:space="preserve"> The modelling procedure is described in a report by </w:t>
      </w:r>
      <w:r w:rsidRPr="00B65D57">
        <w:rPr>
          <w:rFonts w:eastAsia="Calibri"/>
        </w:rPr>
        <w:t xml:space="preserve">Joodaki &amp; Vickman (2020), </w:t>
      </w:r>
      <w:r w:rsidRPr="00B65D57">
        <w:t>Vickman (2011), (and supplemented by Bermin, 2012) together with descriptions and explanations of the model structure, equations used, selection in input parameters, model cases and dimensions, terms and conditions, calibration, sensitivity analysis, etc. It can be mentioned that when selecting input data for the different parameters generally worst-case values were selected in order to make the calculations conservative enough.</w:t>
      </w:r>
    </w:p>
    <w:p w14:paraId="738E4F82" w14:textId="77777777" w:rsidR="009E404F" w:rsidRPr="00B65D57" w:rsidRDefault="009E404F" w:rsidP="009E404F">
      <w:pPr>
        <w:spacing w:after="120" w:line="276" w:lineRule="auto"/>
        <w:rPr>
          <w:rFonts w:eastAsia="Calibri"/>
          <w:lang w:eastAsia="en-US"/>
        </w:rPr>
      </w:pPr>
      <w:r w:rsidRPr="00B65D57">
        <w:rPr>
          <w:rFonts w:eastAsia="Calibri"/>
          <w:lang w:eastAsia="en-US"/>
        </w:rPr>
        <w:t>The modelling has also been supplemented with calculations performed in a tool developed by the Swedish Protection Agency, the Swedish Geotechnical Institute, Kemakta konsult AB and the Institute of Environmental Medicine at the Karolinska Institute to derive guideline values for contaminated land (Naturvårdsverket, 2009a) (please refer to Bermin 2012 for more information).</w:t>
      </w:r>
      <w:r w:rsidRPr="00B65D57">
        <w:t xml:space="preserve"> </w:t>
      </w:r>
      <w:r w:rsidRPr="00B65D57">
        <w:rPr>
          <w:rFonts w:eastAsia="Calibri"/>
          <w:lang w:eastAsia="en-US"/>
        </w:rPr>
        <w:t>The content of boron in clay has been calculated based on concentrations in water and the Langmuir sorption isotherm for clay soils (please refer to Joodaki &amp; Vickman, 2020 for more information).</w:t>
      </w:r>
    </w:p>
    <w:p w14:paraId="358D12A2" w14:textId="77777777" w:rsidR="009E404F" w:rsidRPr="00B65D57" w:rsidRDefault="009E404F" w:rsidP="009E404F">
      <w:pPr>
        <w:spacing w:after="120" w:line="276" w:lineRule="auto"/>
        <w:rPr>
          <w:rFonts w:eastAsia="Calibri"/>
          <w:lang w:eastAsia="en-US"/>
        </w:rPr>
      </w:pPr>
      <w:r w:rsidRPr="00B65D57">
        <w:rPr>
          <w:rFonts w:eastAsia="Calibri"/>
          <w:lang w:eastAsia="en-US"/>
        </w:rPr>
        <w:t xml:space="preserve">Initially the dispersion of borates in the treatment zone at boundary layer between the construction foundation and the ground water table was modelled using a time- and space-resolved model in MODFLOW software package (see Vickman 2011). Vickman assessed 6 different scenarios (1B, 2B, 3B, 1K, 2K and 3K) where the B-scenarios handled the dispersion dynamics of the treatment zone of a building with foundation wall of </w:t>
      </w:r>
      <w:r w:rsidRPr="00B65D57">
        <w:rPr>
          <w:rFonts w:eastAsia="Calibri"/>
          <w:lang w:eastAsia="en-US"/>
        </w:rPr>
        <w:lastRenderedPageBreak/>
        <w:t>concrete and the K-scenarios handled the treatment zone of a building with stone foundation.</w:t>
      </w:r>
    </w:p>
    <w:p w14:paraId="0010939E" w14:textId="77777777" w:rsidR="009E404F" w:rsidRPr="00B65D57" w:rsidRDefault="009E404F" w:rsidP="009E404F">
      <w:pPr>
        <w:spacing w:after="120" w:line="276" w:lineRule="auto"/>
        <w:rPr>
          <w:rFonts w:eastAsia="Calibri"/>
          <w:lang w:eastAsia="en-US"/>
        </w:rPr>
      </w:pPr>
      <w:r w:rsidRPr="00B65D57">
        <w:rPr>
          <w:rFonts w:eastAsia="Calibri"/>
          <w:lang w:eastAsia="en-US"/>
        </w:rPr>
        <w:t>However, pursuant to the application of renewal of the biocidal product application in 2020, the MODFLOW-version of 2011 (Visual MODFLOW Classic) were not supported by the software supplier anymore and the more updated versions of the MODFLOW software, re-placing Visual MODFLOW Classic, does not use exactly the same parameterization set as the 2011 version.</w:t>
      </w:r>
    </w:p>
    <w:p w14:paraId="16FBC1CF" w14:textId="77777777" w:rsidR="009E404F" w:rsidRPr="00B65D57" w:rsidRDefault="009E404F" w:rsidP="009E404F">
      <w:pPr>
        <w:spacing w:after="120" w:line="276" w:lineRule="auto"/>
        <w:rPr>
          <w:rFonts w:eastAsia="Calibri"/>
          <w:lang w:eastAsia="en-US"/>
        </w:rPr>
      </w:pPr>
      <w:r w:rsidRPr="00B65D57">
        <w:rPr>
          <w:rFonts w:eastAsia="Calibri"/>
          <w:lang w:eastAsia="en-US"/>
        </w:rPr>
        <w:t>It was thus decided to re-build the scenario modelling using a version of MODFLOW (MODFLOW FLEX) offering even better performance on the time- and space-resolved simulations by the M3TD module.</w:t>
      </w:r>
    </w:p>
    <w:p w14:paraId="5346D886" w14:textId="77777777" w:rsidR="009E404F" w:rsidRPr="00B65D57" w:rsidRDefault="009E404F" w:rsidP="009E404F">
      <w:pPr>
        <w:spacing w:after="120" w:line="276" w:lineRule="auto"/>
        <w:rPr>
          <w:rFonts w:eastAsia="Calibri"/>
          <w:lang w:eastAsia="en-US"/>
        </w:rPr>
      </w:pPr>
      <w:r w:rsidRPr="00B65D57">
        <w:rPr>
          <w:rFonts w:eastAsia="Calibri"/>
          <w:lang w:eastAsia="en-US"/>
        </w:rPr>
        <w:t xml:space="preserve">When re-assessing the scenarios with the updated software, it was revealed that three (3) scenarios sufficiently describe the dispersion of borates in the treatment zone as a function of time, for both the B- and K-scenarios. For instance, the vertical dispersion and transport velocity of borates in scenarios 2K, 3K and 3B of </w:t>
      </w:r>
      <w:bookmarkStart w:id="1685" w:name="_Hlk108015500"/>
      <w:r w:rsidRPr="00B65D57">
        <w:rPr>
          <w:rFonts w:eastAsia="Calibri"/>
          <w:lang w:eastAsia="en-US"/>
        </w:rPr>
        <w:t xml:space="preserve">Vickman </w:t>
      </w:r>
      <w:bookmarkEnd w:id="1685"/>
      <w:r w:rsidRPr="00B65D57">
        <w:rPr>
          <w:rFonts w:eastAsia="Calibri"/>
          <w:lang w:eastAsia="en-US"/>
        </w:rPr>
        <w:t>2011, is fully covered by the simulation of scenario 2B which is considered the worst-case simulation since the groundwater table is assessed to be above the drainage point in Scenario 2B.</w:t>
      </w:r>
    </w:p>
    <w:p w14:paraId="5FED6842" w14:textId="77777777" w:rsidR="009E404F" w:rsidRPr="00B65D57" w:rsidRDefault="009E404F" w:rsidP="009E404F">
      <w:pPr>
        <w:spacing w:after="120" w:line="276" w:lineRule="auto"/>
        <w:rPr>
          <w:rFonts w:eastAsia="Calibri"/>
          <w:lang w:eastAsia="en-US"/>
        </w:rPr>
      </w:pPr>
      <w:r w:rsidRPr="00B65D57">
        <w:rPr>
          <w:rFonts w:eastAsia="Calibri"/>
          <w:lang w:eastAsia="en-US"/>
        </w:rPr>
        <w:t>The scenarios and the model used in the exposure assessment are presented below.</w:t>
      </w:r>
    </w:p>
    <w:p w14:paraId="31C5A2F7" w14:textId="77777777" w:rsidR="009E404F" w:rsidRPr="00B65D57" w:rsidRDefault="009E404F" w:rsidP="009E404F">
      <w:pPr>
        <w:spacing w:line="276" w:lineRule="auto"/>
        <w:rPr>
          <w:rFonts w:eastAsia="Calibri"/>
          <w:lang w:eastAsia="en-US"/>
        </w:rPr>
      </w:pPr>
    </w:p>
    <w:p w14:paraId="0609A24B" w14:textId="4797EB06" w:rsidR="009E404F" w:rsidRPr="00B65D57" w:rsidRDefault="002C23EC" w:rsidP="008F4848">
      <w:pPr>
        <w:pStyle w:val="Rubrik5"/>
        <w:ind w:left="3240"/>
        <w:rPr>
          <w:rFonts w:eastAsia="Calibri"/>
          <w:lang w:val="en-GB" w:eastAsia="en-US"/>
        </w:rPr>
      </w:pPr>
      <w:r w:rsidRPr="00B65D57">
        <w:rPr>
          <w:rFonts w:eastAsia="Calibri"/>
          <w:lang w:val="en-GB" w:eastAsia="en-US"/>
        </w:rPr>
        <w:t>2.2.8.2.1</w:t>
      </w:r>
      <w:r w:rsidR="009E404F" w:rsidRPr="00B65D57">
        <w:rPr>
          <w:rFonts w:eastAsia="Calibri"/>
          <w:lang w:val="en-GB" w:eastAsia="en-US"/>
        </w:rPr>
        <w:t xml:space="preserve"> 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6917"/>
      </w:tblGrid>
      <w:tr w:rsidR="009E404F" w:rsidRPr="00B65D57" w14:paraId="0874E7DF" w14:textId="77777777" w:rsidTr="00DE498C">
        <w:trPr>
          <w:trHeight w:val="293"/>
        </w:trPr>
        <w:tc>
          <w:tcPr>
            <w:tcW w:w="2439" w:type="dxa"/>
            <w:shd w:val="clear" w:color="auto" w:fill="FFFFCC"/>
            <w:vAlign w:val="center"/>
          </w:tcPr>
          <w:p w14:paraId="3AA3D271"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Assessed PT</w:t>
            </w:r>
          </w:p>
        </w:tc>
        <w:tc>
          <w:tcPr>
            <w:tcW w:w="6917" w:type="dxa"/>
            <w:shd w:val="clear" w:color="auto" w:fill="auto"/>
            <w:vAlign w:val="center"/>
          </w:tcPr>
          <w:p w14:paraId="39CCFF8F"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PT 8</w:t>
            </w:r>
          </w:p>
        </w:tc>
      </w:tr>
      <w:tr w:rsidR="009E404F" w:rsidRPr="00B65D57" w14:paraId="08E0F3C7" w14:textId="77777777" w:rsidTr="00DE498C">
        <w:tc>
          <w:tcPr>
            <w:tcW w:w="2439" w:type="dxa"/>
            <w:shd w:val="clear" w:color="auto" w:fill="FFFFCC"/>
            <w:vAlign w:val="center"/>
          </w:tcPr>
          <w:p w14:paraId="07EFFE1A"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Assessed scenarios</w:t>
            </w:r>
          </w:p>
        </w:tc>
        <w:tc>
          <w:tcPr>
            <w:tcW w:w="6917" w:type="dxa"/>
            <w:shd w:val="clear" w:color="auto" w:fill="auto"/>
            <w:vAlign w:val="center"/>
          </w:tcPr>
          <w:p w14:paraId="1CF3E5BE" w14:textId="77777777" w:rsidR="009E404F" w:rsidRPr="00B65D57" w:rsidRDefault="009E404F" w:rsidP="00DE498C">
            <w:pPr>
              <w:spacing w:line="276" w:lineRule="auto"/>
              <w:rPr>
                <w:rFonts w:eastAsia="Calibri"/>
                <w:b/>
                <w:sz w:val="18"/>
                <w:szCs w:val="18"/>
                <w:lang w:eastAsia="en-US"/>
              </w:rPr>
            </w:pPr>
            <w:r w:rsidRPr="00B65D57">
              <w:rPr>
                <w:rFonts w:eastAsia="Calibri"/>
                <w:b/>
                <w:sz w:val="18"/>
                <w:szCs w:val="18"/>
                <w:lang w:eastAsia="en-US"/>
              </w:rPr>
              <w:t xml:space="preserve">Building with foundation wall of concrete (initial treatment concentration is 89 500 mg BAE/L, treatment zone is 1 cm thick): </w:t>
            </w:r>
          </w:p>
          <w:p w14:paraId="53C169A3" w14:textId="77777777" w:rsidR="009E404F" w:rsidRPr="00B65D57" w:rsidRDefault="009E404F" w:rsidP="00DE498C">
            <w:pPr>
              <w:spacing w:line="276" w:lineRule="auto"/>
              <w:rPr>
                <w:rFonts w:eastAsia="Calibri"/>
                <w:sz w:val="18"/>
                <w:szCs w:val="18"/>
                <w:lang w:eastAsia="en-US"/>
              </w:rPr>
            </w:pPr>
            <w:r w:rsidRPr="00B65D57">
              <w:rPr>
                <w:rFonts w:eastAsia="Calibri"/>
                <w:b/>
                <w:bCs/>
                <w:sz w:val="18"/>
                <w:szCs w:val="18"/>
                <w:lang w:eastAsia="en-US"/>
              </w:rPr>
              <w:t>Scenario 1B</w:t>
            </w:r>
          </w:p>
          <w:p w14:paraId="3DFE7439" w14:textId="77777777" w:rsidR="009E404F" w:rsidRPr="00B65D57" w:rsidRDefault="009E404F" w:rsidP="001F5CF2">
            <w:pPr>
              <w:numPr>
                <w:ilvl w:val="0"/>
                <w:numId w:val="10"/>
              </w:numPr>
              <w:spacing w:line="276" w:lineRule="auto"/>
              <w:rPr>
                <w:rFonts w:eastAsia="Calibri"/>
                <w:sz w:val="18"/>
                <w:szCs w:val="18"/>
                <w:lang w:eastAsia="en-US"/>
              </w:rPr>
            </w:pPr>
            <w:r w:rsidRPr="00B65D57">
              <w:rPr>
                <w:rFonts w:eastAsia="Calibri"/>
                <w:sz w:val="18"/>
                <w:szCs w:val="18"/>
                <w:lang w:eastAsia="en-US"/>
              </w:rPr>
              <w:t>Dispersion of boron with shallow groundwater which is transported upwards through the filling material around the building to the drainage shaft and eventually ends up in surface water, sediment and STP.</w:t>
            </w:r>
          </w:p>
          <w:p w14:paraId="65BD78A9" w14:textId="77777777" w:rsidR="009E404F" w:rsidRPr="00B65D57" w:rsidRDefault="009E404F" w:rsidP="001F5CF2">
            <w:pPr>
              <w:numPr>
                <w:ilvl w:val="0"/>
                <w:numId w:val="10"/>
              </w:numPr>
              <w:spacing w:line="276" w:lineRule="auto"/>
              <w:rPr>
                <w:rFonts w:eastAsia="Calibri"/>
                <w:sz w:val="18"/>
                <w:szCs w:val="18"/>
                <w:lang w:eastAsia="en-US"/>
              </w:rPr>
            </w:pPr>
            <w:r w:rsidRPr="00B65D57">
              <w:rPr>
                <w:rFonts w:eastAsia="Calibri"/>
                <w:sz w:val="18"/>
                <w:szCs w:val="18"/>
                <w:lang w:eastAsia="en-US"/>
              </w:rPr>
              <w:t>The groundwater level is above the discharge point to the drainage system</w:t>
            </w:r>
          </w:p>
          <w:p w14:paraId="30CACFF3" w14:textId="77777777" w:rsidR="009E404F" w:rsidRPr="00B65D57" w:rsidRDefault="009E404F" w:rsidP="00DE498C">
            <w:pPr>
              <w:spacing w:line="276" w:lineRule="auto"/>
              <w:rPr>
                <w:rFonts w:eastAsia="Calibri"/>
                <w:sz w:val="18"/>
                <w:szCs w:val="18"/>
                <w:lang w:eastAsia="en-US"/>
              </w:rPr>
            </w:pPr>
          </w:p>
          <w:p w14:paraId="6F986DF9" w14:textId="77777777" w:rsidR="009E404F" w:rsidRPr="00B65D57" w:rsidRDefault="009E404F" w:rsidP="00DE498C">
            <w:pPr>
              <w:spacing w:line="276" w:lineRule="auto"/>
              <w:rPr>
                <w:rFonts w:eastAsia="Calibri"/>
                <w:sz w:val="18"/>
                <w:szCs w:val="18"/>
                <w:lang w:eastAsia="en-US"/>
              </w:rPr>
            </w:pPr>
            <w:r w:rsidRPr="00B65D57">
              <w:rPr>
                <w:rFonts w:eastAsia="Calibri"/>
                <w:b/>
                <w:bCs/>
                <w:sz w:val="18"/>
                <w:szCs w:val="18"/>
                <w:lang w:eastAsia="en-US"/>
              </w:rPr>
              <w:t>Scenario 2B</w:t>
            </w:r>
            <w:r w:rsidRPr="00B65D57">
              <w:rPr>
                <w:rFonts w:eastAsia="Calibri"/>
                <w:sz w:val="18"/>
                <w:szCs w:val="18"/>
                <w:lang w:eastAsia="en-US"/>
              </w:rPr>
              <w:t xml:space="preserve"> </w:t>
            </w:r>
          </w:p>
          <w:p w14:paraId="45BFDB59" w14:textId="77777777" w:rsidR="009E404F" w:rsidRPr="00B65D57" w:rsidRDefault="009E404F" w:rsidP="001F5CF2">
            <w:pPr>
              <w:numPr>
                <w:ilvl w:val="0"/>
                <w:numId w:val="10"/>
              </w:numPr>
              <w:spacing w:line="276" w:lineRule="auto"/>
              <w:rPr>
                <w:rFonts w:eastAsia="Calibri"/>
                <w:sz w:val="18"/>
                <w:szCs w:val="18"/>
                <w:lang w:eastAsia="en-US"/>
              </w:rPr>
            </w:pPr>
            <w:r w:rsidRPr="00B65D57">
              <w:rPr>
                <w:rFonts w:eastAsia="Calibri"/>
                <w:sz w:val="18"/>
                <w:szCs w:val="18"/>
                <w:lang w:eastAsia="en-US"/>
              </w:rPr>
              <w:t xml:space="preserve">Vertical and horizontal dispersion of boron to the deeper underlying layers of clay. </w:t>
            </w:r>
          </w:p>
          <w:p w14:paraId="6C4EC2C4" w14:textId="77777777" w:rsidR="009E404F" w:rsidRPr="00B65D57" w:rsidRDefault="009E404F" w:rsidP="001F5CF2">
            <w:pPr>
              <w:numPr>
                <w:ilvl w:val="0"/>
                <w:numId w:val="10"/>
              </w:numPr>
              <w:spacing w:line="276" w:lineRule="auto"/>
              <w:rPr>
                <w:rFonts w:eastAsia="Calibri"/>
                <w:sz w:val="18"/>
                <w:szCs w:val="18"/>
                <w:lang w:eastAsia="en-US"/>
              </w:rPr>
            </w:pPr>
            <w:r w:rsidRPr="00B65D57">
              <w:rPr>
                <w:rFonts w:eastAsia="Calibri"/>
                <w:sz w:val="18"/>
                <w:szCs w:val="18"/>
                <w:lang w:eastAsia="en-US"/>
              </w:rPr>
              <w:t>The groundwater level is above the discharge point to the drainage system</w:t>
            </w:r>
          </w:p>
          <w:p w14:paraId="2492C673" w14:textId="77777777" w:rsidR="009E404F" w:rsidRPr="00B65D57" w:rsidRDefault="009E404F" w:rsidP="001F5CF2">
            <w:pPr>
              <w:numPr>
                <w:ilvl w:val="0"/>
                <w:numId w:val="10"/>
              </w:numPr>
              <w:spacing w:line="276" w:lineRule="auto"/>
              <w:rPr>
                <w:rFonts w:eastAsia="Calibri"/>
                <w:sz w:val="18"/>
                <w:szCs w:val="18"/>
                <w:lang w:eastAsia="en-US"/>
              </w:rPr>
            </w:pPr>
            <w:r w:rsidRPr="00B65D57">
              <w:rPr>
                <w:rFonts w:eastAsia="Calibri"/>
                <w:sz w:val="18"/>
                <w:szCs w:val="18"/>
                <w:lang w:eastAsia="en-US"/>
              </w:rPr>
              <w:t>This is the worst case (the highest boron treatment concentration) – it covers boron dispersion in clay for the stone foundation scenario (K)</w:t>
            </w:r>
          </w:p>
          <w:p w14:paraId="2DD3FD53" w14:textId="77777777" w:rsidR="009E404F" w:rsidRPr="00B65D57" w:rsidRDefault="009E404F" w:rsidP="00DE498C">
            <w:pPr>
              <w:spacing w:line="276" w:lineRule="auto"/>
              <w:rPr>
                <w:rFonts w:eastAsia="Calibri"/>
                <w:i/>
                <w:sz w:val="18"/>
                <w:szCs w:val="18"/>
                <w:lang w:eastAsia="en-US"/>
              </w:rPr>
            </w:pPr>
          </w:p>
          <w:p w14:paraId="38AA20EF" w14:textId="77777777" w:rsidR="009E404F" w:rsidRPr="00B65D57" w:rsidRDefault="009E404F" w:rsidP="00DE498C">
            <w:pPr>
              <w:spacing w:line="276" w:lineRule="auto"/>
              <w:rPr>
                <w:rFonts w:eastAsia="Calibri"/>
                <w:i/>
                <w:sz w:val="18"/>
                <w:szCs w:val="18"/>
                <w:lang w:eastAsia="en-US"/>
              </w:rPr>
            </w:pPr>
            <w:r w:rsidRPr="00B65D57">
              <w:rPr>
                <w:rFonts w:eastAsia="Calibri"/>
                <w:i/>
                <w:sz w:val="18"/>
                <w:szCs w:val="18"/>
                <w:lang w:eastAsia="en-US"/>
              </w:rPr>
              <w:t>The scenarios (1B-2B) with a foundation wall of concrete are considered to be the standard case.</w:t>
            </w:r>
          </w:p>
          <w:p w14:paraId="71BE4B1C" w14:textId="77777777" w:rsidR="009E404F" w:rsidRPr="00B65D57" w:rsidRDefault="009E404F" w:rsidP="00DE498C">
            <w:pPr>
              <w:spacing w:line="276" w:lineRule="auto"/>
              <w:rPr>
                <w:rFonts w:eastAsia="Calibri"/>
                <w:i/>
                <w:sz w:val="18"/>
                <w:szCs w:val="18"/>
                <w:lang w:eastAsia="en-US"/>
              </w:rPr>
            </w:pPr>
          </w:p>
          <w:p w14:paraId="2C546CA8" w14:textId="77777777" w:rsidR="009E404F" w:rsidRPr="00B65D57" w:rsidRDefault="009E404F" w:rsidP="00DE498C">
            <w:pPr>
              <w:spacing w:line="276" w:lineRule="auto"/>
              <w:rPr>
                <w:rFonts w:eastAsia="Calibri"/>
                <w:i/>
                <w:sz w:val="18"/>
                <w:szCs w:val="18"/>
                <w:lang w:eastAsia="en-US"/>
              </w:rPr>
            </w:pPr>
            <w:r w:rsidRPr="00B65D57">
              <w:rPr>
                <w:rFonts w:eastAsia="Calibri"/>
                <w:b/>
                <w:sz w:val="18"/>
                <w:szCs w:val="18"/>
                <w:lang w:eastAsia="en-US"/>
              </w:rPr>
              <w:t xml:space="preserve">Building with stone foundation (initial treatment concentration – 19 200 mg BAE/L, treatment zone is 14 cm thick): </w:t>
            </w:r>
          </w:p>
          <w:p w14:paraId="3DD929B2" w14:textId="77777777" w:rsidR="009E404F" w:rsidRPr="00B65D57" w:rsidRDefault="009E404F" w:rsidP="00DE498C">
            <w:pPr>
              <w:spacing w:line="276" w:lineRule="auto"/>
              <w:rPr>
                <w:rFonts w:eastAsia="Calibri"/>
                <w:sz w:val="18"/>
                <w:szCs w:val="18"/>
                <w:lang w:eastAsia="en-US"/>
              </w:rPr>
            </w:pPr>
            <w:r w:rsidRPr="00B65D57">
              <w:rPr>
                <w:rFonts w:eastAsia="Calibri"/>
                <w:b/>
                <w:bCs/>
                <w:sz w:val="18"/>
                <w:szCs w:val="18"/>
                <w:lang w:eastAsia="en-US"/>
              </w:rPr>
              <w:t>Scenario 1K</w:t>
            </w:r>
            <w:r w:rsidRPr="00B65D57">
              <w:rPr>
                <w:rFonts w:eastAsia="Calibri"/>
                <w:sz w:val="18"/>
                <w:szCs w:val="18"/>
                <w:lang w:eastAsia="en-US"/>
              </w:rPr>
              <w:t xml:space="preserve"> </w:t>
            </w:r>
          </w:p>
          <w:p w14:paraId="4F216223" w14:textId="77777777" w:rsidR="009E404F" w:rsidRPr="00B65D57" w:rsidRDefault="009E404F" w:rsidP="001F5CF2">
            <w:pPr>
              <w:numPr>
                <w:ilvl w:val="0"/>
                <w:numId w:val="10"/>
              </w:numPr>
              <w:spacing w:line="276" w:lineRule="auto"/>
              <w:rPr>
                <w:rFonts w:eastAsia="Calibri"/>
                <w:sz w:val="18"/>
                <w:szCs w:val="18"/>
                <w:lang w:eastAsia="en-US"/>
              </w:rPr>
            </w:pPr>
            <w:r w:rsidRPr="00B65D57">
              <w:rPr>
                <w:rFonts w:eastAsia="Calibri"/>
                <w:sz w:val="18"/>
                <w:szCs w:val="18"/>
                <w:lang w:eastAsia="en-US"/>
              </w:rPr>
              <w:t xml:space="preserve">Dispersion of boron to shallow groundwater which is transported upwards through the filling material around the building and </w:t>
            </w:r>
            <w:r w:rsidRPr="00B65D57">
              <w:rPr>
                <w:rFonts w:eastAsia="Calibri"/>
                <w:sz w:val="18"/>
                <w:szCs w:val="18"/>
                <w:lang w:eastAsia="en-US"/>
              </w:rPr>
              <w:lastRenderedPageBreak/>
              <w:t>crevices in the wall foundation to the drainage shaft and eventually ends up in surface water, sediment and STP.</w:t>
            </w:r>
          </w:p>
          <w:p w14:paraId="4EBEB5B3" w14:textId="77777777" w:rsidR="009E404F" w:rsidRPr="00B65D57" w:rsidRDefault="009E404F" w:rsidP="001F5CF2">
            <w:pPr>
              <w:numPr>
                <w:ilvl w:val="0"/>
                <w:numId w:val="10"/>
              </w:numPr>
              <w:spacing w:line="276" w:lineRule="auto"/>
              <w:rPr>
                <w:rFonts w:eastAsia="Calibri"/>
                <w:sz w:val="18"/>
                <w:szCs w:val="18"/>
                <w:lang w:eastAsia="en-US"/>
              </w:rPr>
            </w:pPr>
            <w:r w:rsidRPr="00B65D57">
              <w:rPr>
                <w:rFonts w:eastAsia="Calibri"/>
                <w:sz w:val="18"/>
                <w:szCs w:val="18"/>
                <w:lang w:eastAsia="en-US"/>
              </w:rPr>
              <w:t>Groundwater level is above the discharge point to the drainage system</w:t>
            </w:r>
          </w:p>
          <w:p w14:paraId="054D7DD4" w14:textId="77777777" w:rsidR="009E404F" w:rsidRPr="00B65D57" w:rsidRDefault="009E404F" w:rsidP="00DE498C">
            <w:pPr>
              <w:spacing w:line="276" w:lineRule="auto"/>
              <w:ind w:left="720"/>
              <w:rPr>
                <w:rFonts w:eastAsia="Calibri"/>
                <w:sz w:val="18"/>
                <w:szCs w:val="18"/>
                <w:lang w:eastAsia="en-US"/>
              </w:rPr>
            </w:pPr>
          </w:p>
        </w:tc>
      </w:tr>
      <w:tr w:rsidR="009E404F" w:rsidRPr="00B65D57" w14:paraId="6AB35E99" w14:textId="77777777" w:rsidTr="00DE498C">
        <w:tc>
          <w:tcPr>
            <w:tcW w:w="2439" w:type="dxa"/>
            <w:shd w:val="clear" w:color="auto" w:fill="FFFFCC"/>
            <w:vAlign w:val="center"/>
          </w:tcPr>
          <w:p w14:paraId="38F4D0E4"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lastRenderedPageBreak/>
              <w:t>ESD(s) used</w:t>
            </w:r>
          </w:p>
        </w:tc>
        <w:tc>
          <w:tcPr>
            <w:tcW w:w="6917" w:type="dxa"/>
            <w:shd w:val="clear" w:color="auto" w:fill="auto"/>
            <w:vAlign w:val="center"/>
          </w:tcPr>
          <w:p w14:paraId="22FE8C21"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 xml:space="preserve">Revised ESD for wood preservatives (OECD, 2013) </w:t>
            </w:r>
          </w:p>
          <w:p w14:paraId="1A52848A" w14:textId="77777777" w:rsidR="009E404F" w:rsidRPr="00B65D57" w:rsidRDefault="009E404F" w:rsidP="00DE498C">
            <w:pPr>
              <w:spacing w:line="276" w:lineRule="auto"/>
              <w:rPr>
                <w:rFonts w:eastAsia="Calibri"/>
                <w:sz w:val="18"/>
                <w:szCs w:val="18"/>
                <w:highlight w:val="yellow"/>
                <w:lang w:eastAsia="en-US"/>
              </w:rPr>
            </w:pPr>
            <w:r w:rsidRPr="00B65D57">
              <w:rPr>
                <w:rFonts w:eastAsia="Calibri"/>
                <w:sz w:val="18"/>
                <w:szCs w:val="18"/>
                <w:lang w:eastAsia="en-US"/>
              </w:rPr>
              <w:t>Use class: 4A wood in contact with the ground</w:t>
            </w:r>
          </w:p>
        </w:tc>
      </w:tr>
      <w:tr w:rsidR="009E404F" w:rsidRPr="00B65D57" w14:paraId="71E9600D" w14:textId="77777777" w:rsidTr="00DE498C">
        <w:tc>
          <w:tcPr>
            <w:tcW w:w="2439" w:type="dxa"/>
            <w:shd w:val="clear" w:color="auto" w:fill="FFFFCC"/>
            <w:vAlign w:val="center"/>
          </w:tcPr>
          <w:p w14:paraId="7E4103D2"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Distribution in the environment</w:t>
            </w:r>
          </w:p>
        </w:tc>
        <w:tc>
          <w:tcPr>
            <w:tcW w:w="6917" w:type="dxa"/>
            <w:shd w:val="clear" w:color="auto" w:fill="auto"/>
            <w:vAlign w:val="center"/>
          </w:tcPr>
          <w:p w14:paraId="1F3C933D"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Calculated based on TGD 2003 and on measured data</w:t>
            </w:r>
          </w:p>
        </w:tc>
      </w:tr>
      <w:tr w:rsidR="009E404F" w:rsidRPr="00B65D57" w14:paraId="4BF78738" w14:textId="77777777" w:rsidTr="00DE498C">
        <w:tc>
          <w:tcPr>
            <w:tcW w:w="2439" w:type="dxa"/>
            <w:shd w:val="clear" w:color="auto" w:fill="FFFFCC"/>
            <w:vAlign w:val="center"/>
          </w:tcPr>
          <w:p w14:paraId="2116CB36"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Groundwater simulation</w:t>
            </w:r>
          </w:p>
        </w:tc>
        <w:tc>
          <w:tcPr>
            <w:tcW w:w="6917" w:type="dxa"/>
            <w:shd w:val="clear" w:color="auto" w:fill="auto"/>
            <w:vAlign w:val="center"/>
          </w:tcPr>
          <w:p w14:paraId="027E8D18"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MODFLOW with the graphical user interface Visual MODFLOW FLEX and the belonging module MT3D</w:t>
            </w:r>
          </w:p>
        </w:tc>
      </w:tr>
      <w:tr w:rsidR="009E404F" w:rsidRPr="00B65D57" w14:paraId="2EC6D36D" w14:textId="77777777" w:rsidTr="00DE498C">
        <w:tc>
          <w:tcPr>
            <w:tcW w:w="2439" w:type="dxa"/>
            <w:shd w:val="clear" w:color="auto" w:fill="FFFFCC"/>
            <w:vAlign w:val="center"/>
          </w:tcPr>
          <w:p w14:paraId="720B3D58"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Confidential Annexes</w:t>
            </w:r>
          </w:p>
        </w:tc>
        <w:tc>
          <w:tcPr>
            <w:tcW w:w="6917" w:type="dxa"/>
            <w:shd w:val="clear" w:color="auto" w:fill="auto"/>
            <w:vAlign w:val="center"/>
          </w:tcPr>
          <w:p w14:paraId="343D4D2F" w14:textId="77777777" w:rsidR="009E404F" w:rsidRPr="00B65D57" w:rsidRDefault="009E404F" w:rsidP="00DE498C">
            <w:pPr>
              <w:spacing w:line="276" w:lineRule="auto"/>
              <w:rPr>
                <w:rFonts w:eastAsia="Calibri"/>
                <w:b/>
                <w:sz w:val="18"/>
                <w:szCs w:val="18"/>
                <w:lang w:eastAsia="en-US"/>
              </w:rPr>
            </w:pPr>
            <w:r w:rsidRPr="00B65D57">
              <w:rPr>
                <w:rFonts w:eastAsia="Calibri"/>
                <w:sz w:val="18"/>
                <w:szCs w:val="18"/>
                <w:lang w:eastAsia="en-US"/>
              </w:rPr>
              <w:t xml:space="preserve">NO </w:t>
            </w:r>
          </w:p>
        </w:tc>
      </w:tr>
      <w:tr w:rsidR="009E404F" w:rsidRPr="00B65D57" w14:paraId="7129065D" w14:textId="77777777" w:rsidTr="00DE498C">
        <w:tc>
          <w:tcPr>
            <w:tcW w:w="2439" w:type="dxa"/>
            <w:shd w:val="clear" w:color="auto" w:fill="FFFFCC"/>
            <w:vAlign w:val="center"/>
          </w:tcPr>
          <w:p w14:paraId="1CA9BDCA"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Life cycle steps assessed</w:t>
            </w:r>
          </w:p>
        </w:tc>
        <w:tc>
          <w:tcPr>
            <w:tcW w:w="6917" w:type="dxa"/>
            <w:shd w:val="clear" w:color="auto" w:fill="auto"/>
            <w:vAlign w:val="center"/>
          </w:tcPr>
          <w:p w14:paraId="36E2A2E9" w14:textId="77777777" w:rsidR="009E404F" w:rsidRPr="00B65D57" w:rsidRDefault="009E404F" w:rsidP="00DE498C">
            <w:pPr>
              <w:spacing w:before="60" w:after="60" w:line="276" w:lineRule="auto"/>
              <w:rPr>
                <w:rFonts w:eastAsia="Calibri"/>
                <w:b/>
                <w:sz w:val="18"/>
                <w:szCs w:val="18"/>
                <w:lang w:eastAsia="en-US"/>
              </w:rPr>
            </w:pPr>
            <w:r w:rsidRPr="00B65D57">
              <w:rPr>
                <w:rFonts w:eastAsia="Calibri"/>
                <w:b/>
                <w:sz w:val="18"/>
                <w:szCs w:val="18"/>
                <w:lang w:eastAsia="en-US"/>
              </w:rPr>
              <w:t>All scenarios:</w:t>
            </w:r>
          </w:p>
          <w:p w14:paraId="2F9084C9" w14:textId="77777777" w:rsidR="009E404F" w:rsidRPr="00B65D57" w:rsidRDefault="009E404F" w:rsidP="00DE498C">
            <w:pPr>
              <w:spacing w:before="60" w:after="60" w:line="276" w:lineRule="auto"/>
              <w:rPr>
                <w:rFonts w:eastAsia="Calibri"/>
                <w:sz w:val="18"/>
                <w:szCs w:val="18"/>
                <w:lang w:eastAsia="en-US"/>
              </w:rPr>
            </w:pPr>
            <w:r w:rsidRPr="00B65D57">
              <w:rPr>
                <w:rFonts w:eastAsia="Calibri"/>
                <w:sz w:val="18"/>
                <w:szCs w:val="18"/>
                <w:lang w:eastAsia="en-US"/>
              </w:rPr>
              <w:t>Production: No</w:t>
            </w:r>
          </w:p>
          <w:p w14:paraId="5642D914" w14:textId="77777777" w:rsidR="009E404F" w:rsidRPr="00B65D57" w:rsidRDefault="009E404F" w:rsidP="00DE498C">
            <w:pPr>
              <w:spacing w:before="60" w:after="60" w:line="276" w:lineRule="auto"/>
              <w:rPr>
                <w:rFonts w:eastAsia="Calibri"/>
                <w:sz w:val="18"/>
                <w:szCs w:val="18"/>
                <w:lang w:eastAsia="en-US"/>
              </w:rPr>
            </w:pPr>
            <w:r w:rsidRPr="00B65D57">
              <w:rPr>
                <w:rFonts w:eastAsia="Calibri"/>
                <w:sz w:val="18"/>
                <w:szCs w:val="18"/>
                <w:lang w:eastAsia="en-US"/>
              </w:rPr>
              <w:t>Formulation: No</w:t>
            </w:r>
          </w:p>
          <w:p w14:paraId="5D8EA7BC" w14:textId="77777777" w:rsidR="009E404F" w:rsidRPr="00B65D57" w:rsidRDefault="009E404F" w:rsidP="00DE498C">
            <w:pPr>
              <w:spacing w:before="60" w:after="60" w:line="276" w:lineRule="auto"/>
              <w:rPr>
                <w:rFonts w:eastAsia="Calibri"/>
                <w:sz w:val="18"/>
                <w:szCs w:val="18"/>
                <w:lang w:eastAsia="en-US"/>
              </w:rPr>
            </w:pPr>
            <w:r w:rsidRPr="00B65D57">
              <w:rPr>
                <w:rFonts w:eastAsia="Calibri"/>
                <w:sz w:val="18"/>
                <w:szCs w:val="18"/>
                <w:lang w:eastAsia="en-US"/>
              </w:rPr>
              <w:t>Use: Yes</w:t>
            </w:r>
          </w:p>
          <w:p w14:paraId="44C5BE79" w14:textId="77777777" w:rsidR="009E404F" w:rsidRPr="00B65D57" w:rsidRDefault="009E404F" w:rsidP="00DE498C">
            <w:pPr>
              <w:spacing w:line="276" w:lineRule="auto"/>
              <w:rPr>
                <w:rFonts w:eastAsia="Calibri"/>
                <w:sz w:val="18"/>
                <w:szCs w:val="18"/>
                <w:lang w:eastAsia="en-US"/>
              </w:rPr>
            </w:pPr>
            <w:r w:rsidRPr="00B65D57">
              <w:rPr>
                <w:rFonts w:eastAsia="Calibri"/>
                <w:sz w:val="18"/>
                <w:szCs w:val="18"/>
                <w:lang w:eastAsia="en-US"/>
              </w:rPr>
              <w:t>Service life: Yes</w:t>
            </w:r>
          </w:p>
        </w:tc>
      </w:tr>
    </w:tbl>
    <w:p w14:paraId="4DE618E4" w14:textId="77777777" w:rsidR="009E404F" w:rsidRPr="00B65D57" w:rsidRDefault="009E404F" w:rsidP="009E404F">
      <w:pPr>
        <w:rPr>
          <w:rFonts w:eastAsia="Calibri"/>
          <w:lang w:eastAsia="en-US"/>
        </w:rPr>
      </w:pPr>
    </w:p>
    <w:p w14:paraId="0F55CD74" w14:textId="77777777" w:rsidR="009E404F" w:rsidRPr="00B65D57" w:rsidRDefault="009E404F" w:rsidP="009E404F">
      <w:pPr>
        <w:spacing w:line="276" w:lineRule="auto"/>
        <w:rPr>
          <w:rFonts w:eastAsia="Calibri"/>
          <w:lang w:eastAsia="en-US"/>
        </w:rPr>
      </w:pPr>
    </w:p>
    <w:p w14:paraId="69B7A0D2" w14:textId="77777777" w:rsidR="009E404F" w:rsidRPr="00B65D57" w:rsidRDefault="009E404F" w:rsidP="009E404F">
      <w:pPr>
        <w:spacing w:after="240"/>
      </w:pPr>
      <w:r w:rsidRPr="00B65D57">
        <w:t>The case with a foundation wall of concrete is considered to be the standard case and a schematic picture of a typical building treated by Eurobor can be seen in the figures below and this concept is used in the modelling.</w:t>
      </w:r>
    </w:p>
    <w:p w14:paraId="44A195A5" w14:textId="77777777" w:rsidR="009E404F" w:rsidRPr="00B65D57" w:rsidRDefault="009E404F" w:rsidP="009E404F">
      <w:pPr>
        <w:spacing w:before="120"/>
        <w:rPr>
          <w:rFonts w:ascii="Garamond" w:hAnsi="Garamond"/>
          <w:sz w:val="24"/>
        </w:rPr>
      </w:pPr>
      <w:r w:rsidRPr="00B65D57">
        <w:rPr>
          <w:rFonts w:ascii="Garamond" w:hAnsi="Garamond"/>
          <w:noProof/>
          <w:sz w:val="24"/>
        </w:rPr>
        <w:drawing>
          <wp:inline distT="0" distB="0" distL="0" distR="0" wp14:anchorId="5DBF9E31" wp14:editId="1B24A5A7">
            <wp:extent cx="2583180" cy="2606040"/>
            <wp:effectExtent l="0" t="0" r="7620" b="381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180" cy="2606040"/>
                    </a:xfrm>
                    <a:prstGeom prst="rect">
                      <a:avLst/>
                    </a:prstGeom>
                    <a:noFill/>
                    <a:ln>
                      <a:noFill/>
                    </a:ln>
                  </pic:spPr>
                </pic:pic>
              </a:graphicData>
            </a:graphic>
          </wp:inline>
        </w:drawing>
      </w:r>
    </w:p>
    <w:p w14:paraId="05F6B05D" w14:textId="77777777" w:rsidR="009E404F" w:rsidRPr="00B65D57" w:rsidRDefault="009E404F" w:rsidP="009E404F">
      <w:pPr>
        <w:pStyle w:val="FigTabCaption"/>
        <w:spacing w:before="120"/>
        <w:rPr>
          <w:color w:val="auto"/>
        </w:rPr>
      </w:pPr>
      <w:r w:rsidRPr="00B65D57">
        <w:rPr>
          <w:color w:val="auto"/>
        </w:rPr>
        <w:t xml:space="preserve">Sectional view - the standard case for a building (HUS) that is submerged in naturally deposited clay (Le) with clay filling material closest to the walls of the building (F) and a thin gritty layer directly under the building into which the Eurobor is injected (red colour). The building is built on foundation walls of concrete placed on </w:t>
      </w:r>
      <w:r w:rsidRPr="00B65D57">
        <w:rPr>
          <w:color w:val="auto"/>
        </w:rPr>
        <w:lastRenderedPageBreak/>
        <w:t xml:space="preserve">wooden piles (the piles are not marked in the schematic picture). The distances shown on the picture represent the thickness (height) of each geological unit. </w:t>
      </w:r>
    </w:p>
    <w:p w14:paraId="63D895F5" w14:textId="77777777" w:rsidR="009E404F" w:rsidRPr="00B65D57" w:rsidRDefault="009E404F" w:rsidP="009E404F">
      <w:pPr>
        <w:pStyle w:val="FigTabCaption"/>
        <w:rPr>
          <w:color w:val="auto"/>
        </w:rPr>
      </w:pPr>
      <w:r w:rsidRPr="00B65D57">
        <w:rPr>
          <w:color w:val="auto"/>
        </w:rPr>
        <w:t xml:space="preserve">F = filling material; </w:t>
      </w:r>
    </w:p>
    <w:p w14:paraId="06FDBE5C" w14:textId="77777777" w:rsidR="009E404F" w:rsidRPr="00B65D57" w:rsidRDefault="009E404F" w:rsidP="009E404F">
      <w:pPr>
        <w:pStyle w:val="FigTabCaption"/>
        <w:rPr>
          <w:color w:val="auto"/>
        </w:rPr>
      </w:pPr>
      <w:r w:rsidRPr="00B65D57">
        <w:rPr>
          <w:color w:val="auto"/>
        </w:rPr>
        <w:t xml:space="preserve">Le = naturally deposited clay; </w:t>
      </w:r>
    </w:p>
    <w:p w14:paraId="4F7C878B" w14:textId="77777777" w:rsidR="009E404F" w:rsidRPr="00B65D57" w:rsidRDefault="009E404F" w:rsidP="009E404F">
      <w:pPr>
        <w:pStyle w:val="FigTabCaption"/>
        <w:rPr>
          <w:color w:val="auto"/>
        </w:rPr>
      </w:pPr>
      <w:r w:rsidRPr="00B65D57">
        <w:rPr>
          <w:color w:val="auto"/>
        </w:rPr>
        <w:t xml:space="preserve">Markyta = ground surface; </w:t>
      </w:r>
    </w:p>
    <w:p w14:paraId="7768BB35" w14:textId="77777777" w:rsidR="009E404F" w:rsidRPr="00B65D57" w:rsidRDefault="009E404F" w:rsidP="009E404F">
      <w:pPr>
        <w:pStyle w:val="FigTabCaption"/>
        <w:rPr>
          <w:color w:val="auto"/>
        </w:rPr>
      </w:pPr>
      <w:r w:rsidRPr="00B65D57">
        <w:rPr>
          <w:color w:val="auto"/>
        </w:rPr>
        <w:t>Avloppsschakt = discharge/drainage system (shaft) which is the lowest level for outflow of groundwater; Friktionsmaterial = frictional material</w:t>
      </w:r>
    </w:p>
    <w:p w14:paraId="07E2C6AF" w14:textId="77777777" w:rsidR="009E404F" w:rsidRPr="00B65D57" w:rsidRDefault="009E404F" w:rsidP="009E404F">
      <w:pPr>
        <w:pStyle w:val="FigTabCaption"/>
        <w:spacing w:after="240"/>
        <w:rPr>
          <w:color w:val="auto"/>
        </w:rPr>
      </w:pPr>
      <w:r w:rsidRPr="00B65D57">
        <w:rPr>
          <w:color w:val="auto"/>
        </w:rPr>
        <w:t>The picture is taken from Joodaki &amp; Vickman (2020).</w:t>
      </w:r>
    </w:p>
    <w:p w14:paraId="21ECE6BE" w14:textId="77777777" w:rsidR="009E404F" w:rsidRPr="00B65D57" w:rsidRDefault="009E404F" w:rsidP="009E404F">
      <w:pPr>
        <w:pStyle w:val="FigTabCaption"/>
        <w:spacing w:after="240"/>
        <w:rPr>
          <w:color w:val="auto"/>
        </w:rPr>
      </w:pPr>
    </w:p>
    <w:p w14:paraId="185CBF39" w14:textId="77777777" w:rsidR="009E404F" w:rsidRPr="00B65D57" w:rsidRDefault="009E404F" w:rsidP="009E404F">
      <w:pPr>
        <w:spacing w:before="120"/>
        <w:rPr>
          <w:rFonts w:ascii="Garamond" w:hAnsi="Garamond"/>
          <w:sz w:val="24"/>
        </w:rPr>
      </w:pPr>
      <w:r w:rsidRPr="00B65D57">
        <w:rPr>
          <w:noProof/>
        </w:rPr>
        <w:drawing>
          <wp:inline distT="0" distB="0" distL="0" distR="0" wp14:anchorId="67F3C810" wp14:editId="0E4F0A32">
            <wp:extent cx="2293620" cy="3322304"/>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04928" cy="3338683"/>
                    </a:xfrm>
                    <a:prstGeom prst="rect">
                      <a:avLst/>
                    </a:prstGeom>
                  </pic:spPr>
                </pic:pic>
              </a:graphicData>
            </a:graphic>
          </wp:inline>
        </w:drawing>
      </w:r>
    </w:p>
    <w:p w14:paraId="3920AA06" w14:textId="77777777" w:rsidR="009E404F" w:rsidRPr="00B65D57" w:rsidRDefault="009E404F" w:rsidP="009E404F">
      <w:pPr>
        <w:pStyle w:val="FigTabCaption"/>
        <w:spacing w:after="0"/>
        <w:rPr>
          <w:color w:val="auto"/>
        </w:rPr>
      </w:pPr>
      <w:r w:rsidRPr="00B65D57">
        <w:rPr>
          <w:color w:val="auto"/>
        </w:rPr>
        <w:t>Top view - dimensions of a normal/standard building that is treated with Eurobor. The shaded grey areas are hard surfaces (asphalt) and the area marked in a dark brown colour shows the foundation of the building equal to the treatment zone.</w:t>
      </w:r>
    </w:p>
    <w:p w14:paraId="35278A7D" w14:textId="77777777" w:rsidR="009E404F" w:rsidRPr="00B65D57" w:rsidRDefault="009E404F" w:rsidP="009E404F">
      <w:pPr>
        <w:pStyle w:val="FigTabCaption"/>
        <w:spacing w:after="0"/>
        <w:rPr>
          <w:color w:val="auto"/>
        </w:rPr>
      </w:pPr>
      <w:r w:rsidRPr="00B65D57">
        <w:rPr>
          <w:color w:val="auto"/>
        </w:rPr>
        <w:t>From top to bottom: till närmaste dränstråk = to closest distance to a drainage area, i.e. possibility for water infiltration; lägsta utgående ledningsschakt = lowest point for discharge (drainage system shaft)</w:t>
      </w:r>
    </w:p>
    <w:p w14:paraId="48F89CE0" w14:textId="77777777" w:rsidR="009E404F" w:rsidRPr="00B65D57" w:rsidRDefault="009E404F" w:rsidP="009E404F">
      <w:pPr>
        <w:pStyle w:val="FigTabCaption"/>
        <w:spacing w:after="240"/>
        <w:rPr>
          <w:color w:val="auto"/>
        </w:rPr>
      </w:pPr>
      <w:r w:rsidRPr="00B65D57">
        <w:rPr>
          <w:color w:val="auto"/>
        </w:rPr>
        <w:t xml:space="preserve"> The picture is taken from Vickman (2011).</w:t>
      </w:r>
    </w:p>
    <w:p w14:paraId="04A71173" w14:textId="77777777" w:rsidR="009E404F" w:rsidRPr="00B65D57" w:rsidRDefault="009E404F" w:rsidP="009E404F">
      <w:pPr>
        <w:spacing w:line="276" w:lineRule="auto"/>
      </w:pPr>
      <w:r w:rsidRPr="00B65D57">
        <w:t>Calculations have been made on a building with a foundation under the outer walls and in two lanes along the house. A few meters (6 m in the northern and western directions and 10 m in the southern and eastern directions) from the building there is the nearest draining lane such as a drainage pipe or pipe shaft. West and north of the building, the ground is asphalted, while the rest of the ground mostly consists of grass or gravel surfaces. The ground surface slopes from south to north and in the northern part of the building the lowest drainage shaft goes out towards the street.</w:t>
      </w:r>
    </w:p>
    <w:p w14:paraId="1855149D" w14:textId="24491892" w:rsidR="009E404F" w:rsidRPr="00B65D57" w:rsidRDefault="009E404F" w:rsidP="009E404F">
      <w:pPr>
        <w:spacing w:before="120" w:after="120" w:line="276" w:lineRule="auto"/>
      </w:pPr>
      <w:r w:rsidRPr="00B65D57">
        <w:t>Among the input parameters and data can be mentioned (see details in 2.2.8.2.2):</w:t>
      </w:r>
    </w:p>
    <w:p w14:paraId="1304887B" w14:textId="77777777" w:rsidR="009E404F" w:rsidRPr="00B65D57" w:rsidRDefault="009E404F" w:rsidP="001F5CF2">
      <w:pPr>
        <w:pStyle w:val="Liststycke"/>
        <w:numPr>
          <w:ilvl w:val="0"/>
          <w:numId w:val="17"/>
        </w:numPr>
        <w:spacing w:before="120" w:after="120" w:line="276" w:lineRule="auto"/>
        <w:contextualSpacing/>
      </w:pPr>
      <w:r w:rsidRPr="00B65D57">
        <w:t>The geometry for a standard building (see figure below)</w:t>
      </w:r>
    </w:p>
    <w:p w14:paraId="2FF48810" w14:textId="77777777" w:rsidR="009E404F" w:rsidRPr="00B65D57" w:rsidRDefault="009E404F" w:rsidP="001F5CF2">
      <w:pPr>
        <w:pStyle w:val="Liststycke"/>
        <w:numPr>
          <w:ilvl w:val="0"/>
          <w:numId w:val="17"/>
        </w:numPr>
        <w:spacing w:before="120" w:after="120" w:line="276" w:lineRule="auto"/>
        <w:contextualSpacing/>
      </w:pPr>
      <w:r w:rsidRPr="00B65D57">
        <w:t>Hydraulic conductivity</w:t>
      </w:r>
    </w:p>
    <w:p w14:paraId="53149C30" w14:textId="77777777" w:rsidR="009E404F" w:rsidRPr="00B65D57" w:rsidRDefault="009E404F" w:rsidP="001F5CF2">
      <w:pPr>
        <w:pStyle w:val="Liststycke"/>
        <w:numPr>
          <w:ilvl w:val="0"/>
          <w:numId w:val="17"/>
        </w:numPr>
        <w:spacing w:before="120" w:after="120" w:line="276" w:lineRule="auto"/>
        <w:contextualSpacing/>
      </w:pPr>
      <w:r w:rsidRPr="00B65D57">
        <w:t>Porosity</w:t>
      </w:r>
    </w:p>
    <w:p w14:paraId="58B8B720" w14:textId="77777777" w:rsidR="009E404F" w:rsidRPr="00B65D57" w:rsidRDefault="009E404F" w:rsidP="001F5CF2">
      <w:pPr>
        <w:pStyle w:val="Liststycke"/>
        <w:numPr>
          <w:ilvl w:val="0"/>
          <w:numId w:val="17"/>
        </w:numPr>
        <w:spacing w:before="120" w:after="120" w:line="276" w:lineRule="auto"/>
        <w:contextualSpacing/>
      </w:pPr>
      <w:r w:rsidRPr="00B65D57">
        <w:lastRenderedPageBreak/>
        <w:t>Groundwater formation</w:t>
      </w:r>
    </w:p>
    <w:p w14:paraId="415630B9" w14:textId="77777777" w:rsidR="009E404F" w:rsidRPr="00B65D57" w:rsidRDefault="009E404F" w:rsidP="001F5CF2">
      <w:pPr>
        <w:pStyle w:val="Liststycke"/>
        <w:numPr>
          <w:ilvl w:val="0"/>
          <w:numId w:val="17"/>
        </w:numPr>
        <w:spacing w:before="120" w:after="120" w:line="276" w:lineRule="auto"/>
        <w:contextualSpacing/>
      </w:pPr>
      <w:r w:rsidRPr="00B65D57">
        <w:t>Coefficient of diffusion</w:t>
      </w:r>
    </w:p>
    <w:p w14:paraId="22980AD7" w14:textId="77777777" w:rsidR="009E404F" w:rsidRPr="00B65D57" w:rsidRDefault="009E404F" w:rsidP="001F5CF2">
      <w:pPr>
        <w:pStyle w:val="Liststycke"/>
        <w:numPr>
          <w:ilvl w:val="0"/>
          <w:numId w:val="17"/>
        </w:numPr>
        <w:spacing w:before="120" w:after="120" w:line="276" w:lineRule="auto"/>
        <w:contextualSpacing/>
      </w:pPr>
      <w:r w:rsidRPr="00B65D57">
        <w:t>Isotherm for adsorption</w:t>
      </w:r>
    </w:p>
    <w:p w14:paraId="3DE4A795" w14:textId="77777777" w:rsidR="009E404F" w:rsidRPr="00B65D57" w:rsidRDefault="009E404F" w:rsidP="001F5CF2">
      <w:pPr>
        <w:pStyle w:val="Liststycke"/>
        <w:numPr>
          <w:ilvl w:val="0"/>
          <w:numId w:val="17"/>
        </w:numPr>
        <w:spacing w:before="120" w:after="120" w:line="276" w:lineRule="auto"/>
        <w:contextualSpacing/>
      </w:pPr>
      <w:r w:rsidRPr="00B65D57">
        <w:t>Added amounts of boron</w:t>
      </w:r>
    </w:p>
    <w:p w14:paraId="07FDD1EE" w14:textId="77777777" w:rsidR="009E404F" w:rsidRPr="00B65D57" w:rsidRDefault="009E404F" w:rsidP="001F5CF2">
      <w:pPr>
        <w:pStyle w:val="Liststycke"/>
        <w:numPr>
          <w:ilvl w:val="0"/>
          <w:numId w:val="17"/>
        </w:numPr>
        <w:spacing w:before="120" w:after="120" w:line="276" w:lineRule="auto"/>
        <w:contextualSpacing/>
      </w:pPr>
      <w:r w:rsidRPr="00B65D57">
        <w:t>Background concentration of boron in groundwater</w:t>
      </w:r>
    </w:p>
    <w:p w14:paraId="2F6B3FEC" w14:textId="77777777" w:rsidR="009E404F" w:rsidRPr="00B65D57" w:rsidRDefault="009E404F" w:rsidP="009E404F">
      <w:pPr>
        <w:spacing w:before="240" w:after="120" w:line="276" w:lineRule="auto"/>
      </w:pPr>
      <w:r w:rsidRPr="00B65D57">
        <w:t>And the output data are:</w:t>
      </w:r>
    </w:p>
    <w:p w14:paraId="40801DDF" w14:textId="77777777" w:rsidR="009E404F" w:rsidRPr="00B65D57" w:rsidRDefault="009E404F" w:rsidP="001F5CF2">
      <w:pPr>
        <w:pStyle w:val="Liststycke"/>
        <w:numPr>
          <w:ilvl w:val="0"/>
          <w:numId w:val="18"/>
        </w:numPr>
        <w:spacing w:before="120" w:after="120" w:line="276" w:lineRule="auto"/>
        <w:contextualSpacing/>
      </w:pPr>
      <w:r w:rsidRPr="00B65D57">
        <w:t>Groundwater flow (also input data for further calculations)</w:t>
      </w:r>
    </w:p>
    <w:p w14:paraId="0E06C563" w14:textId="77777777" w:rsidR="009E404F" w:rsidRPr="00B65D57" w:rsidRDefault="009E404F" w:rsidP="001F5CF2">
      <w:pPr>
        <w:pStyle w:val="Liststycke"/>
        <w:numPr>
          <w:ilvl w:val="0"/>
          <w:numId w:val="18"/>
        </w:numPr>
        <w:spacing w:before="120" w:after="120" w:line="276" w:lineRule="auto"/>
        <w:contextualSpacing/>
      </w:pPr>
      <w:r w:rsidRPr="00B65D57">
        <w:t>Concentrations in groundwater (also input data for further calculations)</w:t>
      </w:r>
    </w:p>
    <w:p w14:paraId="34CF247B" w14:textId="77777777" w:rsidR="009E404F" w:rsidRPr="00B65D57" w:rsidRDefault="009E404F" w:rsidP="001F5CF2">
      <w:pPr>
        <w:pStyle w:val="Liststycke"/>
        <w:numPr>
          <w:ilvl w:val="0"/>
          <w:numId w:val="18"/>
        </w:numPr>
        <w:spacing w:before="120" w:after="120" w:line="276" w:lineRule="auto"/>
        <w:contextualSpacing/>
      </w:pPr>
      <w:r w:rsidRPr="00B65D57">
        <w:t>Diffusion in clay</w:t>
      </w:r>
    </w:p>
    <w:p w14:paraId="09B76166" w14:textId="77777777" w:rsidR="009E404F" w:rsidRPr="00B65D57" w:rsidRDefault="009E404F" w:rsidP="001F5CF2">
      <w:pPr>
        <w:pStyle w:val="Liststycke"/>
        <w:numPr>
          <w:ilvl w:val="0"/>
          <w:numId w:val="18"/>
        </w:numPr>
        <w:spacing w:before="120" w:after="120" w:line="276" w:lineRule="auto"/>
        <w:contextualSpacing/>
      </w:pPr>
      <w:r w:rsidRPr="00B65D57">
        <w:t>Concentrations in clay</w:t>
      </w:r>
    </w:p>
    <w:p w14:paraId="5B2029F2" w14:textId="77777777" w:rsidR="009E404F" w:rsidRPr="00B65D57" w:rsidRDefault="009E404F" w:rsidP="001F5CF2">
      <w:pPr>
        <w:pStyle w:val="Liststycke"/>
        <w:numPr>
          <w:ilvl w:val="0"/>
          <w:numId w:val="18"/>
        </w:numPr>
        <w:spacing w:before="120" w:after="120" w:line="276" w:lineRule="auto"/>
        <w:contextualSpacing/>
      </w:pPr>
      <w:r w:rsidRPr="00B65D57">
        <w:t>Amounts transported to surface water, sediment and STP</w:t>
      </w:r>
    </w:p>
    <w:p w14:paraId="7BF602F9" w14:textId="77777777" w:rsidR="009E404F" w:rsidRPr="00B65D57" w:rsidRDefault="009E404F" w:rsidP="009E404F">
      <w:pPr>
        <w:spacing w:line="276" w:lineRule="auto"/>
        <w:rPr>
          <w:rFonts w:eastAsia="Calibri"/>
          <w:lang w:eastAsia="en-US"/>
        </w:rPr>
      </w:pPr>
      <w:r w:rsidRPr="00B65D57">
        <w:rPr>
          <w:rFonts w:eastAsia="Calibri"/>
          <w:lang w:eastAsia="en-US"/>
        </w:rPr>
        <w:t>The physical and chemical properties of boric acid are presented in the table below. Since boron is a naturally occurring element, many of the parameters are not relevant for use in the exposure assessment.</w:t>
      </w:r>
    </w:p>
    <w:p w14:paraId="27DD1766" w14:textId="77777777" w:rsidR="009E404F" w:rsidRPr="00B65D57" w:rsidRDefault="009E404F" w:rsidP="009E404F">
      <w:pPr>
        <w:spacing w:line="260" w:lineRule="atLeast"/>
        <w:rPr>
          <w:rFonts w:eastAsia="Calibri"/>
          <w:sz w:val="18"/>
          <w:szCs w:val="18"/>
          <w:lang w:eastAsia="en-US"/>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276"/>
        <w:gridCol w:w="2155"/>
      </w:tblGrid>
      <w:tr w:rsidR="009E404F" w:rsidRPr="00B65D57" w14:paraId="4F1CE1D9" w14:textId="77777777" w:rsidTr="00DE498C">
        <w:trPr>
          <w:trHeight w:val="313"/>
        </w:trPr>
        <w:tc>
          <w:tcPr>
            <w:tcW w:w="8818" w:type="dxa"/>
            <w:gridSpan w:val="4"/>
            <w:shd w:val="clear" w:color="auto" w:fill="FFFFCC"/>
            <w:vAlign w:val="center"/>
          </w:tcPr>
          <w:p w14:paraId="67D77127"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Physical and chemical properties of boric acid</w:t>
            </w:r>
          </w:p>
        </w:tc>
      </w:tr>
      <w:tr w:rsidR="009E404F" w:rsidRPr="00B65D57" w14:paraId="0E59C95B" w14:textId="77777777" w:rsidTr="00DE498C">
        <w:trPr>
          <w:trHeight w:val="313"/>
        </w:trPr>
        <w:tc>
          <w:tcPr>
            <w:tcW w:w="2410" w:type="dxa"/>
            <w:shd w:val="clear" w:color="auto" w:fill="FFFFCC"/>
            <w:vAlign w:val="center"/>
          </w:tcPr>
          <w:p w14:paraId="22112544"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Input</w:t>
            </w:r>
          </w:p>
        </w:tc>
        <w:tc>
          <w:tcPr>
            <w:tcW w:w="2977" w:type="dxa"/>
            <w:shd w:val="clear" w:color="auto" w:fill="FFFFCC"/>
            <w:vAlign w:val="center"/>
          </w:tcPr>
          <w:p w14:paraId="06CF569B"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Value</w:t>
            </w:r>
          </w:p>
        </w:tc>
        <w:tc>
          <w:tcPr>
            <w:tcW w:w="1276" w:type="dxa"/>
            <w:shd w:val="clear" w:color="auto" w:fill="FFFFCC"/>
            <w:vAlign w:val="center"/>
          </w:tcPr>
          <w:p w14:paraId="5B3A34ED"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Unit</w:t>
            </w:r>
          </w:p>
        </w:tc>
        <w:tc>
          <w:tcPr>
            <w:tcW w:w="2155" w:type="dxa"/>
            <w:shd w:val="clear" w:color="auto" w:fill="FFFFCC"/>
            <w:vAlign w:val="center"/>
          </w:tcPr>
          <w:p w14:paraId="630D3FE9"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Remarks</w:t>
            </w:r>
          </w:p>
        </w:tc>
      </w:tr>
      <w:tr w:rsidR="009E404F" w:rsidRPr="00B65D57" w14:paraId="24313484" w14:textId="77777777" w:rsidTr="00DE498C">
        <w:trPr>
          <w:trHeight w:val="75"/>
        </w:trPr>
        <w:tc>
          <w:tcPr>
            <w:tcW w:w="2410" w:type="dxa"/>
            <w:shd w:val="clear" w:color="auto" w:fill="FFFFFF"/>
          </w:tcPr>
          <w:p w14:paraId="258E5744"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Melting point</w:t>
            </w:r>
          </w:p>
        </w:tc>
        <w:tc>
          <w:tcPr>
            <w:tcW w:w="2977" w:type="dxa"/>
            <w:shd w:val="clear" w:color="auto" w:fill="FFFFFF"/>
          </w:tcPr>
          <w:p w14:paraId="60B68FD0"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 xml:space="preserve">No melting point can be defined </w:t>
            </w:r>
          </w:p>
        </w:tc>
        <w:tc>
          <w:tcPr>
            <w:tcW w:w="1276" w:type="dxa"/>
            <w:shd w:val="clear" w:color="auto" w:fill="FFFFFF"/>
          </w:tcPr>
          <w:p w14:paraId="56B7FCAC"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°C</w:t>
            </w:r>
          </w:p>
        </w:tc>
        <w:tc>
          <w:tcPr>
            <w:tcW w:w="2155" w:type="dxa"/>
            <w:shd w:val="clear" w:color="auto" w:fill="FFFFFF"/>
          </w:tcPr>
          <w:p w14:paraId="6B6531B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32EE8636" w14:textId="77777777" w:rsidTr="00DE498C">
        <w:trPr>
          <w:trHeight w:val="75"/>
        </w:trPr>
        <w:tc>
          <w:tcPr>
            <w:tcW w:w="2410" w:type="dxa"/>
            <w:shd w:val="clear" w:color="auto" w:fill="FFFFFF"/>
          </w:tcPr>
          <w:p w14:paraId="0EB86953"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Boiling point</w:t>
            </w:r>
          </w:p>
        </w:tc>
        <w:tc>
          <w:tcPr>
            <w:tcW w:w="2977" w:type="dxa"/>
            <w:shd w:val="clear" w:color="auto" w:fill="FFFFFF"/>
          </w:tcPr>
          <w:p w14:paraId="53AD3F90"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No boiling point can be defined</w:t>
            </w:r>
          </w:p>
        </w:tc>
        <w:tc>
          <w:tcPr>
            <w:tcW w:w="1276" w:type="dxa"/>
            <w:shd w:val="clear" w:color="auto" w:fill="FFFFFF"/>
          </w:tcPr>
          <w:p w14:paraId="386C49CF"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°C</w:t>
            </w:r>
          </w:p>
        </w:tc>
        <w:tc>
          <w:tcPr>
            <w:tcW w:w="2155" w:type="dxa"/>
            <w:shd w:val="clear" w:color="auto" w:fill="FFFFFF"/>
          </w:tcPr>
          <w:p w14:paraId="2D586384"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7E5DAC36" w14:textId="77777777" w:rsidTr="00DE498C">
        <w:trPr>
          <w:trHeight w:val="75"/>
        </w:trPr>
        <w:tc>
          <w:tcPr>
            <w:tcW w:w="2410" w:type="dxa"/>
            <w:shd w:val="clear" w:color="auto" w:fill="FFFFFF"/>
          </w:tcPr>
          <w:p w14:paraId="039F957F"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 xml:space="preserve">Vapour pressure </w:t>
            </w:r>
          </w:p>
        </w:tc>
        <w:tc>
          <w:tcPr>
            <w:tcW w:w="2977" w:type="dxa"/>
            <w:shd w:val="clear" w:color="auto" w:fill="FFFFFF"/>
          </w:tcPr>
          <w:p w14:paraId="1C36CE61"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Not applicable</w:t>
            </w:r>
          </w:p>
        </w:tc>
        <w:tc>
          <w:tcPr>
            <w:tcW w:w="1276" w:type="dxa"/>
            <w:shd w:val="clear" w:color="auto" w:fill="FFFFFF"/>
          </w:tcPr>
          <w:p w14:paraId="7D981D4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Pa</w:t>
            </w:r>
          </w:p>
        </w:tc>
        <w:tc>
          <w:tcPr>
            <w:tcW w:w="2155" w:type="dxa"/>
            <w:shd w:val="clear" w:color="auto" w:fill="FFFFFF"/>
          </w:tcPr>
          <w:p w14:paraId="4FA815EB"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665150E3" w14:textId="77777777" w:rsidTr="00DE498C">
        <w:trPr>
          <w:trHeight w:val="75"/>
        </w:trPr>
        <w:tc>
          <w:tcPr>
            <w:tcW w:w="2410" w:type="dxa"/>
            <w:shd w:val="clear" w:color="auto" w:fill="FFFFFF"/>
          </w:tcPr>
          <w:p w14:paraId="6AA49DA2"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Water solubility</w:t>
            </w:r>
          </w:p>
        </w:tc>
        <w:tc>
          <w:tcPr>
            <w:tcW w:w="2977" w:type="dxa"/>
            <w:shd w:val="clear" w:color="auto" w:fill="FFFFFF"/>
          </w:tcPr>
          <w:p w14:paraId="4840402B" w14:textId="77777777" w:rsidR="009E404F" w:rsidRPr="00B65D57" w:rsidRDefault="009E404F" w:rsidP="00DE498C">
            <w:pPr>
              <w:autoSpaceDE w:val="0"/>
              <w:autoSpaceDN w:val="0"/>
              <w:adjustRightInd w:val="0"/>
              <w:spacing w:line="260" w:lineRule="atLeast"/>
              <w:ind w:right="175"/>
              <w:rPr>
                <w:rFonts w:eastAsia="Calibri" w:cs="Arial"/>
                <w:color w:val="000000"/>
                <w:sz w:val="18"/>
                <w:szCs w:val="18"/>
                <w:lang w:eastAsia="en-GB"/>
              </w:rPr>
            </w:pPr>
            <w:r w:rsidRPr="00B65D57">
              <w:rPr>
                <w:rFonts w:eastAsia="Calibri" w:cs="Arial"/>
                <w:color w:val="000000"/>
                <w:sz w:val="18"/>
                <w:szCs w:val="18"/>
                <w:lang w:eastAsia="en-GB"/>
              </w:rPr>
              <w:t>36.24 ± 1.03 g/L at 10 °C (pH of the test solution 3.91 - 3.95)</w:t>
            </w:r>
          </w:p>
        </w:tc>
        <w:tc>
          <w:tcPr>
            <w:tcW w:w="1276" w:type="dxa"/>
            <w:shd w:val="clear" w:color="auto" w:fill="FFFFFF"/>
          </w:tcPr>
          <w:p w14:paraId="63EA962C"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mg/l</w:t>
            </w:r>
          </w:p>
        </w:tc>
        <w:tc>
          <w:tcPr>
            <w:tcW w:w="2155" w:type="dxa"/>
            <w:shd w:val="clear" w:color="auto" w:fill="FFFFFF"/>
          </w:tcPr>
          <w:p w14:paraId="39900D0C"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7BFB7FF5" w14:textId="77777777" w:rsidTr="00DE498C">
        <w:trPr>
          <w:trHeight w:val="75"/>
        </w:trPr>
        <w:tc>
          <w:tcPr>
            <w:tcW w:w="2410" w:type="dxa"/>
            <w:shd w:val="clear" w:color="auto" w:fill="FFFFFF"/>
          </w:tcPr>
          <w:p w14:paraId="5898F1E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Log Octanol/water partition coefficient</w:t>
            </w:r>
          </w:p>
        </w:tc>
        <w:tc>
          <w:tcPr>
            <w:tcW w:w="2977" w:type="dxa"/>
            <w:shd w:val="clear" w:color="auto" w:fill="FFFFFF"/>
          </w:tcPr>
          <w:p w14:paraId="7E84F1CC"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-1.09 at 22°C and pH 7.5 in potassium/sodium phosphate</w:t>
            </w:r>
            <w:r w:rsidRPr="00B65D57">
              <w:rPr>
                <w:sz w:val="18"/>
                <w:szCs w:val="18"/>
              </w:rPr>
              <w:t xml:space="preserve"> </w:t>
            </w:r>
            <w:r w:rsidRPr="00B65D57">
              <w:rPr>
                <w:rFonts w:eastAsia="Calibri" w:cs="Arial"/>
                <w:color w:val="000000"/>
                <w:sz w:val="18"/>
                <w:szCs w:val="18"/>
                <w:lang w:eastAsia="en-GB"/>
              </w:rPr>
              <w:t>buffer at a concentration of 0.0097 M boron</w:t>
            </w:r>
          </w:p>
        </w:tc>
        <w:tc>
          <w:tcPr>
            <w:tcW w:w="1276" w:type="dxa"/>
            <w:shd w:val="clear" w:color="auto" w:fill="FFFFFF"/>
          </w:tcPr>
          <w:p w14:paraId="4D3D18DE"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Log 10</w:t>
            </w:r>
          </w:p>
        </w:tc>
        <w:tc>
          <w:tcPr>
            <w:tcW w:w="2155" w:type="dxa"/>
            <w:shd w:val="clear" w:color="auto" w:fill="FFFFFF"/>
          </w:tcPr>
          <w:p w14:paraId="3BEFDCEF"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3A00D1D4" w14:textId="77777777" w:rsidTr="00DE498C">
        <w:trPr>
          <w:trHeight w:val="75"/>
        </w:trPr>
        <w:tc>
          <w:tcPr>
            <w:tcW w:w="2410" w:type="dxa"/>
            <w:shd w:val="clear" w:color="auto" w:fill="FFFFFF"/>
          </w:tcPr>
          <w:p w14:paraId="7A68D09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Organic carbon/water partition coefficient (K</w:t>
            </w:r>
            <w:r w:rsidRPr="00B65D57">
              <w:rPr>
                <w:rFonts w:eastAsia="Calibri" w:cs="Arial"/>
                <w:color w:val="000000"/>
                <w:sz w:val="18"/>
                <w:szCs w:val="18"/>
                <w:vertAlign w:val="subscript"/>
                <w:lang w:eastAsia="en-GB"/>
              </w:rPr>
              <w:t>oc</w:t>
            </w:r>
            <w:r w:rsidRPr="00B65D57">
              <w:rPr>
                <w:rFonts w:eastAsia="Calibri" w:cs="Arial"/>
                <w:color w:val="000000"/>
                <w:sz w:val="18"/>
                <w:szCs w:val="18"/>
                <w:lang w:eastAsia="en-GB"/>
              </w:rPr>
              <w:t>)</w:t>
            </w:r>
          </w:p>
        </w:tc>
        <w:tc>
          <w:tcPr>
            <w:tcW w:w="2977" w:type="dxa"/>
            <w:shd w:val="clear" w:color="auto" w:fill="FFFFFF"/>
          </w:tcPr>
          <w:p w14:paraId="2218058E"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Average K</w:t>
            </w:r>
            <w:r w:rsidRPr="00B65D57">
              <w:rPr>
                <w:rFonts w:eastAsia="Calibri" w:cs="Arial"/>
                <w:color w:val="000000"/>
                <w:sz w:val="18"/>
                <w:szCs w:val="18"/>
                <w:vertAlign w:val="subscript"/>
                <w:lang w:eastAsia="en-GB"/>
              </w:rPr>
              <w:t>F</w:t>
            </w:r>
            <w:r w:rsidRPr="00B65D57">
              <w:rPr>
                <w:rFonts w:eastAsia="Calibri" w:cs="Arial"/>
                <w:color w:val="000000"/>
                <w:sz w:val="18"/>
                <w:szCs w:val="18"/>
                <w:lang w:eastAsia="en-GB"/>
              </w:rPr>
              <w:t xml:space="preserve"> 2.6 L/kg</w:t>
            </w:r>
          </w:p>
        </w:tc>
        <w:tc>
          <w:tcPr>
            <w:tcW w:w="1276" w:type="dxa"/>
            <w:shd w:val="clear" w:color="auto" w:fill="FFFFFF"/>
          </w:tcPr>
          <w:p w14:paraId="0E99EF6E"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l/kg</w:t>
            </w:r>
          </w:p>
        </w:tc>
        <w:tc>
          <w:tcPr>
            <w:tcW w:w="2155" w:type="dxa"/>
            <w:shd w:val="clear" w:color="auto" w:fill="FFFFFF"/>
          </w:tcPr>
          <w:p w14:paraId="42831671"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7F6DAE6B" w14:textId="77777777" w:rsidTr="00DE498C">
        <w:trPr>
          <w:trHeight w:val="93"/>
        </w:trPr>
        <w:tc>
          <w:tcPr>
            <w:tcW w:w="2410" w:type="dxa"/>
            <w:shd w:val="clear" w:color="auto" w:fill="FFFFFF"/>
          </w:tcPr>
          <w:p w14:paraId="4C7E979E"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 xml:space="preserve">Henry’s Law Constant </w:t>
            </w:r>
          </w:p>
        </w:tc>
        <w:tc>
          <w:tcPr>
            <w:tcW w:w="2977" w:type="dxa"/>
            <w:shd w:val="clear" w:color="auto" w:fill="FFFFFF"/>
          </w:tcPr>
          <w:p w14:paraId="2F8B6DE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Not applicable</w:t>
            </w:r>
          </w:p>
        </w:tc>
        <w:tc>
          <w:tcPr>
            <w:tcW w:w="1276" w:type="dxa"/>
            <w:shd w:val="clear" w:color="auto" w:fill="FFFFFF"/>
          </w:tcPr>
          <w:p w14:paraId="1304FBA9"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Pa/m3/mol</w:t>
            </w:r>
          </w:p>
        </w:tc>
        <w:tc>
          <w:tcPr>
            <w:tcW w:w="2155" w:type="dxa"/>
            <w:shd w:val="clear" w:color="auto" w:fill="FFFFFF"/>
          </w:tcPr>
          <w:p w14:paraId="41373EB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55B45D73" w14:textId="77777777" w:rsidTr="00DE498C">
        <w:trPr>
          <w:trHeight w:val="75"/>
        </w:trPr>
        <w:tc>
          <w:tcPr>
            <w:tcW w:w="2410" w:type="dxa"/>
            <w:shd w:val="clear" w:color="auto" w:fill="FFFFFF"/>
          </w:tcPr>
          <w:p w14:paraId="2DC94B10"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Biodegradability</w:t>
            </w:r>
          </w:p>
        </w:tc>
        <w:tc>
          <w:tcPr>
            <w:tcW w:w="2977" w:type="dxa"/>
            <w:shd w:val="clear" w:color="auto" w:fill="FFFFFF"/>
          </w:tcPr>
          <w:p w14:paraId="1E5178F6" w14:textId="77777777" w:rsidR="009E404F" w:rsidRPr="00B65D57" w:rsidRDefault="009E404F" w:rsidP="00DE498C">
            <w:pPr>
              <w:autoSpaceDE w:val="0"/>
              <w:autoSpaceDN w:val="0"/>
              <w:adjustRightInd w:val="0"/>
              <w:spacing w:line="260" w:lineRule="atLeast"/>
              <w:rPr>
                <w:rFonts w:eastAsia="Calibri"/>
                <w:sz w:val="18"/>
                <w:szCs w:val="18"/>
                <w:lang w:eastAsia="en-GB"/>
              </w:rPr>
            </w:pPr>
            <w:r w:rsidRPr="00B65D57">
              <w:rPr>
                <w:rFonts w:eastAsia="Calibri"/>
                <w:sz w:val="18"/>
                <w:szCs w:val="18"/>
                <w:lang w:eastAsia="en-GB"/>
              </w:rPr>
              <w:t>No</w:t>
            </w:r>
          </w:p>
        </w:tc>
        <w:tc>
          <w:tcPr>
            <w:tcW w:w="1276" w:type="dxa"/>
            <w:shd w:val="clear" w:color="auto" w:fill="FFFFFF"/>
          </w:tcPr>
          <w:p w14:paraId="369A282B"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p>
        </w:tc>
        <w:tc>
          <w:tcPr>
            <w:tcW w:w="2155" w:type="dxa"/>
            <w:shd w:val="clear" w:color="auto" w:fill="FFFFFF"/>
          </w:tcPr>
          <w:p w14:paraId="5303D94E"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47A31AD1" w14:textId="77777777" w:rsidTr="00DE498C">
        <w:trPr>
          <w:trHeight w:val="93"/>
        </w:trPr>
        <w:tc>
          <w:tcPr>
            <w:tcW w:w="2410" w:type="dxa"/>
            <w:shd w:val="clear" w:color="auto" w:fill="FFFFFF"/>
          </w:tcPr>
          <w:p w14:paraId="0371F5FF"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DT</w:t>
            </w:r>
            <w:r w:rsidRPr="00B65D57">
              <w:rPr>
                <w:rFonts w:eastAsia="Calibri" w:cs="Arial"/>
                <w:color w:val="000000"/>
                <w:sz w:val="18"/>
                <w:szCs w:val="18"/>
                <w:vertAlign w:val="subscript"/>
                <w:lang w:eastAsia="en-GB"/>
              </w:rPr>
              <w:t>50</w:t>
            </w:r>
            <w:r w:rsidRPr="00B65D57">
              <w:rPr>
                <w:rFonts w:eastAsia="Calibri" w:cs="Arial"/>
                <w:color w:val="000000"/>
                <w:sz w:val="18"/>
                <w:szCs w:val="18"/>
                <w:lang w:eastAsia="en-GB"/>
              </w:rPr>
              <w:t xml:space="preserve"> for biodegradation in surface water</w:t>
            </w:r>
          </w:p>
        </w:tc>
        <w:tc>
          <w:tcPr>
            <w:tcW w:w="2977" w:type="dxa"/>
            <w:shd w:val="clear" w:color="auto" w:fill="FFFFFF"/>
          </w:tcPr>
          <w:p w14:paraId="45F6FCB8"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Not applicable</w:t>
            </w:r>
          </w:p>
        </w:tc>
        <w:tc>
          <w:tcPr>
            <w:tcW w:w="1276" w:type="dxa"/>
            <w:shd w:val="clear" w:color="auto" w:fill="FFFFFF"/>
          </w:tcPr>
          <w:p w14:paraId="2F4A0AD1"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 or hr (at 12ºC)</w:t>
            </w:r>
          </w:p>
        </w:tc>
        <w:tc>
          <w:tcPr>
            <w:tcW w:w="2155" w:type="dxa"/>
            <w:shd w:val="clear" w:color="auto" w:fill="FFFFFF"/>
          </w:tcPr>
          <w:p w14:paraId="468DC3F3"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62110C27" w14:textId="77777777" w:rsidTr="00DE498C">
        <w:trPr>
          <w:trHeight w:val="93"/>
        </w:trPr>
        <w:tc>
          <w:tcPr>
            <w:tcW w:w="2410" w:type="dxa"/>
            <w:shd w:val="clear" w:color="auto" w:fill="FFFFFF"/>
          </w:tcPr>
          <w:p w14:paraId="5748A01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DT</w:t>
            </w:r>
            <w:r w:rsidRPr="00B65D57">
              <w:rPr>
                <w:rFonts w:eastAsia="Calibri" w:cs="Arial"/>
                <w:color w:val="000000"/>
                <w:sz w:val="18"/>
                <w:szCs w:val="18"/>
                <w:vertAlign w:val="subscript"/>
                <w:lang w:eastAsia="en-GB"/>
              </w:rPr>
              <w:t>50</w:t>
            </w:r>
            <w:r w:rsidRPr="00B65D57">
              <w:rPr>
                <w:rFonts w:eastAsia="Calibri" w:cs="Arial"/>
                <w:color w:val="000000"/>
                <w:sz w:val="18"/>
                <w:szCs w:val="18"/>
                <w:lang w:eastAsia="en-GB"/>
              </w:rPr>
              <w:t xml:space="preserve"> for hydrolysis in surface water</w:t>
            </w:r>
          </w:p>
        </w:tc>
        <w:tc>
          <w:tcPr>
            <w:tcW w:w="2977" w:type="dxa"/>
            <w:shd w:val="clear" w:color="auto" w:fill="FFFFFF"/>
          </w:tcPr>
          <w:p w14:paraId="183255DE"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Hydrolytically stable</w:t>
            </w:r>
          </w:p>
        </w:tc>
        <w:tc>
          <w:tcPr>
            <w:tcW w:w="1276" w:type="dxa"/>
            <w:shd w:val="clear" w:color="auto" w:fill="FFFFFF"/>
          </w:tcPr>
          <w:p w14:paraId="5E14F260"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 xml:space="preserve">d or hr (at 12ºC /pH) </w:t>
            </w:r>
          </w:p>
        </w:tc>
        <w:tc>
          <w:tcPr>
            <w:tcW w:w="2155" w:type="dxa"/>
            <w:shd w:val="clear" w:color="auto" w:fill="FFFFFF"/>
          </w:tcPr>
          <w:p w14:paraId="64A326B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0049801F" w14:textId="77777777" w:rsidTr="00DE498C">
        <w:trPr>
          <w:trHeight w:val="93"/>
        </w:trPr>
        <w:tc>
          <w:tcPr>
            <w:tcW w:w="2410" w:type="dxa"/>
            <w:shd w:val="clear" w:color="auto" w:fill="FFFFFF"/>
          </w:tcPr>
          <w:p w14:paraId="430C0D8F"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DT</w:t>
            </w:r>
            <w:r w:rsidRPr="00B65D57">
              <w:rPr>
                <w:rFonts w:eastAsia="Calibri" w:cs="Arial"/>
                <w:color w:val="000000"/>
                <w:sz w:val="18"/>
                <w:szCs w:val="18"/>
                <w:vertAlign w:val="subscript"/>
                <w:lang w:eastAsia="en-GB"/>
              </w:rPr>
              <w:t>50</w:t>
            </w:r>
            <w:r w:rsidRPr="00B65D57">
              <w:rPr>
                <w:rFonts w:eastAsia="Calibri" w:cs="Arial"/>
                <w:color w:val="000000"/>
                <w:sz w:val="18"/>
                <w:szCs w:val="18"/>
                <w:lang w:eastAsia="en-GB"/>
              </w:rPr>
              <w:t xml:space="preserve"> for photolysis in surface water</w:t>
            </w:r>
          </w:p>
        </w:tc>
        <w:tc>
          <w:tcPr>
            <w:tcW w:w="2977" w:type="dxa"/>
            <w:shd w:val="clear" w:color="auto" w:fill="FFFFFF"/>
          </w:tcPr>
          <w:p w14:paraId="4070F52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Photolytically stable</w:t>
            </w:r>
          </w:p>
        </w:tc>
        <w:tc>
          <w:tcPr>
            <w:tcW w:w="1276" w:type="dxa"/>
            <w:shd w:val="clear" w:color="auto" w:fill="FFFFFF"/>
          </w:tcPr>
          <w:p w14:paraId="487A8B1A"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 or hr</w:t>
            </w:r>
          </w:p>
        </w:tc>
        <w:tc>
          <w:tcPr>
            <w:tcW w:w="2155" w:type="dxa"/>
            <w:shd w:val="clear" w:color="auto" w:fill="FFFFFF"/>
          </w:tcPr>
          <w:p w14:paraId="2037306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7E96BB8C" w14:textId="77777777" w:rsidTr="00DE498C">
        <w:trPr>
          <w:trHeight w:val="93"/>
        </w:trPr>
        <w:tc>
          <w:tcPr>
            <w:tcW w:w="2410" w:type="dxa"/>
            <w:shd w:val="clear" w:color="auto" w:fill="FFFFFF"/>
          </w:tcPr>
          <w:p w14:paraId="1EC4D36B"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DT</w:t>
            </w:r>
            <w:r w:rsidRPr="00B65D57">
              <w:rPr>
                <w:rFonts w:eastAsia="Calibri" w:cs="Arial"/>
                <w:color w:val="000000"/>
                <w:sz w:val="18"/>
                <w:szCs w:val="18"/>
                <w:vertAlign w:val="subscript"/>
                <w:lang w:eastAsia="en-GB"/>
              </w:rPr>
              <w:t>50</w:t>
            </w:r>
            <w:r w:rsidRPr="00B65D57">
              <w:rPr>
                <w:rFonts w:eastAsia="Calibri" w:cs="Arial"/>
                <w:color w:val="000000"/>
                <w:sz w:val="18"/>
                <w:szCs w:val="18"/>
                <w:lang w:eastAsia="en-GB"/>
              </w:rPr>
              <w:t xml:space="preserve"> for degradation in soil</w:t>
            </w:r>
          </w:p>
        </w:tc>
        <w:tc>
          <w:tcPr>
            <w:tcW w:w="2977" w:type="dxa"/>
            <w:shd w:val="clear" w:color="auto" w:fill="FFFFFF"/>
          </w:tcPr>
          <w:p w14:paraId="7FEF8583"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Not applicable</w:t>
            </w:r>
          </w:p>
        </w:tc>
        <w:tc>
          <w:tcPr>
            <w:tcW w:w="1276" w:type="dxa"/>
            <w:shd w:val="clear" w:color="auto" w:fill="FFFFFF"/>
          </w:tcPr>
          <w:p w14:paraId="22E1F26B"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 or hr (at 12ºC)</w:t>
            </w:r>
          </w:p>
        </w:tc>
        <w:tc>
          <w:tcPr>
            <w:tcW w:w="2155" w:type="dxa"/>
            <w:shd w:val="clear" w:color="auto" w:fill="FFFFFF"/>
          </w:tcPr>
          <w:p w14:paraId="511DC83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r w:rsidR="009E404F" w:rsidRPr="00B65D57" w14:paraId="495396D8" w14:textId="77777777" w:rsidTr="00DE498C">
        <w:trPr>
          <w:trHeight w:val="93"/>
        </w:trPr>
        <w:tc>
          <w:tcPr>
            <w:tcW w:w="2410" w:type="dxa"/>
            <w:shd w:val="clear" w:color="auto" w:fill="FFFFFF"/>
          </w:tcPr>
          <w:p w14:paraId="77A5D454"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DT</w:t>
            </w:r>
            <w:r w:rsidRPr="00B65D57">
              <w:rPr>
                <w:rFonts w:eastAsia="Calibri" w:cs="Arial"/>
                <w:color w:val="000000"/>
                <w:sz w:val="18"/>
                <w:szCs w:val="18"/>
                <w:vertAlign w:val="subscript"/>
                <w:lang w:eastAsia="en-GB"/>
              </w:rPr>
              <w:t>50</w:t>
            </w:r>
            <w:r w:rsidRPr="00B65D57">
              <w:rPr>
                <w:rFonts w:eastAsia="Calibri" w:cs="Arial"/>
                <w:color w:val="000000"/>
                <w:sz w:val="18"/>
                <w:szCs w:val="18"/>
                <w:lang w:eastAsia="en-GB"/>
              </w:rPr>
              <w:t xml:space="preserve"> for degradation in air</w:t>
            </w:r>
          </w:p>
        </w:tc>
        <w:tc>
          <w:tcPr>
            <w:tcW w:w="2977" w:type="dxa"/>
            <w:shd w:val="clear" w:color="auto" w:fill="FFFFFF"/>
          </w:tcPr>
          <w:p w14:paraId="2FCF9F11"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Not applicable</w:t>
            </w:r>
          </w:p>
        </w:tc>
        <w:tc>
          <w:tcPr>
            <w:tcW w:w="1276" w:type="dxa"/>
            <w:shd w:val="clear" w:color="auto" w:fill="FFFFFF"/>
          </w:tcPr>
          <w:p w14:paraId="4B160F1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 or hr</w:t>
            </w:r>
          </w:p>
        </w:tc>
        <w:tc>
          <w:tcPr>
            <w:tcW w:w="2155" w:type="dxa"/>
            <w:shd w:val="clear" w:color="auto" w:fill="FFFFFF"/>
          </w:tcPr>
          <w:p w14:paraId="284DBCE0"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Assessment Report Boric acid, 2009</w:t>
            </w:r>
          </w:p>
        </w:tc>
      </w:tr>
    </w:tbl>
    <w:p w14:paraId="26CEC286" w14:textId="77777777" w:rsidR="009E404F" w:rsidRPr="00B65D57" w:rsidRDefault="009E404F" w:rsidP="009E404F">
      <w:pPr>
        <w:spacing w:line="260" w:lineRule="atLeast"/>
        <w:rPr>
          <w:rFonts w:ascii="Times New Roman" w:eastAsia="Calibri" w:hAnsi="Times New Roman"/>
          <w:lang w:eastAsia="en-US"/>
        </w:rPr>
      </w:pPr>
    </w:p>
    <w:p w14:paraId="6509514A" w14:textId="77777777" w:rsidR="009E404F" w:rsidRPr="00B65D57" w:rsidRDefault="009E404F" w:rsidP="009E404F">
      <w:pPr>
        <w:spacing w:line="276" w:lineRule="auto"/>
        <w:rPr>
          <w:rFonts w:eastAsia="Calibri"/>
          <w:lang w:eastAsia="en-US"/>
        </w:rPr>
      </w:pPr>
    </w:p>
    <w:p w14:paraId="31807015" w14:textId="6BE16EE1" w:rsidR="009E404F" w:rsidRPr="00B65D57" w:rsidRDefault="002C23EC" w:rsidP="008F4848">
      <w:pPr>
        <w:pStyle w:val="Rubrik5"/>
        <w:ind w:left="66"/>
        <w:rPr>
          <w:lang w:val="en-GB"/>
        </w:rPr>
      </w:pPr>
      <w:bookmarkStart w:id="1686" w:name="_Toc389729114"/>
      <w:bookmarkStart w:id="1687" w:name="_Toc403472799"/>
      <w:bookmarkEnd w:id="1684"/>
      <w:r w:rsidRPr="00B65D57">
        <w:rPr>
          <w:rFonts w:eastAsia="Calibri"/>
          <w:lang w:val="en-GB" w:eastAsia="en-US"/>
        </w:rPr>
        <w:t xml:space="preserve">2.2.8.2.2 </w:t>
      </w:r>
      <w:r w:rsidR="009E404F" w:rsidRPr="00B65D57">
        <w:rPr>
          <w:lang w:val="en-GB"/>
        </w:rPr>
        <w:t>Emission estimation</w:t>
      </w:r>
      <w:bookmarkEnd w:id="1686"/>
      <w:bookmarkEnd w:id="1687"/>
    </w:p>
    <w:p w14:paraId="27589432" w14:textId="77777777" w:rsidR="009E404F" w:rsidRPr="00B65D57" w:rsidRDefault="009E404F" w:rsidP="009E404F">
      <w:pPr>
        <w:spacing w:line="276" w:lineRule="auto"/>
        <w:rPr>
          <w:rFonts w:eastAsia="Calibri"/>
          <w:lang w:eastAsia="en-US"/>
        </w:rPr>
      </w:pPr>
      <w:r w:rsidRPr="00B65D57">
        <w:rPr>
          <w:rFonts w:eastAsia="Calibri"/>
          <w:lang w:eastAsia="en-US"/>
        </w:rPr>
        <w:t>The modelling procedure together with descriptions of the model, equations used, selection of input parameters, scenarios, terms and conditions, calibration, sensitivity analysis etc</w:t>
      </w:r>
      <w:r w:rsidRPr="00B65D57">
        <w:t xml:space="preserve"> </w:t>
      </w:r>
      <w:r w:rsidRPr="00B65D57">
        <w:rPr>
          <w:rFonts w:eastAsia="Calibri"/>
          <w:lang w:eastAsia="en-US"/>
        </w:rPr>
        <w:t>are described by Joodaki &amp; Vickman (2020) and supplemented by Bermin (2012). In the table below, the input parameters for calculating the fate and distribution in the environment of borates are presented. When choosing input data for the different parameters, generally worst-case values were selected in order to make the calculations sufficiently conservative.</w:t>
      </w:r>
    </w:p>
    <w:p w14:paraId="0C3A0F58" w14:textId="77777777" w:rsidR="009E404F" w:rsidRPr="00B65D57" w:rsidRDefault="009E404F" w:rsidP="009E404F">
      <w:pPr>
        <w:spacing w:line="260" w:lineRule="atLeast"/>
        <w:rPr>
          <w:rFonts w:eastAsia="Calibri"/>
          <w:sz w:val="18"/>
          <w:szCs w:val="18"/>
          <w:lang w:eastAsia="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693"/>
        <w:gridCol w:w="1276"/>
        <w:gridCol w:w="3544"/>
      </w:tblGrid>
      <w:tr w:rsidR="009E404F" w:rsidRPr="00B65D57" w14:paraId="73645F22" w14:textId="77777777" w:rsidTr="00DE498C">
        <w:trPr>
          <w:trHeight w:val="313"/>
        </w:trPr>
        <w:tc>
          <w:tcPr>
            <w:tcW w:w="9923" w:type="dxa"/>
            <w:gridSpan w:val="4"/>
            <w:shd w:val="clear" w:color="auto" w:fill="FFFFCC"/>
            <w:vAlign w:val="center"/>
          </w:tcPr>
          <w:p w14:paraId="2A6B59E5"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Input parameters for calculating the fate and distribution in the environment of borates</w:t>
            </w:r>
          </w:p>
        </w:tc>
      </w:tr>
      <w:tr w:rsidR="009E404F" w:rsidRPr="00B65D57" w14:paraId="57125A93" w14:textId="77777777" w:rsidTr="00DE498C">
        <w:trPr>
          <w:trHeight w:val="313"/>
        </w:trPr>
        <w:tc>
          <w:tcPr>
            <w:tcW w:w="2410" w:type="dxa"/>
            <w:shd w:val="clear" w:color="auto" w:fill="FFFFCC"/>
            <w:vAlign w:val="center"/>
          </w:tcPr>
          <w:p w14:paraId="6CA29D5A"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bookmarkStart w:id="1688" w:name="_Hlk9866762"/>
            <w:r w:rsidRPr="00B65D57">
              <w:rPr>
                <w:rFonts w:eastAsia="Calibri" w:cs="Arial"/>
                <w:b/>
                <w:color w:val="000000"/>
                <w:sz w:val="18"/>
                <w:szCs w:val="18"/>
                <w:lang w:eastAsia="en-GB"/>
              </w:rPr>
              <w:t>Input</w:t>
            </w:r>
          </w:p>
        </w:tc>
        <w:tc>
          <w:tcPr>
            <w:tcW w:w="2693" w:type="dxa"/>
            <w:shd w:val="clear" w:color="auto" w:fill="FFFFCC"/>
            <w:vAlign w:val="center"/>
          </w:tcPr>
          <w:p w14:paraId="357B653B"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Value</w:t>
            </w:r>
          </w:p>
        </w:tc>
        <w:tc>
          <w:tcPr>
            <w:tcW w:w="1276" w:type="dxa"/>
            <w:shd w:val="clear" w:color="auto" w:fill="FFFFCC"/>
            <w:vAlign w:val="center"/>
          </w:tcPr>
          <w:p w14:paraId="59E752B0"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Unit</w:t>
            </w:r>
          </w:p>
        </w:tc>
        <w:tc>
          <w:tcPr>
            <w:tcW w:w="3544" w:type="dxa"/>
            <w:shd w:val="clear" w:color="auto" w:fill="FFFFCC"/>
            <w:vAlign w:val="center"/>
          </w:tcPr>
          <w:p w14:paraId="1A5C0401" w14:textId="77777777" w:rsidR="009E404F" w:rsidRPr="00B65D57" w:rsidRDefault="009E404F" w:rsidP="00DE498C">
            <w:pPr>
              <w:autoSpaceDE w:val="0"/>
              <w:autoSpaceDN w:val="0"/>
              <w:adjustRightInd w:val="0"/>
              <w:spacing w:line="260" w:lineRule="atLeast"/>
              <w:jc w:val="center"/>
              <w:rPr>
                <w:rFonts w:eastAsia="Calibri" w:cs="Arial"/>
                <w:b/>
                <w:color w:val="000000"/>
                <w:sz w:val="18"/>
                <w:szCs w:val="18"/>
                <w:lang w:eastAsia="en-GB"/>
              </w:rPr>
            </w:pPr>
            <w:r w:rsidRPr="00B65D57">
              <w:rPr>
                <w:rFonts w:eastAsia="Calibri" w:cs="Arial"/>
                <w:b/>
                <w:color w:val="000000"/>
                <w:sz w:val="18"/>
                <w:szCs w:val="18"/>
                <w:lang w:eastAsia="en-GB"/>
              </w:rPr>
              <w:t>Remarks</w:t>
            </w:r>
          </w:p>
        </w:tc>
      </w:tr>
      <w:tr w:rsidR="009E404F" w:rsidRPr="00B65D57" w14:paraId="0FA23CB5" w14:textId="77777777" w:rsidTr="00DE498C">
        <w:trPr>
          <w:trHeight w:val="93"/>
        </w:trPr>
        <w:tc>
          <w:tcPr>
            <w:tcW w:w="2410" w:type="dxa"/>
            <w:shd w:val="clear" w:color="auto" w:fill="FFFFFF"/>
          </w:tcPr>
          <w:p w14:paraId="7629ACCA"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Application rate (IC, initial concentration)</w:t>
            </w:r>
          </w:p>
        </w:tc>
        <w:tc>
          <w:tcPr>
            <w:tcW w:w="2693" w:type="dxa"/>
            <w:shd w:val="clear" w:color="auto" w:fill="FFFFFF"/>
          </w:tcPr>
          <w:p w14:paraId="37D6B719"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89 500</w:t>
            </w:r>
            <w:r w:rsidRPr="00EF36C6">
              <w:rPr>
                <w:sz w:val="18"/>
                <w:szCs w:val="18"/>
                <w:highlight w:val="black"/>
              </w:rPr>
              <w:t xml:space="preserve"> </w:t>
            </w:r>
            <w:r w:rsidRPr="00EF36C6">
              <w:rPr>
                <w:rFonts w:eastAsia="Calibri" w:cs="Arial"/>
                <w:color w:val="000000"/>
                <w:sz w:val="18"/>
                <w:szCs w:val="18"/>
                <w:highlight w:val="black"/>
                <w:lang w:eastAsia="en-GB"/>
              </w:rPr>
              <w:t>mg BAE/L (1B, 2B)</w:t>
            </w:r>
          </w:p>
          <w:p w14:paraId="433AFB58"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19 200 mg BAE/L (1K)</w:t>
            </w:r>
          </w:p>
        </w:tc>
        <w:tc>
          <w:tcPr>
            <w:tcW w:w="1276" w:type="dxa"/>
            <w:shd w:val="clear" w:color="auto" w:fill="FFFFFF"/>
          </w:tcPr>
          <w:p w14:paraId="48C940D3"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mg BAE/L</w:t>
            </w:r>
          </w:p>
        </w:tc>
        <w:tc>
          <w:tcPr>
            <w:tcW w:w="3544" w:type="dxa"/>
            <w:shd w:val="clear" w:color="auto" w:fill="FFFFFF"/>
          </w:tcPr>
          <w:p w14:paraId="6BC8C108" w14:textId="77777777" w:rsidR="009E404F" w:rsidRPr="00B65D57" w:rsidRDefault="009E404F" w:rsidP="00DE498C">
            <w:pPr>
              <w:autoSpaceDE w:val="0"/>
              <w:autoSpaceDN w:val="0"/>
              <w:adjustRightInd w:val="0"/>
              <w:spacing w:line="260" w:lineRule="atLeast"/>
              <w:rPr>
                <w:rFonts w:eastAsia="Calibri" w:cs="Arial"/>
                <w:color w:val="000000"/>
                <w:sz w:val="18"/>
                <w:szCs w:val="18"/>
                <w:highlight w:val="yellow"/>
                <w:lang w:eastAsia="en-GB"/>
              </w:rPr>
            </w:pPr>
            <w:r w:rsidRPr="00B65D57">
              <w:rPr>
                <w:rFonts w:eastAsia="Calibri" w:cs="Arial"/>
                <w:color w:val="000000"/>
                <w:sz w:val="18"/>
                <w:szCs w:val="18"/>
                <w:lang w:eastAsia="en-GB"/>
              </w:rPr>
              <w:t>Before treatment, the estimated dose is set to between 5-12 kg BAE/m</w:t>
            </w:r>
            <w:r w:rsidRPr="00B65D57">
              <w:rPr>
                <w:rFonts w:eastAsia="Calibri" w:cs="Arial"/>
                <w:color w:val="000000"/>
                <w:sz w:val="18"/>
                <w:szCs w:val="18"/>
                <w:vertAlign w:val="superscript"/>
                <w:lang w:eastAsia="en-GB"/>
              </w:rPr>
              <w:t>3</w:t>
            </w:r>
            <w:r w:rsidRPr="00B65D57">
              <w:rPr>
                <w:rFonts w:eastAsia="Calibri" w:cs="Arial"/>
                <w:color w:val="000000"/>
                <w:sz w:val="18"/>
                <w:szCs w:val="18"/>
                <w:lang w:eastAsia="en-GB"/>
              </w:rPr>
              <w:t>. However, the final dose (i.e the applied dose) is determined during treatment. Normally the applied dose is consistent with the estimated dose for a complete treatment but will differ some within different parts of the foundation.</w:t>
            </w:r>
          </w:p>
        </w:tc>
      </w:tr>
      <w:tr w:rsidR="009E404F" w:rsidRPr="00B65D57" w14:paraId="5906FE28" w14:textId="77777777" w:rsidTr="00DE498C">
        <w:trPr>
          <w:trHeight w:val="93"/>
        </w:trPr>
        <w:tc>
          <w:tcPr>
            <w:tcW w:w="2410" w:type="dxa"/>
            <w:shd w:val="clear" w:color="auto" w:fill="FFFFFF"/>
            <w:vAlign w:val="center"/>
          </w:tcPr>
          <w:p w14:paraId="5DFF955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Background concentration of borates in groundwater</w:t>
            </w:r>
          </w:p>
        </w:tc>
        <w:tc>
          <w:tcPr>
            <w:tcW w:w="2693" w:type="dxa"/>
            <w:shd w:val="clear" w:color="auto" w:fill="FFFFFF"/>
          </w:tcPr>
          <w:p w14:paraId="3110FD2D"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5 mg BAE/L</w:t>
            </w:r>
          </w:p>
        </w:tc>
        <w:tc>
          <w:tcPr>
            <w:tcW w:w="1276" w:type="dxa"/>
            <w:shd w:val="clear" w:color="auto" w:fill="FFFFFF"/>
          </w:tcPr>
          <w:p w14:paraId="73CD87A1"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mg BAE/L</w:t>
            </w:r>
          </w:p>
        </w:tc>
        <w:tc>
          <w:tcPr>
            <w:tcW w:w="3544" w:type="dxa"/>
            <w:shd w:val="clear" w:color="auto" w:fill="FFFFFF"/>
          </w:tcPr>
          <w:p w14:paraId="2ED914F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Based on urban background levels in groundwater (Vickman &amp; Nilsson</w:t>
            </w:r>
            <w:r w:rsidRPr="00B65D57">
              <w:rPr>
                <w:rStyle w:val="Kommentarsreferens"/>
              </w:rPr>
              <w:t xml:space="preserve">, </w:t>
            </w:r>
            <w:r w:rsidRPr="00B65D57">
              <w:rPr>
                <w:rFonts w:eastAsia="Calibri" w:cs="Arial"/>
                <w:color w:val="000000"/>
                <w:sz w:val="18"/>
                <w:szCs w:val="18"/>
                <w:lang w:eastAsia="en-GB"/>
              </w:rPr>
              <w:t>2011).</w:t>
            </w:r>
          </w:p>
        </w:tc>
      </w:tr>
      <w:tr w:rsidR="009E404F" w:rsidRPr="00B65D57" w14:paraId="3234179F" w14:textId="77777777" w:rsidTr="00DE498C">
        <w:trPr>
          <w:trHeight w:val="93"/>
        </w:trPr>
        <w:tc>
          <w:tcPr>
            <w:tcW w:w="2410" w:type="dxa"/>
            <w:shd w:val="clear" w:color="auto" w:fill="FFFFFF"/>
            <w:vAlign w:val="center"/>
          </w:tcPr>
          <w:p w14:paraId="7C5132F9"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RC (recharge concentration)</w:t>
            </w:r>
          </w:p>
        </w:tc>
        <w:tc>
          <w:tcPr>
            <w:tcW w:w="2693" w:type="dxa"/>
            <w:shd w:val="clear" w:color="auto" w:fill="FFFFFF"/>
          </w:tcPr>
          <w:p w14:paraId="521D709E"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5 mg BAE/L</w:t>
            </w:r>
          </w:p>
        </w:tc>
        <w:tc>
          <w:tcPr>
            <w:tcW w:w="1276" w:type="dxa"/>
            <w:shd w:val="clear" w:color="auto" w:fill="FFFFFF"/>
          </w:tcPr>
          <w:p w14:paraId="4E764878"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mg BAE/L</w:t>
            </w:r>
          </w:p>
        </w:tc>
        <w:tc>
          <w:tcPr>
            <w:tcW w:w="3544" w:type="dxa"/>
            <w:shd w:val="clear" w:color="auto" w:fill="FFFFFF"/>
          </w:tcPr>
          <w:p w14:paraId="2AC7131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Concentration in the precipitation added to the model</w:t>
            </w:r>
          </w:p>
        </w:tc>
      </w:tr>
      <w:tr w:rsidR="009E404F" w:rsidRPr="00B65D57" w14:paraId="1843E4BA" w14:textId="77777777" w:rsidTr="00DE498C">
        <w:trPr>
          <w:trHeight w:val="93"/>
        </w:trPr>
        <w:tc>
          <w:tcPr>
            <w:tcW w:w="2410" w:type="dxa"/>
            <w:shd w:val="clear" w:color="auto" w:fill="FFFFFF"/>
          </w:tcPr>
          <w:p w14:paraId="137B066E" w14:textId="77777777" w:rsidR="009E404F" w:rsidRPr="00B65D57" w:rsidRDefault="009E404F" w:rsidP="00DE498C">
            <w:pPr>
              <w:autoSpaceDE w:val="0"/>
              <w:autoSpaceDN w:val="0"/>
              <w:adjustRightInd w:val="0"/>
              <w:spacing w:line="260" w:lineRule="atLeast"/>
              <w:rPr>
                <w:rFonts w:eastAsia="Calibri" w:cs="Arial"/>
                <w:color w:val="000000"/>
                <w:sz w:val="18"/>
                <w:szCs w:val="18"/>
                <w:highlight w:val="yellow"/>
                <w:lang w:eastAsia="en-GB"/>
              </w:rPr>
            </w:pPr>
            <w:r w:rsidRPr="00B65D57">
              <w:rPr>
                <w:rFonts w:eastAsia="Calibri" w:cs="Arial"/>
                <w:color w:val="000000"/>
                <w:sz w:val="18"/>
                <w:szCs w:val="18"/>
                <w:lang w:eastAsia="en-GB"/>
              </w:rPr>
              <w:t>Groundwater formation</w:t>
            </w:r>
          </w:p>
        </w:tc>
        <w:tc>
          <w:tcPr>
            <w:tcW w:w="2693" w:type="dxa"/>
            <w:shd w:val="clear" w:color="auto" w:fill="FFFFFF"/>
          </w:tcPr>
          <w:p w14:paraId="71B2715D"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200 mm/year</w:t>
            </w:r>
          </w:p>
        </w:tc>
        <w:tc>
          <w:tcPr>
            <w:tcW w:w="1276" w:type="dxa"/>
            <w:shd w:val="clear" w:color="auto" w:fill="FFFFFF"/>
          </w:tcPr>
          <w:p w14:paraId="65B400F5"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mm/year</w:t>
            </w:r>
          </w:p>
        </w:tc>
        <w:tc>
          <w:tcPr>
            <w:tcW w:w="3544" w:type="dxa"/>
            <w:shd w:val="clear" w:color="auto" w:fill="FFFFFF"/>
          </w:tcPr>
          <w:p w14:paraId="4595A0BA" w14:textId="77777777" w:rsidR="009E404F" w:rsidRPr="00B65D57" w:rsidRDefault="009E404F" w:rsidP="00DE498C">
            <w:pPr>
              <w:rPr>
                <w:rFonts w:eastAsia="Calibri" w:cs="Arial"/>
                <w:color w:val="000000"/>
                <w:sz w:val="18"/>
                <w:szCs w:val="18"/>
                <w:lang w:eastAsia="en-GB"/>
              </w:rPr>
            </w:pPr>
            <w:r w:rsidRPr="00B65D57">
              <w:rPr>
                <w:rFonts w:eastAsia="Calibri" w:cs="Arial"/>
                <w:color w:val="000000"/>
                <w:sz w:val="18"/>
                <w:szCs w:val="18"/>
                <w:lang w:eastAsia="en-GB"/>
              </w:rPr>
              <w:t>Based on literature data for groundwater formation in different types of Swedish soils (Rodhe et al., 2006).</w:t>
            </w:r>
          </w:p>
        </w:tc>
      </w:tr>
      <w:tr w:rsidR="009E404F" w:rsidRPr="00B65D57" w14:paraId="4A84CE15" w14:textId="77777777" w:rsidTr="00DE498C">
        <w:trPr>
          <w:trHeight w:val="93"/>
        </w:trPr>
        <w:tc>
          <w:tcPr>
            <w:tcW w:w="2410" w:type="dxa"/>
            <w:shd w:val="clear" w:color="auto" w:fill="FFFFFF"/>
          </w:tcPr>
          <w:p w14:paraId="7FAA6F49"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Dry density of soil</w:t>
            </w:r>
          </w:p>
        </w:tc>
        <w:tc>
          <w:tcPr>
            <w:tcW w:w="2693" w:type="dxa"/>
            <w:shd w:val="clear" w:color="auto" w:fill="FFFFFF"/>
          </w:tcPr>
          <w:p w14:paraId="487C3ACE"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1600 kg/m</w:t>
            </w:r>
            <w:r w:rsidRPr="00EF36C6">
              <w:rPr>
                <w:rFonts w:eastAsia="Calibri" w:cs="Arial"/>
                <w:color w:val="000000"/>
                <w:sz w:val="18"/>
                <w:szCs w:val="18"/>
                <w:highlight w:val="black"/>
                <w:vertAlign w:val="superscript"/>
                <w:lang w:eastAsia="en-GB"/>
              </w:rPr>
              <w:t>3</w:t>
            </w:r>
          </w:p>
        </w:tc>
        <w:tc>
          <w:tcPr>
            <w:tcW w:w="1276" w:type="dxa"/>
            <w:shd w:val="clear" w:color="auto" w:fill="FFFFFF"/>
          </w:tcPr>
          <w:p w14:paraId="60E8D144"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kg/m</w:t>
            </w:r>
            <w:r w:rsidRPr="00B65D57">
              <w:rPr>
                <w:rFonts w:eastAsia="Calibri" w:cs="Arial"/>
                <w:color w:val="000000"/>
                <w:sz w:val="18"/>
                <w:szCs w:val="18"/>
                <w:vertAlign w:val="superscript"/>
                <w:lang w:eastAsia="en-GB"/>
              </w:rPr>
              <w:t>3</w:t>
            </w:r>
          </w:p>
        </w:tc>
        <w:tc>
          <w:tcPr>
            <w:tcW w:w="3544" w:type="dxa"/>
            <w:shd w:val="clear" w:color="auto" w:fill="FFFFFF"/>
          </w:tcPr>
          <w:p w14:paraId="5EB11523"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 xml:space="preserve">Based on literature data on the grain density of most soils (USDA, 2008; </w:t>
            </w:r>
            <w:bookmarkStart w:id="1689" w:name="_Hlk108015786"/>
            <w:r w:rsidRPr="00B65D57">
              <w:rPr>
                <w:rFonts w:eastAsia="Calibri" w:cs="Arial"/>
                <w:color w:val="000000"/>
                <w:sz w:val="18"/>
                <w:szCs w:val="18"/>
                <w:lang w:eastAsia="en-GB"/>
              </w:rPr>
              <w:t>Larsson</w:t>
            </w:r>
            <w:bookmarkEnd w:id="1689"/>
            <w:r w:rsidRPr="00B65D57">
              <w:rPr>
                <w:rFonts w:eastAsia="Calibri" w:cs="Arial"/>
                <w:color w:val="000000"/>
                <w:sz w:val="18"/>
                <w:szCs w:val="18"/>
                <w:lang w:eastAsia="en-GB"/>
              </w:rPr>
              <w:t>, 2008).</w:t>
            </w:r>
          </w:p>
        </w:tc>
      </w:tr>
      <w:tr w:rsidR="009E404F" w:rsidRPr="00B65D57" w14:paraId="7C77A1D4" w14:textId="77777777" w:rsidTr="00DE498C">
        <w:trPr>
          <w:trHeight w:val="93"/>
        </w:trPr>
        <w:tc>
          <w:tcPr>
            <w:tcW w:w="2410" w:type="dxa"/>
            <w:shd w:val="clear" w:color="auto" w:fill="FFFFFF"/>
          </w:tcPr>
          <w:p w14:paraId="63E2EAD2"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 xml:space="preserve">Molecular diffusion for boron </w:t>
            </w:r>
          </w:p>
        </w:tc>
        <w:tc>
          <w:tcPr>
            <w:tcW w:w="2693" w:type="dxa"/>
            <w:shd w:val="clear" w:color="auto" w:fill="FFFFFF"/>
          </w:tcPr>
          <w:p w14:paraId="13576969"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5 × 10</w:t>
            </w:r>
            <w:r w:rsidRPr="00EF36C6">
              <w:rPr>
                <w:rFonts w:eastAsia="Calibri" w:cs="Arial"/>
                <w:color w:val="000000"/>
                <w:sz w:val="18"/>
                <w:szCs w:val="18"/>
                <w:highlight w:val="black"/>
                <w:vertAlign w:val="superscript"/>
                <w:lang w:eastAsia="en-GB"/>
              </w:rPr>
              <w:t>-10</w:t>
            </w:r>
            <w:r w:rsidRPr="00EF36C6">
              <w:rPr>
                <w:rFonts w:eastAsia="Calibri" w:cs="Arial"/>
                <w:color w:val="000000"/>
                <w:sz w:val="18"/>
                <w:szCs w:val="18"/>
                <w:highlight w:val="black"/>
                <w:lang w:eastAsia="en-GB"/>
              </w:rPr>
              <w:t xml:space="preserve"> m</w:t>
            </w:r>
            <w:r w:rsidRPr="00EF36C6">
              <w:rPr>
                <w:rFonts w:eastAsia="Calibri" w:cs="Arial"/>
                <w:color w:val="000000"/>
                <w:sz w:val="18"/>
                <w:szCs w:val="18"/>
                <w:highlight w:val="black"/>
                <w:vertAlign w:val="superscript"/>
                <w:lang w:eastAsia="en-GB"/>
              </w:rPr>
              <w:t>2</w:t>
            </w:r>
            <w:r w:rsidRPr="00EF36C6">
              <w:rPr>
                <w:rFonts w:eastAsia="Calibri" w:cs="Arial"/>
                <w:color w:val="000000"/>
                <w:sz w:val="18"/>
                <w:szCs w:val="18"/>
                <w:highlight w:val="black"/>
                <w:lang w:eastAsia="en-GB"/>
              </w:rPr>
              <w:t>/s</w:t>
            </w:r>
          </w:p>
        </w:tc>
        <w:tc>
          <w:tcPr>
            <w:tcW w:w="1276" w:type="dxa"/>
            <w:shd w:val="clear" w:color="auto" w:fill="FFFFFF"/>
          </w:tcPr>
          <w:p w14:paraId="1B73A2EF"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w:t>
            </w:r>
            <w:r w:rsidRPr="00B65D57">
              <w:rPr>
                <w:rFonts w:eastAsia="Calibri" w:cs="Arial"/>
                <w:color w:val="000000"/>
                <w:sz w:val="18"/>
                <w:szCs w:val="18"/>
                <w:vertAlign w:val="superscript"/>
                <w:lang w:eastAsia="en-GB"/>
              </w:rPr>
              <w:t>2</w:t>
            </w:r>
            <w:r w:rsidRPr="00B65D57">
              <w:rPr>
                <w:rFonts w:eastAsia="Calibri" w:cs="Arial"/>
                <w:color w:val="000000"/>
                <w:sz w:val="18"/>
                <w:szCs w:val="18"/>
                <w:lang w:eastAsia="en-GB"/>
              </w:rPr>
              <w:t>/s</w:t>
            </w:r>
          </w:p>
        </w:tc>
        <w:tc>
          <w:tcPr>
            <w:tcW w:w="3544" w:type="dxa"/>
            <w:shd w:val="clear" w:color="auto" w:fill="FFFFFF"/>
          </w:tcPr>
          <w:p w14:paraId="3E3E70BC"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No value of molecular diffusion of boron has been found in literature. The value of 5 × 10</w:t>
            </w:r>
            <w:r w:rsidRPr="00B65D57">
              <w:rPr>
                <w:rFonts w:eastAsia="Calibri" w:cs="Arial"/>
                <w:color w:val="000000"/>
                <w:sz w:val="18"/>
                <w:szCs w:val="18"/>
                <w:vertAlign w:val="superscript"/>
                <w:lang w:eastAsia="en-GB"/>
              </w:rPr>
              <w:t>-10</w:t>
            </w:r>
            <w:r w:rsidRPr="00B65D57">
              <w:rPr>
                <w:rFonts w:eastAsia="Calibri" w:cs="Arial"/>
                <w:color w:val="000000"/>
                <w:sz w:val="18"/>
                <w:szCs w:val="18"/>
                <w:lang w:eastAsia="en-GB"/>
              </w:rPr>
              <w:t xml:space="preserve"> m</w:t>
            </w:r>
            <w:r w:rsidRPr="00B65D57">
              <w:rPr>
                <w:rFonts w:eastAsia="Calibri" w:cs="Arial"/>
                <w:color w:val="000000"/>
                <w:sz w:val="18"/>
                <w:szCs w:val="18"/>
                <w:vertAlign w:val="superscript"/>
                <w:lang w:eastAsia="en-GB"/>
              </w:rPr>
              <w:t>2</w:t>
            </w:r>
            <w:r w:rsidRPr="00B65D57">
              <w:rPr>
                <w:rFonts w:eastAsia="Calibri" w:cs="Arial"/>
                <w:color w:val="000000"/>
                <w:sz w:val="18"/>
                <w:szCs w:val="18"/>
                <w:lang w:eastAsia="en-GB"/>
              </w:rPr>
              <w:t>/s which is used in the modelling corresponds to the diffusion of water in clay (</w:t>
            </w:r>
            <w:bookmarkStart w:id="1690" w:name="_Hlk11140260"/>
            <w:r w:rsidRPr="00B65D57">
              <w:rPr>
                <w:rFonts w:eastAsia="Calibri" w:cs="Arial"/>
                <w:color w:val="000000"/>
                <w:sz w:val="18"/>
                <w:szCs w:val="18"/>
                <w:lang w:eastAsia="en-GB"/>
              </w:rPr>
              <w:t>Couch et al., 1968</w:t>
            </w:r>
            <w:bookmarkEnd w:id="1690"/>
            <w:r w:rsidRPr="00B65D57">
              <w:rPr>
                <w:rFonts w:eastAsia="Calibri" w:cs="Arial"/>
                <w:color w:val="000000"/>
                <w:sz w:val="18"/>
                <w:szCs w:val="18"/>
                <w:lang w:eastAsia="en-GB"/>
              </w:rPr>
              <w:t>). This value overestimates the diffusion.</w:t>
            </w:r>
          </w:p>
        </w:tc>
      </w:tr>
      <w:tr w:rsidR="009E404F" w:rsidRPr="00B65D57" w14:paraId="5758AF2C" w14:textId="77777777" w:rsidTr="00DE498C">
        <w:trPr>
          <w:trHeight w:val="93"/>
        </w:trPr>
        <w:tc>
          <w:tcPr>
            <w:tcW w:w="2410" w:type="dxa"/>
            <w:shd w:val="clear" w:color="auto" w:fill="FFFFFF"/>
          </w:tcPr>
          <w:p w14:paraId="14883170"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Horizontal hydraulic conductivity (K</w:t>
            </w:r>
            <w:r w:rsidRPr="00B65D57">
              <w:rPr>
                <w:rFonts w:eastAsia="Calibri" w:cs="Arial"/>
                <w:color w:val="000000"/>
                <w:sz w:val="18"/>
                <w:szCs w:val="18"/>
                <w:vertAlign w:val="subscript"/>
                <w:lang w:eastAsia="en-GB"/>
              </w:rPr>
              <w:t>xy</w:t>
            </w:r>
            <w:r w:rsidRPr="00B65D57">
              <w:rPr>
                <w:rFonts w:eastAsia="Calibri" w:cs="Arial"/>
                <w:color w:val="000000"/>
                <w:sz w:val="18"/>
                <w:szCs w:val="18"/>
                <w:lang w:eastAsia="en-GB"/>
              </w:rPr>
              <w:t>)</w:t>
            </w:r>
          </w:p>
          <w:p w14:paraId="47DD4D0F"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p>
        </w:tc>
        <w:tc>
          <w:tcPr>
            <w:tcW w:w="2693" w:type="dxa"/>
            <w:shd w:val="clear" w:color="auto" w:fill="FFFFFF"/>
          </w:tcPr>
          <w:p w14:paraId="0FE21B35"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sz w:val="18"/>
                <w:szCs w:val="18"/>
                <w:highlight w:val="black"/>
                <w:lang w:eastAsia="en-US"/>
              </w:rPr>
              <w:t>1 × 10</w:t>
            </w:r>
            <w:r w:rsidRPr="00EF36C6">
              <w:rPr>
                <w:sz w:val="18"/>
                <w:szCs w:val="18"/>
                <w:highlight w:val="black"/>
                <w:vertAlign w:val="superscript"/>
                <w:lang w:eastAsia="en-US"/>
              </w:rPr>
              <w:t>-10</w:t>
            </w:r>
            <w:r w:rsidRPr="00EF36C6">
              <w:rPr>
                <w:sz w:val="18"/>
                <w:szCs w:val="18"/>
                <w:highlight w:val="black"/>
                <w:lang w:eastAsia="en-US"/>
              </w:rPr>
              <w:t xml:space="preserve"> - 1 × 10</w:t>
            </w:r>
            <w:r w:rsidRPr="00EF36C6">
              <w:rPr>
                <w:sz w:val="18"/>
                <w:szCs w:val="18"/>
                <w:highlight w:val="black"/>
                <w:vertAlign w:val="superscript"/>
                <w:lang w:eastAsia="en-US"/>
              </w:rPr>
              <w:t>-4</w:t>
            </w:r>
            <w:r w:rsidRPr="00EF36C6">
              <w:rPr>
                <w:sz w:val="18"/>
                <w:szCs w:val="18"/>
                <w:highlight w:val="black"/>
                <w:lang w:eastAsia="en-US"/>
              </w:rPr>
              <w:t xml:space="preserve"> m/s</w:t>
            </w:r>
          </w:p>
        </w:tc>
        <w:tc>
          <w:tcPr>
            <w:tcW w:w="1276" w:type="dxa"/>
            <w:shd w:val="clear" w:color="auto" w:fill="FFFFFF"/>
          </w:tcPr>
          <w:p w14:paraId="703A832A"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m/s</w:t>
            </w:r>
          </w:p>
        </w:tc>
        <w:tc>
          <w:tcPr>
            <w:tcW w:w="3544" w:type="dxa"/>
            <w:shd w:val="clear" w:color="auto" w:fill="FFFFFF"/>
          </w:tcPr>
          <w:p w14:paraId="0FC6C3F8" w14:textId="291B9325"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Based on results from slu</w:t>
            </w:r>
            <w:r w:rsidR="004C72AB" w:rsidRPr="00B65D57">
              <w:rPr>
                <w:rFonts w:eastAsia="Calibri" w:cs="Arial"/>
                <w:color w:val="000000"/>
                <w:sz w:val="18"/>
                <w:szCs w:val="18"/>
                <w:lang w:eastAsia="en-GB"/>
              </w:rPr>
              <w:t>d</w:t>
            </w:r>
            <w:r w:rsidRPr="00B65D57">
              <w:rPr>
                <w:rFonts w:eastAsia="Calibri" w:cs="Arial"/>
                <w:color w:val="000000"/>
                <w:sz w:val="18"/>
                <w:szCs w:val="18"/>
                <w:lang w:eastAsia="en-GB"/>
              </w:rPr>
              <w:t>g</w:t>
            </w:r>
            <w:r w:rsidR="004C72AB" w:rsidRPr="00B65D57">
              <w:rPr>
                <w:rFonts w:eastAsia="Calibri" w:cs="Arial"/>
                <w:color w:val="000000"/>
                <w:sz w:val="18"/>
                <w:szCs w:val="18"/>
                <w:lang w:eastAsia="en-GB"/>
              </w:rPr>
              <w:t>e</w:t>
            </w:r>
            <w:r w:rsidRPr="00B65D57">
              <w:rPr>
                <w:rFonts w:eastAsia="Calibri" w:cs="Arial"/>
                <w:color w:val="000000"/>
                <w:sz w:val="18"/>
                <w:szCs w:val="18"/>
                <w:lang w:eastAsia="en-GB"/>
              </w:rPr>
              <w:t xml:space="preserve"> tests (Vickman &amp; Valtersson, 2011), literature data (Fetter, 2001; Kresic, 2007) and an experience-based assessment.</w:t>
            </w:r>
            <w:r w:rsidRPr="00B65D57">
              <w:rPr>
                <w:sz w:val="18"/>
                <w:szCs w:val="18"/>
              </w:rPr>
              <w:t xml:space="preserve"> </w:t>
            </w:r>
            <w:r w:rsidRPr="00B65D57">
              <w:rPr>
                <w:rFonts w:eastAsia="Calibri" w:cs="Arial"/>
                <w:color w:val="000000"/>
                <w:sz w:val="18"/>
                <w:szCs w:val="18"/>
                <w:lang w:eastAsia="en-GB"/>
              </w:rPr>
              <w:t>The interval refers to the lowest and highest hydraulic conductivity value in different layers of the soil.</w:t>
            </w:r>
          </w:p>
        </w:tc>
      </w:tr>
      <w:tr w:rsidR="009E404F" w:rsidRPr="00B65D57" w14:paraId="0506AA65" w14:textId="77777777" w:rsidTr="00DE498C">
        <w:trPr>
          <w:trHeight w:val="93"/>
        </w:trPr>
        <w:tc>
          <w:tcPr>
            <w:tcW w:w="2410" w:type="dxa"/>
            <w:shd w:val="clear" w:color="auto" w:fill="FFFFFF"/>
          </w:tcPr>
          <w:p w14:paraId="0045200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lastRenderedPageBreak/>
              <w:t>Vertical hydraulic conductivity (K</w:t>
            </w:r>
            <w:r w:rsidRPr="00B65D57">
              <w:rPr>
                <w:rFonts w:eastAsia="Calibri" w:cs="Arial"/>
                <w:color w:val="000000"/>
                <w:sz w:val="18"/>
                <w:szCs w:val="18"/>
                <w:vertAlign w:val="subscript"/>
                <w:lang w:eastAsia="en-GB"/>
              </w:rPr>
              <w:t>z</w:t>
            </w:r>
            <w:r w:rsidRPr="00B65D57">
              <w:rPr>
                <w:rFonts w:eastAsia="Calibri" w:cs="Arial"/>
                <w:color w:val="000000"/>
                <w:sz w:val="18"/>
                <w:szCs w:val="18"/>
                <w:lang w:eastAsia="en-GB"/>
              </w:rPr>
              <w:t>)</w:t>
            </w:r>
          </w:p>
          <w:p w14:paraId="76EA5560"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p>
        </w:tc>
        <w:tc>
          <w:tcPr>
            <w:tcW w:w="2693" w:type="dxa"/>
            <w:shd w:val="clear" w:color="auto" w:fill="FFFFFF"/>
          </w:tcPr>
          <w:p w14:paraId="16DA43DB"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1 × 10</w:t>
            </w:r>
            <w:r w:rsidRPr="00EF36C6">
              <w:rPr>
                <w:rFonts w:eastAsia="Calibri" w:cs="Arial"/>
                <w:color w:val="000000"/>
                <w:sz w:val="18"/>
                <w:szCs w:val="18"/>
                <w:highlight w:val="black"/>
                <w:vertAlign w:val="superscript"/>
                <w:lang w:eastAsia="en-GB"/>
              </w:rPr>
              <w:t>-10</w:t>
            </w:r>
            <w:r w:rsidRPr="00EF36C6">
              <w:rPr>
                <w:rFonts w:eastAsia="Calibri" w:cs="Arial"/>
                <w:color w:val="000000"/>
                <w:sz w:val="18"/>
                <w:szCs w:val="18"/>
                <w:highlight w:val="black"/>
                <w:lang w:eastAsia="en-GB"/>
              </w:rPr>
              <w:t xml:space="preserve"> - 5 × 10</w:t>
            </w:r>
            <w:r w:rsidRPr="00EF36C6">
              <w:rPr>
                <w:rFonts w:eastAsia="Calibri" w:cs="Arial"/>
                <w:color w:val="000000"/>
                <w:sz w:val="18"/>
                <w:szCs w:val="18"/>
                <w:highlight w:val="black"/>
                <w:vertAlign w:val="superscript"/>
                <w:lang w:eastAsia="en-GB"/>
              </w:rPr>
              <w:t>-4</w:t>
            </w:r>
            <w:r w:rsidRPr="00EF36C6">
              <w:rPr>
                <w:rFonts w:eastAsia="Calibri" w:cs="Arial"/>
                <w:color w:val="000000"/>
                <w:sz w:val="18"/>
                <w:szCs w:val="18"/>
                <w:highlight w:val="black"/>
                <w:lang w:eastAsia="en-GB"/>
              </w:rPr>
              <w:t xml:space="preserve"> m/s</w:t>
            </w:r>
          </w:p>
        </w:tc>
        <w:tc>
          <w:tcPr>
            <w:tcW w:w="1276" w:type="dxa"/>
            <w:shd w:val="clear" w:color="auto" w:fill="FFFFFF"/>
          </w:tcPr>
          <w:p w14:paraId="4E69F3B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m/s</w:t>
            </w:r>
          </w:p>
        </w:tc>
        <w:tc>
          <w:tcPr>
            <w:tcW w:w="3544" w:type="dxa"/>
            <w:shd w:val="clear" w:color="auto" w:fill="FFFFFF"/>
          </w:tcPr>
          <w:p w14:paraId="51B76E13" w14:textId="079347BE"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Based on results from sludge tests (</w:t>
            </w:r>
            <w:r w:rsidR="004C72AB" w:rsidRPr="00B65D57">
              <w:rPr>
                <w:rFonts w:eastAsia="Calibri" w:cs="Arial"/>
                <w:color w:val="000000"/>
                <w:sz w:val="18"/>
                <w:szCs w:val="18"/>
                <w:lang w:eastAsia="en-GB"/>
              </w:rPr>
              <w:t>Vickman &amp; Valtersson, 2011</w:t>
            </w:r>
            <w:r w:rsidRPr="00B65D57">
              <w:rPr>
                <w:rFonts w:eastAsia="Calibri" w:cs="Arial"/>
                <w:color w:val="000000"/>
                <w:sz w:val="18"/>
                <w:szCs w:val="18"/>
                <w:lang w:eastAsia="en-GB"/>
              </w:rPr>
              <w:t>), literature data (Fetter, 2001; Kresic, 2007) and an experience-based assessment.</w:t>
            </w:r>
            <w:r w:rsidRPr="00B65D57">
              <w:rPr>
                <w:sz w:val="18"/>
                <w:szCs w:val="18"/>
              </w:rPr>
              <w:t xml:space="preserve"> </w:t>
            </w:r>
            <w:r w:rsidRPr="00B65D57">
              <w:rPr>
                <w:rFonts w:eastAsia="Calibri" w:cs="Arial"/>
                <w:color w:val="000000"/>
                <w:sz w:val="18"/>
                <w:szCs w:val="18"/>
                <w:lang w:eastAsia="en-GB"/>
              </w:rPr>
              <w:t>The interval refers to the lowest and highest hydraulic conductivity value in different layers of the soil.</w:t>
            </w:r>
          </w:p>
        </w:tc>
      </w:tr>
      <w:tr w:rsidR="009E404F" w:rsidRPr="00B65D57" w14:paraId="18885AAC" w14:textId="77777777" w:rsidTr="00DE498C">
        <w:trPr>
          <w:trHeight w:val="93"/>
        </w:trPr>
        <w:tc>
          <w:tcPr>
            <w:tcW w:w="2410" w:type="dxa"/>
            <w:shd w:val="clear" w:color="auto" w:fill="FFFFFF"/>
          </w:tcPr>
          <w:p w14:paraId="6BC38FD9"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Adsorption maximum (S</w:t>
            </w:r>
            <w:r w:rsidRPr="00B65D57">
              <w:rPr>
                <w:rFonts w:eastAsia="Calibri" w:cs="Arial"/>
                <w:color w:val="000000"/>
                <w:sz w:val="18"/>
                <w:szCs w:val="18"/>
                <w:vertAlign w:val="subscript"/>
                <w:lang w:eastAsia="en-GB"/>
              </w:rPr>
              <w:t>max</w:t>
            </w:r>
            <w:r w:rsidRPr="00B65D57">
              <w:rPr>
                <w:rFonts w:eastAsia="Calibri" w:cs="Arial"/>
                <w:color w:val="000000"/>
                <w:sz w:val="18"/>
                <w:szCs w:val="18"/>
                <w:lang w:eastAsia="en-GB"/>
              </w:rPr>
              <w:t>)</w:t>
            </w:r>
          </w:p>
          <w:p w14:paraId="487269A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 xml:space="preserve">                                                                                                                                                                                                                                                                                                                                                                                                                                                                         </w:t>
            </w:r>
          </w:p>
        </w:tc>
        <w:tc>
          <w:tcPr>
            <w:tcW w:w="2693" w:type="dxa"/>
            <w:shd w:val="clear" w:color="auto" w:fill="FFFFFF"/>
          </w:tcPr>
          <w:p w14:paraId="684BDBD8"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 xml:space="preserve">500 mg BAE/kg </w:t>
            </w:r>
          </w:p>
          <w:p w14:paraId="413DE5CE"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p>
        </w:tc>
        <w:tc>
          <w:tcPr>
            <w:tcW w:w="1276" w:type="dxa"/>
            <w:shd w:val="clear" w:color="auto" w:fill="FFFFFF"/>
          </w:tcPr>
          <w:p w14:paraId="7EA5DEBB"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mg BAE/kg</w:t>
            </w:r>
          </w:p>
        </w:tc>
        <w:tc>
          <w:tcPr>
            <w:tcW w:w="3544" w:type="dxa"/>
            <w:shd w:val="clear" w:color="auto" w:fill="FFFFFF"/>
          </w:tcPr>
          <w:p w14:paraId="3C5EB66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The adsorption is slightly more than a factor of 2 lower than reported (Couch et al., 1968). Thus, the adsorption is underestimated, which gives an overestimation of the dispersion.</w:t>
            </w:r>
          </w:p>
        </w:tc>
      </w:tr>
      <w:tr w:rsidR="009E404F" w:rsidRPr="00B65D57" w14:paraId="2D381CE7" w14:textId="77777777" w:rsidTr="00DE498C">
        <w:trPr>
          <w:trHeight w:val="93"/>
        </w:trPr>
        <w:tc>
          <w:tcPr>
            <w:tcW w:w="2410" w:type="dxa"/>
            <w:shd w:val="clear" w:color="auto" w:fill="FFFFFF"/>
          </w:tcPr>
          <w:p w14:paraId="420B3660" w14:textId="77777777" w:rsidR="009E404F" w:rsidRPr="00B65D57" w:rsidRDefault="009E404F" w:rsidP="00DE498C">
            <w:pPr>
              <w:autoSpaceDE w:val="0"/>
              <w:autoSpaceDN w:val="0"/>
              <w:adjustRightInd w:val="0"/>
              <w:spacing w:line="260" w:lineRule="atLeast"/>
              <w:rPr>
                <w:rFonts w:eastAsia="Calibri" w:cs="Arial"/>
                <w:color w:val="000000"/>
                <w:sz w:val="16"/>
                <w:szCs w:val="18"/>
                <w:lang w:eastAsia="en-GB"/>
              </w:rPr>
            </w:pPr>
            <w:r w:rsidRPr="00B65D57">
              <w:rPr>
                <w:rFonts w:eastAsia="Calibri" w:cs="Arial"/>
                <w:color w:val="000000"/>
                <w:sz w:val="18"/>
                <w:szCs w:val="18"/>
                <w:lang w:eastAsia="en-GB"/>
              </w:rPr>
              <w:t xml:space="preserve">Langmuir constant </w:t>
            </w:r>
            <w:r w:rsidRPr="00B65D57">
              <w:rPr>
                <w:rFonts w:eastAsia="Calibri" w:cs="Arial"/>
                <w:color w:val="000000"/>
                <w:sz w:val="16"/>
                <w:szCs w:val="18"/>
                <w:lang w:eastAsia="en-GB"/>
              </w:rPr>
              <w:t>(K</w:t>
            </w:r>
            <w:r w:rsidRPr="00B65D57">
              <w:rPr>
                <w:rFonts w:eastAsia="Calibri" w:cs="Arial"/>
                <w:color w:val="000000"/>
                <w:sz w:val="16"/>
                <w:szCs w:val="18"/>
                <w:vertAlign w:val="subscript"/>
                <w:lang w:eastAsia="en-GB"/>
              </w:rPr>
              <w:t>L</w:t>
            </w:r>
            <w:r w:rsidRPr="00B65D57">
              <w:rPr>
                <w:rFonts w:eastAsia="Calibri" w:cs="Arial"/>
                <w:color w:val="000000"/>
                <w:sz w:val="16"/>
                <w:szCs w:val="18"/>
                <w:lang w:eastAsia="en-GB"/>
              </w:rPr>
              <w:t>)</w:t>
            </w:r>
          </w:p>
        </w:tc>
        <w:tc>
          <w:tcPr>
            <w:tcW w:w="2693" w:type="dxa"/>
            <w:shd w:val="clear" w:color="auto" w:fill="FFFFFF"/>
          </w:tcPr>
          <w:p w14:paraId="4331DC10"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0.153</w:t>
            </w:r>
          </w:p>
        </w:tc>
        <w:tc>
          <w:tcPr>
            <w:tcW w:w="1276" w:type="dxa"/>
            <w:shd w:val="clear" w:color="auto" w:fill="FFFFFF"/>
          </w:tcPr>
          <w:p w14:paraId="6AD42DD2"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L/mg BAE</w:t>
            </w:r>
          </w:p>
        </w:tc>
        <w:tc>
          <w:tcPr>
            <w:tcW w:w="3544" w:type="dxa"/>
            <w:shd w:val="clear" w:color="auto" w:fill="FFFFFF"/>
          </w:tcPr>
          <w:p w14:paraId="68EED396"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The Langmuir constant of 0.153 applies at pH 9.3, which is approximately the pH that will be achieved during a treatment, and to soils with a low content of clay (Communar et al., 2004). The constant is expected to be greater (up to 0.9) in soils where the content of clay is higher.</w:t>
            </w:r>
          </w:p>
        </w:tc>
      </w:tr>
      <w:tr w:rsidR="009E404F" w:rsidRPr="00B65D57" w14:paraId="727D24C7" w14:textId="77777777" w:rsidTr="00DE498C">
        <w:trPr>
          <w:trHeight w:val="93"/>
        </w:trPr>
        <w:tc>
          <w:tcPr>
            <w:tcW w:w="2410" w:type="dxa"/>
            <w:shd w:val="clear" w:color="auto" w:fill="FFFFFF"/>
          </w:tcPr>
          <w:p w14:paraId="5CB9839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Total porosity (n)</w:t>
            </w:r>
          </w:p>
        </w:tc>
        <w:tc>
          <w:tcPr>
            <w:tcW w:w="2693" w:type="dxa"/>
            <w:shd w:val="clear" w:color="auto" w:fill="FFFFFF"/>
          </w:tcPr>
          <w:p w14:paraId="53FAF2A1"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0.25-0.5</w:t>
            </w:r>
          </w:p>
        </w:tc>
        <w:tc>
          <w:tcPr>
            <w:tcW w:w="1276" w:type="dxa"/>
            <w:shd w:val="clear" w:color="auto" w:fill="FFFFFF"/>
          </w:tcPr>
          <w:p w14:paraId="5D3AE719"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share of total volume</w:t>
            </w:r>
          </w:p>
        </w:tc>
        <w:tc>
          <w:tcPr>
            <w:tcW w:w="3544" w:type="dxa"/>
            <w:shd w:val="clear" w:color="auto" w:fill="FFFFFF"/>
          </w:tcPr>
          <w:p w14:paraId="37C09767"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Based on literature data (Naturvårdsverket, 2009a) and an experience-based assessment. The interval refers to the lowest and highest porosity value in different layers of the soil.</w:t>
            </w:r>
          </w:p>
        </w:tc>
      </w:tr>
      <w:tr w:rsidR="009E404F" w:rsidRPr="00B65D57" w14:paraId="26CB22A8" w14:textId="77777777" w:rsidTr="00DE498C">
        <w:trPr>
          <w:trHeight w:val="93"/>
        </w:trPr>
        <w:tc>
          <w:tcPr>
            <w:tcW w:w="2410" w:type="dxa"/>
            <w:shd w:val="clear" w:color="auto" w:fill="FFFFFF"/>
          </w:tcPr>
          <w:p w14:paraId="45F8E8BE"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Effective porosity (n</w:t>
            </w:r>
            <w:r w:rsidRPr="00B65D57">
              <w:rPr>
                <w:rFonts w:eastAsia="Calibri" w:cs="Arial"/>
                <w:color w:val="000000"/>
                <w:sz w:val="18"/>
                <w:szCs w:val="18"/>
                <w:vertAlign w:val="subscript"/>
                <w:lang w:eastAsia="en-GB"/>
              </w:rPr>
              <w:t>e</w:t>
            </w:r>
            <w:r w:rsidRPr="00B65D57">
              <w:rPr>
                <w:rFonts w:eastAsia="Calibri" w:cs="Arial"/>
                <w:color w:val="000000"/>
                <w:sz w:val="18"/>
                <w:szCs w:val="18"/>
                <w:lang w:eastAsia="en-GB"/>
              </w:rPr>
              <w:t>)</w:t>
            </w:r>
          </w:p>
        </w:tc>
        <w:tc>
          <w:tcPr>
            <w:tcW w:w="2693" w:type="dxa"/>
            <w:shd w:val="clear" w:color="auto" w:fill="FFFFFF"/>
          </w:tcPr>
          <w:p w14:paraId="7905A400" w14:textId="77777777" w:rsidR="009E404F" w:rsidRPr="00EF36C6" w:rsidRDefault="009E404F" w:rsidP="00DE498C">
            <w:pPr>
              <w:autoSpaceDE w:val="0"/>
              <w:autoSpaceDN w:val="0"/>
              <w:adjustRightInd w:val="0"/>
              <w:spacing w:line="260" w:lineRule="atLeast"/>
              <w:rPr>
                <w:rFonts w:eastAsia="Calibri" w:cs="Arial"/>
                <w:color w:val="000000"/>
                <w:sz w:val="18"/>
                <w:szCs w:val="18"/>
                <w:highlight w:val="black"/>
                <w:lang w:eastAsia="en-GB"/>
              </w:rPr>
            </w:pPr>
            <w:r w:rsidRPr="00EF36C6">
              <w:rPr>
                <w:rFonts w:eastAsia="Calibri" w:cs="Arial"/>
                <w:color w:val="000000"/>
                <w:sz w:val="18"/>
                <w:szCs w:val="18"/>
                <w:highlight w:val="black"/>
                <w:lang w:eastAsia="en-GB"/>
              </w:rPr>
              <w:t>0.05-0.2</w:t>
            </w:r>
          </w:p>
        </w:tc>
        <w:tc>
          <w:tcPr>
            <w:tcW w:w="1276" w:type="dxa"/>
            <w:shd w:val="clear" w:color="auto" w:fill="FFFFFF"/>
          </w:tcPr>
          <w:p w14:paraId="6871922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share of total volume</w:t>
            </w:r>
          </w:p>
        </w:tc>
        <w:tc>
          <w:tcPr>
            <w:tcW w:w="3544" w:type="dxa"/>
            <w:shd w:val="clear" w:color="auto" w:fill="FFFFFF"/>
          </w:tcPr>
          <w:p w14:paraId="6801C40D" w14:textId="77777777" w:rsidR="009E404F" w:rsidRPr="00B65D57" w:rsidRDefault="009E404F" w:rsidP="00DE498C">
            <w:pPr>
              <w:autoSpaceDE w:val="0"/>
              <w:autoSpaceDN w:val="0"/>
              <w:adjustRightInd w:val="0"/>
              <w:spacing w:line="260" w:lineRule="atLeast"/>
              <w:rPr>
                <w:rFonts w:eastAsia="Calibri" w:cs="Arial"/>
                <w:color w:val="000000"/>
                <w:sz w:val="18"/>
                <w:szCs w:val="18"/>
                <w:lang w:eastAsia="en-GB"/>
              </w:rPr>
            </w:pPr>
            <w:r w:rsidRPr="00B65D57">
              <w:rPr>
                <w:rFonts w:eastAsia="Calibri" w:cs="Arial"/>
                <w:color w:val="000000"/>
                <w:sz w:val="18"/>
                <w:szCs w:val="18"/>
                <w:lang w:eastAsia="en-GB"/>
              </w:rPr>
              <w:t>Based on literature data (Naturvårdsverket, 2009a) and an experience-based assessment. The interval refers to the lowest and highest porosity value in different layers of the soil.</w:t>
            </w:r>
          </w:p>
        </w:tc>
      </w:tr>
    </w:tbl>
    <w:bookmarkEnd w:id="1688"/>
    <w:p w14:paraId="59FD4B24" w14:textId="77777777" w:rsidR="009E404F" w:rsidRPr="00B65D57" w:rsidRDefault="009E404F" w:rsidP="009E404F">
      <w:pPr>
        <w:spacing w:before="240" w:after="240" w:line="276" w:lineRule="auto"/>
        <w:rPr>
          <w:rFonts w:eastAsia="Verdana" w:cs="Verdana"/>
        </w:rPr>
      </w:pPr>
      <w:r w:rsidRPr="00B65D57">
        <w:rPr>
          <w:rFonts w:eastAsia="Verdana" w:cs="Verdana"/>
        </w:rPr>
        <w:t>The basic structure of the model, with properties and geometries, is the same for all scenarios, and in all current calculation cases (1K, 1B and 2B) the groundwater surface is above the drainage level in the outgoing sewage shaft. However, a few scenario-specific adjustments have been made:</w:t>
      </w:r>
    </w:p>
    <w:p w14:paraId="65388230" w14:textId="77777777" w:rsidR="009E404F" w:rsidRPr="00B65D57" w:rsidRDefault="009E404F" w:rsidP="009E404F">
      <w:pPr>
        <w:spacing w:before="240" w:after="240" w:line="276" w:lineRule="auto"/>
        <w:rPr>
          <w:rFonts w:eastAsia="Verdana" w:cs="Verdana"/>
        </w:rPr>
      </w:pPr>
      <w:r w:rsidRPr="00B65D57">
        <w:rPr>
          <w:rFonts w:eastAsia="Verdana" w:cs="Verdana"/>
        </w:rPr>
        <w:t>K-scenario with stone foundation</w:t>
      </w:r>
    </w:p>
    <w:p w14:paraId="43E74AAC" w14:textId="77777777" w:rsidR="009E404F" w:rsidRPr="00B65D57" w:rsidRDefault="009E404F" w:rsidP="001F5CF2">
      <w:pPr>
        <w:pStyle w:val="Liststycke"/>
        <w:numPr>
          <w:ilvl w:val="0"/>
          <w:numId w:val="14"/>
        </w:numPr>
        <w:spacing w:after="240" w:line="276" w:lineRule="auto"/>
        <w:ind w:left="284" w:hanging="284"/>
        <w:rPr>
          <w:rFonts w:eastAsia="Verdana" w:cs="Verdana"/>
        </w:rPr>
      </w:pPr>
      <w:r w:rsidRPr="00B65D57">
        <w:rPr>
          <w:rFonts w:eastAsia="Verdana" w:cs="Verdana"/>
        </w:rPr>
        <w:t>Please note that in the 1K-scenario the stone wall contains cavities between the stones which will result in a faster dispersion of borates from the treatment zone vertically upwards compared to the horizontal dispersion in the filling material. The stone wall was assumed to have a hydraulic conductivity of 1×10</w:t>
      </w:r>
      <w:r w:rsidRPr="00B65D57">
        <w:rPr>
          <w:rFonts w:eastAsia="Verdana" w:cs="Verdana"/>
          <w:vertAlign w:val="superscript"/>
        </w:rPr>
        <w:t>-3</w:t>
      </w:r>
      <w:r w:rsidRPr="00B65D57">
        <w:rPr>
          <w:rFonts w:eastAsia="Verdana" w:cs="Verdana"/>
        </w:rPr>
        <w:t xml:space="preserve"> m/s and an effective porosity of 15% (ne = 0.15).</w:t>
      </w:r>
    </w:p>
    <w:p w14:paraId="1B287D28" w14:textId="77777777" w:rsidR="009E404F" w:rsidRPr="00B65D57" w:rsidRDefault="009E404F" w:rsidP="001F5CF2">
      <w:pPr>
        <w:pStyle w:val="Liststycke"/>
        <w:numPr>
          <w:ilvl w:val="0"/>
          <w:numId w:val="14"/>
        </w:numPr>
        <w:spacing w:after="240" w:line="276" w:lineRule="auto"/>
        <w:ind w:left="284" w:hanging="284"/>
        <w:rPr>
          <w:rFonts w:eastAsia="Verdana" w:cs="Verdana"/>
        </w:rPr>
      </w:pPr>
      <w:r w:rsidRPr="00B65D57">
        <w:rPr>
          <w:rFonts w:eastAsia="Verdana" w:cs="Verdana"/>
        </w:rPr>
        <w:lastRenderedPageBreak/>
        <w:t>The initial treatment zone concentration of scenario 1K was set to 19 200 mg BAE/L in a 14 cm thick treatment zone just beneath the stone wall. The 14 cm thick layer consists of permeable material where cavities are filled with Eurobor. The assumptions are based on field experiences from applying/injecting the Eurobor mixture in amounts ca 3 times the applied dose compared to injections under concrete foundations.</w:t>
      </w:r>
    </w:p>
    <w:p w14:paraId="7B5624BF" w14:textId="352B5E48" w:rsidR="009E404F" w:rsidRPr="00B65D57" w:rsidRDefault="00662DCD" w:rsidP="001F5CF2">
      <w:pPr>
        <w:pStyle w:val="Liststycke"/>
        <w:numPr>
          <w:ilvl w:val="0"/>
          <w:numId w:val="14"/>
        </w:numPr>
        <w:spacing w:after="240" w:line="276" w:lineRule="auto"/>
        <w:ind w:left="284" w:hanging="284"/>
        <w:rPr>
          <w:rFonts w:eastAsia="Verdana" w:cs="Verdana"/>
        </w:rPr>
      </w:pPr>
      <w:r>
        <w:rPr>
          <w:rFonts w:eastAsia="Verdana" w:cs="Verdana"/>
        </w:rPr>
        <w:t>T</w:t>
      </w:r>
      <w:r w:rsidR="009E404F" w:rsidRPr="00B65D57">
        <w:rPr>
          <w:rFonts w:eastAsia="Verdana" w:cs="Verdana"/>
        </w:rPr>
        <w:t xml:space="preserve">ransport of borates </w:t>
      </w:r>
      <w:r>
        <w:rPr>
          <w:rFonts w:eastAsia="Verdana" w:cs="Verdana"/>
        </w:rPr>
        <w:t xml:space="preserve">to the drainage discharge point </w:t>
      </w:r>
      <w:r w:rsidR="009E404F" w:rsidRPr="00B65D57">
        <w:rPr>
          <w:rFonts w:eastAsia="Verdana" w:cs="Verdana"/>
        </w:rPr>
        <w:t>was primarily calculated based on a dynamic dispersivity of 1.5 m (this is the distance between the treatment zone and the drainage point used in the calculations of borates transport and the resulting borate concentrations).</w:t>
      </w:r>
    </w:p>
    <w:p w14:paraId="32CC9C96" w14:textId="77777777" w:rsidR="009E404F" w:rsidRPr="00B65D57" w:rsidRDefault="009E404F" w:rsidP="009E404F">
      <w:pPr>
        <w:spacing w:before="240" w:after="240" w:line="276" w:lineRule="auto"/>
        <w:rPr>
          <w:rFonts w:eastAsia="Verdana" w:cs="Verdana"/>
        </w:rPr>
      </w:pPr>
      <w:r w:rsidRPr="00B65D57">
        <w:rPr>
          <w:rFonts w:eastAsia="Verdana" w:cs="Verdana"/>
        </w:rPr>
        <w:t>B-scenarios with foundation wall of concrete</w:t>
      </w:r>
    </w:p>
    <w:p w14:paraId="6EA0013A" w14:textId="77777777" w:rsidR="009E404F" w:rsidRPr="00B65D57" w:rsidRDefault="009E404F" w:rsidP="001F5CF2">
      <w:pPr>
        <w:pStyle w:val="Liststycke"/>
        <w:numPr>
          <w:ilvl w:val="0"/>
          <w:numId w:val="15"/>
        </w:numPr>
        <w:spacing w:after="240" w:line="276" w:lineRule="auto"/>
        <w:ind w:left="284" w:hanging="284"/>
        <w:rPr>
          <w:rFonts w:eastAsia="Verdana" w:cs="Verdana"/>
        </w:rPr>
      </w:pPr>
      <w:r w:rsidRPr="00B65D57">
        <w:rPr>
          <w:rFonts w:eastAsia="Verdana" w:cs="Verdana"/>
        </w:rPr>
        <w:t xml:space="preserve">Scenarios 1B and 2B, the concrete foundation, has been assumed to have zero permeability to borates (no cracks nor cavities). </w:t>
      </w:r>
    </w:p>
    <w:p w14:paraId="0B5C0D01" w14:textId="77777777" w:rsidR="009E404F" w:rsidRPr="00B65D57" w:rsidRDefault="009E404F" w:rsidP="001F5CF2">
      <w:pPr>
        <w:pStyle w:val="Liststycke"/>
        <w:numPr>
          <w:ilvl w:val="0"/>
          <w:numId w:val="15"/>
        </w:numPr>
        <w:spacing w:after="240" w:line="276" w:lineRule="auto"/>
        <w:ind w:left="284" w:hanging="284"/>
        <w:rPr>
          <w:rFonts w:eastAsia="Verdana" w:cs="Verdana"/>
        </w:rPr>
      </w:pPr>
      <w:r w:rsidRPr="00B65D57">
        <w:rPr>
          <w:rFonts w:eastAsia="Verdana" w:cs="Verdana"/>
        </w:rPr>
        <w:t>The initial treatment zone concentrations of borates were set to 89 500 mg BAE/L in a 1 cm thick treatment zone.  These assumptions are also based on expert knowledge on the field conditions prevailing when injecting Eurobor, normally there is ca a 1 cm cavity/void between the concrete foundation and the underpinning clay which is completely filled with the Eurobor paste.</w:t>
      </w:r>
    </w:p>
    <w:p w14:paraId="656B8773" w14:textId="37459142" w:rsidR="009E404F" w:rsidRPr="00B65D57" w:rsidRDefault="00662DCD" w:rsidP="001F5CF2">
      <w:pPr>
        <w:pStyle w:val="Liststycke"/>
        <w:numPr>
          <w:ilvl w:val="0"/>
          <w:numId w:val="15"/>
        </w:numPr>
        <w:spacing w:after="240" w:line="276" w:lineRule="auto"/>
        <w:ind w:left="284" w:hanging="284"/>
        <w:rPr>
          <w:rFonts w:eastAsia="Verdana" w:cs="Verdana"/>
        </w:rPr>
      </w:pPr>
      <w:r>
        <w:rPr>
          <w:rFonts w:eastAsia="Verdana" w:cs="Verdana"/>
        </w:rPr>
        <w:t>T</w:t>
      </w:r>
      <w:r w:rsidR="009E404F" w:rsidRPr="00B65D57">
        <w:rPr>
          <w:rFonts w:eastAsia="Verdana" w:cs="Verdana"/>
        </w:rPr>
        <w:t xml:space="preserve">ransport of borates </w:t>
      </w:r>
      <w:r>
        <w:rPr>
          <w:rFonts w:eastAsia="Verdana" w:cs="Verdana"/>
        </w:rPr>
        <w:t xml:space="preserve">to the drainage discharge point </w:t>
      </w:r>
      <w:r w:rsidR="009E404F" w:rsidRPr="00B65D57">
        <w:rPr>
          <w:rFonts w:eastAsia="Verdana" w:cs="Verdana"/>
        </w:rPr>
        <w:t xml:space="preserve">was primarily calculated </w:t>
      </w:r>
      <w:r>
        <w:rPr>
          <w:rFonts w:eastAsia="Verdana" w:cs="Verdana"/>
        </w:rPr>
        <w:t xml:space="preserve">for 1B </w:t>
      </w:r>
      <w:r w:rsidR="009E404F" w:rsidRPr="00B65D57">
        <w:rPr>
          <w:rFonts w:eastAsia="Verdana" w:cs="Verdana"/>
        </w:rPr>
        <w:t>based on a dynamic dispersivity of 1.5 m (this is the distance between the treatment zone and the drainage point used in the calculations of borates transport and the resulting borate concentrations). However, in Scenario 1B a dynamic dispersivity of 10 m was used thus calculations of borates dispersion through the filling material reflect a very conservative estimate.</w:t>
      </w:r>
    </w:p>
    <w:p w14:paraId="6938276F" w14:textId="77777777" w:rsidR="009E404F" w:rsidRPr="00B65D57" w:rsidRDefault="009E404F" w:rsidP="001F5CF2">
      <w:pPr>
        <w:pStyle w:val="Liststycke"/>
        <w:numPr>
          <w:ilvl w:val="0"/>
          <w:numId w:val="15"/>
        </w:numPr>
        <w:spacing w:after="240" w:line="276" w:lineRule="auto"/>
        <w:ind w:left="284" w:hanging="284"/>
        <w:rPr>
          <w:rFonts w:eastAsia="Verdana" w:cs="Verdana"/>
        </w:rPr>
      </w:pPr>
      <w:r w:rsidRPr="00B65D57">
        <w:rPr>
          <w:rFonts w:eastAsia="Verdana" w:cs="Verdana"/>
        </w:rPr>
        <w:t>Lastly, in the simulation model for calculating the downward vertical transport of borates into the clay layers, the vertical dynamic dispersity was set to 0.2 m while increasing model resolution in the upper decimetre of clay under the building body by increasing the number of simulation cells and thus making each cell thinner.</w:t>
      </w:r>
    </w:p>
    <w:p w14:paraId="2A4DB34E" w14:textId="77777777" w:rsidR="009E404F" w:rsidRPr="00B65D57" w:rsidRDefault="009E404F" w:rsidP="001F5CF2">
      <w:pPr>
        <w:pStyle w:val="Liststycke"/>
        <w:numPr>
          <w:ilvl w:val="0"/>
          <w:numId w:val="15"/>
        </w:numPr>
        <w:spacing w:after="240" w:line="276" w:lineRule="auto"/>
        <w:ind w:left="284" w:hanging="284"/>
        <w:rPr>
          <w:rFonts w:eastAsia="Verdana" w:cs="Verdana"/>
        </w:rPr>
      </w:pPr>
      <w:r w:rsidRPr="00B65D57">
        <w:rPr>
          <w:rFonts w:eastAsia="Verdana" w:cs="Verdana"/>
        </w:rPr>
        <w:t>Scenario 2B is considered to be the worst case (due to high water pressure in combination with the highest initial concentration), therefore scenario 1K does not include calculations of dispersion in clay.</w:t>
      </w:r>
    </w:p>
    <w:p w14:paraId="01E472FC" w14:textId="77777777" w:rsidR="009E404F" w:rsidRPr="00B65D57" w:rsidRDefault="009E404F" w:rsidP="001F5CF2">
      <w:pPr>
        <w:pStyle w:val="Liststycke"/>
        <w:numPr>
          <w:ilvl w:val="0"/>
          <w:numId w:val="15"/>
        </w:numPr>
        <w:spacing w:after="60" w:line="276" w:lineRule="auto"/>
        <w:ind w:left="284" w:hanging="284"/>
        <w:rPr>
          <w:rFonts w:eastAsia="Verdana" w:cs="Verdana"/>
        </w:rPr>
      </w:pPr>
      <w:r w:rsidRPr="00B65D57">
        <w:rPr>
          <w:rFonts w:eastAsia="Verdana" w:cs="Verdana"/>
        </w:rPr>
        <w:t>Corresponding background concentrations of borates in clay were calculated from the assumed background concentration in the groundwater (C = 5 mg BAE/L) and the Langmuirs adsorption isotherm for borates (see the report by Joodaki &amp; Vickman, 2020 for references):</w:t>
      </w:r>
    </w:p>
    <w:p w14:paraId="341BD124" w14:textId="77777777" w:rsidR="009E404F" w:rsidRPr="00B65D57" w:rsidRDefault="004E139D" w:rsidP="009E404F">
      <w:pPr>
        <w:pStyle w:val="Liststycke"/>
        <w:spacing w:after="60" w:line="276" w:lineRule="auto"/>
        <w:ind w:left="284"/>
        <w:rPr>
          <w:rFonts w:eastAsia="Verdana" w:cs="Verdana"/>
        </w:rPr>
      </w:pPr>
      <m:oMathPara>
        <m:oMathParaPr>
          <m:jc m:val="left"/>
        </m:oMathParaPr>
        <m:oMath>
          <m:sSub>
            <m:sSubPr>
              <m:ctrlPr>
                <w:rPr>
                  <w:rFonts w:ascii="Cambria Math" w:eastAsia="Verdana" w:hAnsi="Cambria Math" w:cs="Cambria Math"/>
                </w:rPr>
              </m:ctrlPr>
            </m:sSubPr>
            <m:e>
              <m:r>
                <m:rPr>
                  <m:sty m:val="p"/>
                </m:rPr>
                <w:rPr>
                  <w:rFonts w:ascii="Cambria Math" w:eastAsia="Verdana" w:hAnsi="Cambria Math" w:cs="Cambria Math"/>
                </w:rPr>
                <m:t>C</m:t>
              </m:r>
            </m:e>
            <m:sub>
              <m:r>
                <m:rPr>
                  <m:sty m:val="p"/>
                </m:rPr>
                <w:rPr>
                  <w:rFonts w:ascii="Cambria Math" w:eastAsia="Verdana" w:hAnsi="Cambria Math" w:cs="Cambria Math"/>
                </w:rPr>
                <m:t>ads</m:t>
              </m:r>
            </m:sub>
          </m:sSub>
          <m:r>
            <m:rPr>
              <m:sty m:val="p"/>
            </m:rPr>
            <w:rPr>
              <w:rFonts w:ascii="Cambria Math" w:eastAsia="Verdana" w:hAnsi="Cambria Math" w:cs="Cambria Math"/>
            </w:rPr>
            <m:t>=</m:t>
          </m:r>
          <m:f>
            <m:fPr>
              <m:ctrlPr>
                <w:rPr>
                  <w:rFonts w:ascii="Cambria Math" w:eastAsia="Verdana" w:hAnsi="Cambria Math" w:cs="Verdana"/>
                </w:rPr>
              </m:ctrlPr>
            </m:fPr>
            <m:num>
              <m:sSub>
                <m:sSubPr>
                  <m:ctrlPr>
                    <w:rPr>
                      <w:rFonts w:ascii="Cambria Math" w:eastAsia="Verdana" w:hAnsi="Cambria Math" w:cs="Cambria Math"/>
                    </w:rPr>
                  </m:ctrlPr>
                </m:sSubPr>
                <m:e>
                  <m:r>
                    <w:rPr>
                      <w:rFonts w:ascii="Cambria Math" w:eastAsia="Verdana" w:hAnsi="Cambria Math" w:cs="Cambria Math"/>
                    </w:rPr>
                    <m:t>K</m:t>
                  </m:r>
                </m:e>
                <m:sub>
                  <m:r>
                    <w:rPr>
                      <w:rFonts w:ascii="Cambria Math" w:eastAsia="Verdana" w:hAnsi="Cambria Math" w:cs="Cambria Math"/>
                    </w:rPr>
                    <m:t>l</m:t>
                  </m:r>
                </m:sub>
              </m:sSub>
              <m:r>
                <w:rPr>
                  <w:rFonts w:ascii="Cambria Math" w:eastAsia="Verdana" w:hAnsi="Cambria Math" w:cs="Cambria Math"/>
                </w:rPr>
                <m:t>×</m:t>
              </m:r>
              <m:sSub>
                <m:sSubPr>
                  <m:ctrlPr>
                    <w:rPr>
                      <w:rFonts w:ascii="Cambria Math" w:eastAsia="Verdana" w:hAnsi="Cambria Math" w:cs="Cambria Math"/>
                      <w:i/>
                    </w:rPr>
                  </m:ctrlPr>
                </m:sSubPr>
                <m:e>
                  <m:r>
                    <w:rPr>
                      <w:rFonts w:ascii="Cambria Math" w:eastAsia="Verdana" w:hAnsi="Cambria Math" w:cs="Cambria Math"/>
                    </w:rPr>
                    <m:t>S</m:t>
                  </m:r>
                </m:e>
                <m:sub>
                  <m:r>
                    <w:rPr>
                      <w:rFonts w:ascii="Cambria Math" w:eastAsia="Verdana" w:hAnsi="Cambria Math" w:cs="Cambria Math"/>
                    </w:rPr>
                    <m:t>ads</m:t>
                  </m:r>
                </m:sub>
              </m:sSub>
              <m:r>
                <w:rPr>
                  <w:rFonts w:ascii="Cambria Math" w:eastAsia="Verdana" w:hAnsi="Cambria Math" w:cs="Cambria Math"/>
                </w:rPr>
                <m:t>×C</m:t>
              </m:r>
            </m:num>
            <m:den>
              <m:r>
                <m:rPr>
                  <m:sty m:val="p"/>
                </m:rPr>
                <w:rPr>
                  <w:rFonts w:ascii="Cambria Math" w:eastAsia="Verdana" w:hAnsi="Cambria Math" w:cs="Cambria Math"/>
                </w:rPr>
                <m:t>1+</m:t>
              </m:r>
              <m:sSub>
                <m:sSubPr>
                  <m:ctrlPr>
                    <w:rPr>
                      <w:rFonts w:ascii="Cambria Math" w:eastAsia="Verdana" w:hAnsi="Cambria Math" w:cs="Cambria Math"/>
                    </w:rPr>
                  </m:ctrlPr>
                </m:sSubPr>
                <m:e>
                  <m:r>
                    <w:rPr>
                      <w:rFonts w:ascii="Cambria Math" w:eastAsia="Verdana" w:hAnsi="Cambria Math" w:cs="Cambria Math"/>
                    </w:rPr>
                    <m:t>K</m:t>
                  </m:r>
                </m:e>
                <m:sub>
                  <m:r>
                    <w:rPr>
                      <w:rFonts w:ascii="Cambria Math" w:eastAsia="Verdana" w:hAnsi="Cambria Math" w:cs="Cambria Math"/>
                    </w:rPr>
                    <m:t>l</m:t>
                  </m:r>
                </m:sub>
              </m:sSub>
              <m:r>
                <m:rPr>
                  <m:sty m:val="p"/>
                </m:rPr>
                <w:rPr>
                  <w:rFonts w:ascii="Cambria Math" w:eastAsia="Verdana" w:hAnsi="Cambria Math" w:cs="Cambria Math"/>
                </w:rPr>
                <m:t>×C</m:t>
              </m:r>
            </m:den>
          </m:f>
        </m:oMath>
      </m:oMathPara>
    </w:p>
    <w:p w14:paraId="2A331046" w14:textId="77777777" w:rsidR="009E404F" w:rsidRPr="00B65D57" w:rsidRDefault="009E404F" w:rsidP="009E404F">
      <w:pPr>
        <w:pStyle w:val="Liststycke"/>
        <w:spacing w:line="276" w:lineRule="auto"/>
        <w:ind w:left="284"/>
        <w:rPr>
          <w:rFonts w:eastAsia="Verdana" w:cs="Verdana"/>
        </w:rPr>
      </w:pPr>
      <w:r w:rsidRPr="00B65D57">
        <w:rPr>
          <w:rFonts w:eastAsia="Verdana" w:cs="Verdana"/>
        </w:rPr>
        <w:t xml:space="preserve">Where </w:t>
      </w:r>
      <m:oMath>
        <m:sSub>
          <m:sSubPr>
            <m:ctrlPr>
              <w:rPr>
                <w:rFonts w:ascii="Cambria Math" w:eastAsia="Verdana" w:hAnsi="Cambria Math" w:cs="Verdana"/>
                <w:i/>
              </w:rPr>
            </m:ctrlPr>
          </m:sSubPr>
          <m:e>
            <m:r>
              <w:rPr>
                <w:rFonts w:ascii="Cambria Math" w:eastAsia="Verdana" w:hAnsi="Cambria Math" w:cs="Verdana"/>
              </w:rPr>
              <m:t>C</m:t>
            </m:r>
          </m:e>
          <m:sub>
            <m:r>
              <w:rPr>
                <w:rFonts w:ascii="Cambria Math" w:eastAsia="Verdana" w:hAnsi="Cambria Math" w:cs="Verdana"/>
              </w:rPr>
              <m:t>ads</m:t>
            </m:r>
          </m:sub>
        </m:sSub>
      </m:oMath>
      <w:r w:rsidRPr="00B65D57">
        <w:rPr>
          <w:rFonts w:eastAsia="Verdana" w:cs="Verdana"/>
        </w:rPr>
        <w:t xml:space="preserve"> – adsorbed concentration (mg/kg)</w:t>
      </w:r>
    </w:p>
    <w:p w14:paraId="04040EC5" w14:textId="77777777" w:rsidR="009E404F" w:rsidRPr="00B65D57" w:rsidRDefault="004E139D" w:rsidP="009E404F">
      <w:pPr>
        <w:pStyle w:val="Liststycke"/>
        <w:spacing w:line="276" w:lineRule="auto"/>
        <w:ind w:left="284"/>
        <w:rPr>
          <w:rFonts w:eastAsia="Verdana" w:cs="Verdana"/>
        </w:rPr>
      </w:pPr>
      <m:oMath>
        <m:sSub>
          <m:sSubPr>
            <m:ctrlPr>
              <w:rPr>
                <w:rFonts w:ascii="Cambria Math" w:eastAsia="Verdana" w:hAnsi="Cambria Math" w:cs="Verdana"/>
                <w:i/>
              </w:rPr>
            </m:ctrlPr>
          </m:sSubPr>
          <m:e>
            <m:r>
              <w:rPr>
                <w:rFonts w:ascii="Cambria Math" w:eastAsia="Verdana" w:hAnsi="Cambria Math" w:cs="Verdana"/>
              </w:rPr>
              <m:t>K</m:t>
            </m:r>
          </m:e>
          <m:sub>
            <m:r>
              <w:rPr>
                <w:rFonts w:ascii="Cambria Math" w:eastAsia="Verdana" w:hAnsi="Cambria Math" w:cs="Verdana"/>
              </w:rPr>
              <m:t>l</m:t>
            </m:r>
          </m:sub>
        </m:sSub>
      </m:oMath>
      <w:r w:rsidR="009E404F" w:rsidRPr="00B65D57">
        <w:rPr>
          <w:rFonts w:eastAsia="Verdana" w:cs="Verdana"/>
        </w:rPr>
        <w:t xml:space="preserve"> – adsorption isotherm (L/mg)</w:t>
      </w:r>
    </w:p>
    <w:p w14:paraId="2AB75E08" w14:textId="77777777" w:rsidR="009E404F" w:rsidRPr="00B65D57" w:rsidRDefault="004E139D" w:rsidP="009E404F">
      <w:pPr>
        <w:pStyle w:val="Liststycke"/>
        <w:spacing w:line="276" w:lineRule="auto"/>
        <w:ind w:left="284"/>
      </w:pPr>
      <m:oMath>
        <m:sSub>
          <m:sSubPr>
            <m:ctrlPr>
              <w:rPr>
                <w:rFonts w:ascii="Cambria Math" w:eastAsia="Verdana" w:hAnsi="Cambria Math" w:cs="Verdana"/>
                <w:i/>
              </w:rPr>
            </m:ctrlPr>
          </m:sSubPr>
          <m:e>
            <m:r>
              <w:rPr>
                <w:rFonts w:ascii="Cambria Math" w:eastAsia="Verdana" w:hAnsi="Cambria Math" w:cs="Verdana"/>
              </w:rPr>
              <m:t>S</m:t>
            </m:r>
          </m:e>
          <m:sub>
            <m:r>
              <w:rPr>
                <w:rFonts w:ascii="Cambria Math" w:eastAsia="Verdana" w:hAnsi="Cambria Math" w:cs="Verdana"/>
              </w:rPr>
              <m:t>ads</m:t>
            </m:r>
          </m:sub>
        </m:sSub>
      </m:oMath>
      <w:r w:rsidR="009E404F" w:rsidRPr="00B65D57">
        <w:t xml:space="preserve"> — adsorption isotherm constant</w:t>
      </w:r>
    </w:p>
    <w:p w14:paraId="579F10CD" w14:textId="77777777" w:rsidR="009E404F" w:rsidRPr="00B65D57" w:rsidRDefault="009E404F" w:rsidP="009E404F">
      <w:pPr>
        <w:pStyle w:val="Liststycke"/>
        <w:spacing w:after="120" w:line="276" w:lineRule="auto"/>
        <w:ind w:left="284"/>
        <w:rPr>
          <w:rFonts w:eastAsia="Verdana" w:cs="Verdana"/>
        </w:rPr>
      </w:pPr>
      <w:r w:rsidRPr="00B65D57">
        <w:rPr>
          <w:rFonts w:eastAsia="Verdana" w:cs="Verdana"/>
        </w:rPr>
        <w:t>C – concentration in solution (groundwater) (mg/L)</w:t>
      </w:r>
    </w:p>
    <w:p w14:paraId="0C5475A6" w14:textId="7A5D9C44" w:rsidR="009E404F" w:rsidRPr="00B65D57" w:rsidRDefault="009E404F" w:rsidP="009E404F">
      <w:pPr>
        <w:pStyle w:val="Liststycke"/>
        <w:spacing w:line="276" w:lineRule="auto"/>
        <w:ind w:left="284"/>
        <w:rPr>
          <w:rFonts w:eastAsia="Verdana" w:cs="Verdana"/>
        </w:rPr>
      </w:pPr>
      <w:r w:rsidRPr="00B65D57">
        <w:rPr>
          <w:rFonts w:eastAsia="Verdana" w:cs="Verdana"/>
        </w:rPr>
        <w:lastRenderedPageBreak/>
        <w:t xml:space="preserve">It has been shown that adsorption to clay in the conditions as relevant to Eurobor treatment as possible, typical values of the adsorption isotherm was chosen to </w:t>
      </w:r>
      <m:oMath>
        <m:sSub>
          <m:sSubPr>
            <m:ctrlPr>
              <w:rPr>
                <w:rFonts w:ascii="Cambria Math" w:eastAsia="Verdana" w:hAnsi="Cambria Math" w:cs="Verdana"/>
                <w:i/>
              </w:rPr>
            </m:ctrlPr>
          </m:sSubPr>
          <m:e>
            <m:r>
              <w:rPr>
                <w:rFonts w:ascii="Cambria Math" w:eastAsia="Verdana" w:hAnsi="Cambria Math" w:cs="Verdana"/>
              </w:rPr>
              <m:t>K</m:t>
            </m:r>
          </m:e>
          <m:sub>
            <m:r>
              <w:rPr>
                <w:rFonts w:ascii="Cambria Math" w:eastAsia="Verdana" w:hAnsi="Cambria Math" w:cs="Verdana"/>
              </w:rPr>
              <m:t>l</m:t>
            </m:r>
          </m:sub>
        </m:sSub>
      </m:oMath>
      <w:r w:rsidRPr="00B65D57">
        <w:rPr>
          <w:rFonts w:eastAsia="Verdana" w:cs="Verdana"/>
        </w:rPr>
        <w:t xml:space="preserve"> = 0.153 L/mg and the maximum adsorption capacity to </w:t>
      </w:r>
      <m:oMath>
        <m:sSub>
          <m:sSubPr>
            <m:ctrlPr>
              <w:rPr>
                <w:rFonts w:ascii="Cambria Math" w:eastAsia="Verdana" w:hAnsi="Cambria Math" w:cs="Verdana"/>
                <w:i/>
              </w:rPr>
            </m:ctrlPr>
          </m:sSubPr>
          <m:e>
            <m:r>
              <w:rPr>
                <w:rFonts w:ascii="Cambria Math" w:eastAsia="Verdana" w:hAnsi="Cambria Math" w:cs="Verdana"/>
              </w:rPr>
              <m:t>S</m:t>
            </m:r>
          </m:e>
          <m:sub>
            <m:r>
              <w:rPr>
                <w:rFonts w:ascii="Cambria Math" w:eastAsia="Verdana" w:hAnsi="Cambria Math" w:cs="Verdana"/>
              </w:rPr>
              <m:t>ads</m:t>
            </m:r>
          </m:sub>
        </m:sSub>
      </m:oMath>
      <w:r w:rsidRPr="00B65D57">
        <w:rPr>
          <w:rFonts w:eastAsia="Verdana" w:cs="Verdana"/>
        </w:rPr>
        <w:t xml:space="preserve"> = 500 mg BAE/kg (Comnunar &amp; Keren 2004). The </w:t>
      </w:r>
      <w:r w:rsidRPr="00B65D57">
        <w:rPr>
          <w:rFonts w:eastAsia="Verdana" w:cs="Verdana"/>
          <w:i/>
          <w:iCs/>
        </w:rPr>
        <w:t>background concentration in clay</w:t>
      </w:r>
      <w:r w:rsidRPr="00B65D57">
        <w:rPr>
          <w:rFonts w:eastAsia="Verdana" w:cs="Verdana"/>
        </w:rPr>
        <w:t xml:space="preserve"> has thus been calculated to</w:t>
      </w:r>
      <w:r w:rsidR="00EE37CE">
        <w:rPr>
          <w:rFonts w:eastAsia="Verdana" w:cs="Verdana"/>
        </w:rPr>
        <w:t xml:space="preserve"> be</w:t>
      </w:r>
      <w:r w:rsidRPr="00B65D57">
        <w:rPr>
          <w:rFonts w:eastAsia="Verdana" w:cs="Verdana"/>
        </w:rPr>
        <w:t xml:space="preserve"> </w:t>
      </w:r>
      <w:r w:rsidRPr="00B65D57">
        <w:rPr>
          <w:rFonts w:eastAsia="Verdana" w:cs="Verdana"/>
          <w:i/>
          <w:iCs/>
        </w:rPr>
        <w:t>217 mg BAE/kg</w:t>
      </w:r>
      <w:r w:rsidRPr="00B65D57">
        <w:rPr>
          <w:rFonts w:eastAsia="Verdana" w:cs="Verdana"/>
        </w:rPr>
        <w:t>.</w:t>
      </w:r>
    </w:p>
    <w:p w14:paraId="1F32075F" w14:textId="77777777" w:rsidR="009E404F" w:rsidRPr="00B65D57" w:rsidRDefault="009E404F" w:rsidP="009E404F">
      <w:pPr>
        <w:spacing w:before="60" w:line="276" w:lineRule="auto"/>
        <w:ind w:left="142"/>
        <w:rPr>
          <w:lang w:eastAsia="en-US"/>
        </w:rPr>
      </w:pPr>
    </w:p>
    <w:p w14:paraId="5D51857A" w14:textId="1C863F60" w:rsidR="009E404F" w:rsidRPr="00B65D57" w:rsidRDefault="002C23EC" w:rsidP="008F4848">
      <w:pPr>
        <w:pStyle w:val="Rubrik5"/>
        <w:ind w:left="66"/>
        <w:rPr>
          <w:lang w:val="en-GB"/>
        </w:rPr>
      </w:pPr>
      <w:bookmarkStart w:id="1691" w:name="_Toc377651046"/>
      <w:bookmarkStart w:id="1692" w:name="_Toc389729115"/>
      <w:bookmarkStart w:id="1693" w:name="_Toc403472800"/>
      <w:r w:rsidRPr="00B65D57">
        <w:rPr>
          <w:rFonts w:eastAsia="Calibri"/>
          <w:lang w:val="en-GB" w:eastAsia="en-US"/>
        </w:rPr>
        <w:t xml:space="preserve">2.2.8.2.3 </w:t>
      </w:r>
      <w:r w:rsidR="009E404F" w:rsidRPr="00B65D57">
        <w:rPr>
          <w:lang w:val="en-GB"/>
        </w:rPr>
        <w:t>Fate and distribution in exposed environment</w:t>
      </w:r>
      <w:bookmarkEnd w:id="1691"/>
      <w:r w:rsidR="009E404F" w:rsidRPr="00B65D57">
        <w:rPr>
          <w:lang w:val="en-GB"/>
        </w:rPr>
        <w:t>al compartments</w:t>
      </w:r>
      <w:bookmarkEnd w:id="1692"/>
      <w:bookmarkEnd w:id="1693"/>
    </w:p>
    <w:p w14:paraId="1B7A7B7B" w14:textId="77777777" w:rsidR="009E404F" w:rsidRPr="00B65D57" w:rsidRDefault="009E404F" w:rsidP="009E404F">
      <w:pPr>
        <w:spacing w:line="276" w:lineRule="auto"/>
        <w:rPr>
          <w:rFonts w:eastAsia="Calibri"/>
          <w:lang w:eastAsia="en-US"/>
        </w:rPr>
      </w:pPr>
      <w:r w:rsidRPr="00B65D57">
        <w:rPr>
          <w:rFonts w:eastAsia="Calibri"/>
          <w:lang w:eastAsia="en-US"/>
        </w:rPr>
        <w:t xml:space="preserve">Once borates are released to the environment, the predominant species is undissociated boric acid (Assessment Report Boric acid, 2009). The most important route for transport of boron from the treatment zone to other areas and compartments is via the groundwater (Vickman, 2011 </w:t>
      </w:r>
      <w:r w:rsidRPr="00B65D57">
        <w:rPr>
          <w:rFonts w:eastAsia="Verdana" w:cs="Verdana"/>
        </w:rPr>
        <w:t>as well as Joodaki and Vickman 2020). B</w:t>
      </w:r>
      <w:r w:rsidRPr="00B65D57">
        <w:rPr>
          <w:rFonts w:eastAsia="Calibri"/>
          <w:lang w:eastAsia="en-US"/>
        </w:rPr>
        <w:t xml:space="preserve">oron can also penetrate into the surrounding clay by diffusion and by the very limited water transport within the clay. These processes can result in an increased concentration of boron in the clay, both in the porewater and adsorbed to the clay particles. </w:t>
      </w:r>
    </w:p>
    <w:p w14:paraId="44DFCF36" w14:textId="77777777" w:rsidR="009E404F" w:rsidRPr="00B65D57" w:rsidRDefault="009E404F" w:rsidP="009E404F">
      <w:pPr>
        <w:spacing w:line="276" w:lineRule="auto"/>
        <w:rPr>
          <w:rFonts w:eastAsia="Calibri"/>
          <w:lang w:eastAsia="en-US"/>
        </w:rPr>
      </w:pPr>
    </w:p>
    <w:p w14:paraId="591D26ED" w14:textId="77777777" w:rsidR="009E404F" w:rsidRPr="00B65D57" w:rsidRDefault="009E404F" w:rsidP="009E404F">
      <w:pPr>
        <w:spacing w:line="276" w:lineRule="auto"/>
        <w:rPr>
          <w:rFonts w:eastAsia="Calibri"/>
          <w:lang w:eastAsia="en-US"/>
        </w:rPr>
      </w:pPr>
      <w:bookmarkStart w:id="1694" w:name="_Hlk11922644"/>
      <w:r w:rsidRPr="00B65D57">
        <w:rPr>
          <w:rFonts w:eastAsia="Calibri"/>
          <w:lang w:eastAsia="en-US"/>
        </w:rPr>
        <w:t xml:space="preserve">Boron in the groundwater could also be transported to surface water, seawater and STP via drainage structures. However, exposure of these compartments is not very likely since treatment is not allowed near surface water if there is a risk for leakage. Moreover, mending of any broken parts of the sewage system is mandatory before treatment according to the instructions for use (Bandh, 2022). </w:t>
      </w:r>
    </w:p>
    <w:p w14:paraId="4E6B49E8" w14:textId="77777777" w:rsidR="009E404F" w:rsidRPr="00B65D57" w:rsidRDefault="009E404F" w:rsidP="009E404F">
      <w:pPr>
        <w:spacing w:line="276" w:lineRule="auto"/>
        <w:rPr>
          <w:rFonts w:eastAsia="Calibri"/>
          <w:lang w:eastAsia="en-US"/>
        </w:rPr>
      </w:pPr>
    </w:p>
    <w:p w14:paraId="04FF3422" w14:textId="77777777" w:rsidR="009E404F" w:rsidRPr="00B65D57" w:rsidRDefault="009E404F" w:rsidP="009E404F">
      <w:pPr>
        <w:spacing w:line="276" w:lineRule="auto"/>
        <w:rPr>
          <w:rFonts w:eastAsia="Calibri"/>
          <w:lang w:eastAsia="en-US"/>
        </w:rPr>
      </w:pPr>
      <w:r w:rsidRPr="00B65D57">
        <w:rPr>
          <w:rFonts w:eastAsia="Calibri"/>
          <w:lang w:eastAsia="en-US"/>
        </w:rPr>
        <w:t xml:space="preserve">Air is not considered to be a relevant environmental compartment since the release of boron to the air will be minimal because of its low vapour pressure according to the CARs for boric acid (Assessment Report Boric acid, 2009) and disodium tetraborates (Assessment Report Disodium tetraborate, 2009). </w:t>
      </w:r>
      <w:bookmarkEnd w:id="1694"/>
      <w:r w:rsidRPr="00B65D57">
        <w:rPr>
          <w:rFonts w:eastAsia="Calibri"/>
          <w:lang w:eastAsia="en-US"/>
        </w:rPr>
        <w:t>Thus, the environmental compartments that are considered to be relevant for exposure estimations are soil and groundwater. In the table below, the relevant receiving compartments based on the exposure pathways are presented.</w:t>
      </w:r>
      <w:r w:rsidRPr="00B65D57">
        <w:t xml:space="preserve"> </w:t>
      </w:r>
    </w:p>
    <w:p w14:paraId="4D7FB093" w14:textId="77777777" w:rsidR="009E404F" w:rsidRPr="00B65D57" w:rsidRDefault="009E404F" w:rsidP="009E404F">
      <w:pPr>
        <w:spacing w:line="260" w:lineRule="atLeast"/>
        <w:rPr>
          <w:rFonts w:eastAsia="Calibri"/>
          <w:iCs/>
          <w:lang w:eastAsia="en-US"/>
        </w:rPr>
      </w:pPr>
    </w:p>
    <w:tbl>
      <w:tblPr>
        <w:tblW w:w="500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838"/>
        <w:gridCol w:w="1394"/>
        <w:gridCol w:w="838"/>
        <w:gridCol w:w="1254"/>
        <w:gridCol w:w="563"/>
        <w:gridCol w:w="1250"/>
        <w:gridCol w:w="698"/>
        <w:gridCol w:w="1116"/>
      </w:tblGrid>
      <w:tr w:rsidR="009E404F" w:rsidRPr="00B65D57" w14:paraId="0C0E662B" w14:textId="77777777" w:rsidTr="00DE498C">
        <w:trPr>
          <w:trHeight w:val="333"/>
          <w:tblHeader/>
        </w:trPr>
        <w:tc>
          <w:tcPr>
            <w:tcW w:w="682" w:type="pct"/>
            <w:shd w:val="clear" w:color="auto" w:fill="FFFFCC"/>
          </w:tcPr>
          <w:p w14:paraId="36A5E865"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p>
        </w:tc>
        <w:tc>
          <w:tcPr>
            <w:tcW w:w="455" w:type="pct"/>
            <w:shd w:val="clear" w:color="auto" w:fill="FFFFCC"/>
          </w:tcPr>
          <w:p w14:paraId="15D1413D"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Fresh-water</w:t>
            </w:r>
          </w:p>
        </w:tc>
        <w:tc>
          <w:tcPr>
            <w:tcW w:w="757" w:type="pct"/>
            <w:shd w:val="clear" w:color="auto" w:fill="FFFFCC"/>
          </w:tcPr>
          <w:p w14:paraId="17C06CC5"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Freshwater sediment</w:t>
            </w:r>
          </w:p>
        </w:tc>
        <w:tc>
          <w:tcPr>
            <w:tcW w:w="455" w:type="pct"/>
            <w:shd w:val="clear" w:color="auto" w:fill="FFFFCC"/>
          </w:tcPr>
          <w:p w14:paraId="4C199077"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Sea-water</w:t>
            </w:r>
          </w:p>
        </w:tc>
        <w:tc>
          <w:tcPr>
            <w:tcW w:w="681" w:type="pct"/>
            <w:shd w:val="clear" w:color="auto" w:fill="FFFFCC"/>
          </w:tcPr>
          <w:p w14:paraId="0BC80957"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Seawater sediment</w:t>
            </w:r>
          </w:p>
        </w:tc>
        <w:tc>
          <w:tcPr>
            <w:tcW w:w="306" w:type="pct"/>
            <w:shd w:val="clear" w:color="auto" w:fill="FFFFCC"/>
          </w:tcPr>
          <w:p w14:paraId="141AF57F"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STP</w:t>
            </w:r>
          </w:p>
        </w:tc>
        <w:tc>
          <w:tcPr>
            <w:tcW w:w="679" w:type="pct"/>
            <w:shd w:val="clear" w:color="auto" w:fill="FFFFCC"/>
          </w:tcPr>
          <w:p w14:paraId="6948C706"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Air</w:t>
            </w:r>
          </w:p>
        </w:tc>
        <w:tc>
          <w:tcPr>
            <w:tcW w:w="379" w:type="pct"/>
            <w:shd w:val="clear" w:color="auto" w:fill="FFFFCC"/>
          </w:tcPr>
          <w:p w14:paraId="280832BC"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Soil</w:t>
            </w:r>
          </w:p>
        </w:tc>
        <w:tc>
          <w:tcPr>
            <w:tcW w:w="606" w:type="pct"/>
            <w:shd w:val="clear" w:color="auto" w:fill="FFFFCC"/>
          </w:tcPr>
          <w:p w14:paraId="5D8F0BF2"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Ground-</w:t>
            </w:r>
          </w:p>
          <w:p w14:paraId="53CA1EDA" w14:textId="77777777" w:rsidR="009E404F" w:rsidRPr="00B65D57" w:rsidRDefault="009E404F" w:rsidP="00DE498C">
            <w:pPr>
              <w:widowControl w:val="0"/>
              <w:tabs>
                <w:tab w:val="center" w:pos="4536"/>
                <w:tab w:val="right" w:pos="9072"/>
              </w:tabs>
              <w:spacing w:line="260" w:lineRule="atLeast"/>
              <w:jc w:val="center"/>
              <w:rPr>
                <w:rFonts w:eastAsia="Calibri"/>
                <w:b/>
                <w:bCs/>
                <w:color w:val="000000"/>
                <w:sz w:val="18"/>
                <w:szCs w:val="18"/>
                <w:lang w:eastAsia="en-GB"/>
              </w:rPr>
            </w:pPr>
            <w:r w:rsidRPr="00B65D57">
              <w:rPr>
                <w:rFonts w:eastAsia="Calibri"/>
                <w:b/>
                <w:bCs/>
                <w:color w:val="000000"/>
                <w:sz w:val="18"/>
                <w:szCs w:val="18"/>
                <w:lang w:eastAsia="en-GB"/>
              </w:rPr>
              <w:t>water</w:t>
            </w:r>
          </w:p>
        </w:tc>
      </w:tr>
      <w:tr w:rsidR="009E404F" w:rsidRPr="00B65D57" w14:paraId="0189E34A" w14:textId="77777777" w:rsidTr="00DE498C">
        <w:trPr>
          <w:tblHeader/>
        </w:trPr>
        <w:tc>
          <w:tcPr>
            <w:tcW w:w="682" w:type="pct"/>
            <w:shd w:val="clear" w:color="auto" w:fill="auto"/>
            <w:tcMar>
              <w:top w:w="57" w:type="dxa"/>
              <w:left w:w="70" w:type="dxa"/>
              <w:bottom w:w="57" w:type="dxa"/>
              <w:right w:w="70" w:type="dxa"/>
            </w:tcMar>
            <w:vAlign w:val="center"/>
          </w:tcPr>
          <w:p w14:paraId="1F72325A" w14:textId="77777777" w:rsidR="009E404F" w:rsidRPr="00B65D57" w:rsidRDefault="009E404F" w:rsidP="00DE498C">
            <w:pPr>
              <w:widowControl w:val="0"/>
              <w:tabs>
                <w:tab w:val="center" w:pos="4536"/>
                <w:tab w:val="right" w:pos="9072"/>
              </w:tabs>
              <w:spacing w:line="260" w:lineRule="atLeast"/>
              <w:rPr>
                <w:rFonts w:eastAsia="Calibri"/>
                <w:color w:val="000000"/>
                <w:sz w:val="18"/>
                <w:szCs w:val="18"/>
                <w:lang w:eastAsia="en-GB"/>
              </w:rPr>
            </w:pPr>
            <w:r w:rsidRPr="00B65D57">
              <w:rPr>
                <w:rFonts w:eastAsia="Calibri"/>
                <w:color w:val="000000"/>
                <w:sz w:val="18"/>
                <w:szCs w:val="18"/>
                <w:lang w:eastAsia="en-GB"/>
              </w:rPr>
              <w:t>All six scenarios</w:t>
            </w:r>
          </w:p>
        </w:tc>
        <w:tc>
          <w:tcPr>
            <w:tcW w:w="455" w:type="pct"/>
            <w:shd w:val="clear" w:color="auto" w:fill="auto"/>
            <w:tcMar>
              <w:top w:w="57" w:type="dxa"/>
              <w:left w:w="70" w:type="dxa"/>
              <w:bottom w:w="57" w:type="dxa"/>
              <w:right w:w="70" w:type="dxa"/>
            </w:tcMar>
            <w:vAlign w:val="center"/>
          </w:tcPr>
          <w:p w14:paraId="7B02590B"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NO</w:t>
            </w:r>
          </w:p>
        </w:tc>
        <w:tc>
          <w:tcPr>
            <w:tcW w:w="757" w:type="pct"/>
            <w:shd w:val="clear" w:color="auto" w:fill="auto"/>
            <w:tcMar>
              <w:top w:w="57" w:type="dxa"/>
              <w:left w:w="70" w:type="dxa"/>
              <w:bottom w:w="57" w:type="dxa"/>
              <w:right w:w="70" w:type="dxa"/>
            </w:tcMar>
            <w:vAlign w:val="center"/>
          </w:tcPr>
          <w:p w14:paraId="241EFD99"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NO</w:t>
            </w:r>
          </w:p>
        </w:tc>
        <w:tc>
          <w:tcPr>
            <w:tcW w:w="455" w:type="pct"/>
            <w:shd w:val="clear" w:color="auto" w:fill="auto"/>
            <w:tcMar>
              <w:top w:w="57" w:type="dxa"/>
              <w:left w:w="70" w:type="dxa"/>
              <w:bottom w:w="57" w:type="dxa"/>
              <w:right w:w="70" w:type="dxa"/>
            </w:tcMar>
            <w:vAlign w:val="center"/>
          </w:tcPr>
          <w:p w14:paraId="53F3A123"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NO</w:t>
            </w:r>
          </w:p>
        </w:tc>
        <w:tc>
          <w:tcPr>
            <w:tcW w:w="681" w:type="pct"/>
            <w:shd w:val="clear" w:color="auto" w:fill="auto"/>
            <w:vAlign w:val="center"/>
          </w:tcPr>
          <w:p w14:paraId="44798B4A"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NO</w:t>
            </w:r>
          </w:p>
        </w:tc>
        <w:tc>
          <w:tcPr>
            <w:tcW w:w="306" w:type="pct"/>
            <w:shd w:val="clear" w:color="auto" w:fill="auto"/>
            <w:vAlign w:val="center"/>
          </w:tcPr>
          <w:p w14:paraId="05E16BFB"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NO</w:t>
            </w:r>
          </w:p>
        </w:tc>
        <w:tc>
          <w:tcPr>
            <w:tcW w:w="679" w:type="pct"/>
            <w:shd w:val="clear" w:color="auto" w:fill="auto"/>
            <w:vAlign w:val="center"/>
          </w:tcPr>
          <w:p w14:paraId="33F82459"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NOT RELEVANT</w:t>
            </w:r>
          </w:p>
        </w:tc>
        <w:tc>
          <w:tcPr>
            <w:tcW w:w="379" w:type="pct"/>
            <w:vAlign w:val="center"/>
          </w:tcPr>
          <w:p w14:paraId="51972B98"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YES</w:t>
            </w:r>
          </w:p>
        </w:tc>
        <w:tc>
          <w:tcPr>
            <w:tcW w:w="606" w:type="pct"/>
            <w:vAlign w:val="center"/>
          </w:tcPr>
          <w:p w14:paraId="2F704814" w14:textId="77777777" w:rsidR="009E404F" w:rsidRPr="00B65D57" w:rsidRDefault="009E404F" w:rsidP="00DE498C">
            <w:pPr>
              <w:widowControl w:val="0"/>
              <w:tabs>
                <w:tab w:val="center" w:pos="4536"/>
                <w:tab w:val="right" w:pos="9072"/>
              </w:tabs>
              <w:spacing w:line="260" w:lineRule="atLeast"/>
              <w:jc w:val="center"/>
              <w:rPr>
                <w:rFonts w:eastAsia="Calibri"/>
                <w:color w:val="000000"/>
                <w:sz w:val="18"/>
                <w:szCs w:val="18"/>
                <w:lang w:eastAsia="en-GB"/>
              </w:rPr>
            </w:pPr>
            <w:r w:rsidRPr="00B65D57">
              <w:rPr>
                <w:rFonts w:eastAsia="Calibri"/>
                <w:color w:val="000000"/>
                <w:sz w:val="18"/>
                <w:szCs w:val="18"/>
                <w:lang w:eastAsia="en-GB"/>
              </w:rPr>
              <w:t>YES</w:t>
            </w:r>
          </w:p>
        </w:tc>
      </w:tr>
    </w:tbl>
    <w:p w14:paraId="21E12DF4" w14:textId="77777777" w:rsidR="009E404F" w:rsidRPr="00B65D57" w:rsidRDefault="009E404F" w:rsidP="009E404F">
      <w:pPr>
        <w:spacing w:line="260" w:lineRule="atLeast"/>
        <w:rPr>
          <w:rFonts w:eastAsia="Calibri"/>
          <w:lang w:eastAsia="en-US"/>
        </w:rPr>
      </w:pPr>
    </w:p>
    <w:p w14:paraId="56ACB997" w14:textId="7D5ED502" w:rsidR="009E404F" w:rsidRPr="00B65D57" w:rsidRDefault="002C23EC" w:rsidP="008F4848">
      <w:pPr>
        <w:pStyle w:val="Rubrik5"/>
        <w:rPr>
          <w:lang w:val="en-GB"/>
        </w:rPr>
      </w:pPr>
      <w:bookmarkStart w:id="1695" w:name="_Toc389729116"/>
      <w:bookmarkStart w:id="1696" w:name="_Toc403472801"/>
      <w:r w:rsidRPr="00B65D57">
        <w:rPr>
          <w:rFonts w:eastAsia="Calibri"/>
          <w:lang w:val="en-GB" w:eastAsia="en-US"/>
        </w:rPr>
        <w:t xml:space="preserve">2.2.8.2.4 </w:t>
      </w:r>
      <w:r w:rsidR="009E404F" w:rsidRPr="00B65D57">
        <w:rPr>
          <w:lang w:val="en-GB"/>
        </w:rPr>
        <w:t>Calculated PEC values</w:t>
      </w:r>
      <w:bookmarkEnd w:id="1695"/>
      <w:bookmarkEnd w:id="1696"/>
    </w:p>
    <w:p w14:paraId="3B58B3EE" w14:textId="77777777" w:rsidR="009E404F" w:rsidRPr="00B65D57" w:rsidRDefault="009E404F" w:rsidP="009E404F">
      <w:pPr>
        <w:spacing w:line="276" w:lineRule="auto"/>
      </w:pPr>
      <w:r w:rsidRPr="00B65D57">
        <w:t>In the final CARs for boric acid and disodium tetraborates, the RMS conducted the risk assessment based on added concentrations. Following the argumentation in the final CARs for all boron species, the PEC</w:t>
      </w:r>
      <w:r w:rsidRPr="00B65D57">
        <w:rPr>
          <w:vertAlign w:val="subscript"/>
        </w:rPr>
        <w:t>add</w:t>
      </w:r>
      <w:r w:rsidRPr="00B65D57">
        <w:t xml:space="preserve"> is used in the risk characterisation for Jerbor (please refer to section </w:t>
      </w:r>
      <w:bookmarkStart w:id="1697" w:name="_Hlk11303671"/>
      <w:r w:rsidRPr="00B65D57">
        <w:t xml:space="preserve">2.2.8.3 </w:t>
      </w:r>
      <w:bookmarkEnd w:id="1697"/>
      <w:r w:rsidRPr="00B65D57">
        <w:t>for more information). The PEC</w:t>
      </w:r>
      <w:r w:rsidRPr="00B65D57">
        <w:rPr>
          <w:vertAlign w:val="subscript"/>
        </w:rPr>
        <w:t xml:space="preserve">add </w:t>
      </w:r>
      <w:r w:rsidRPr="00B65D57">
        <w:t>should be regarded as the concentration that are added to the background concentration.</w:t>
      </w:r>
    </w:p>
    <w:p w14:paraId="54FB79FE" w14:textId="77777777" w:rsidR="009E404F" w:rsidRPr="00B65D57" w:rsidRDefault="009E404F" w:rsidP="009E404F">
      <w:pPr>
        <w:spacing w:line="276" w:lineRule="auto"/>
      </w:pPr>
    </w:p>
    <w:p w14:paraId="4E83D885" w14:textId="4AD6D32E" w:rsidR="009E404F" w:rsidRPr="00B65D57" w:rsidRDefault="002C23EC" w:rsidP="008F4848">
      <w:pPr>
        <w:pStyle w:val="Rubrik6"/>
        <w:numPr>
          <w:ilvl w:val="0"/>
          <w:numId w:val="0"/>
        </w:numPr>
        <w:spacing w:line="276" w:lineRule="auto"/>
        <w:rPr>
          <w:rFonts w:eastAsia="Calibri"/>
          <w:i/>
          <w:iCs/>
          <w:lang w:val="en-GB" w:eastAsia="en-US"/>
        </w:rPr>
      </w:pPr>
      <w:r w:rsidRPr="00B65D57">
        <w:rPr>
          <w:rFonts w:eastAsia="Calibri"/>
          <w:lang w:val="en-GB" w:eastAsia="en-US"/>
        </w:rPr>
        <w:t xml:space="preserve">2.2.8.2.4.1 </w:t>
      </w:r>
      <w:r w:rsidR="009E404F" w:rsidRPr="00B65D57">
        <w:rPr>
          <w:rFonts w:eastAsia="Calibri"/>
          <w:i/>
          <w:iCs/>
          <w:lang w:val="en-GB" w:eastAsia="en-US"/>
        </w:rPr>
        <w:t xml:space="preserve">PEC </w:t>
      </w:r>
      <w:r w:rsidR="009E404F" w:rsidRPr="00B65D57">
        <w:rPr>
          <w:rFonts w:eastAsia="Calibri"/>
          <w:i/>
          <w:iCs/>
          <w:caps w:val="0"/>
          <w:lang w:val="en-GB" w:eastAsia="en-US"/>
        </w:rPr>
        <w:t>groundwater</w:t>
      </w:r>
    </w:p>
    <w:p w14:paraId="33163897" w14:textId="77777777" w:rsidR="009E404F" w:rsidRPr="00B65D57" w:rsidRDefault="009E404F" w:rsidP="009E404F">
      <w:pPr>
        <w:spacing w:line="276" w:lineRule="auto"/>
        <w:rPr>
          <w:rFonts w:eastAsia="Calibri"/>
          <w:lang w:eastAsia="en-US"/>
        </w:rPr>
      </w:pPr>
      <w:r w:rsidRPr="00B65D57">
        <w:rPr>
          <w:rFonts w:eastAsia="Calibri"/>
          <w:lang w:eastAsia="en-US"/>
        </w:rPr>
        <w:t xml:space="preserve">The results of the groundwater modelling are presented in the table below. The PEC represents the concentration added to the groundwater as a result of treatment with </w:t>
      </w:r>
      <w:r w:rsidRPr="00B65D57">
        <w:rPr>
          <w:rFonts w:eastAsia="Calibri"/>
          <w:lang w:eastAsia="en-US"/>
        </w:rPr>
        <w:lastRenderedPageBreak/>
        <w:t>Jerbor.</w:t>
      </w:r>
      <w:r w:rsidRPr="00B65D57">
        <w:t xml:space="preserve"> T</w:t>
      </w:r>
      <w:r w:rsidRPr="00B65D57">
        <w:rPr>
          <w:rFonts w:eastAsia="Calibri"/>
          <w:lang w:eastAsia="en-US"/>
        </w:rPr>
        <w:t xml:space="preserve">he groundwater modelling estimates the mean concentration of boron within 50 cm from the treatment zone vertically and horizontally (the same approach as in the method described in OECD, 2013). Please refer to Annex 3.3 for screen shots of the input and output values of the simulations. </w:t>
      </w:r>
    </w:p>
    <w:p w14:paraId="7685BD43" w14:textId="77777777" w:rsidR="009E404F" w:rsidRPr="00B65D57" w:rsidRDefault="009E404F" w:rsidP="009E404F">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5"/>
        <w:gridCol w:w="2829"/>
      </w:tblGrid>
      <w:tr w:rsidR="009E404F" w:rsidRPr="00B65D57" w14:paraId="2B9817E7" w14:textId="77777777" w:rsidTr="00DE498C">
        <w:trPr>
          <w:trHeight w:val="249"/>
        </w:trPr>
        <w:tc>
          <w:tcPr>
            <w:tcW w:w="5000" w:type="pct"/>
            <w:gridSpan w:val="2"/>
            <w:shd w:val="clear" w:color="auto" w:fill="F8FEC2"/>
            <w:vAlign w:val="center"/>
          </w:tcPr>
          <w:p w14:paraId="03BAAD54" w14:textId="77777777" w:rsidR="009E404F" w:rsidRPr="00B65D57" w:rsidRDefault="009E404F" w:rsidP="00DE498C">
            <w:pPr>
              <w:spacing w:line="260" w:lineRule="atLeast"/>
              <w:jc w:val="center"/>
              <w:rPr>
                <w:rFonts w:eastAsia="Calibri" w:cs="Arial"/>
                <w:b/>
                <w:bCs/>
                <w:sz w:val="18"/>
                <w:szCs w:val="18"/>
                <w:lang w:eastAsia="en-GB"/>
              </w:rPr>
            </w:pPr>
            <w:r w:rsidRPr="00B65D57">
              <w:rPr>
                <w:rFonts w:eastAsia="Calibri"/>
                <w:b/>
                <w:bCs/>
                <w:sz w:val="18"/>
                <w:szCs w:val="18"/>
                <w:lang w:eastAsia="en-US"/>
              </w:rPr>
              <w:t>Summary table on simulated PEC</w:t>
            </w:r>
            <w:r w:rsidRPr="00B65D57">
              <w:rPr>
                <w:rFonts w:eastAsia="Calibri"/>
                <w:b/>
                <w:bCs/>
                <w:sz w:val="18"/>
                <w:szCs w:val="18"/>
                <w:vertAlign w:val="subscript"/>
                <w:lang w:eastAsia="en-US"/>
              </w:rPr>
              <w:t>gw</w:t>
            </w:r>
            <w:r w:rsidRPr="00B65D57">
              <w:rPr>
                <w:rFonts w:eastAsia="Calibri"/>
                <w:b/>
                <w:bCs/>
                <w:sz w:val="18"/>
                <w:szCs w:val="18"/>
                <w:lang w:eastAsia="en-US"/>
              </w:rPr>
              <w:t xml:space="preserve"> values</w:t>
            </w:r>
          </w:p>
        </w:tc>
      </w:tr>
      <w:tr w:rsidR="009E404F" w:rsidRPr="00B65D57" w14:paraId="62B7FC8D" w14:textId="77777777" w:rsidTr="00DE498C">
        <w:trPr>
          <w:trHeight w:val="249"/>
        </w:trPr>
        <w:tc>
          <w:tcPr>
            <w:tcW w:w="3463" w:type="pct"/>
            <w:vMerge w:val="restart"/>
            <w:shd w:val="clear" w:color="auto" w:fill="F8FEC2"/>
            <w:vAlign w:val="center"/>
          </w:tcPr>
          <w:p w14:paraId="04D9CF17" w14:textId="77777777" w:rsidR="009E404F" w:rsidRPr="00B65D57" w:rsidRDefault="009E404F" w:rsidP="00DE498C">
            <w:pPr>
              <w:spacing w:before="60" w:after="60" w:line="276" w:lineRule="auto"/>
              <w:jc w:val="center"/>
              <w:rPr>
                <w:rFonts w:eastAsia="Calibri" w:cs="Arial"/>
                <w:b/>
                <w:bCs/>
                <w:sz w:val="18"/>
                <w:szCs w:val="18"/>
                <w:lang w:eastAsia="en-GB"/>
              </w:rPr>
            </w:pPr>
            <w:r w:rsidRPr="00B65D57">
              <w:rPr>
                <w:rFonts w:eastAsia="Calibri" w:cs="Arial"/>
                <w:b/>
                <w:bCs/>
                <w:sz w:val="18"/>
                <w:szCs w:val="18"/>
                <w:lang w:eastAsia="en-GB"/>
              </w:rPr>
              <w:t>Scenario</w:t>
            </w:r>
          </w:p>
        </w:tc>
        <w:tc>
          <w:tcPr>
            <w:tcW w:w="1537" w:type="pct"/>
            <w:shd w:val="clear" w:color="auto" w:fill="F8FEC2"/>
            <w:vAlign w:val="center"/>
          </w:tcPr>
          <w:p w14:paraId="32EA547D" w14:textId="77777777" w:rsidR="009E404F" w:rsidRPr="00B65D57" w:rsidRDefault="009E404F" w:rsidP="00DE498C">
            <w:pPr>
              <w:spacing w:before="60" w:after="60"/>
              <w:jc w:val="center"/>
              <w:rPr>
                <w:rFonts w:eastAsia="Calibri" w:cs="Arial"/>
                <w:sz w:val="18"/>
                <w:szCs w:val="18"/>
                <w:lang w:eastAsia="en-GB"/>
              </w:rPr>
            </w:pPr>
            <w:r w:rsidRPr="00B65D57">
              <w:rPr>
                <w:rFonts w:eastAsia="Calibri" w:cs="Arial"/>
                <w:b/>
                <w:bCs/>
                <w:sz w:val="18"/>
                <w:szCs w:val="18"/>
                <w:lang w:eastAsia="en-GB"/>
              </w:rPr>
              <w:t>PEC</w:t>
            </w:r>
            <w:r w:rsidRPr="00B65D57">
              <w:rPr>
                <w:rFonts w:eastAsia="Calibri" w:cs="Arial"/>
                <w:b/>
                <w:bCs/>
                <w:sz w:val="18"/>
                <w:szCs w:val="18"/>
                <w:vertAlign w:val="subscript"/>
                <w:lang w:eastAsia="en-GB"/>
              </w:rPr>
              <w:t>add, gw</w:t>
            </w:r>
          </w:p>
        </w:tc>
      </w:tr>
      <w:tr w:rsidR="009E404F" w:rsidRPr="00B65D57" w14:paraId="7813BC30" w14:textId="77777777" w:rsidTr="00DE498C">
        <w:trPr>
          <w:trHeight w:val="249"/>
        </w:trPr>
        <w:tc>
          <w:tcPr>
            <w:tcW w:w="3463" w:type="pct"/>
            <w:vMerge/>
            <w:vAlign w:val="center"/>
          </w:tcPr>
          <w:p w14:paraId="47608F74" w14:textId="77777777" w:rsidR="009E404F" w:rsidRPr="00B65D57" w:rsidRDefault="009E404F" w:rsidP="00DE498C">
            <w:pPr>
              <w:spacing w:before="60" w:after="60" w:line="276" w:lineRule="auto"/>
              <w:jc w:val="center"/>
              <w:rPr>
                <w:rFonts w:eastAsia="Calibri" w:cs="Arial"/>
                <w:b/>
                <w:bCs/>
                <w:sz w:val="18"/>
                <w:szCs w:val="18"/>
                <w:lang w:eastAsia="en-GB"/>
              </w:rPr>
            </w:pPr>
          </w:p>
        </w:tc>
        <w:tc>
          <w:tcPr>
            <w:tcW w:w="1537" w:type="pct"/>
            <w:shd w:val="clear" w:color="auto" w:fill="F8FEC2"/>
            <w:vAlign w:val="bottom"/>
          </w:tcPr>
          <w:p w14:paraId="5E6C3400" w14:textId="77777777" w:rsidR="009E404F" w:rsidRPr="00B65D57" w:rsidRDefault="009E404F" w:rsidP="00DE498C">
            <w:pPr>
              <w:spacing w:before="60" w:after="60"/>
              <w:jc w:val="center"/>
              <w:rPr>
                <w:rFonts w:eastAsia="Calibri" w:cs="Arial"/>
                <w:sz w:val="16"/>
                <w:szCs w:val="16"/>
                <w:lang w:eastAsia="en-GB"/>
              </w:rPr>
            </w:pPr>
            <w:r w:rsidRPr="00B65D57">
              <w:rPr>
                <w:rFonts w:eastAsia="Calibri" w:cs="Arial"/>
                <w:bCs/>
                <w:color w:val="000000"/>
                <w:sz w:val="16"/>
                <w:szCs w:val="16"/>
                <w:lang w:eastAsia="en-GB"/>
              </w:rPr>
              <w:t>[mg B/L]</w:t>
            </w:r>
          </w:p>
        </w:tc>
      </w:tr>
      <w:tr w:rsidR="009E404F" w:rsidRPr="00B65D57" w14:paraId="5E860456" w14:textId="77777777" w:rsidTr="00DE498C">
        <w:trPr>
          <w:trHeight w:val="75"/>
        </w:trPr>
        <w:tc>
          <w:tcPr>
            <w:tcW w:w="3463" w:type="pct"/>
            <w:shd w:val="clear" w:color="auto" w:fill="FFFFFF" w:themeFill="background1"/>
          </w:tcPr>
          <w:p w14:paraId="282775A0" w14:textId="77777777" w:rsidR="009E404F" w:rsidRPr="00B65D57" w:rsidRDefault="009E404F" w:rsidP="00DE498C">
            <w:pPr>
              <w:spacing w:before="60" w:after="60" w:line="276" w:lineRule="auto"/>
              <w:rPr>
                <w:rFonts w:eastAsia="Calibri" w:cs="Arial"/>
                <w:sz w:val="18"/>
                <w:szCs w:val="18"/>
                <w:lang w:eastAsia="en-GB"/>
              </w:rPr>
            </w:pPr>
            <w:r w:rsidRPr="00B65D57">
              <w:rPr>
                <w:rFonts w:eastAsia="Calibri" w:cs="Arial"/>
                <w:b/>
                <w:bCs/>
                <w:sz w:val="18"/>
                <w:szCs w:val="18"/>
                <w:lang w:eastAsia="en-GB"/>
              </w:rPr>
              <w:t>Scenario 1B (foundation wall of concrete) – boron vertical and horizontal dispersal with groundwater in the filling material to the point of discharge/drainage (0- 30 years)</w:t>
            </w:r>
            <w:r w:rsidRPr="00B65D57">
              <w:rPr>
                <w:rFonts w:eastAsia="Calibri" w:cs="Arial"/>
                <w:sz w:val="18"/>
                <w:szCs w:val="18"/>
                <w:lang w:eastAsia="en-GB"/>
              </w:rPr>
              <w:t>. The ground water table is assumed to be above the point of drainage. This scenario is expected to result in a lower dispersion of borates to the drainage point than the corresponding scenario of the treatment zone under the stone foundation (1K) due to the fact that dispersion and transport in Scenario 1B occurs only through the filling material around the building and not via the permeable stone foundation. Since the treatment scenario of the concrete foundation wall is by far the most common treatment case it was considered important to assess that case.</w:t>
            </w:r>
          </w:p>
        </w:tc>
        <w:tc>
          <w:tcPr>
            <w:tcW w:w="1537" w:type="pct"/>
          </w:tcPr>
          <w:p w14:paraId="0CD83C17" w14:textId="77777777" w:rsidR="009E404F" w:rsidRPr="00B65D57" w:rsidRDefault="009E404F" w:rsidP="00DE498C">
            <w:pPr>
              <w:spacing w:before="60" w:after="60"/>
              <w:rPr>
                <w:rFonts w:eastAsia="Calibri" w:cs="Arial"/>
                <w:sz w:val="18"/>
                <w:szCs w:val="18"/>
                <w:lang w:eastAsia="en-GB"/>
              </w:rPr>
            </w:pPr>
            <w:r w:rsidRPr="00B65D57">
              <w:rPr>
                <w:rFonts w:eastAsia="Calibri" w:cs="Arial"/>
                <w:sz w:val="18"/>
                <w:szCs w:val="18"/>
                <w:lang w:eastAsia="en-GB"/>
              </w:rPr>
              <w:t>0</w:t>
            </w:r>
          </w:p>
        </w:tc>
      </w:tr>
      <w:tr w:rsidR="009E404F" w:rsidRPr="00FE19C9" w14:paraId="50E9BED8" w14:textId="77777777" w:rsidTr="00DE498C">
        <w:trPr>
          <w:trHeight w:val="75"/>
        </w:trPr>
        <w:tc>
          <w:tcPr>
            <w:tcW w:w="3463" w:type="pct"/>
            <w:shd w:val="clear" w:color="auto" w:fill="FFFFFF" w:themeFill="background1"/>
          </w:tcPr>
          <w:p w14:paraId="56614A1B" w14:textId="77777777" w:rsidR="009E404F" w:rsidRPr="00B65D57" w:rsidRDefault="009E404F" w:rsidP="00DE498C">
            <w:pPr>
              <w:spacing w:before="60" w:after="60" w:line="276" w:lineRule="auto"/>
              <w:rPr>
                <w:rFonts w:eastAsia="Calibri" w:cs="Arial"/>
                <w:sz w:val="18"/>
                <w:szCs w:val="18"/>
                <w:lang w:eastAsia="en-GB"/>
              </w:rPr>
            </w:pPr>
            <w:r w:rsidRPr="00B65D57">
              <w:rPr>
                <w:rFonts w:eastAsia="Calibri" w:cs="Arial"/>
                <w:b/>
                <w:bCs/>
                <w:sz w:val="18"/>
                <w:szCs w:val="18"/>
                <w:lang w:eastAsia="en-GB"/>
              </w:rPr>
              <w:t>Scenario 2B - boron horizontal dispersal with groundwater in clay</w:t>
            </w:r>
            <w:r w:rsidRPr="00B65D57">
              <w:rPr>
                <w:rFonts w:eastAsia="Calibri" w:cs="Arial"/>
                <w:sz w:val="18"/>
                <w:szCs w:val="18"/>
                <w:lang w:eastAsia="en-GB"/>
              </w:rPr>
              <w:t xml:space="preserve"> 0-50 cm from the treatment zone (10 days, the dispersal front has reached &lt;6 cm)</w:t>
            </w:r>
          </w:p>
        </w:tc>
        <w:tc>
          <w:tcPr>
            <w:tcW w:w="1537" w:type="pct"/>
          </w:tcPr>
          <w:p w14:paraId="6D64D91A" w14:textId="77777777" w:rsidR="009E404F" w:rsidRPr="00325E28" w:rsidRDefault="009E404F" w:rsidP="00DE498C">
            <w:pPr>
              <w:spacing w:before="60" w:after="60"/>
              <w:rPr>
                <w:rFonts w:eastAsia="Calibri" w:cs="Arial"/>
                <w:sz w:val="18"/>
                <w:szCs w:val="18"/>
                <w:lang w:val="da-DK" w:eastAsia="en-GB"/>
              </w:rPr>
            </w:pPr>
            <w:r w:rsidRPr="00325E28">
              <w:rPr>
                <w:rFonts w:eastAsia="Calibri" w:cs="Arial"/>
                <w:sz w:val="18"/>
                <w:szCs w:val="18"/>
                <w:lang w:val="da-DK" w:eastAsia="en-GB"/>
              </w:rPr>
              <w:t>15.7 mg B/L (89.8 mg BAE/L)</w:t>
            </w:r>
          </w:p>
        </w:tc>
      </w:tr>
      <w:tr w:rsidR="009E404F" w:rsidRPr="00B65D57" w14:paraId="4A598616" w14:textId="77777777" w:rsidTr="00DE498C">
        <w:trPr>
          <w:trHeight w:val="75"/>
        </w:trPr>
        <w:tc>
          <w:tcPr>
            <w:tcW w:w="3463" w:type="pct"/>
            <w:shd w:val="clear" w:color="auto" w:fill="FFFFFF" w:themeFill="background1"/>
          </w:tcPr>
          <w:p w14:paraId="324B3CCF" w14:textId="77777777" w:rsidR="009E404F" w:rsidRPr="00B65D57" w:rsidRDefault="009E404F" w:rsidP="00DE498C">
            <w:pPr>
              <w:spacing w:before="60" w:after="60" w:line="276" w:lineRule="auto"/>
              <w:rPr>
                <w:rFonts w:eastAsia="Calibri" w:cs="Arial"/>
                <w:sz w:val="18"/>
                <w:szCs w:val="18"/>
                <w:lang w:eastAsia="en-GB"/>
              </w:rPr>
            </w:pPr>
            <w:r w:rsidRPr="00B65D57">
              <w:rPr>
                <w:rFonts w:eastAsia="Calibri" w:cs="Arial"/>
                <w:b/>
                <w:bCs/>
                <w:sz w:val="18"/>
                <w:szCs w:val="18"/>
                <w:lang w:eastAsia="en-GB"/>
              </w:rPr>
              <w:t xml:space="preserve">Scenario 2B – boron horizontal dispersal with groundwater in clay </w:t>
            </w:r>
            <w:r w:rsidRPr="00B65D57">
              <w:rPr>
                <w:rFonts w:eastAsia="Calibri" w:cs="Arial"/>
                <w:sz w:val="18"/>
                <w:szCs w:val="18"/>
                <w:lang w:eastAsia="en-GB"/>
              </w:rPr>
              <w:t>6-50 cm from the treatment zone (after 30 years). After 30 years boron horizontal dispersal front has reached 6 cm from the treatment zone. This scenario covers boron horizontal dispersal in 1K</w:t>
            </w:r>
          </w:p>
        </w:tc>
        <w:tc>
          <w:tcPr>
            <w:tcW w:w="1537" w:type="pct"/>
          </w:tcPr>
          <w:p w14:paraId="0B68B0F6" w14:textId="77777777" w:rsidR="009E404F" w:rsidRPr="00B65D57" w:rsidRDefault="009E404F" w:rsidP="00DE498C">
            <w:pPr>
              <w:spacing w:before="60" w:after="60"/>
              <w:rPr>
                <w:rFonts w:eastAsia="Calibri" w:cs="Arial"/>
                <w:sz w:val="18"/>
                <w:szCs w:val="18"/>
                <w:lang w:eastAsia="en-GB"/>
              </w:rPr>
            </w:pPr>
            <w:r w:rsidRPr="00B65D57">
              <w:rPr>
                <w:rFonts w:eastAsia="Calibri" w:cs="Arial"/>
                <w:sz w:val="18"/>
                <w:szCs w:val="18"/>
                <w:lang w:eastAsia="en-GB"/>
              </w:rPr>
              <w:t>0</w:t>
            </w:r>
          </w:p>
        </w:tc>
      </w:tr>
      <w:tr w:rsidR="009E404F" w:rsidRPr="00FE19C9" w14:paraId="6F7B6E03" w14:textId="77777777" w:rsidTr="00DE498C">
        <w:trPr>
          <w:trHeight w:val="75"/>
        </w:trPr>
        <w:tc>
          <w:tcPr>
            <w:tcW w:w="3463" w:type="pct"/>
            <w:shd w:val="clear" w:color="auto" w:fill="FFFFFF" w:themeFill="background1"/>
          </w:tcPr>
          <w:p w14:paraId="6779E716" w14:textId="77777777" w:rsidR="009E404F" w:rsidRPr="00B65D57" w:rsidRDefault="009E404F" w:rsidP="00DE498C">
            <w:pPr>
              <w:spacing w:before="60" w:after="60" w:line="276" w:lineRule="auto"/>
              <w:rPr>
                <w:rFonts w:eastAsia="Calibri" w:cs="Arial"/>
                <w:sz w:val="18"/>
                <w:szCs w:val="18"/>
                <w:lang w:eastAsia="en-GB"/>
              </w:rPr>
            </w:pPr>
            <w:r w:rsidRPr="00B65D57">
              <w:rPr>
                <w:rFonts w:eastAsia="Calibri" w:cs="Arial"/>
                <w:b/>
                <w:bCs/>
                <w:sz w:val="18"/>
                <w:szCs w:val="18"/>
                <w:lang w:eastAsia="en-GB"/>
              </w:rPr>
              <w:t>Scenario 2B - boron vertical dispersal (downward) with groundwater in clay</w:t>
            </w:r>
            <w:r w:rsidRPr="00B65D57">
              <w:rPr>
                <w:rFonts w:eastAsia="Calibri" w:cs="Arial"/>
                <w:sz w:val="18"/>
                <w:szCs w:val="18"/>
                <w:lang w:eastAsia="en-GB"/>
              </w:rPr>
              <w:t xml:space="preserve"> 0-50 cm from the treatment zone (10 days, the dispersal front has reached &lt;3 cm). The scenario assumes a groundwater table above the drainage point in combination with the highest initial concentration and hence the calculated dispersion and transport of borates vertically down to clay layers is considered the worst-case scenario and covers vertical dispersal in 1K.</w:t>
            </w:r>
          </w:p>
        </w:tc>
        <w:tc>
          <w:tcPr>
            <w:tcW w:w="1537" w:type="pct"/>
          </w:tcPr>
          <w:p w14:paraId="4AA322D0" w14:textId="77777777" w:rsidR="009E404F" w:rsidRPr="00325E28" w:rsidRDefault="009E404F" w:rsidP="00DE498C">
            <w:pPr>
              <w:spacing w:before="60" w:after="60"/>
              <w:rPr>
                <w:rFonts w:eastAsia="Calibri" w:cs="Arial"/>
                <w:sz w:val="18"/>
                <w:szCs w:val="18"/>
                <w:lang w:val="da-DK" w:eastAsia="en-GB"/>
              </w:rPr>
            </w:pPr>
            <w:r w:rsidRPr="00325E28">
              <w:rPr>
                <w:rFonts w:eastAsia="Calibri" w:cs="Arial"/>
                <w:sz w:val="18"/>
                <w:szCs w:val="18"/>
                <w:lang w:val="da-DK" w:eastAsia="en-GB"/>
              </w:rPr>
              <w:t>73.5 mg B/L (420.5 mg BAE/L)</w:t>
            </w:r>
          </w:p>
        </w:tc>
      </w:tr>
      <w:tr w:rsidR="009E404F" w:rsidRPr="00B65D57" w14:paraId="5F278818" w14:textId="77777777" w:rsidTr="00DE498C">
        <w:trPr>
          <w:trHeight w:val="75"/>
        </w:trPr>
        <w:tc>
          <w:tcPr>
            <w:tcW w:w="3463" w:type="pct"/>
            <w:shd w:val="clear" w:color="auto" w:fill="FFFFFF" w:themeFill="background1"/>
          </w:tcPr>
          <w:p w14:paraId="6D384ADE" w14:textId="77777777" w:rsidR="009E404F" w:rsidRPr="00B65D57" w:rsidRDefault="009E404F" w:rsidP="00DE498C">
            <w:pPr>
              <w:spacing w:before="60" w:after="60" w:line="276" w:lineRule="auto"/>
              <w:rPr>
                <w:rFonts w:eastAsia="Calibri" w:cs="Arial"/>
                <w:sz w:val="18"/>
                <w:szCs w:val="18"/>
                <w:lang w:eastAsia="en-GB"/>
              </w:rPr>
            </w:pPr>
            <w:r w:rsidRPr="00B65D57">
              <w:rPr>
                <w:rFonts w:eastAsia="Calibri"/>
                <w:b/>
                <w:bCs/>
                <w:sz w:val="18"/>
                <w:szCs w:val="18"/>
                <w:lang w:eastAsia="en-US"/>
              </w:rPr>
              <w:t xml:space="preserve">Scenario 2B – boron vertical dispersal (downward) with groundwater in clay </w:t>
            </w:r>
            <w:r w:rsidRPr="00B65D57">
              <w:rPr>
                <w:rFonts w:eastAsia="Calibri"/>
                <w:sz w:val="18"/>
                <w:szCs w:val="18"/>
                <w:lang w:eastAsia="en-US"/>
              </w:rPr>
              <w:t xml:space="preserve">12-50 cm from the treatment zone (after 30 years). </w:t>
            </w:r>
            <w:r w:rsidRPr="00B65D57">
              <w:rPr>
                <w:rFonts w:eastAsia="Calibri" w:cs="Arial"/>
                <w:sz w:val="18"/>
                <w:szCs w:val="18"/>
                <w:lang w:eastAsia="en-GB"/>
              </w:rPr>
              <w:t>After 30 years boron dispersal front with concentrations above the PNEC</w:t>
            </w:r>
            <w:r w:rsidRPr="00B65D57">
              <w:rPr>
                <w:rFonts w:eastAsia="Calibri" w:cs="Arial"/>
                <w:sz w:val="18"/>
                <w:szCs w:val="18"/>
                <w:vertAlign w:val="subscript"/>
                <w:lang w:eastAsia="en-GB"/>
              </w:rPr>
              <w:t xml:space="preserve">add, gw </w:t>
            </w:r>
            <w:r w:rsidRPr="00B65D57">
              <w:rPr>
                <w:rFonts w:eastAsia="Calibri" w:cs="Arial"/>
                <w:sz w:val="18"/>
                <w:szCs w:val="18"/>
                <w:lang w:eastAsia="en-GB"/>
              </w:rPr>
              <w:t>has reached 12 cm from the treatment zone.</w:t>
            </w:r>
          </w:p>
        </w:tc>
        <w:tc>
          <w:tcPr>
            <w:tcW w:w="1537" w:type="pct"/>
          </w:tcPr>
          <w:p w14:paraId="239D2880" w14:textId="77777777" w:rsidR="009E404F" w:rsidRPr="00B65D57" w:rsidRDefault="009E404F" w:rsidP="00DE498C">
            <w:pPr>
              <w:spacing w:before="60" w:after="60"/>
              <w:rPr>
                <w:rFonts w:eastAsia="Calibri" w:cs="Arial"/>
                <w:sz w:val="18"/>
                <w:szCs w:val="18"/>
                <w:lang w:eastAsia="en-GB"/>
              </w:rPr>
            </w:pPr>
            <w:r w:rsidRPr="00B65D57">
              <w:rPr>
                <w:rFonts w:eastAsia="Calibri" w:cs="Arial"/>
                <w:sz w:val="18"/>
                <w:szCs w:val="18"/>
                <w:lang w:eastAsia="en-GB"/>
              </w:rPr>
              <w:t>0</w:t>
            </w:r>
          </w:p>
        </w:tc>
      </w:tr>
      <w:tr w:rsidR="009E404F" w:rsidRPr="00B65D57" w14:paraId="3BA18EFF" w14:textId="77777777" w:rsidTr="00DE498C">
        <w:trPr>
          <w:trHeight w:val="75"/>
        </w:trPr>
        <w:tc>
          <w:tcPr>
            <w:tcW w:w="3463" w:type="pct"/>
            <w:shd w:val="clear" w:color="auto" w:fill="FFFFFF" w:themeFill="background1"/>
          </w:tcPr>
          <w:p w14:paraId="0A9CF982" w14:textId="77777777" w:rsidR="009E404F" w:rsidRPr="00B65D57" w:rsidRDefault="009E404F" w:rsidP="00DE498C">
            <w:pPr>
              <w:spacing w:before="60" w:after="60" w:line="276" w:lineRule="auto"/>
              <w:rPr>
                <w:rFonts w:eastAsia="Calibri" w:cs="Arial"/>
                <w:b/>
                <w:bCs/>
                <w:sz w:val="18"/>
                <w:szCs w:val="18"/>
                <w:lang w:eastAsia="en-GB"/>
              </w:rPr>
            </w:pPr>
            <w:r w:rsidRPr="00B65D57">
              <w:rPr>
                <w:rFonts w:eastAsia="Calibri" w:cs="Arial"/>
                <w:b/>
                <w:bCs/>
                <w:sz w:val="18"/>
                <w:szCs w:val="18"/>
                <w:lang w:eastAsia="en-GB"/>
              </w:rPr>
              <w:t>Scenario 1K – boron vertical and horizontal dispersal with groundwater in the filling material and the stone foundation crevices to the point of discharge/drainage (0- 30 years)</w:t>
            </w:r>
          </w:p>
        </w:tc>
        <w:tc>
          <w:tcPr>
            <w:tcW w:w="1537" w:type="pct"/>
          </w:tcPr>
          <w:p w14:paraId="431C9C36" w14:textId="77777777" w:rsidR="009E404F" w:rsidRPr="00B65D57" w:rsidRDefault="009E404F" w:rsidP="00DE498C">
            <w:pPr>
              <w:spacing w:before="60" w:after="60"/>
              <w:rPr>
                <w:rFonts w:eastAsia="Calibri" w:cs="Arial"/>
                <w:sz w:val="18"/>
                <w:szCs w:val="18"/>
                <w:lang w:eastAsia="en-GB"/>
              </w:rPr>
            </w:pPr>
            <w:r w:rsidRPr="00B65D57">
              <w:rPr>
                <w:rFonts w:eastAsia="Calibri" w:cs="Arial"/>
                <w:sz w:val="18"/>
                <w:szCs w:val="18"/>
                <w:lang w:eastAsia="en-GB"/>
              </w:rPr>
              <w:t>0</w:t>
            </w:r>
          </w:p>
        </w:tc>
      </w:tr>
    </w:tbl>
    <w:p w14:paraId="3FF79C23" w14:textId="77777777" w:rsidR="009E404F" w:rsidRPr="00B65D57" w:rsidRDefault="009E404F" w:rsidP="009E404F">
      <w:pPr>
        <w:spacing w:line="260" w:lineRule="atLeast"/>
        <w:rPr>
          <w:rFonts w:ascii="Times New Roman" w:eastAsia="Calibri" w:hAnsi="Times New Roman"/>
          <w:lang w:eastAsia="en-US"/>
        </w:rPr>
      </w:pPr>
    </w:p>
    <w:p w14:paraId="192DB9D8" w14:textId="77777777" w:rsidR="009E404F" w:rsidRPr="00B65D57" w:rsidRDefault="009E404F" w:rsidP="009E404F">
      <w:pPr>
        <w:spacing w:line="260" w:lineRule="atLeast"/>
        <w:rPr>
          <w:rFonts w:eastAsia="Calibri"/>
          <w:b/>
          <w:i/>
          <w:lang w:eastAsia="en-US"/>
        </w:rPr>
      </w:pPr>
      <w:r w:rsidRPr="00B65D57">
        <w:rPr>
          <w:rFonts w:eastAsia="Calibri"/>
          <w:b/>
          <w:i/>
          <w:lang w:eastAsia="en-US"/>
        </w:rPr>
        <w:t>Scenario 1B</w:t>
      </w:r>
    </w:p>
    <w:p w14:paraId="0A3F3FC1" w14:textId="77777777" w:rsidR="009E404F" w:rsidRPr="00B65D57" w:rsidRDefault="009E404F" w:rsidP="009E404F">
      <w:pPr>
        <w:spacing w:line="260" w:lineRule="atLeast"/>
        <w:rPr>
          <w:rFonts w:eastAsia="Calibri"/>
          <w:lang w:eastAsia="en-US"/>
        </w:rPr>
      </w:pPr>
      <w:r w:rsidRPr="00B65D57">
        <w:rPr>
          <w:rFonts w:eastAsia="Calibri"/>
          <w:lang w:eastAsia="en-US"/>
        </w:rPr>
        <w:t>The simulation for scenario 1B did not show any increase of boron in shallow, outflowing water at the point of discharge/drainage. Even modelling</w:t>
      </w:r>
      <w:r w:rsidRPr="00B65D57">
        <w:t xml:space="preserve"> </w:t>
      </w:r>
      <w:r w:rsidRPr="00B65D57">
        <w:rPr>
          <w:rFonts w:eastAsia="Calibri"/>
          <w:lang w:eastAsia="en-US"/>
        </w:rPr>
        <w:t xml:space="preserve">performed for a longer time span </w:t>
      </w:r>
      <w:r w:rsidRPr="00B65D57">
        <w:rPr>
          <w:rFonts w:eastAsia="Calibri"/>
          <w:lang w:eastAsia="en-US"/>
        </w:rPr>
        <w:lastRenderedPageBreak/>
        <w:t>(30 years) did not show any increase in the concentrations of boron at the point of discharge/drainage.</w:t>
      </w:r>
    </w:p>
    <w:p w14:paraId="377D9001" w14:textId="77777777" w:rsidR="009E404F" w:rsidRPr="00B65D57" w:rsidRDefault="009E404F" w:rsidP="009E404F">
      <w:pPr>
        <w:spacing w:line="260" w:lineRule="atLeast"/>
        <w:rPr>
          <w:rFonts w:eastAsia="Calibri"/>
          <w:lang w:eastAsia="en-US"/>
        </w:rPr>
      </w:pPr>
    </w:p>
    <w:p w14:paraId="670A3560" w14:textId="77777777" w:rsidR="009E404F" w:rsidRPr="00B65D57" w:rsidRDefault="009E404F" w:rsidP="009E404F">
      <w:pPr>
        <w:spacing w:line="260" w:lineRule="atLeast"/>
        <w:rPr>
          <w:rFonts w:eastAsia="Calibri"/>
          <w:b/>
          <w:i/>
          <w:lang w:eastAsia="en-US"/>
        </w:rPr>
      </w:pPr>
      <w:r w:rsidRPr="00B65D57">
        <w:rPr>
          <w:rFonts w:eastAsia="Calibri"/>
          <w:b/>
          <w:i/>
          <w:lang w:eastAsia="en-US"/>
        </w:rPr>
        <w:t>Scenario 2B</w:t>
      </w:r>
    </w:p>
    <w:p w14:paraId="0DAE9ADD" w14:textId="77777777" w:rsidR="009E404F" w:rsidRPr="00B65D57" w:rsidRDefault="009E404F" w:rsidP="009E404F">
      <w:pPr>
        <w:spacing w:line="260" w:lineRule="atLeast"/>
        <w:rPr>
          <w:rFonts w:eastAsia="Calibri"/>
          <w:b/>
          <w:i/>
          <w:lang w:eastAsia="en-US"/>
        </w:rPr>
      </w:pPr>
    </w:p>
    <w:p w14:paraId="7E77D4D7" w14:textId="5CC724D4" w:rsidR="009E404F" w:rsidRPr="00B65D57" w:rsidRDefault="009E404F" w:rsidP="009E404F">
      <w:pPr>
        <w:spacing w:after="160" w:line="259" w:lineRule="auto"/>
      </w:pPr>
      <w:r w:rsidRPr="00B65D57">
        <w:t xml:space="preserve">Transport of boron occurs vertically and horizontally in the clay pore water. This transport results in a very steep concentration gradient with the highest concentrations closest to the depot of Eurobor and then decreasing concentrations with the increasing distance. The mean groundwater concentration in the clay pore water within a 50 cm distance from the Eurobor depot in vertical direction reached maximum 420.5 mg BAE/L (73.5 mg B/L) after 10 days after treatment </w:t>
      </w:r>
      <w:r w:rsidRPr="00B65D57">
        <w:rPr>
          <w:rFonts w:eastAsia="Calibri"/>
          <w:lang w:eastAsia="en-US"/>
        </w:rPr>
        <w:t>(Annex 3.3.</w:t>
      </w:r>
      <w:r w:rsidR="00B35CAE" w:rsidRPr="00B65D57">
        <w:rPr>
          <w:rFonts w:eastAsia="Calibri"/>
          <w:lang w:eastAsia="en-US"/>
        </w:rPr>
        <w:t>3</w:t>
      </w:r>
      <w:r w:rsidRPr="00B65D57">
        <w:rPr>
          <w:rFonts w:eastAsia="Calibri"/>
          <w:lang w:eastAsia="en-US"/>
        </w:rPr>
        <w:t>, Figure 3.</w:t>
      </w:r>
      <w:r w:rsidR="00B35CAE" w:rsidRPr="00B65D57">
        <w:rPr>
          <w:rFonts w:eastAsia="Calibri"/>
          <w:lang w:eastAsia="en-US"/>
        </w:rPr>
        <w:t>3</w:t>
      </w:r>
      <w:r w:rsidRPr="00B65D57">
        <w:rPr>
          <w:rFonts w:eastAsia="Calibri"/>
          <w:lang w:eastAsia="en-US"/>
        </w:rPr>
        <w:t>.</w:t>
      </w:r>
      <w:r w:rsidR="00B35CAE" w:rsidRPr="00B65D57">
        <w:rPr>
          <w:rFonts w:eastAsia="Calibri"/>
          <w:lang w:eastAsia="en-US"/>
        </w:rPr>
        <w:t>3-</w:t>
      </w:r>
      <w:r w:rsidRPr="00B65D57">
        <w:rPr>
          <w:rFonts w:eastAsia="Calibri"/>
          <w:lang w:eastAsia="en-US"/>
        </w:rPr>
        <w:t>1)</w:t>
      </w:r>
      <w:r w:rsidRPr="00B65D57">
        <w:t xml:space="preserve"> and after 1 year significantly decreased (</w:t>
      </w:r>
      <w:r w:rsidR="00B35CAE" w:rsidRPr="00B65D57">
        <w:rPr>
          <w:rFonts w:eastAsia="Calibri"/>
          <w:lang w:eastAsia="en-US"/>
        </w:rPr>
        <w:t xml:space="preserve">Annex 3.3.3, Figure 3.3.3-2 and </w:t>
      </w:r>
      <w:r w:rsidRPr="00B65D57">
        <w:t xml:space="preserve">Joodaki &amp; Vickman, 2020, §6.2, Fig. 8). The distribution of boron in pore water in horizontal direction within a 50 cm layer has resulted in a maximum value of mean groundwater concentration of </w:t>
      </w:r>
      <w:r w:rsidR="00662DCD" w:rsidRPr="00B65D57">
        <w:rPr>
          <w:rFonts w:eastAsia="Calibri"/>
          <w:lang w:eastAsia="en-US"/>
        </w:rPr>
        <w:t xml:space="preserve">89.8 mg BAE/L </w:t>
      </w:r>
      <w:r w:rsidRPr="00B65D57">
        <w:rPr>
          <w:rFonts w:eastAsia="Calibri"/>
          <w:lang w:eastAsia="en-US"/>
        </w:rPr>
        <w:t>(</w:t>
      </w:r>
      <w:r w:rsidR="00662DCD" w:rsidRPr="00B65D57">
        <w:rPr>
          <w:rFonts w:eastAsia="Calibri"/>
          <w:lang w:eastAsia="en-US"/>
        </w:rPr>
        <w:t>15.7 mg B/L</w:t>
      </w:r>
      <w:r w:rsidRPr="00B65D57">
        <w:rPr>
          <w:rFonts w:eastAsia="Calibri"/>
          <w:lang w:eastAsia="en-US"/>
        </w:rPr>
        <w:t>)</w:t>
      </w:r>
      <w:r w:rsidRPr="00B65D57">
        <w:rPr>
          <w:rFonts w:eastAsia="Calibri"/>
        </w:rPr>
        <w:t xml:space="preserve"> </w:t>
      </w:r>
      <w:r w:rsidRPr="00B65D57">
        <w:t>after 10 days (Joodaki &amp; Vickman, 2020, §6.2, Fig. 11).</w:t>
      </w:r>
    </w:p>
    <w:p w14:paraId="562D4406" w14:textId="77777777" w:rsidR="009E404F" w:rsidRPr="00B65D57" w:rsidRDefault="009E404F" w:rsidP="009E404F">
      <w:pPr>
        <w:spacing w:after="240" w:line="260" w:lineRule="atLeast"/>
        <w:rPr>
          <w:i/>
          <w:iCs/>
        </w:rPr>
      </w:pPr>
      <w:r w:rsidRPr="00B65D57">
        <w:rPr>
          <w:rFonts w:eastAsia="Calibri"/>
          <w:i/>
          <w:iCs/>
          <w:lang w:eastAsia="en-US"/>
        </w:rPr>
        <w:t>According to simulations</w:t>
      </w:r>
      <w:r w:rsidRPr="00B65D57">
        <w:rPr>
          <w:i/>
          <w:iCs/>
        </w:rPr>
        <w:t xml:space="preserve"> performed for a distance of 6-50 cm horizontally and </w:t>
      </w:r>
      <w:r w:rsidRPr="00B65D57">
        <w:rPr>
          <w:rFonts w:eastAsia="Calibri"/>
          <w:i/>
          <w:iCs/>
          <w:lang w:eastAsia="en-US"/>
        </w:rPr>
        <w:t>12-50 cm vertically from the treatment zone, the PEC</w:t>
      </w:r>
      <w:r w:rsidRPr="00B65D57">
        <w:rPr>
          <w:rFonts w:eastAsia="Calibri"/>
          <w:i/>
          <w:iCs/>
          <w:vertAlign w:val="subscript"/>
          <w:lang w:eastAsia="en-US"/>
        </w:rPr>
        <w:t xml:space="preserve">add, gw </w:t>
      </w:r>
      <w:r w:rsidRPr="00B65D57">
        <w:rPr>
          <w:rFonts w:eastAsia="Calibri"/>
          <w:i/>
          <w:iCs/>
          <w:lang w:eastAsia="en-US"/>
        </w:rPr>
        <w:t xml:space="preserve">was 0 mg B/L over a 30-year time span due to the low permeability of the soil/clay. </w:t>
      </w:r>
    </w:p>
    <w:p w14:paraId="21978734" w14:textId="77777777" w:rsidR="009E404F" w:rsidRPr="00B65D57" w:rsidRDefault="009E404F" w:rsidP="009E404F">
      <w:pPr>
        <w:spacing w:after="240"/>
      </w:pPr>
      <w:r w:rsidRPr="00B65D57">
        <w:t>In conclusion, the worst-case groundwater concentration in the clay (PECgw-clay) right beneath the treatment zone is 420.5 mg BAE/L (73.5 mg B/L). This concentration represents the concentration added to the groundwater as a result of treatment with Eurobor.</w:t>
      </w:r>
    </w:p>
    <w:tbl>
      <w:tblPr>
        <w:tblW w:w="9330" w:type="dxa"/>
        <w:tblInd w:w="-4" w:type="dxa"/>
        <w:tblCellMar>
          <w:left w:w="0" w:type="dxa"/>
          <w:right w:w="0" w:type="dxa"/>
        </w:tblCellMar>
        <w:tblLook w:val="04A0" w:firstRow="1" w:lastRow="0" w:firstColumn="1" w:lastColumn="0" w:noHBand="0" w:noVBand="1"/>
      </w:tblPr>
      <w:tblGrid>
        <w:gridCol w:w="1956"/>
        <w:gridCol w:w="7374"/>
      </w:tblGrid>
      <w:tr w:rsidR="009E404F" w:rsidRPr="00B65D57" w14:paraId="758B39CE" w14:textId="77777777" w:rsidTr="00DE498C">
        <w:tc>
          <w:tcPr>
            <w:tcW w:w="5000" w:type="pct"/>
            <w:gridSpan w:val="2"/>
            <w:tcBorders>
              <w:top w:val="single" w:sz="8" w:space="0" w:color="auto"/>
              <w:left w:val="single" w:sz="8" w:space="0" w:color="auto"/>
              <w:bottom w:val="single" w:sz="8" w:space="0" w:color="auto"/>
              <w:right w:val="single" w:sz="8" w:space="0" w:color="auto"/>
            </w:tcBorders>
            <w:shd w:val="clear" w:color="auto" w:fill="CCFFCC"/>
            <w:tcMar>
              <w:top w:w="0" w:type="dxa"/>
              <w:left w:w="108" w:type="dxa"/>
              <w:bottom w:w="0" w:type="dxa"/>
              <w:right w:w="108" w:type="dxa"/>
            </w:tcMar>
            <w:vAlign w:val="center"/>
            <w:hideMark/>
          </w:tcPr>
          <w:p w14:paraId="4D2A9461" w14:textId="77777777" w:rsidR="009E404F" w:rsidRPr="00B65D57" w:rsidRDefault="009E404F" w:rsidP="00DE498C">
            <w:pPr>
              <w:spacing w:line="260" w:lineRule="atLeast"/>
              <w:rPr>
                <w:rFonts w:eastAsia="Calibri" w:cs="Calibri"/>
                <w:b/>
                <w:bCs/>
                <w:sz w:val="18"/>
                <w:szCs w:val="18"/>
                <w:highlight w:val="yellow"/>
                <w:lang w:eastAsia="en-US"/>
              </w:rPr>
            </w:pPr>
            <w:r w:rsidRPr="00B65D57">
              <w:rPr>
                <w:rFonts w:eastAsia="Calibri" w:cs="Calibri"/>
                <w:b/>
                <w:bCs/>
                <w:sz w:val="18"/>
                <w:szCs w:val="18"/>
                <w:lang w:eastAsia="en-US"/>
              </w:rPr>
              <w:t>Value used in the Risk Assessment – PEC</w:t>
            </w:r>
            <w:r w:rsidRPr="00B65D57">
              <w:rPr>
                <w:rFonts w:eastAsia="Calibri" w:cs="Calibri"/>
                <w:b/>
                <w:bCs/>
                <w:sz w:val="18"/>
                <w:szCs w:val="18"/>
                <w:vertAlign w:val="subscript"/>
                <w:lang w:eastAsia="en-US"/>
              </w:rPr>
              <w:t>add, gw</w:t>
            </w:r>
          </w:p>
        </w:tc>
      </w:tr>
      <w:tr w:rsidR="009E404F" w:rsidRPr="00B65D57" w14:paraId="366EF1C2" w14:textId="77777777" w:rsidTr="00DE498C">
        <w:tc>
          <w:tcPr>
            <w:tcW w:w="10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59B9A" w14:textId="77777777" w:rsidR="009E404F" w:rsidRPr="00B65D57" w:rsidRDefault="009E404F" w:rsidP="00DE498C">
            <w:pPr>
              <w:spacing w:line="260" w:lineRule="atLeast"/>
              <w:rPr>
                <w:rFonts w:eastAsia="Calibri" w:cs="Calibri"/>
                <w:sz w:val="18"/>
                <w:szCs w:val="18"/>
                <w:lang w:eastAsia="en-US"/>
              </w:rPr>
            </w:pPr>
            <w:r w:rsidRPr="00B65D57">
              <w:rPr>
                <w:rFonts w:eastAsia="Calibri" w:cs="Calibri"/>
                <w:sz w:val="18"/>
                <w:szCs w:val="18"/>
                <w:lang w:eastAsia="en-US"/>
              </w:rPr>
              <w:t>Value</w:t>
            </w:r>
          </w:p>
        </w:tc>
        <w:tc>
          <w:tcPr>
            <w:tcW w:w="39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9F683F" w14:textId="77777777" w:rsidR="009E404F" w:rsidRPr="00B65D57" w:rsidRDefault="009E404F" w:rsidP="00DE498C">
            <w:pPr>
              <w:rPr>
                <w:rFonts w:eastAsia="Calibri" w:cs="Calibri"/>
                <w:sz w:val="18"/>
                <w:szCs w:val="18"/>
                <w:lang w:eastAsia="en-US"/>
              </w:rPr>
            </w:pPr>
            <w:r w:rsidRPr="00B65D57">
              <w:rPr>
                <w:rFonts w:eastAsia="Calibri" w:cs="Calibri"/>
                <w:sz w:val="18"/>
                <w:szCs w:val="18"/>
                <w:lang w:eastAsia="en-US"/>
              </w:rPr>
              <w:t>73.5 mg B/L</w:t>
            </w:r>
          </w:p>
        </w:tc>
      </w:tr>
      <w:tr w:rsidR="009E404F" w:rsidRPr="00B65D57" w14:paraId="291E1004" w14:textId="77777777" w:rsidTr="00DE498C">
        <w:tc>
          <w:tcPr>
            <w:tcW w:w="10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3D7425" w14:textId="77777777" w:rsidR="009E404F" w:rsidRPr="00B65D57" w:rsidRDefault="009E404F" w:rsidP="00DE498C">
            <w:pPr>
              <w:spacing w:line="260" w:lineRule="atLeast"/>
              <w:rPr>
                <w:rFonts w:eastAsia="Calibri" w:cs="Calibri"/>
                <w:sz w:val="18"/>
                <w:szCs w:val="18"/>
                <w:lang w:eastAsia="en-US"/>
              </w:rPr>
            </w:pPr>
            <w:r w:rsidRPr="00B65D57">
              <w:rPr>
                <w:rFonts w:eastAsia="Calibri" w:cs="Calibri"/>
                <w:sz w:val="18"/>
                <w:szCs w:val="18"/>
                <w:lang w:eastAsia="en-US"/>
              </w:rPr>
              <w:t>Justification for the selected value</w:t>
            </w:r>
          </w:p>
        </w:tc>
        <w:tc>
          <w:tcPr>
            <w:tcW w:w="39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9D9306" w14:textId="77777777" w:rsidR="009E404F" w:rsidRPr="00B65D57" w:rsidRDefault="009E404F" w:rsidP="00DE498C">
            <w:pPr>
              <w:rPr>
                <w:rFonts w:eastAsia="Calibri" w:cs="Calibri"/>
                <w:sz w:val="18"/>
                <w:szCs w:val="18"/>
                <w:lang w:eastAsia="en-US"/>
              </w:rPr>
            </w:pPr>
            <w:r w:rsidRPr="00B65D57">
              <w:rPr>
                <w:rFonts w:eastAsia="Calibri" w:cs="Calibri"/>
                <w:sz w:val="18"/>
                <w:szCs w:val="18"/>
                <w:lang w:eastAsia="en-US"/>
              </w:rPr>
              <w:t xml:space="preserve">Worst-case value </w:t>
            </w:r>
          </w:p>
        </w:tc>
      </w:tr>
    </w:tbl>
    <w:p w14:paraId="01594432" w14:textId="77777777" w:rsidR="009E404F" w:rsidRPr="00B65D57" w:rsidRDefault="009E404F" w:rsidP="009E404F">
      <w:pPr>
        <w:spacing w:line="260" w:lineRule="atLeast"/>
        <w:rPr>
          <w:rFonts w:eastAsia="Calibri"/>
          <w:b/>
          <w:i/>
          <w:lang w:eastAsia="en-US"/>
        </w:rPr>
      </w:pPr>
    </w:p>
    <w:p w14:paraId="5899E45D" w14:textId="77777777" w:rsidR="009E404F" w:rsidRPr="00B65D57" w:rsidRDefault="009E404F" w:rsidP="009E404F">
      <w:pPr>
        <w:spacing w:after="240" w:line="276" w:lineRule="auto"/>
      </w:pPr>
      <w:r w:rsidRPr="00B65D57">
        <w:t xml:space="preserve">An underlying assumption in the simulation of scenario 2B is that the groundwater table is above the level of the discharge/drainage system. In general, buildings treated with Jerbor exhibit low levels of groundwater which is part of the reason for them needing treatment with Jerbor. If the wooden foundation frequently was submerged in groundwater, the fungi would not grow since it requires oxygen and consequently no boron treatment would be needed. For buildings needing treatment, the groundwater table is typically at the bottom of the foundation wall. </w:t>
      </w:r>
    </w:p>
    <w:p w14:paraId="22DAB874" w14:textId="77777777" w:rsidR="009E404F" w:rsidRPr="00B65D57" w:rsidRDefault="009E404F" w:rsidP="009E404F">
      <w:pPr>
        <w:spacing w:after="240" w:line="276" w:lineRule="auto"/>
      </w:pPr>
      <w:r w:rsidRPr="00B65D57">
        <w:t xml:space="preserve">Hence, the dispersal of boron vertically has been calculated for a scenario with groundwater levels that are higher than would be expected. With the groundwater levels that can be expected under normal circumstances, the dispersal will be lower due to the lower water pressure from above. So in conclusion, even though increased levels of boron vertically have been indicated by the model, the probability for such a scenario is so low that it cannot be considered to be representative for the intended use. </w:t>
      </w:r>
    </w:p>
    <w:p w14:paraId="3BE2F1F6" w14:textId="77777777" w:rsidR="009E404F" w:rsidRPr="00B65D57" w:rsidRDefault="009E404F" w:rsidP="009E404F">
      <w:pPr>
        <w:spacing w:line="276" w:lineRule="auto"/>
      </w:pPr>
    </w:p>
    <w:p w14:paraId="0C695093" w14:textId="77777777" w:rsidR="009E404F" w:rsidRPr="00B65D57" w:rsidRDefault="009E404F" w:rsidP="009E404F">
      <w:pPr>
        <w:spacing w:line="276" w:lineRule="auto"/>
        <w:rPr>
          <w:rFonts w:eastAsia="Calibri"/>
          <w:b/>
          <w:i/>
          <w:lang w:eastAsia="en-US"/>
        </w:rPr>
      </w:pPr>
      <w:r w:rsidRPr="00B65D57">
        <w:rPr>
          <w:rFonts w:eastAsia="Calibri"/>
          <w:b/>
          <w:i/>
          <w:lang w:eastAsia="en-US"/>
        </w:rPr>
        <w:t>Scenario 1K</w:t>
      </w:r>
    </w:p>
    <w:p w14:paraId="3F44C196" w14:textId="77777777" w:rsidR="009E404F" w:rsidRPr="00B65D57" w:rsidRDefault="009E404F" w:rsidP="009E404F">
      <w:pPr>
        <w:spacing w:line="276" w:lineRule="auto"/>
        <w:rPr>
          <w:rFonts w:eastAsia="Calibri"/>
          <w:lang w:eastAsia="en-US"/>
        </w:rPr>
      </w:pPr>
      <w:r w:rsidRPr="00B65D57">
        <w:rPr>
          <w:rFonts w:eastAsia="Calibri"/>
          <w:lang w:eastAsia="en-US"/>
        </w:rPr>
        <w:t xml:space="preserve">The modelling for scenario 1K resulted in no added concentration of boron in shallow, outflowing water at the point of discharge/drainage even after 30 years. </w:t>
      </w:r>
    </w:p>
    <w:p w14:paraId="4BC37B72" w14:textId="77777777" w:rsidR="009E404F" w:rsidRPr="00B65D57" w:rsidRDefault="009E404F" w:rsidP="009E404F">
      <w:pPr>
        <w:spacing w:before="240" w:after="240" w:line="276" w:lineRule="auto"/>
        <w:rPr>
          <w:rFonts w:eastAsia="Calibri"/>
          <w:b/>
          <w:bCs/>
          <w:i/>
          <w:iCs/>
          <w:lang w:eastAsia="en-US"/>
        </w:rPr>
      </w:pPr>
      <w:r w:rsidRPr="00B65D57">
        <w:rPr>
          <w:rFonts w:eastAsia="Calibri"/>
          <w:b/>
          <w:bCs/>
          <w:i/>
          <w:iCs/>
          <w:lang w:eastAsia="en-US"/>
        </w:rPr>
        <w:lastRenderedPageBreak/>
        <w:t xml:space="preserve">Monitoring studies of groundwater related to Jerbor treatment </w:t>
      </w:r>
    </w:p>
    <w:p w14:paraId="2563AA18" w14:textId="2340702F" w:rsidR="009E404F" w:rsidRPr="00B65D57" w:rsidRDefault="009E404F" w:rsidP="009E404F">
      <w:pPr>
        <w:spacing w:after="240" w:line="276" w:lineRule="auto"/>
        <w:rPr>
          <w:rFonts w:eastAsia="Calibri"/>
          <w:lang w:eastAsia="en-US"/>
        </w:rPr>
      </w:pPr>
      <w:r w:rsidRPr="00B65D57">
        <w:rPr>
          <w:rFonts w:eastAsia="Calibri"/>
          <w:lang w:eastAsia="en-US"/>
        </w:rPr>
        <w:t xml:space="preserve">The results of the modelling are supported by data from the monitoring studies where concentrations of boron in the groundwater were measured in the surroundings of buildings which had been treated with Jerbor (see 2.2.8.1.8). </w:t>
      </w:r>
    </w:p>
    <w:p w14:paraId="7B8120D9" w14:textId="77777777" w:rsidR="009E404F" w:rsidRPr="00B65D57" w:rsidRDefault="009E404F" w:rsidP="009E404F">
      <w:pPr>
        <w:spacing w:after="240" w:line="276" w:lineRule="auto"/>
      </w:pPr>
      <w:r w:rsidRPr="00B65D57">
        <w:rPr>
          <w:rFonts w:eastAsia="Calibri"/>
          <w:lang w:eastAsia="en-US"/>
        </w:rPr>
        <w:t>Consequently, PEC</w:t>
      </w:r>
      <w:r w:rsidRPr="00B65D57">
        <w:rPr>
          <w:rFonts w:eastAsia="Calibri"/>
          <w:vertAlign w:val="subscript"/>
          <w:lang w:eastAsia="en-US"/>
        </w:rPr>
        <w:t xml:space="preserve">add, gw </w:t>
      </w:r>
      <w:r w:rsidRPr="00B65D57">
        <w:rPr>
          <w:rFonts w:eastAsia="Calibri"/>
          <w:lang w:eastAsia="en-US"/>
        </w:rPr>
        <w:t>is negligible if measured outside the treatment zone</w:t>
      </w:r>
      <w:r w:rsidRPr="00B65D57">
        <w:t xml:space="preserve"> </w:t>
      </w:r>
      <w:r w:rsidRPr="00B65D57">
        <w:rPr>
          <w:rFonts w:eastAsia="Calibri"/>
          <w:lang w:eastAsia="en-US"/>
        </w:rPr>
        <w:t>according to the results from the monitoring studies.</w:t>
      </w:r>
      <w:r w:rsidRPr="00B65D57">
        <w:t xml:space="preserve"> </w:t>
      </w:r>
      <w:r w:rsidRPr="00B65D57">
        <w:rPr>
          <w:rFonts w:eastAsia="Calibri"/>
          <w:lang w:eastAsia="en-US"/>
        </w:rPr>
        <w:t xml:space="preserve">The likelihood, that groundwater in adjacent areas will be exposed to groundwater from the treatment area, is low according to the data provided (Vickman and Danielsson, 2011; Vickman and Nilsson 2011). </w:t>
      </w:r>
    </w:p>
    <w:p w14:paraId="23D625A3" w14:textId="77777777" w:rsidR="009E404F" w:rsidRPr="00B65D57" w:rsidRDefault="009E404F" w:rsidP="009E404F">
      <w:pPr>
        <w:spacing w:after="240" w:line="276" w:lineRule="auto"/>
        <w:rPr>
          <w:rFonts w:eastAsia="Calibri"/>
          <w:lang w:eastAsia="en-US"/>
        </w:rPr>
      </w:pPr>
      <w:r w:rsidRPr="00B65D57">
        <w:rPr>
          <w:rFonts w:eastAsia="Calibri"/>
          <w:lang w:eastAsia="en-US"/>
        </w:rPr>
        <w:t>Furthermore, the groundwater that may be affected by treatment of Jerbor is urban ground water located below buildings or roads. However, this groundwater will not be used as drinking water. According to the instructions for use, treatments are never done close to groundwaters used as drinking water (Bandh, 2022).</w:t>
      </w:r>
    </w:p>
    <w:p w14:paraId="696E9AFB" w14:textId="77777777" w:rsidR="009E404F" w:rsidRPr="00B65D57" w:rsidRDefault="009E404F" w:rsidP="009E404F">
      <w:pPr>
        <w:spacing w:line="260" w:lineRule="atLeast"/>
        <w:rPr>
          <w:rFonts w:eastAsia="Calibri"/>
          <w:lang w:eastAsia="en-US"/>
        </w:rPr>
      </w:pPr>
    </w:p>
    <w:p w14:paraId="533C74EF" w14:textId="474004A8" w:rsidR="009E404F" w:rsidRPr="00B65D57" w:rsidRDefault="002C23EC" w:rsidP="008F4848">
      <w:pPr>
        <w:pStyle w:val="Rubrik6"/>
        <w:numPr>
          <w:ilvl w:val="0"/>
          <w:numId w:val="0"/>
        </w:numPr>
        <w:rPr>
          <w:rFonts w:eastAsia="Calibri"/>
          <w:i/>
          <w:iCs/>
          <w:lang w:val="en-GB" w:eastAsia="en-US"/>
        </w:rPr>
      </w:pPr>
      <w:r w:rsidRPr="00B65D57">
        <w:rPr>
          <w:rFonts w:eastAsia="Calibri"/>
          <w:lang w:val="en-GB" w:eastAsia="en-US"/>
        </w:rPr>
        <w:t xml:space="preserve">2.2.8.2.4.2 </w:t>
      </w:r>
      <w:r w:rsidR="009E404F" w:rsidRPr="00B65D57">
        <w:rPr>
          <w:rFonts w:eastAsia="Calibri"/>
          <w:i/>
          <w:iCs/>
          <w:lang w:val="en-GB" w:eastAsia="en-US"/>
        </w:rPr>
        <w:t xml:space="preserve">PEC </w:t>
      </w:r>
      <w:r w:rsidR="009E404F" w:rsidRPr="00B65D57">
        <w:rPr>
          <w:rFonts w:eastAsia="Calibri"/>
          <w:i/>
          <w:iCs/>
          <w:caps w:val="0"/>
          <w:lang w:val="en-GB" w:eastAsia="en-US"/>
        </w:rPr>
        <w:t xml:space="preserve">soil </w:t>
      </w:r>
    </w:p>
    <w:p w14:paraId="515EE84A" w14:textId="77777777" w:rsidR="009E404F" w:rsidRPr="00B65D57" w:rsidRDefault="009E404F" w:rsidP="009E404F">
      <w:pPr>
        <w:spacing w:line="276" w:lineRule="auto"/>
      </w:pPr>
      <w:r w:rsidRPr="00B65D57">
        <w:rPr>
          <w:rFonts w:eastAsia="Calibri"/>
          <w:lang w:eastAsia="en-US"/>
        </w:rPr>
        <w:t>The results of the calculations of boron concentration in soil are presented in the table below. The PEC represents the concentration added to the soil as a result of treatment with Jerbor.</w:t>
      </w:r>
      <w:r w:rsidRPr="00B65D57">
        <w:t xml:space="preserve"> The calculations of boron concentration in soil estimate the mean concentration of boron </w:t>
      </w:r>
      <w:r w:rsidRPr="00B65D57">
        <w:rPr>
          <w:i/>
          <w:iCs/>
          <w:u w:val="single"/>
        </w:rPr>
        <w:t>within 50 cm</w:t>
      </w:r>
      <w:r w:rsidRPr="00B65D57">
        <w:t xml:space="preserve"> from the treatment zone vertically and horizontally (the same approach as in the method described in OECD, 2013).</w:t>
      </w:r>
    </w:p>
    <w:p w14:paraId="41023533" w14:textId="77777777" w:rsidR="009E404F" w:rsidRPr="00B65D57" w:rsidRDefault="009E404F" w:rsidP="009E404F">
      <w:pPr>
        <w:spacing w:line="260" w:lineRule="atLeast"/>
        <w:rPr>
          <w:rFonts w:eastAsia="Calibri"/>
          <w:highlight w:val="red"/>
          <w:lang w:eastAsia="en-US"/>
        </w:rPr>
      </w:pPr>
      <w:r w:rsidRPr="00B65D57">
        <w:rPr>
          <w:rFonts w:eastAsia="Calibri"/>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3"/>
        <w:gridCol w:w="5861"/>
      </w:tblGrid>
      <w:tr w:rsidR="009E404F" w:rsidRPr="00B65D57" w14:paraId="290125AF" w14:textId="77777777" w:rsidTr="009E404F">
        <w:trPr>
          <w:trHeight w:val="249"/>
        </w:trPr>
        <w:tc>
          <w:tcPr>
            <w:tcW w:w="1816" w:type="pct"/>
            <w:vMerge w:val="restart"/>
            <w:shd w:val="clear" w:color="auto" w:fill="F8FEC2"/>
            <w:vAlign w:val="center"/>
          </w:tcPr>
          <w:p w14:paraId="0CBFC8F6" w14:textId="77777777" w:rsidR="009E404F" w:rsidRPr="00B65D57" w:rsidRDefault="009E404F" w:rsidP="00DE498C">
            <w:pPr>
              <w:spacing w:before="60" w:after="60" w:line="276" w:lineRule="auto"/>
              <w:rPr>
                <w:rFonts w:eastAsia="Calibri" w:cs="Arial"/>
                <w:lang w:eastAsia="en-GB"/>
              </w:rPr>
            </w:pPr>
          </w:p>
        </w:tc>
        <w:tc>
          <w:tcPr>
            <w:tcW w:w="3184" w:type="pct"/>
            <w:shd w:val="clear" w:color="auto" w:fill="F8FEC2"/>
            <w:vAlign w:val="center"/>
          </w:tcPr>
          <w:p w14:paraId="348D3A45" w14:textId="77777777" w:rsidR="009E404F" w:rsidRPr="00B65D57" w:rsidRDefault="009E404F" w:rsidP="00DE498C">
            <w:pPr>
              <w:spacing w:before="60" w:after="60"/>
              <w:jc w:val="center"/>
              <w:rPr>
                <w:rFonts w:eastAsia="Calibri" w:cs="Arial"/>
                <w:lang w:eastAsia="en-GB"/>
              </w:rPr>
            </w:pPr>
            <w:r w:rsidRPr="00B65D57">
              <w:rPr>
                <w:rFonts w:eastAsia="Calibri" w:cs="Arial"/>
                <w:b/>
                <w:bCs/>
                <w:lang w:eastAsia="en-GB"/>
              </w:rPr>
              <w:t>PEC</w:t>
            </w:r>
            <w:r w:rsidRPr="00B65D57">
              <w:rPr>
                <w:rFonts w:eastAsia="Calibri" w:cs="Arial"/>
                <w:b/>
                <w:bCs/>
                <w:vertAlign w:val="subscript"/>
                <w:lang w:eastAsia="en-GB"/>
              </w:rPr>
              <w:t>add, soil</w:t>
            </w:r>
          </w:p>
        </w:tc>
      </w:tr>
      <w:tr w:rsidR="009E404F" w:rsidRPr="00B65D57" w14:paraId="1E6E9B0E" w14:textId="77777777" w:rsidTr="009E404F">
        <w:trPr>
          <w:trHeight w:val="249"/>
        </w:trPr>
        <w:tc>
          <w:tcPr>
            <w:tcW w:w="1816" w:type="pct"/>
            <w:vMerge/>
            <w:shd w:val="clear" w:color="auto" w:fill="F8FEC2"/>
            <w:vAlign w:val="center"/>
          </w:tcPr>
          <w:p w14:paraId="2C0F8264" w14:textId="77777777" w:rsidR="009E404F" w:rsidRPr="00B65D57" w:rsidRDefault="009E404F" w:rsidP="00DE498C">
            <w:pPr>
              <w:spacing w:before="60" w:after="60" w:line="276" w:lineRule="auto"/>
              <w:rPr>
                <w:rFonts w:eastAsia="Calibri" w:cs="Arial"/>
                <w:b/>
                <w:bCs/>
                <w:lang w:eastAsia="en-GB"/>
              </w:rPr>
            </w:pPr>
          </w:p>
        </w:tc>
        <w:tc>
          <w:tcPr>
            <w:tcW w:w="3184" w:type="pct"/>
            <w:shd w:val="clear" w:color="auto" w:fill="F8FEC2"/>
            <w:vAlign w:val="center"/>
          </w:tcPr>
          <w:p w14:paraId="6A0A0BAB" w14:textId="77777777" w:rsidR="009E404F" w:rsidRPr="00B65D57" w:rsidRDefault="009E404F" w:rsidP="00DE498C">
            <w:pPr>
              <w:autoSpaceDE w:val="0"/>
              <w:autoSpaceDN w:val="0"/>
              <w:adjustRightInd w:val="0"/>
              <w:spacing w:before="60" w:after="60" w:line="260" w:lineRule="atLeast"/>
              <w:jc w:val="center"/>
              <w:rPr>
                <w:rFonts w:eastAsia="Calibri" w:cs="Arial"/>
                <w:bCs/>
                <w:color w:val="000000"/>
                <w:lang w:eastAsia="en-GB"/>
              </w:rPr>
            </w:pPr>
            <w:r w:rsidRPr="00B65D57">
              <w:rPr>
                <w:rFonts w:eastAsia="Calibri" w:cs="Arial"/>
                <w:bCs/>
                <w:color w:val="000000"/>
                <w:lang w:eastAsia="en-GB"/>
              </w:rPr>
              <w:t>[mg/kg dw]</w:t>
            </w:r>
          </w:p>
        </w:tc>
      </w:tr>
      <w:tr w:rsidR="009E404F" w:rsidRPr="00B65D57" w14:paraId="543A54AA" w14:textId="77777777" w:rsidTr="009E404F">
        <w:trPr>
          <w:trHeight w:val="75"/>
        </w:trPr>
        <w:tc>
          <w:tcPr>
            <w:tcW w:w="1816" w:type="pct"/>
            <w:shd w:val="clear" w:color="auto" w:fill="FFFFFF"/>
            <w:vAlign w:val="center"/>
          </w:tcPr>
          <w:p w14:paraId="143F2C33" w14:textId="77777777" w:rsidR="009E404F" w:rsidRPr="00B65D57" w:rsidRDefault="009E404F" w:rsidP="00DE498C">
            <w:pPr>
              <w:spacing w:before="60" w:after="60" w:line="276" w:lineRule="auto"/>
              <w:rPr>
                <w:rFonts w:eastAsia="Calibri" w:cs="Arial"/>
                <w:lang w:eastAsia="en-GB"/>
              </w:rPr>
            </w:pPr>
            <w:r w:rsidRPr="00B65D57">
              <w:rPr>
                <w:rFonts w:eastAsia="Calibri" w:cs="Arial"/>
                <w:lang w:eastAsia="en-GB"/>
              </w:rPr>
              <w:t xml:space="preserve">Horizontal dispersal (30 years) </w:t>
            </w:r>
          </w:p>
        </w:tc>
        <w:tc>
          <w:tcPr>
            <w:tcW w:w="3184" w:type="pct"/>
            <w:vAlign w:val="center"/>
          </w:tcPr>
          <w:p w14:paraId="568F5846" w14:textId="77777777" w:rsidR="009E404F" w:rsidRPr="00B65D57" w:rsidRDefault="009E404F" w:rsidP="00DE498C">
            <w:pPr>
              <w:spacing w:before="60" w:after="60"/>
              <w:rPr>
                <w:rFonts w:eastAsia="Calibri" w:cs="Arial"/>
                <w:lang w:eastAsia="en-GB"/>
              </w:rPr>
            </w:pPr>
            <w:r w:rsidRPr="00B65D57">
              <w:rPr>
                <w:rFonts w:eastAsia="Calibri" w:cs="Arial"/>
                <w:lang w:eastAsia="en-GB"/>
              </w:rPr>
              <w:t>39.7 mg B/kg dw (227 mg BAE/kg dw)</w:t>
            </w:r>
          </w:p>
        </w:tc>
      </w:tr>
      <w:tr w:rsidR="009E404F" w:rsidRPr="00B65D57" w14:paraId="08943E8D" w14:textId="77777777" w:rsidTr="009E404F">
        <w:trPr>
          <w:trHeight w:val="75"/>
        </w:trPr>
        <w:tc>
          <w:tcPr>
            <w:tcW w:w="1816" w:type="pct"/>
            <w:shd w:val="clear" w:color="auto" w:fill="FFFFFF"/>
            <w:vAlign w:val="center"/>
          </w:tcPr>
          <w:p w14:paraId="5CCED26D" w14:textId="77777777" w:rsidR="009E404F" w:rsidRPr="00B65D57" w:rsidRDefault="009E404F" w:rsidP="00DE498C">
            <w:pPr>
              <w:spacing w:before="60" w:after="60" w:line="276" w:lineRule="auto"/>
              <w:rPr>
                <w:rFonts w:eastAsia="Calibri" w:cs="Arial"/>
                <w:lang w:eastAsia="en-GB"/>
              </w:rPr>
            </w:pPr>
            <w:r w:rsidRPr="00B65D57">
              <w:rPr>
                <w:rFonts w:eastAsia="Calibri" w:cs="Arial"/>
                <w:lang w:eastAsia="en-GB"/>
              </w:rPr>
              <w:t>Vertical dispersal (30 years)</w:t>
            </w:r>
          </w:p>
        </w:tc>
        <w:tc>
          <w:tcPr>
            <w:tcW w:w="3184" w:type="pct"/>
            <w:vAlign w:val="center"/>
          </w:tcPr>
          <w:p w14:paraId="056B832E" w14:textId="77777777" w:rsidR="009E404F" w:rsidRPr="00B65D57" w:rsidRDefault="009E404F" w:rsidP="00DE498C">
            <w:pPr>
              <w:spacing w:before="60" w:after="60"/>
              <w:rPr>
                <w:rFonts w:eastAsia="Calibri" w:cs="Arial"/>
                <w:lang w:eastAsia="en-GB"/>
              </w:rPr>
            </w:pPr>
            <w:r w:rsidRPr="00B65D57">
              <w:rPr>
                <w:rFonts w:eastAsia="Calibri" w:cs="Arial"/>
                <w:lang w:eastAsia="en-GB"/>
              </w:rPr>
              <w:t>6.1 mg B/kg dw (249 mg BAE/kg dw)</w:t>
            </w:r>
          </w:p>
        </w:tc>
      </w:tr>
    </w:tbl>
    <w:p w14:paraId="3A305B99" w14:textId="77777777" w:rsidR="009E404F" w:rsidRPr="00B65D57" w:rsidRDefault="009E404F" w:rsidP="009E404F">
      <w:pPr>
        <w:spacing w:line="260" w:lineRule="atLeast"/>
        <w:rPr>
          <w:rFonts w:eastAsia="Calibri"/>
          <w:lang w:eastAsia="en-US"/>
        </w:rPr>
      </w:pPr>
    </w:p>
    <w:p w14:paraId="6C36D525" w14:textId="77777777" w:rsidR="009E404F" w:rsidRPr="00B65D57" w:rsidRDefault="009E404F" w:rsidP="009E404F">
      <w:pPr>
        <w:spacing w:line="276" w:lineRule="auto"/>
        <w:rPr>
          <w:rFonts w:eastAsia="Calibri"/>
          <w:lang w:eastAsia="en-US"/>
        </w:rPr>
      </w:pPr>
      <w:bookmarkStart w:id="1698" w:name="_Hlk9949372"/>
      <w:r w:rsidRPr="00B65D57">
        <w:rPr>
          <w:rFonts w:eastAsia="Calibri"/>
          <w:lang w:eastAsia="en-US"/>
        </w:rPr>
        <w:t>The short-term PEC calculations (365 days) showed an added average concentration of 41.4 mg B/kg (237 mg BAE/kg) dw horizontally in the soil within 50 cm from the treatment zone. The corresponding short-term PEC (365 days) for vertical dispersal was 43.6 mg B/kg (249.5 mg BAE/kg) dw within 50 cm from the treatment zone.</w:t>
      </w:r>
    </w:p>
    <w:p w14:paraId="0E9BE11C" w14:textId="77777777" w:rsidR="009E404F" w:rsidRPr="00B65D57" w:rsidRDefault="009E404F" w:rsidP="009E404F">
      <w:pPr>
        <w:spacing w:line="276" w:lineRule="auto"/>
        <w:rPr>
          <w:rFonts w:eastAsia="Calibri"/>
          <w:lang w:eastAsia="en-US"/>
        </w:rPr>
      </w:pPr>
    </w:p>
    <w:p w14:paraId="0D179B9C" w14:textId="35619F57" w:rsidR="009E404F" w:rsidRPr="00B65D57" w:rsidRDefault="009E404F" w:rsidP="009E404F">
      <w:pPr>
        <w:spacing w:line="276" w:lineRule="auto"/>
        <w:rPr>
          <w:rFonts w:eastAsia="Calibri"/>
          <w:lang w:eastAsia="en-US"/>
        </w:rPr>
      </w:pPr>
      <w:r w:rsidRPr="00B65D57">
        <w:rPr>
          <w:rFonts w:eastAsia="Calibri"/>
          <w:lang w:eastAsia="en-US"/>
        </w:rPr>
        <w:t>The calculations indicated comparably high concentrations of boron close to the treatment zone, but the concentrations quickly decreased in relation to the distance from the treatment zone due to the low permeability of the soil/clay. The calculations also showed that t</w:t>
      </w:r>
      <w:r w:rsidRPr="00B65D57">
        <w:t xml:space="preserve">he transport of boron </w:t>
      </w:r>
      <w:r w:rsidRPr="00B65D57">
        <w:rPr>
          <w:rFonts w:eastAsia="Calibri"/>
          <w:lang w:eastAsia="en-US"/>
        </w:rPr>
        <w:t>occurred within a very limited distance (6 cm</w:t>
      </w:r>
      <w:r w:rsidR="00EE37CE">
        <w:rPr>
          <w:rFonts w:eastAsia="Calibri"/>
          <w:lang w:eastAsia="en-US"/>
        </w:rPr>
        <w:t xml:space="preserve"> horizontally and 12 cm vertically</w:t>
      </w:r>
      <w:r w:rsidRPr="00B65D57">
        <w:rPr>
          <w:rFonts w:eastAsia="Calibri"/>
          <w:lang w:eastAsia="en-US"/>
        </w:rPr>
        <w:t>) from the treatment zone after 30 years.</w:t>
      </w:r>
      <w:r w:rsidRPr="00B65D57">
        <w:t xml:space="preserve"> </w:t>
      </w:r>
    </w:p>
    <w:p w14:paraId="5DB95822" w14:textId="77777777" w:rsidR="009E404F" w:rsidRPr="00B65D57" w:rsidRDefault="009E404F" w:rsidP="009E404F">
      <w:pPr>
        <w:spacing w:line="276" w:lineRule="auto"/>
        <w:rPr>
          <w:rFonts w:eastAsia="Calibri"/>
          <w:lang w:eastAsia="en-US"/>
        </w:rPr>
      </w:pPr>
    </w:p>
    <w:tbl>
      <w:tblPr>
        <w:tblW w:w="9208" w:type="dxa"/>
        <w:tblInd w:w="-4" w:type="dxa"/>
        <w:tblCellMar>
          <w:left w:w="0" w:type="dxa"/>
          <w:right w:w="0" w:type="dxa"/>
        </w:tblCellMar>
        <w:tblLook w:val="04A0" w:firstRow="1" w:lastRow="0" w:firstColumn="1" w:lastColumn="0" w:noHBand="0" w:noVBand="1"/>
      </w:tblPr>
      <w:tblGrid>
        <w:gridCol w:w="1956"/>
        <w:gridCol w:w="7252"/>
      </w:tblGrid>
      <w:tr w:rsidR="009E404F" w:rsidRPr="00B65D57" w14:paraId="2F81A5C9" w14:textId="77777777" w:rsidTr="009E404F">
        <w:trPr>
          <w:trHeight w:val="200"/>
        </w:trPr>
        <w:tc>
          <w:tcPr>
            <w:tcW w:w="5000" w:type="pct"/>
            <w:gridSpan w:val="2"/>
            <w:tcBorders>
              <w:top w:val="single" w:sz="8" w:space="0" w:color="auto"/>
              <w:left w:val="single" w:sz="8" w:space="0" w:color="auto"/>
              <w:bottom w:val="single" w:sz="8" w:space="0" w:color="auto"/>
              <w:right w:val="single" w:sz="8" w:space="0" w:color="auto"/>
            </w:tcBorders>
            <w:shd w:val="clear" w:color="auto" w:fill="CCFFCC"/>
            <w:tcMar>
              <w:top w:w="0" w:type="dxa"/>
              <w:left w:w="108" w:type="dxa"/>
              <w:bottom w:w="0" w:type="dxa"/>
              <w:right w:w="108" w:type="dxa"/>
            </w:tcMar>
            <w:vAlign w:val="center"/>
            <w:hideMark/>
          </w:tcPr>
          <w:p w14:paraId="2A76ED7D" w14:textId="77777777" w:rsidR="009E404F" w:rsidRPr="00B65D57" w:rsidRDefault="009E404F" w:rsidP="009E404F">
            <w:pPr>
              <w:spacing w:line="276" w:lineRule="auto"/>
              <w:rPr>
                <w:rFonts w:eastAsia="Calibri" w:cs="Calibri"/>
                <w:b/>
                <w:bCs/>
                <w:lang w:eastAsia="en-US"/>
              </w:rPr>
            </w:pPr>
            <w:r w:rsidRPr="00B65D57">
              <w:rPr>
                <w:rFonts w:eastAsia="Calibri" w:cs="Calibri"/>
                <w:b/>
                <w:bCs/>
                <w:lang w:eastAsia="en-US"/>
              </w:rPr>
              <w:t xml:space="preserve">Value used in the Risk Assessment – </w:t>
            </w:r>
            <w:r w:rsidRPr="00B65D57">
              <w:rPr>
                <w:rFonts w:eastAsia="Calibri" w:cs="Arial"/>
                <w:b/>
                <w:bCs/>
                <w:lang w:eastAsia="en-GB"/>
              </w:rPr>
              <w:t>PEC</w:t>
            </w:r>
            <w:r w:rsidRPr="00B65D57">
              <w:rPr>
                <w:rFonts w:eastAsia="Calibri" w:cs="Arial"/>
                <w:b/>
                <w:bCs/>
                <w:vertAlign w:val="subscript"/>
                <w:lang w:eastAsia="en-GB"/>
              </w:rPr>
              <w:t>add, soil</w:t>
            </w:r>
          </w:p>
        </w:tc>
      </w:tr>
      <w:tr w:rsidR="009E404F" w:rsidRPr="00B65D57" w14:paraId="3DE83BF0" w14:textId="77777777" w:rsidTr="009E404F">
        <w:tc>
          <w:tcPr>
            <w:tcW w:w="106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C1CD8A" w14:textId="77777777" w:rsidR="009E404F" w:rsidRPr="00B65D57" w:rsidRDefault="009E404F" w:rsidP="009E404F">
            <w:pPr>
              <w:spacing w:line="276" w:lineRule="auto"/>
              <w:rPr>
                <w:rFonts w:eastAsia="Calibri" w:cs="Calibri"/>
                <w:lang w:eastAsia="en-US"/>
              </w:rPr>
            </w:pPr>
            <w:r w:rsidRPr="00B65D57">
              <w:rPr>
                <w:rFonts w:eastAsia="Calibri" w:cs="Calibri"/>
                <w:lang w:eastAsia="en-US"/>
              </w:rPr>
              <w:t>Value</w:t>
            </w:r>
          </w:p>
        </w:tc>
        <w:tc>
          <w:tcPr>
            <w:tcW w:w="3938" w:type="pct"/>
            <w:tcBorders>
              <w:top w:val="nil"/>
              <w:left w:val="nil"/>
              <w:bottom w:val="single" w:sz="8" w:space="0" w:color="auto"/>
              <w:right w:val="single" w:sz="8" w:space="0" w:color="auto"/>
            </w:tcBorders>
            <w:tcMar>
              <w:top w:w="0" w:type="dxa"/>
              <w:left w:w="108" w:type="dxa"/>
              <w:bottom w:w="0" w:type="dxa"/>
              <w:right w:w="108" w:type="dxa"/>
            </w:tcMar>
            <w:vAlign w:val="center"/>
          </w:tcPr>
          <w:p w14:paraId="74F6DF7A" w14:textId="77777777" w:rsidR="009E404F" w:rsidRPr="00B65D57" w:rsidRDefault="009E404F" w:rsidP="009E404F">
            <w:pPr>
              <w:spacing w:line="276" w:lineRule="auto"/>
              <w:rPr>
                <w:rFonts w:eastAsia="Calibri" w:cs="Calibri"/>
                <w:lang w:eastAsia="en-US"/>
              </w:rPr>
            </w:pPr>
            <w:r w:rsidRPr="00B65D57">
              <w:rPr>
                <w:rFonts w:eastAsia="Calibri" w:cs="Calibri"/>
                <w:lang w:eastAsia="en-US"/>
              </w:rPr>
              <w:t xml:space="preserve">43.6 mg B/kg dw </w:t>
            </w:r>
            <w:r w:rsidRPr="00B65D57">
              <w:rPr>
                <w:rFonts w:eastAsia="Calibri" w:cs="Arial"/>
                <w:lang w:eastAsia="en-GB"/>
              </w:rPr>
              <w:t>(249.5 mg BAE/kg dw)</w:t>
            </w:r>
          </w:p>
        </w:tc>
      </w:tr>
      <w:tr w:rsidR="009E404F" w:rsidRPr="00B65D57" w14:paraId="4E6EA4EF" w14:textId="77777777" w:rsidTr="009E404F">
        <w:tc>
          <w:tcPr>
            <w:tcW w:w="106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504054" w14:textId="77777777" w:rsidR="009E404F" w:rsidRPr="00B65D57" w:rsidRDefault="009E404F" w:rsidP="009E404F">
            <w:pPr>
              <w:spacing w:line="276" w:lineRule="auto"/>
              <w:rPr>
                <w:rFonts w:eastAsia="Calibri" w:cs="Calibri"/>
                <w:lang w:eastAsia="en-US"/>
              </w:rPr>
            </w:pPr>
            <w:r w:rsidRPr="00B65D57">
              <w:rPr>
                <w:rFonts w:eastAsia="Calibri" w:cs="Calibri"/>
                <w:lang w:eastAsia="en-US"/>
              </w:rPr>
              <w:t>Justification for the selected value</w:t>
            </w:r>
          </w:p>
        </w:tc>
        <w:tc>
          <w:tcPr>
            <w:tcW w:w="3938" w:type="pct"/>
            <w:tcBorders>
              <w:top w:val="nil"/>
              <w:left w:val="nil"/>
              <w:bottom w:val="single" w:sz="8" w:space="0" w:color="auto"/>
              <w:right w:val="single" w:sz="8" w:space="0" w:color="auto"/>
            </w:tcBorders>
            <w:tcMar>
              <w:top w:w="0" w:type="dxa"/>
              <w:left w:w="108" w:type="dxa"/>
              <w:bottom w:w="0" w:type="dxa"/>
              <w:right w:w="108" w:type="dxa"/>
            </w:tcMar>
            <w:vAlign w:val="center"/>
          </w:tcPr>
          <w:p w14:paraId="4EC09DB2" w14:textId="77777777" w:rsidR="009E404F" w:rsidRPr="00B65D57" w:rsidRDefault="009E404F" w:rsidP="009E404F">
            <w:pPr>
              <w:spacing w:line="276" w:lineRule="auto"/>
              <w:rPr>
                <w:rFonts w:eastAsia="Calibri" w:cs="Calibri"/>
                <w:highlight w:val="yellow"/>
                <w:lang w:eastAsia="en-US"/>
              </w:rPr>
            </w:pPr>
            <w:r w:rsidRPr="00B65D57">
              <w:rPr>
                <w:rFonts w:eastAsia="Calibri" w:cs="Calibri"/>
                <w:lang w:eastAsia="en-US"/>
              </w:rPr>
              <w:t>Worst-case value</w:t>
            </w:r>
          </w:p>
        </w:tc>
      </w:tr>
    </w:tbl>
    <w:p w14:paraId="05BA348D" w14:textId="77777777" w:rsidR="009E404F" w:rsidRPr="00B65D57" w:rsidRDefault="009E404F" w:rsidP="009E404F">
      <w:pPr>
        <w:spacing w:line="260" w:lineRule="atLeast"/>
        <w:rPr>
          <w:rFonts w:eastAsia="Calibri"/>
          <w:lang w:eastAsia="en-US"/>
        </w:rPr>
      </w:pPr>
    </w:p>
    <w:p w14:paraId="537EC2E3" w14:textId="77777777" w:rsidR="009E404F" w:rsidRPr="00B65D57" w:rsidRDefault="009E404F" w:rsidP="009E404F">
      <w:pPr>
        <w:spacing w:before="240" w:after="240" w:line="260" w:lineRule="atLeast"/>
        <w:rPr>
          <w:rFonts w:eastAsia="Calibri"/>
          <w:b/>
          <w:bCs/>
          <w:i/>
          <w:iCs/>
          <w:lang w:eastAsia="en-US"/>
        </w:rPr>
      </w:pPr>
      <w:r w:rsidRPr="00B65D57">
        <w:rPr>
          <w:rFonts w:eastAsia="Calibri"/>
          <w:b/>
          <w:bCs/>
          <w:i/>
          <w:iCs/>
          <w:lang w:eastAsia="en-US"/>
        </w:rPr>
        <w:t xml:space="preserve">Monitoring studies of soil (clay) related to Jerbor treatment </w:t>
      </w:r>
    </w:p>
    <w:p w14:paraId="41076B1C" w14:textId="3136F879" w:rsidR="009E404F" w:rsidRPr="00B65D57" w:rsidRDefault="009E404F" w:rsidP="009E404F">
      <w:pPr>
        <w:spacing w:after="240" w:line="276" w:lineRule="auto"/>
      </w:pPr>
      <w:r w:rsidRPr="00B65D57">
        <w:t>The results of the calculations are complemented by data from two monitoring studies (Vickman and Nilsson 2011, and Theorin 2011b), where concentrations of boron in soil (clay) were measured 5 years after treatment with Jerbor in different parts of Gothenburg (</w:t>
      </w:r>
      <w:r w:rsidRPr="00B65D57">
        <w:rPr>
          <w:rFonts w:eastAsia="Calibri"/>
          <w:lang w:eastAsia="en-US"/>
        </w:rPr>
        <w:t>see 2.2.8.1.8</w:t>
      </w:r>
      <w:r w:rsidRPr="00B65D57">
        <w:t xml:space="preserve">). </w:t>
      </w:r>
    </w:p>
    <w:p w14:paraId="54A4F98C" w14:textId="77777777" w:rsidR="009E404F" w:rsidRPr="00B65D57" w:rsidRDefault="009E404F" w:rsidP="009E404F">
      <w:pPr>
        <w:spacing w:after="240" w:line="276" w:lineRule="auto"/>
      </w:pPr>
      <w:r w:rsidRPr="00B65D57">
        <w:t>In one of the studies, samples were taken next to the treatment zone (horizontally; 1.3 m below ground level). In the other study, samples were taken below the treatment zone (vertically). The clay was in direct contact with the treatment zone in both cases. The results from the horizontal sampling of the clay showed concentrations of boron of 61 and 82 mg B/kg dw (350-470 mg BAE/kg) 5 years later after the treatment (Vickman and Nilsson, 2011 - Eklandagatan 14 i Göteborg) whereas the vertical sampling showed concentrations of 52-85 mg B/kg dw (294-484 mg BAE/kg) (Theorin, 2011b - Kv.</w:t>
      </w:r>
      <w:r w:rsidRPr="00B65D57">
        <w:rPr>
          <w:rFonts w:eastAsia="Verdana" w:cs="Verdana"/>
        </w:rPr>
        <w:t xml:space="preserve"> </w:t>
      </w:r>
      <w:r w:rsidRPr="00B65D57">
        <w:t>Malörten,</w:t>
      </w:r>
      <w:r w:rsidRPr="00B65D57">
        <w:rPr>
          <w:rFonts w:eastAsia="Verdana" w:cs="Verdana"/>
        </w:rPr>
        <w:t xml:space="preserve"> </w:t>
      </w:r>
      <w:r w:rsidRPr="00B65D57">
        <w:t>Göteborg).</w:t>
      </w:r>
    </w:p>
    <w:p w14:paraId="58064AAC" w14:textId="54C212EA" w:rsidR="009E404F" w:rsidRPr="00B65D57" w:rsidRDefault="009E404F" w:rsidP="009E404F">
      <w:pPr>
        <w:spacing w:after="240" w:line="276" w:lineRule="auto"/>
      </w:pPr>
      <w:r w:rsidRPr="00B65D57">
        <w:t xml:space="preserve">There are no measurements of background concentrations of boron from the two study sites before treatment with Jerbor. The results from the studies are therefore compared with background concentrations of boron from other parts of Gothenburg and Uppsala (see 2.2.8.1). Analysis of concentrations of borates in clay sampled in Gothenburg and Uppsala in areas relevant for treatment with Jerbor (but far from the treated buildings) showed concentrations between 53 and 135 mg B/kg dw (Theorin, 2011c), which is somewhat lower than the concentrations reported for marine clays in general. The background concentration of boron in marine clays from different areas of the world varies considerably and values between 25 </w:t>
      </w:r>
      <w:r w:rsidR="00F73033" w:rsidRPr="00B65D57">
        <w:t>and</w:t>
      </w:r>
      <w:r w:rsidRPr="00B65D57">
        <w:t xml:space="preserve"> 1300 mg B/kg have been reported (review in Theorin, 2011a).</w:t>
      </w:r>
    </w:p>
    <w:p w14:paraId="046B8806" w14:textId="77777777" w:rsidR="009E404F" w:rsidRPr="00B65D57" w:rsidRDefault="009E404F" w:rsidP="009E404F">
      <w:pPr>
        <w:spacing w:after="240" w:line="276" w:lineRule="auto"/>
      </w:pPr>
      <w:r w:rsidRPr="00B65D57">
        <w:t>Consequently, the results from both monitoring studies show that the boron concentration in clay in direct contact with the treatment zone is within the same range as the background concentration of boron in marine clay. This implies that the PEC</w:t>
      </w:r>
      <w:r w:rsidRPr="00B65D57">
        <w:rPr>
          <w:vertAlign w:val="subscript"/>
        </w:rPr>
        <w:t>add, soil</w:t>
      </w:r>
      <w:r w:rsidRPr="00B65D57">
        <w:t xml:space="preserve"> in clay, both vertically and horizontally in relation to the treatment zone, is thus negligible. This also means that the background concentration of boron in clay in urban areas is much higher than the PNEC</w:t>
      </w:r>
      <w:r w:rsidRPr="00B65D57">
        <w:rPr>
          <w:vertAlign w:val="subscript"/>
        </w:rPr>
        <w:t>add, terrestrial</w:t>
      </w:r>
      <w:r w:rsidRPr="00B65D57">
        <w:t>.</w:t>
      </w:r>
    </w:p>
    <w:p w14:paraId="2C4DF1FF" w14:textId="77777777" w:rsidR="009E404F" w:rsidRPr="00B65D57" w:rsidRDefault="009E404F" w:rsidP="009E404F">
      <w:pPr>
        <w:spacing w:line="260" w:lineRule="atLeast"/>
        <w:rPr>
          <w:rFonts w:eastAsia="Calibri"/>
          <w:lang w:eastAsia="en-US"/>
        </w:rPr>
      </w:pPr>
    </w:p>
    <w:bookmarkEnd w:id="1698"/>
    <w:p w14:paraId="454996BB" w14:textId="4D4D4C5B" w:rsidR="009E404F" w:rsidRPr="00B65D57" w:rsidRDefault="002C23EC" w:rsidP="008F4848">
      <w:pPr>
        <w:pStyle w:val="Rubrik6"/>
        <w:numPr>
          <w:ilvl w:val="0"/>
          <w:numId w:val="0"/>
        </w:numPr>
        <w:rPr>
          <w:rFonts w:eastAsia="Calibri"/>
          <w:i/>
          <w:iCs/>
          <w:lang w:val="en-GB" w:eastAsia="en-US"/>
        </w:rPr>
      </w:pPr>
      <w:r w:rsidRPr="00B65D57">
        <w:rPr>
          <w:rFonts w:eastAsia="Calibri"/>
          <w:lang w:val="en-GB" w:eastAsia="en-US"/>
        </w:rPr>
        <w:t xml:space="preserve">2.2.8.2.4.3 </w:t>
      </w:r>
      <w:r w:rsidR="009E404F" w:rsidRPr="00B65D57">
        <w:rPr>
          <w:rFonts w:eastAsia="Calibri"/>
          <w:i/>
          <w:iCs/>
          <w:lang w:val="en-GB" w:eastAsia="en-US"/>
        </w:rPr>
        <w:t xml:space="preserve">PEC </w:t>
      </w:r>
      <w:r w:rsidR="009E404F" w:rsidRPr="00B65D57">
        <w:rPr>
          <w:rFonts w:eastAsia="Calibri"/>
          <w:i/>
          <w:iCs/>
          <w:caps w:val="0"/>
          <w:lang w:val="en-GB" w:eastAsia="en-US"/>
        </w:rPr>
        <w:t>surface water/sediment/</w:t>
      </w:r>
      <w:r w:rsidR="009E404F" w:rsidRPr="00B65D57">
        <w:rPr>
          <w:rFonts w:eastAsia="Calibri"/>
          <w:i/>
          <w:iCs/>
          <w:lang w:val="en-GB" w:eastAsia="en-US"/>
        </w:rPr>
        <w:t xml:space="preserve">STP </w:t>
      </w:r>
    </w:p>
    <w:p w14:paraId="33286EA2" w14:textId="77777777" w:rsidR="009E404F" w:rsidRPr="00B65D57" w:rsidRDefault="009E404F" w:rsidP="009E404F">
      <w:pPr>
        <w:spacing w:line="260" w:lineRule="atLeast"/>
        <w:rPr>
          <w:rFonts w:eastAsia="Calibri"/>
          <w:lang w:eastAsia="en-US"/>
        </w:rPr>
      </w:pPr>
      <w:r w:rsidRPr="00B65D57">
        <w:rPr>
          <w:rFonts w:eastAsia="Calibri"/>
          <w:lang w:eastAsia="en-US"/>
        </w:rPr>
        <w:t>Due to the limited dispersal distance of boron from the treatment zone (Joodaki &amp; Vickman, 2020), surface water, sediments and sewage treatment plants will not be exposed to any substantial amounts of boron. Calculations of PEC</w:t>
      </w:r>
      <w:r w:rsidRPr="00B65D57">
        <w:rPr>
          <w:rFonts w:eastAsia="Calibri"/>
          <w:vertAlign w:val="subscript"/>
          <w:lang w:eastAsia="en-US"/>
        </w:rPr>
        <w:t>sw</w:t>
      </w:r>
      <w:r w:rsidRPr="00B65D57">
        <w:rPr>
          <w:rFonts w:eastAsia="Calibri"/>
          <w:lang w:eastAsia="en-US"/>
        </w:rPr>
        <w:t>, PEC</w:t>
      </w:r>
      <w:r w:rsidRPr="00B65D57">
        <w:rPr>
          <w:rFonts w:eastAsia="Calibri"/>
          <w:vertAlign w:val="subscript"/>
          <w:lang w:eastAsia="en-US"/>
        </w:rPr>
        <w:t>sed</w:t>
      </w:r>
      <w:r w:rsidRPr="00B65D57">
        <w:rPr>
          <w:rFonts w:eastAsia="Calibri"/>
          <w:lang w:eastAsia="en-US"/>
        </w:rPr>
        <w:t xml:space="preserve"> or PEC</w:t>
      </w:r>
      <w:r w:rsidRPr="00B65D57">
        <w:rPr>
          <w:rFonts w:eastAsia="Calibri"/>
          <w:vertAlign w:val="subscript"/>
          <w:lang w:eastAsia="en-US"/>
        </w:rPr>
        <w:t>STP</w:t>
      </w:r>
      <w:r w:rsidRPr="00B65D57">
        <w:rPr>
          <w:rFonts w:eastAsia="Calibri"/>
          <w:lang w:eastAsia="en-US"/>
        </w:rPr>
        <w:t xml:space="preserve"> are therefore not considered relevant. </w:t>
      </w:r>
    </w:p>
    <w:p w14:paraId="31290981" w14:textId="77777777" w:rsidR="009E404F" w:rsidRPr="00B65D57" w:rsidRDefault="009E404F" w:rsidP="009E404F">
      <w:pPr>
        <w:spacing w:line="260" w:lineRule="atLeast"/>
        <w:rPr>
          <w:rFonts w:eastAsia="Calibri"/>
          <w:lang w:eastAsia="en-US"/>
        </w:rPr>
      </w:pPr>
    </w:p>
    <w:tbl>
      <w:tblPr>
        <w:tblW w:w="9330" w:type="dxa"/>
        <w:tblInd w:w="-4" w:type="dxa"/>
        <w:tblCellMar>
          <w:left w:w="0" w:type="dxa"/>
          <w:right w:w="0" w:type="dxa"/>
        </w:tblCellMar>
        <w:tblLook w:val="04A0" w:firstRow="1" w:lastRow="0" w:firstColumn="1" w:lastColumn="0" w:noHBand="0" w:noVBand="1"/>
      </w:tblPr>
      <w:tblGrid>
        <w:gridCol w:w="1956"/>
        <w:gridCol w:w="7374"/>
      </w:tblGrid>
      <w:tr w:rsidR="009E404F" w:rsidRPr="00B65D57" w14:paraId="577E3E17" w14:textId="77777777" w:rsidTr="00DE498C">
        <w:tc>
          <w:tcPr>
            <w:tcW w:w="5000" w:type="pct"/>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E5E6CBD" w14:textId="77777777" w:rsidR="009E404F" w:rsidRPr="00B65D57" w:rsidRDefault="009E404F" w:rsidP="00DE498C">
            <w:pPr>
              <w:spacing w:line="260" w:lineRule="atLeast"/>
              <w:rPr>
                <w:rFonts w:eastAsia="Calibri" w:cs="Calibri"/>
                <w:b/>
                <w:bCs/>
                <w:lang w:eastAsia="en-US"/>
              </w:rPr>
            </w:pPr>
            <w:r w:rsidRPr="00B65D57">
              <w:rPr>
                <w:rFonts w:eastAsia="Calibri" w:cs="Calibri"/>
                <w:b/>
                <w:bCs/>
                <w:lang w:eastAsia="en-US"/>
              </w:rPr>
              <w:t>Data waiving</w:t>
            </w:r>
          </w:p>
        </w:tc>
      </w:tr>
      <w:tr w:rsidR="009E404F" w:rsidRPr="00B65D57" w14:paraId="240FF356" w14:textId="77777777" w:rsidTr="00DE498C">
        <w:tc>
          <w:tcPr>
            <w:tcW w:w="10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20D15F"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t>Information requirement</w:t>
            </w:r>
          </w:p>
        </w:tc>
        <w:tc>
          <w:tcPr>
            <w:tcW w:w="3952" w:type="pct"/>
            <w:tcBorders>
              <w:top w:val="nil"/>
              <w:left w:val="nil"/>
              <w:bottom w:val="single" w:sz="8" w:space="0" w:color="auto"/>
              <w:right w:val="single" w:sz="8" w:space="0" w:color="auto"/>
            </w:tcBorders>
            <w:tcMar>
              <w:top w:w="0" w:type="dxa"/>
              <w:left w:w="108" w:type="dxa"/>
              <w:bottom w:w="0" w:type="dxa"/>
              <w:right w:w="108" w:type="dxa"/>
            </w:tcMar>
            <w:vAlign w:val="center"/>
          </w:tcPr>
          <w:p w14:paraId="030CFB43"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t>PEC surface water/sediment/STP</w:t>
            </w:r>
          </w:p>
        </w:tc>
      </w:tr>
      <w:tr w:rsidR="009E404F" w:rsidRPr="00B65D57" w14:paraId="1A24DD9F" w14:textId="77777777" w:rsidTr="00DE498C">
        <w:tc>
          <w:tcPr>
            <w:tcW w:w="10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F6F45A"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lastRenderedPageBreak/>
              <w:t>Justification</w:t>
            </w:r>
          </w:p>
        </w:tc>
        <w:tc>
          <w:tcPr>
            <w:tcW w:w="3952" w:type="pct"/>
            <w:tcBorders>
              <w:top w:val="nil"/>
              <w:left w:val="nil"/>
              <w:bottom w:val="single" w:sz="8" w:space="0" w:color="auto"/>
              <w:right w:val="single" w:sz="8" w:space="0" w:color="auto"/>
            </w:tcBorders>
            <w:tcMar>
              <w:top w:w="0" w:type="dxa"/>
              <w:left w:w="108" w:type="dxa"/>
              <w:bottom w:w="0" w:type="dxa"/>
              <w:right w:w="108" w:type="dxa"/>
            </w:tcMar>
            <w:vAlign w:val="center"/>
          </w:tcPr>
          <w:p w14:paraId="2708DD77"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t>Surface water, sediments and sewage treatment plants will not be exposed to any substantial amounts of boron</w:t>
            </w:r>
            <w:r w:rsidRPr="00B65D57">
              <w:t xml:space="preserve"> </w:t>
            </w:r>
            <w:r w:rsidRPr="00B65D57">
              <w:rPr>
                <w:rFonts w:eastAsia="Calibri" w:cs="Calibri"/>
                <w:lang w:eastAsia="en-US"/>
              </w:rPr>
              <w:t>due to the limited dispersal distance of boron from the treatment zone.</w:t>
            </w:r>
          </w:p>
        </w:tc>
      </w:tr>
    </w:tbl>
    <w:p w14:paraId="1356E9DE" w14:textId="77777777" w:rsidR="009E404F" w:rsidRPr="00B65D57" w:rsidRDefault="009E404F" w:rsidP="009E404F">
      <w:pPr>
        <w:spacing w:line="260" w:lineRule="atLeast"/>
        <w:rPr>
          <w:rFonts w:eastAsia="Calibri"/>
          <w:lang w:eastAsia="en-US"/>
        </w:rPr>
      </w:pPr>
    </w:p>
    <w:p w14:paraId="0856999B" w14:textId="72C0D42E" w:rsidR="009E404F" w:rsidRPr="00B65D57" w:rsidRDefault="002C23EC" w:rsidP="008F4848">
      <w:pPr>
        <w:pStyle w:val="Rubrik5"/>
        <w:rPr>
          <w:lang w:val="en-GB"/>
        </w:rPr>
      </w:pPr>
      <w:bookmarkStart w:id="1699" w:name="_Toc377651047"/>
      <w:bookmarkStart w:id="1700" w:name="_Toc389729117"/>
      <w:bookmarkStart w:id="1701" w:name="_Toc403472802"/>
      <w:r w:rsidRPr="00B65D57">
        <w:rPr>
          <w:lang w:val="en-GB"/>
        </w:rPr>
        <w:t xml:space="preserve">2.2.8.2.5 </w:t>
      </w:r>
      <w:r w:rsidR="009E404F" w:rsidRPr="00B65D57">
        <w:rPr>
          <w:lang w:val="en-GB"/>
        </w:rPr>
        <w:t>Primary and secondary poisoning</w:t>
      </w:r>
      <w:bookmarkEnd w:id="1699"/>
      <w:bookmarkEnd w:id="1700"/>
      <w:bookmarkEnd w:id="1701"/>
    </w:p>
    <w:p w14:paraId="7D4F8C5F" w14:textId="77777777" w:rsidR="009E404F" w:rsidRPr="00B65D57" w:rsidRDefault="009E404F" w:rsidP="009E404F">
      <w:pPr>
        <w:rPr>
          <w:rFonts w:eastAsia="Calibri"/>
          <w:i/>
          <w:sz w:val="22"/>
          <w:szCs w:val="22"/>
          <w:u w:val="single"/>
          <w:lang w:eastAsia="en-US"/>
        </w:rPr>
      </w:pPr>
      <w:r w:rsidRPr="00B65D57">
        <w:rPr>
          <w:rFonts w:eastAsia="Calibri"/>
          <w:i/>
          <w:sz w:val="22"/>
          <w:szCs w:val="22"/>
          <w:u w:val="single"/>
          <w:lang w:eastAsia="en-US"/>
        </w:rPr>
        <w:t xml:space="preserve">Primary poisoning </w:t>
      </w:r>
    </w:p>
    <w:p w14:paraId="6FC91A23" w14:textId="77777777" w:rsidR="009E404F" w:rsidRPr="00B65D57" w:rsidRDefault="009E404F" w:rsidP="009E404F">
      <w:pPr>
        <w:widowControl w:val="0"/>
        <w:shd w:val="clear" w:color="auto" w:fill="FFFFFF"/>
        <w:autoSpaceDE w:val="0"/>
        <w:autoSpaceDN w:val="0"/>
        <w:adjustRightInd w:val="0"/>
        <w:spacing w:before="60" w:after="60" w:line="276" w:lineRule="auto"/>
        <w:jc w:val="both"/>
      </w:pPr>
      <w:r w:rsidRPr="00B65D57">
        <w:rPr>
          <w:rFonts w:eastAsia="Calibri"/>
          <w:lang w:eastAsia="en-US"/>
        </w:rPr>
        <w:t>A direct uptake of the product by mammals or birds is unlikely</w:t>
      </w:r>
      <w:r w:rsidRPr="00B65D57">
        <w:t xml:space="preserve"> due to the following reasons:</w:t>
      </w:r>
    </w:p>
    <w:p w14:paraId="10FC93D9" w14:textId="77777777" w:rsidR="009E404F" w:rsidRPr="00B65D57" w:rsidRDefault="009E404F" w:rsidP="001F5CF2">
      <w:pPr>
        <w:numPr>
          <w:ilvl w:val="0"/>
          <w:numId w:val="8"/>
        </w:numPr>
        <w:spacing w:line="276" w:lineRule="auto"/>
      </w:pPr>
      <w:r w:rsidRPr="00B65D57">
        <w:t>The treatment solution is applied by injection and is pumped through closed systems into the ground.</w:t>
      </w:r>
    </w:p>
    <w:p w14:paraId="44C0AB4C" w14:textId="77777777" w:rsidR="009E404F" w:rsidRPr="00B65D57" w:rsidRDefault="009E404F" w:rsidP="001F5CF2">
      <w:pPr>
        <w:numPr>
          <w:ilvl w:val="0"/>
          <w:numId w:val="8"/>
        </w:numPr>
        <w:spacing w:line="276" w:lineRule="auto"/>
      </w:pPr>
      <w:r w:rsidRPr="00B65D57">
        <w:t xml:space="preserve">If an </w:t>
      </w:r>
      <w:bookmarkStart w:id="1702" w:name="_Hlk103082649"/>
      <w:r w:rsidRPr="00B65D57">
        <w:t xml:space="preserve">accident occurs </w:t>
      </w:r>
      <w:bookmarkEnd w:id="1702"/>
      <w:r w:rsidRPr="00B65D57">
        <w:t>and there is a spill, exposure to non-target organisms will be stopped by:</w:t>
      </w:r>
    </w:p>
    <w:p w14:paraId="2E7856AE" w14:textId="77777777" w:rsidR="009E404F" w:rsidRPr="00B65D57" w:rsidRDefault="009E404F" w:rsidP="001F5CF2">
      <w:pPr>
        <w:numPr>
          <w:ilvl w:val="1"/>
          <w:numId w:val="8"/>
        </w:numPr>
        <w:spacing w:line="276" w:lineRule="auto"/>
      </w:pPr>
      <w:r w:rsidRPr="00B65D57">
        <w:t xml:space="preserve">sweeping /shovelling up large spills alternatively using an industrial vacuum cleaner if the spill is in the form of granules. </w:t>
      </w:r>
    </w:p>
    <w:p w14:paraId="59A22368" w14:textId="77777777" w:rsidR="009E404F" w:rsidRPr="00B65D57" w:rsidRDefault="009E404F" w:rsidP="001F5CF2">
      <w:pPr>
        <w:numPr>
          <w:ilvl w:val="1"/>
          <w:numId w:val="8"/>
        </w:numPr>
        <w:spacing w:line="276" w:lineRule="auto"/>
      </w:pPr>
      <w:r w:rsidRPr="00B65D57">
        <w:t>pumping off product or picking it up with suitable absorbent material if the spill is in the form of a water-based slurry.</w:t>
      </w:r>
    </w:p>
    <w:p w14:paraId="3C353096" w14:textId="77777777" w:rsidR="009E404F" w:rsidRPr="00B65D57" w:rsidRDefault="009E404F" w:rsidP="009E404F">
      <w:pPr>
        <w:widowControl w:val="0"/>
        <w:shd w:val="clear" w:color="auto" w:fill="FFFFFF"/>
        <w:autoSpaceDE w:val="0"/>
        <w:autoSpaceDN w:val="0"/>
        <w:adjustRightInd w:val="0"/>
        <w:spacing w:before="60" w:after="60" w:line="276" w:lineRule="auto"/>
        <w:jc w:val="both"/>
        <w:rPr>
          <w:rFonts w:eastAsia="Calibri"/>
          <w:lang w:eastAsia="en-US"/>
        </w:rPr>
      </w:pPr>
      <w:r w:rsidRPr="00B65D57">
        <w:rPr>
          <w:rFonts w:eastAsia="Calibri"/>
          <w:lang w:eastAsia="en-US"/>
        </w:rPr>
        <w:t>As no exposure to birds and mammals are foreseen with the intended use of Jerbor, no PEC</w:t>
      </w:r>
      <w:r w:rsidRPr="00B65D57">
        <w:rPr>
          <w:rFonts w:eastAsia="Calibri"/>
          <w:vertAlign w:val="subscript"/>
          <w:lang w:eastAsia="en-US"/>
        </w:rPr>
        <w:t xml:space="preserve">primary poisoning </w:t>
      </w:r>
      <w:r w:rsidRPr="00B65D57">
        <w:rPr>
          <w:rFonts w:eastAsia="Calibri"/>
          <w:lang w:eastAsia="en-US"/>
        </w:rPr>
        <w:t>has been calculated. No further assessment of primary exposure of birds or mammals is therefore considered necessary.</w:t>
      </w:r>
    </w:p>
    <w:p w14:paraId="5F95C23B" w14:textId="77777777" w:rsidR="009E404F" w:rsidRPr="00B65D57" w:rsidRDefault="009E404F" w:rsidP="009E404F">
      <w:pPr>
        <w:rPr>
          <w:lang w:eastAsia="en-US"/>
        </w:rPr>
      </w:pPr>
    </w:p>
    <w:p w14:paraId="0F49462D" w14:textId="77777777" w:rsidR="009E404F" w:rsidRPr="00B65D57" w:rsidRDefault="009E404F" w:rsidP="009E404F">
      <w:pPr>
        <w:spacing w:after="60"/>
        <w:rPr>
          <w:rFonts w:eastAsia="Calibri"/>
          <w:i/>
          <w:sz w:val="22"/>
          <w:szCs w:val="22"/>
          <w:u w:val="single"/>
          <w:lang w:eastAsia="en-US"/>
        </w:rPr>
      </w:pPr>
      <w:r w:rsidRPr="00B65D57">
        <w:rPr>
          <w:rFonts w:eastAsia="Calibri"/>
          <w:i/>
          <w:sz w:val="22"/>
          <w:szCs w:val="22"/>
          <w:u w:val="single"/>
          <w:lang w:eastAsia="en-US"/>
        </w:rPr>
        <w:t>Secondary poisoning</w:t>
      </w:r>
    </w:p>
    <w:p w14:paraId="0915DFAD" w14:textId="77777777" w:rsidR="009E404F" w:rsidRPr="00B65D57" w:rsidRDefault="009E404F" w:rsidP="009E404F">
      <w:pPr>
        <w:spacing w:line="276" w:lineRule="auto"/>
        <w:rPr>
          <w:rFonts w:eastAsia="Calibri"/>
          <w:iCs/>
          <w:lang w:eastAsia="en-US"/>
        </w:rPr>
      </w:pPr>
      <w:bookmarkStart w:id="1703" w:name="_Hlk10015766"/>
      <w:r w:rsidRPr="00B65D57">
        <w:rPr>
          <w:rFonts w:eastAsia="Calibri"/>
          <w:iCs/>
          <w:lang w:eastAsia="en-US"/>
        </w:rPr>
        <w:t xml:space="preserve">Boron does not bioconcentrate or bioaccumulate along the food chain in neither aquatic nor terrestrial ecosystems according to the CARs for boric acid (Assessment Report Boric acid, 2009) and disodium tetraborates (Assessment Report Disodium tetraborate, 2009). The low accumulation potential is supported by the low BCF of &lt; 2000 L/kg wwt for fish. </w:t>
      </w:r>
    </w:p>
    <w:p w14:paraId="2732B396" w14:textId="77777777" w:rsidR="009E404F" w:rsidRPr="00B65D57" w:rsidRDefault="009E404F" w:rsidP="009E404F">
      <w:pPr>
        <w:spacing w:line="276" w:lineRule="auto"/>
        <w:rPr>
          <w:rFonts w:eastAsia="Calibri"/>
          <w:iCs/>
          <w:lang w:eastAsia="en-US"/>
        </w:rPr>
      </w:pPr>
    </w:p>
    <w:p w14:paraId="5F203CC2" w14:textId="77777777" w:rsidR="009E404F" w:rsidRPr="00B65D57" w:rsidRDefault="009E404F" w:rsidP="009E404F">
      <w:pPr>
        <w:spacing w:line="276" w:lineRule="auto"/>
        <w:rPr>
          <w:rFonts w:eastAsia="Calibri"/>
          <w:iCs/>
          <w:lang w:eastAsia="en-US"/>
        </w:rPr>
      </w:pPr>
      <w:r w:rsidRPr="00B65D57">
        <w:rPr>
          <w:rFonts w:eastAsia="Calibri"/>
          <w:iCs/>
          <w:lang w:eastAsia="en-US"/>
        </w:rPr>
        <w:t xml:space="preserve">No further assessment of secondary exposure via the food chain is therefore considered necessary. </w:t>
      </w:r>
    </w:p>
    <w:p w14:paraId="72C7D250" w14:textId="77777777" w:rsidR="009E404F" w:rsidRPr="00B65D57" w:rsidRDefault="009E404F" w:rsidP="009E404F">
      <w:pPr>
        <w:spacing w:line="260" w:lineRule="atLeast"/>
        <w:rPr>
          <w:rFonts w:eastAsia="Calibri"/>
          <w:iCs/>
          <w:lang w:eastAsia="en-US"/>
        </w:rPr>
      </w:pPr>
    </w:p>
    <w:tbl>
      <w:tblPr>
        <w:tblW w:w="9330" w:type="dxa"/>
        <w:tblInd w:w="-4" w:type="dxa"/>
        <w:tblCellMar>
          <w:left w:w="0" w:type="dxa"/>
          <w:right w:w="0" w:type="dxa"/>
        </w:tblCellMar>
        <w:tblLook w:val="04A0" w:firstRow="1" w:lastRow="0" w:firstColumn="1" w:lastColumn="0" w:noHBand="0" w:noVBand="1"/>
      </w:tblPr>
      <w:tblGrid>
        <w:gridCol w:w="1956"/>
        <w:gridCol w:w="7374"/>
      </w:tblGrid>
      <w:tr w:rsidR="009E404F" w:rsidRPr="00B65D57" w14:paraId="7A98999A" w14:textId="77777777" w:rsidTr="00DE498C">
        <w:tc>
          <w:tcPr>
            <w:tcW w:w="5000" w:type="pct"/>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bookmarkEnd w:id="1703"/>
          <w:p w14:paraId="76DC4038" w14:textId="77777777" w:rsidR="009E404F" w:rsidRPr="00B65D57" w:rsidRDefault="009E404F" w:rsidP="00DE498C">
            <w:pPr>
              <w:spacing w:line="260" w:lineRule="atLeast"/>
              <w:rPr>
                <w:rFonts w:eastAsia="Calibri" w:cs="Calibri"/>
                <w:b/>
                <w:bCs/>
                <w:lang w:eastAsia="en-US"/>
              </w:rPr>
            </w:pPr>
            <w:r w:rsidRPr="00B65D57">
              <w:rPr>
                <w:rFonts w:eastAsia="Calibri" w:cs="Calibri"/>
                <w:b/>
                <w:bCs/>
                <w:lang w:eastAsia="en-US"/>
              </w:rPr>
              <w:t>Data waiving</w:t>
            </w:r>
          </w:p>
        </w:tc>
      </w:tr>
      <w:tr w:rsidR="009E404F" w:rsidRPr="00B65D57" w14:paraId="37DD5E7E" w14:textId="77777777" w:rsidTr="00DE498C">
        <w:tc>
          <w:tcPr>
            <w:tcW w:w="10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9B37D"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t>Information requirement</w:t>
            </w:r>
          </w:p>
        </w:tc>
        <w:tc>
          <w:tcPr>
            <w:tcW w:w="3952" w:type="pct"/>
            <w:tcBorders>
              <w:top w:val="nil"/>
              <w:left w:val="nil"/>
              <w:bottom w:val="single" w:sz="8" w:space="0" w:color="auto"/>
              <w:right w:val="single" w:sz="8" w:space="0" w:color="auto"/>
            </w:tcBorders>
            <w:tcMar>
              <w:top w:w="0" w:type="dxa"/>
              <w:left w:w="108" w:type="dxa"/>
              <w:bottom w:w="0" w:type="dxa"/>
              <w:right w:w="108" w:type="dxa"/>
            </w:tcMar>
            <w:vAlign w:val="center"/>
          </w:tcPr>
          <w:p w14:paraId="657796B4"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t>Primary and secondary poisoning</w:t>
            </w:r>
          </w:p>
        </w:tc>
      </w:tr>
      <w:tr w:rsidR="009E404F" w:rsidRPr="00B65D57" w14:paraId="545A5DA4" w14:textId="77777777" w:rsidTr="00DE498C">
        <w:tc>
          <w:tcPr>
            <w:tcW w:w="10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EDF37"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t>Justification</w:t>
            </w:r>
          </w:p>
        </w:tc>
        <w:tc>
          <w:tcPr>
            <w:tcW w:w="3952" w:type="pct"/>
            <w:tcBorders>
              <w:top w:val="nil"/>
              <w:left w:val="nil"/>
              <w:bottom w:val="single" w:sz="8" w:space="0" w:color="auto"/>
              <w:right w:val="single" w:sz="8" w:space="0" w:color="auto"/>
            </w:tcBorders>
            <w:tcMar>
              <w:top w:w="0" w:type="dxa"/>
              <w:left w:w="108" w:type="dxa"/>
              <w:bottom w:w="0" w:type="dxa"/>
              <w:right w:w="108" w:type="dxa"/>
            </w:tcMar>
            <w:vAlign w:val="center"/>
          </w:tcPr>
          <w:p w14:paraId="184619D9" w14:textId="77777777" w:rsidR="009E404F" w:rsidRPr="00B65D57" w:rsidRDefault="009E404F" w:rsidP="00DE498C">
            <w:pPr>
              <w:spacing w:line="260" w:lineRule="atLeast"/>
              <w:rPr>
                <w:rFonts w:eastAsia="Calibri" w:cs="Calibri"/>
                <w:lang w:eastAsia="en-US"/>
              </w:rPr>
            </w:pPr>
            <w:r w:rsidRPr="00B65D57">
              <w:rPr>
                <w:rFonts w:eastAsia="Calibri" w:cs="Calibri"/>
                <w:lang w:eastAsia="en-US"/>
              </w:rPr>
              <w:t>No exposure to birds and mammals is foreseen with the intended use of Jerbor. Moreover, boron does not bioconcentrate or bioaccumulate along the food chain in neither aquatic nor terrestrial ecosystems.</w:t>
            </w:r>
          </w:p>
        </w:tc>
      </w:tr>
    </w:tbl>
    <w:p w14:paraId="29C7452E" w14:textId="77777777" w:rsidR="009E404F" w:rsidRPr="00B65D57" w:rsidRDefault="009E404F" w:rsidP="009E404F">
      <w:pPr>
        <w:spacing w:line="260" w:lineRule="atLeast"/>
        <w:rPr>
          <w:rFonts w:eastAsia="Calibri"/>
          <w:lang w:eastAsia="en-US"/>
        </w:rPr>
      </w:pPr>
    </w:p>
    <w:p w14:paraId="5CB5BF10" w14:textId="77777777" w:rsidR="009E404F" w:rsidRPr="00B65D57" w:rsidRDefault="009E404F" w:rsidP="009E404F">
      <w:pPr>
        <w:spacing w:line="260" w:lineRule="atLeast"/>
        <w:rPr>
          <w:rFonts w:eastAsia="Calibri"/>
          <w:lang w:eastAsia="en-US"/>
        </w:rPr>
      </w:pPr>
    </w:p>
    <w:p w14:paraId="436FC259" w14:textId="52A220A1" w:rsidR="009E404F" w:rsidRPr="00B65D57" w:rsidRDefault="002C23EC" w:rsidP="00065CC0">
      <w:pPr>
        <w:pStyle w:val="Rubrik4"/>
      </w:pPr>
      <w:bookmarkStart w:id="1704" w:name="_Toc377651049"/>
      <w:bookmarkStart w:id="1705" w:name="_Toc389729118"/>
      <w:bookmarkStart w:id="1706" w:name="_Toc403566582"/>
      <w:bookmarkStart w:id="1707" w:name="_Toc103243643"/>
      <w:bookmarkStart w:id="1708" w:name="_Toc129689605"/>
      <w:r w:rsidRPr="00B65D57">
        <w:t xml:space="preserve">2.2.8.3 </w:t>
      </w:r>
      <w:r w:rsidR="009E404F" w:rsidRPr="00B65D57">
        <w:t>Risk characterisation</w:t>
      </w:r>
      <w:bookmarkEnd w:id="1704"/>
      <w:bookmarkEnd w:id="1705"/>
      <w:bookmarkEnd w:id="1706"/>
      <w:bookmarkEnd w:id="1707"/>
      <w:bookmarkEnd w:id="1708"/>
    </w:p>
    <w:p w14:paraId="317F9BA3" w14:textId="77777777" w:rsidR="009E404F" w:rsidRPr="00B65D57" w:rsidRDefault="009E404F" w:rsidP="009E404F">
      <w:pPr>
        <w:spacing w:line="360" w:lineRule="auto"/>
        <w:rPr>
          <w:rFonts w:eastAsia="Calibri"/>
        </w:rPr>
      </w:pPr>
      <w:r w:rsidRPr="00B65D57">
        <w:rPr>
          <w:rFonts w:eastAsia="Calibri"/>
        </w:rPr>
        <w:t xml:space="preserve">In the final CARs for boric acid (Assessment Report Boric acid, 2009) and disodium tetraborates (Assessment Report Disodium tetraborate, 2009) the RMS states that the risk assessment should be conducted based on the </w:t>
      </w:r>
      <w:bookmarkStart w:id="1709" w:name="_Hlk10014446"/>
      <w:r w:rsidRPr="00B65D57">
        <w:rPr>
          <w:rFonts w:eastAsia="Calibri"/>
        </w:rPr>
        <w:t>added risk approach</w:t>
      </w:r>
      <w:bookmarkEnd w:id="1709"/>
      <w:r w:rsidRPr="00B65D57">
        <w:rPr>
          <w:rFonts w:eastAsia="Calibri"/>
        </w:rPr>
        <w:t xml:space="preserve">. The use of the added risk approach implies that only the anthropogenic amount of a substance, i.e. the amount added to the natural background concentration, is considered to be relevant for the effects assessment of that substance. In the added risk approach both the ‘Predicted </w:t>
      </w:r>
      <w:r w:rsidRPr="00B65D57">
        <w:rPr>
          <w:rFonts w:eastAsia="Calibri"/>
        </w:rPr>
        <w:lastRenderedPageBreak/>
        <w:t>Environmental Concentration’(PEC) and the ‘Predicted No Effect Concentration’ (PNEC) are expressed as added by man, resulting in an ‘added Predicted Environmental Concentration’ (PEC</w:t>
      </w:r>
      <w:r w:rsidRPr="00B65D57">
        <w:rPr>
          <w:rFonts w:eastAsia="Calibri"/>
          <w:vertAlign w:val="subscript"/>
        </w:rPr>
        <w:t>add</w:t>
      </w:r>
      <w:r w:rsidRPr="00B65D57">
        <w:rPr>
          <w:rFonts w:eastAsia="Calibri"/>
        </w:rPr>
        <w:t>) and ‘added Predicted No Effect Concentration’ (PNEC</w:t>
      </w:r>
      <w:r w:rsidRPr="00B65D57">
        <w:rPr>
          <w:rFonts w:eastAsia="Calibri"/>
          <w:vertAlign w:val="subscript"/>
        </w:rPr>
        <w:t>add</w:t>
      </w:r>
      <w:r w:rsidRPr="00B65D57">
        <w:rPr>
          <w:rFonts w:eastAsia="Calibri"/>
        </w:rPr>
        <w:t xml:space="preserve">), respectively.  </w:t>
      </w:r>
    </w:p>
    <w:p w14:paraId="078284C0" w14:textId="77777777" w:rsidR="009E404F" w:rsidRPr="00B65D57" w:rsidRDefault="009E404F" w:rsidP="009E404F">
      <w:pPr>
        <w:spacing w:line="360" w:lineRule="auto"/>
        <w:rPr>
          <w:rFonts w:eastAsia="Calibri"/>
        </w:rPr>
      </w:pPr>
    </w:p>
    <w:p w14:paraId="352B66A2" w14:textId="77777777" w:rsidR="009E404F" w:rsidRPr="00B65D57" w:rsidRDefault="009E404F" w:rsidP="009E404F">
      <w:pPr>
        <w:spacing w:line="360" w:lineRule="auto"/>
        <w:rPr>
          <w:rFonts w:eastAsia="Calibri"/>
          <w:lang w:eastAsia="en-US"/>
        </w:rPr>
      </w:pPr>
      <w:r w:rsidRPr="00B65D57">
        <w:rPr>
          <w:rFonts w:eastAsia="Calibri"/>
          <w:lang w:eastAsia="en-US"/>
        </w:rPr>
        <w:t xml:space="preserve">The following arguments for using the added risk approach are brought forward by the RMS: </w:t>
      </w:r>
    </w:p>
    <w:p w14:paraId="5D0D271F" w14:textId="77777777" w:rsidR="009E404F" w:rsidRPr="00B65D57" w:rsidRDefault="009E404F" w:rsidP="001F5CF2">
      <w:pPr>
        <w:numPr>
          <w:ilvl w:val="0"/>
          <w:numId w:val="11"/>
        </w:numPr>
        <w:spacing w:line="360" w:lineRule="auto"/>
        <w:rPr>
          <w:rFonts w:eastAsia="Calibri"/>
          <w:lang w:eastAsia="en-US"/>
        </w:rPr>
      </w:pPr>
      <w:r w:rsidRPr="00B65D57">
        <w:rPr>
          <w:rFonts w:eastAsia="Calibri"/>
          <w:lang w:eastAsia="en-US"/>
        </w:rPr>
        <w:t xml:space="preserve">There is inadequate knowledge of the natural boron concentrations in water, sediment and soil. </w:t>
      </w:r>
    </w:p>
    <w:p w14:paraId="5CA2BB08" w14:textId="77777777" w:rsidR="009E404F" w:rsidRPr="00B65D57" w:rsidRDefault="009E404F" w:rsidP="001F5CF2">
      <w:pPr>
        <w:numPr>
          <w:ilvl w:val="0"/>
          <w:numId w:val="11"/>
        </w:numPr>
        <w:spacing w:line="360" w:lineRule="auto"/>
        <w:rPr>
          <w:rFonts w:eastAsia="Calibri"/>
          <w:lang w:eastAsia="en-US"/>
        </w:rPr>
      </w:pPr>
      <w:r w:rsidRPr="00B65D57">
        <w:rPr>
          <w:rFonts w:eastAsia="Calibri"/>
          <w:lang w:eastAsia="en-US"/>
        </w:rPr>
        <w:t xml:space="preserve">There is insufficient knowledge to incorporate bioavailability. </w:t>
      </w:r>
    </w:p>
    <w:p w14:paraId="69EE1BE3" w14:textId="77777777" w:rsidR="009E404F" w:rsidRPr="00B65D57" w:rsidRDefault="009E404F" w:rsidP="001F5CF2">
      <w:pPr>
        <w:numPr>
          <w:ilvl w:val="0"/>
          <w:numId w:val="11"/>
        </w:numPr>
        <w:spacing w:line="360" w:lineRule="auto"/>
        <w:rPr>
          <w:rFonts w:eastAsia="Calibri"/>
          <w:lang w:eastAsia="en-US"/>
        </w:rPr>
      </w:pPr>
      <w:r w:rsidRPr="00B65D57">
        <w:rPr>
          <w:rFonts w:eastAsia="Calibri"/>
          <w:lang w:eastAsia="en-US"/>
        </w:rPr>
        <w:t xml:space="preserve">No studies are available that indicate acclimatization and adaptation effects to the sensitivity of species to Boron with the exception of deficiency occurring in some fish and plant studies. </w:t>
      </w:r>
    </w:p>
    <w:p w14:paraId="6EB0C893" w14:textId="77777777" w:rsidR="009E404F" w:rsidRPr="00B65D57" w:rsidRDefault="009E404F" w:rsidP="001F5CF2">
      <w:pPr>
        <w:numPr>
          <w:ilvl w:val="0"/>
          <w:numId w:val="11"/>
        </w:numPr>
        <w:spacing w:line="360" w:lineRule="auto"/>
        <w:rPr>
          <w:rFonts w:eastAsia="Calibri"/>
          <w:lang w:eastAsia="en-US"/>
        </w:rPr>
      </w:pPr>
      <w:r w:rsidRPr="00B65D57">
        <w:rPr>
          <w:rFonts w:eastAsia="Calibri"/>
          <w:lang w:eastAsia="en-US"/>
        </w:rPr>
        <w:t xml:space="preserve">There is no information that boron is essential to all biota. </w:t>
      </w:r>
    </w:p>
    <w:p w14:paraId="0F0BABF0" w14:textId="77777777" w:rsidR="009E404F" w:rsidRPr="00B65D57" w:rsidRDefault="009E404F" w:rsidP="009E404F">
      <w:pPr>
        <w:spacing w:before="120" w:after="120" w:line="360" w:lineRule="auto"/>
      </w:pPr>
      <w:r w:rsidRPr="00B65D57">
        <w:t>Following the argumentation in the final CARs for all boron species, the added PECs estimated by the applicant and discussed above should then be related to the PNEC</w:t>
      </w:r>
      <w:r w:rsidRPr="00B65D57">
        <w:rPr>
          <w:vertAlign w:val="subscript"/>
        </w:rPr>
        <w:t>add</w:t>
      </w:r>
      <w:r w:rsidRPr="00B65D57">
        <w:t xml:space="preserve"> presented in the CARs. Although this approach may be relevant in areas where the background concentrations can be expected to be “natural background concentration” it may not be equally relevant to use in the present case. In the urban areas discussed in this report, the groundwater and the soil/clay are already influenced by anthropogenic activities. </w:t>
      </w:r>
    </w:p>
    <w:p w14:paraId="4DCFC577" w14:textId="77777777" w:rsidR="009E404F" w:rsidRPr="00B65D57" w:rsidRDefault="009E404F" w:rsidP="009E404F">
      <w:pPr>
        <w:spacing w:before="120" w:after="120" w:line="360" w:lineRule="auto"/>
      </w:pPr>
      <w:r w:rsidRPr="00B65D57">
        <w:t xml:space="preserve">In any case, it is clear that the worst-case </w:t>
      </w:r>
      <w:r w:rsidRPr="00B65D57">
        <w:rPr>
          <w:b/>
          <w:bCs/>
        </w:rPr>
        <w:t>PEC</w:t>
      </w:r>
      <w:r w:rsidRPr="00B65D57">
        <w:rPr>
          <w:b/>
          <w:bCs/>
          <w:vertAlign w:val="subscript"/>
        </w:rPr>
        <w:t>add</w:t>
      </w:r>
      <w:r w:rsidRPr="00B65D57">
        <w:rPr>
          <w:b/>
          <w:bCs/>
        </w:rPr>
        <w:t xml:space="preserve"> for groundwater </w:t>
      </w:r>
      <w:r w:rsidRPr="00B65D57">
        <w:t>(420.5 mg BAE/L or 73.5 mg B/L) is much higher than the PNEC</w:t>
      </w:r>
      <w:r w:rsidRPr="00B65D57">
        <w:rPr>
          <w:vertAlign w:val="subscript"/>
        </w:rPr>
        <w:t>add</w:t>
      </w:r>
      <w:r w:rsidRPr="00B65D57">
        <w:t xml:space="preserve"> suggested for groundwater in the CARs</w:t>
      </w:r>
      <w:r w:rsidRPr="00B65D57">
        <w:rPr>
          <w:rStyle w:val="Fotnotsreferens"/>
          <w:sz w:val="20"/>
        </w:rPr>
        <w:footnoteReference w:id="3"/>
      </w:r>
      <w:r w:rsidRPr="00B65D57">
        <w:t xml:space="preserve"> (5.7 mg BAE/L or 1 mg B/L). The worst-case </w:t>
      </w:r>
      <w:r w:rsidRPr="00B65D57">
        <w:rPr>
          <w:b/>
          <w:bCs/>
        </w:rPr>
        <w:t>PEC</w:t>
      </w:r>
      <w:r w:rsidRPr="00B65D57">
        <w:rPr>
          <w:b/>
          <w:bCs/>
          <w:vertAlign w:val="subscript"/>
        </w:rPr>
        <w:t>add</w:t>
      </w:r>
      <w:r w:rsidRPr="00B65D57">
        <w:rPr>
          <w:b/>
          <w:bCs/>
        </w:rPr>
        <w:t xml:space="preserve"> for the soil/clay</w:t>
      </w:r>
      <w:r w:rsidRPr="00B65D57">
        <w:t xml:space="preserve"> (249.5 mg BAE/kg dw or 43.6 mg B/kg dw) is also higher than the PNEC</w:t>
      </w:r>
      <w:r w:rsidRPr="00B65D57">
        <w:rPr>
          <w:vertAlign w:val="subscript"/>
        </w:rPr>
        <w:t>add</w:t>
      </w:r>
      <w:r w:rsidRPr="00B65D57">
        <w:t xml:space="preserve"> for terrestrial organisms established in the CARs (2.29 mg BAE/kg dw or 0.4 mg B/kg dw). </w:t>
      </w:r>
    </w:p>
    <w:p w14:paraId="36D757AC" w14:textId="77777777" w:rsidR="009E404F" w:rsidRPr="00B65D57" w:rsidRDefault="009E404F" w:rsidP="009E404F">
      <w:pPr>
        <w:spacing w:before="120" w:after="120" w:line="360" w:lineRule="auto"/>
      </w:pPr>
      <w:r w:rsidRPr="00B65D57">
        <w:t>The relevance of these comparisons of PECs and PNECs for the current risk assessment can and should however be discussed. There are several arguments that can be brought forward for not applying the PEC/PNEC approach in the risk assessment for Jerbor. The PNEC established in the CARs for terrestrial organisms may not be totally relevant for the organisms present in the soil/clay of the treatment area. Also, the background concentrations in the clay are much higher than the PNEC</w:t>
      </w:r>
      <w:r w:rsidRPr="00B65D57">
        <w:rPr>
          <w:vertAlign w:val="subscript"/>
        </w:rPr>
        <w:t>add</w:t>
      </w:r>
      <w:r w:rsidRPr="00B65D57">
        <w:t xml:space="preserve"> for terrestrial organisms. Even though the PEC</w:t>
      </w:r>
      <w:r w:rsidRPr="00B65D57">
        <w:rPr>
          <w:vertAlign w:val="subscript"/>
        </w:rPr>
        <w:t>add</w:t>
      </w:r>
      <w:r w:rsidRPr="00B65D57">
        <w:t xml:space="preserve"> for groundwater is higher than what is normally found in urban </w:t>
      </w:r>
      <w:r w:rsidRPr="00B65D57">
        <w:lastRenderedPageBreak/>
        <w:t xml:space="preserve">areas it will not be used for drinking water. Further, the likelihood that the groundwater in adjacent areas will be exposed by groundwater from the treatment area is low according to the data provided. </w:t>
      </w:r>
    </w:p>
    <w:p w14:paraId="7E4B3B78" w14:textId="77777777" w:rsidR="009E404F" w:rsidRPr="00B65D57" w:rsidRDefault="009E404F" w:rsidP="009E404F">
      <w:pPr>
        <w:spacing w:before="120" w:after="120" w:line="360" w:lineRule="auto"/>
      </w:pPr>
      <w:r w:rsidRPr="00B65D57">
        <w:t xml:space="preserve">Since the intended use of Jerbor/Eurobor as wood preservative product is quite different compared to other wood preservative used for wood in the ground, the risk characterization should therefore be focused on the risk for transport/dispersion of boron from the treatment area to other areas. The Swedish Chemicals Agency therefore concludes that even though high boron levels can be expected for groundwater and clay close to the depot of Eurobor injected, the data submitted by the applicant indicate that the transport/dispersion of boron from the treatment zone is sufficiently limited to such an extent that the risks can be regarded as acceptable. </w:t>
      </w:r>
    </w:p>
    <w:p w14:paraId="27357091" w14:textId="77777777" w:rsidR="009E404F" w:rsidRPr="00B65D57" w:rsidRDefault="009E404F" w:rsidP="009E404F">
      <w:pPr>
        <w:spacing w:before="120" w:after="120" w:line="360" w:lineRule="auto"/>
      </w:pPr>
      <w:r w:rsidRPr="00B65D57">
        <w:t>In the inclusion directives for boric acid and for disodium tetraborate there is a specific provision that products shall not be authorised for the in-situ treatment of wood outdoors unless data are submitted to demonstrate that the product will meet the requirements of Article 5 and Annex VI of the BPR (2012), if necessary, by the application of appropriate risk mitigation measures.</w:t>
      </w:r>
    </w:p>
    <w:p w14:paraId="482C3BD3" w14:textId="77777777" w:rsidR="009E404F" w:rsidRPr="00B65D57" w:rsidRDefault="009E404F" w:rsidP="009E404F">
      <w:pPr>
        <w:spacing w:line="360" w:lineRule="auto"/>
        <w:rPr>
          <w:lang w:eastAsia="en-US"/>
        </w:rPr>
      </w:pPr>
      <w:r w:rsidRPr="00B65D57">
        <w:t>The Swedish Chemicals Agency considers that the data submitted demonstrates that the requirements of Article 5 and Annex VI of the BPR (2012) will be fulfilled if the conditions stated in the decision are applied.</w:t>
      </w:r>
    </w:p>
    <w:p w14:paraId="63FFDCA0" w14:textId="77777777" w:rsidR="009E404F" w:rsidRPr="00B65D57" w:rsidRDefault="009E404F" w:rsidP="009E404F">
      <w:pPr>
        <w:jc w:val="both"/>
        <w:rPr>
          <w:lang w:eastAsia="en-US"/>
        </w:rPr>
      </w:pPr>
    </w:p>
    <w:p w14:paraId="69BFD132" w14:textId="77777777" w:rsidR="009E404F" w:rsidRPr="00B65D57" w:rsidRDefault="009E404F" w:rsidP="009E404F">
      <w:pPr>
        <w:jc w:val="both"/>
        <w:rPr>
          <w:lang w:eastAsia="en-US"/>
        </w:rPr>
      </w:pPr>
    </w:p>
    <w:p w14:paraId="7EC95AA7" w14:textId="0C5ED16C" w:rsidR="009E404F" w:rsidRPr="00B65D57" w:rsidRDefault="002C23EC" w:rsidP="008F4848">
      <w:pPr>
        <w:pStyle w:val="Rubrik5"/>
        <w:rPr>
          <w:lang w:val="en-GB"/>
        </w:rPr>
      </w:pPr>
      <w:bookmarkStart w:id="1710" w:name="_Toc377651050"/>
      <w:bookmarkStart w:id="1711" w:name="_Toc389729119"/>
      <w:bookmarkStart w:id="1712" w:name="_Toc403472803"/>
      <w:r w:rsidRPr="00B65D57">
        <w:rPr>
          <w:lang w:val="en-GB"/>
        </w:rPr>
        <w:t xml:space="preserve">2.2.8.3.1 </w:t>
      </w:r>
      <w:r w:rsidR="009E404F" w:rsidRPr="00B65D57">
        <w:rPr>
          <w:lang w:val="en-GB"/>
        </w:rPr>
        <w:t>Atmosphere</w:t>
      </w:r>
      <w:bookmarkEnd w:id="1710"/>
      <w:bookmarkEnd w:id="1711"/>
      <w:bookmarkEnd w:id="1712"/>
    </w:p>
    <w:p w14:paraId="0DA7C3AA" w14:textId="77777777" w:rsidR="009E404F" w:rsidRPr="00B65D57" w:rsidRDefault="009E404F" w:rsidP="008F4848">
      <w:pPr>
        <w:spacing w:line="276" w:lineRule="auto"/>
        <w:rPr>
          <w:rFonts w:eastAsia="Calibri"/>
          <w:lang w:eastAsia="en-US"/>
        </w:rPr>
      </w:pPr>
      <w:r w:rsidRPr="00B65D57">
        <w:rPr>
          <w:rFonts w:eastAsia="Calibri"/>
          <w:lang w:eastAsia="en-US"/>
        </w:rPr>
        <w:t>No risk characterisation of the atmosphere has been performed since the release of boron to the air will be minimal because of its low vapour pressure (Assessment Report Boric acid, 2009; Assessment Report Disodium tetraborate, 2009).</w:t>
      </w:r>
    </w:p>
    <w:p w14:paraId="780A0222" w14:textId="77777777" w:rsidR="009E404F" w:rsidRPr="00B65D57" w:rsidRDefault="009E404F" w:rsidP="008F4848">
      <w:pPr>
        <w:spacing w:line="276" w:lineRule="auto"/>
        <w:rPr>
          <w:rFonts w:eastAsia="Calibri"/>
          <w:lang w:eastAsia="en-US"/>
        </w:rPr>
      </w:pPr>
    </w:p>
    <w:p w14:paraId="3300C717" w14:textId="77777777" w:rsidR="009E404F" w:rsidRPr="00B65D57" w:rsidRDefault="009E404F" w:rsidP="008F4848">
      <w:pPr>
        <w:spacing w:before="60" w:line="276" w:lineRule="auto"/>
        <w:rPr>
          <w:rFonts w:eastAsia="Calibri"/>
          <w:i/>
          <w:lang w:eastAsia="en-US"/>
        </w:rPr>
      </w:pPr>
      <w:r w:rsidRPr="00B65D57">
        <w:rPr>
          <w:rFonts w:eastAsia="Calibri"/>
          <w:u w:val="single"/>
          <w:lang w:eastAsia="en-US"/>
        </w:rPr>
        <w:t>Conclusion</w:t>
      </w:r>
      <w:r w:rsidRPr="00B65D57">
        <w:rPr>
          <w:rFonts w:eastAsia="Calibri"/>
          <w:lang w:eastAsia="en-US"/>
        </w:rPr>
        <w:t xml:space="preserve">: </w:t>
      </w:r>
      <w:r w:rsidRPr="00B65D57">
        <w:rPr>
          <w:rFonts w:eastAsia="Calibri"/>
          <w:i/>
          <w:lang w:eastAsia="en-US"/>
        </w:rPr>
        <w:t>No risk characterisation of the atmosphere has been performed since air is not considered to be a relevant environmental compartment due to the low vapour pressure of boron.</w:t>
      </w:r>
    </w:p>
    <w:p w14:paraId="3FE29732" w14:textId="77777777" w:rsidR="009E404F" w:rsidRPr="00B65D57" w:rsidRDefault="009E404F" w:rsidP="008F4848">
      <w:pPr>
        <w:spacing w:line="276" w:lineRule="auto"/>
        <w:rPr>
          <w:rFonts w:eastAsia="Calibri"/>
          <w:lang w:eastAsia="en-US"/>
        </w:rPr>
      </w:pPr>
    </w:p>
    <w:p w14:paraId="72CF2AD5" w14:textId="7A62F580" w:rsidR="009E404F" w:rsidRPr="00B65D57" w:rsidRDefault="002C23EC" w:rsidP="008F4848">
      <w:pPr>
        <w:pStyle w:val="Rubrik5"/>
        <w:spacing w:line="276" w:lineRule="auto"/>
        <w:rPr>
          <w:lang w:val="en-GB"/>
        </w:rPr>
      </w:pPr>
      <w:bookmarkStart w:id="1713" w:name="_Toc377651051"/>
      <w:bookmarkStart w:id="1714" w:name="_Toc389729120"/>
      <w:bookmarkStart w:id="1715" w:name="_Toc403472804"/>
      <w:r w:rsidRPr="00B65D57">
        <w:rPr>
          <w:lang w:val="en-GB"/>
        </w:rPr>
        <w:t xml:space="preserve">2.2.8.3.2 </w:t>
      </w:r>
      <w:r w:rsidR="009E404F" w:rsidRPr="00B65D57">
        <w:rPr>
          <w:lang w:val="en-GB"/>
        </w:rPr>
        <w:t>Sewage treatment plant (STP</w:t>
      </w:r>
      <w:bookmarkEnd w:id="1713"/>
      <w:r w:rsidR="009E404F" w:rsidRPr="00B65D57">
        <w:rPr>
          <w:lang w:val="en-GB"/>
        </w:rPr>
        <w:t>)</w:t>
      </w:r>
      <w:bookmarkEnd w:id="1714"/>
      <w:bookmarkEnd w:id="1715"/>
      <w:r w:rsidR="009E404F" w:rsidRPr="00B65D57">
        <w:rPr>
          <w:lang w:val="en-GB"/>
        </w:rPr>
        <w:t xml:space="preserve"> </w:t>
      </w:r>
    </w:p>
    <w:p w14:paraId="10AB2D23" w14:textId="77777777" w:rsidR="009E404F" w:rsidRPr="00B65D57" w:rsidRDefault="009E404F" w:rsidP="008F4848">
      <w:pPr>
        <w:spacing w:before="60" w:line="276" w:lineRule="auto"/>
        <w:rPr>
          <w:rFonts w:eastAsia="Calibri"/>
          <w:lang w:eastAsia="en-US"/>
        </w:rPr>
      </w:pPr>
      <w:r w:rsidRPr="00B65D57">
        <w:rPr>
          <w:rFonts w:eastAsia="Calibri"/>
          <w:lang w:eastAsia="en-US"/>
        </w:rPr>
        <w:t>No risk characterisation of sewage treatment plants has been performed since no considerable amounts of boron are expected to reach STPs due to the limited dispersal distance of boron from the treatment zone (Joodaki &amp; Vickman, 2020). Moreover, investigation and mending of any broken parts of the sewage system is mandatory before treatment (Bandh, 2022).</w:t>
      </w:r>
    </w:p>
    <w:p w14:paraId="11EF3FA8" w14:textId="77777777" w:rsidR="009E404F" w:rsidRPr="00B65D57" w:rsidRDefault="009E404F" w:rsidP="008F4848">
      <w:pPr>
        <w:spacing w:line="276" w:lineRule="auto"/>
        <w:rPr>
          <w:rFonts w:eastAsia="Calibri"/>
          <w:lang w:eastAsia="en-US"/>
        </w:rPr>
      </w:pPr>
    </w:p>
    <w:p w14:paraId="2269BC64" w14:textId="77777777" w:rsidR="009E404F" w:rsidRPr="00B65D57" w:rsidRDefault="009E404F" w:rsidP="008F4848">
      <w:pPr>
        <w:spacing w:before="60" w:line="276" w:lineRule="auto"/>
        <w:rPr>
          <w:rFonts w:eastAsia="Calibri"/>
          <w:i/>
          <w:lang w:eastAsia="en-US"/>
        </w:rPr>
      </w:pPr>
      <w:r w:rsidRPr="00B65D57">
        <w:rPr>
          <w:rFonts w:eastAsia="Calibri"/>
          <w:u w:val="single"/>
          <w:lang w:eastAsia="en-US"/>
        </w:rPr>
        <w:lastRenderedPageBreak/>
        <w:t>Conclusion</w:t>
      </w:r>
      <w:r w:rsidRPr="00B65D57">
        <w:rPr>
          <w:rFonts w:eastAsia="Calibri"/>
          <w:lang w:eastAsia="en-US"/>
        </w:rPr>
        <w:t xml:space="preserve">: </w:t>
      </w:r>
      <w:r w:rsidRPr="00B65D57">
        <w:rPr>
          <w:rFonts w:eastAsia="Calibri"/>
          <w:i/>
          <w:lang w:eastAsia="en-US"/>
        </w:rPr>
        <w:t>No risk characterisation of sewage treatment plants has been performed since no considerable amount of boron is expected to reach STPs.</w:t>
      </w:r>
    </w:p>
    <w:p w14:paraId="4D6D102F" w14:textId="77777777" w:rsidR="009E404F" w:rsidRPr="00B65D57" w:rsidRDefault="009E404F" w:rsidP="008F4848">
      <w:pPr>
        <w:spacing w:line="276" w:lineRule="auto"/>
        <w:rPr>
          <w:rFonts w:eastAsia="Calibri"/>
          <w:lang w:eastAsia="en-US"/>
        </w:rPr>
      </w:pPr>
    </w:p>
    <w:p w14:paraId="6C12BC54" w14:textId="2F48523E" w:rsidR="009E404F" w:rsidRPr="00B65D57" w:rsidRDefault="002C23EC" w:rsidP="008F4848">
      <w:pPr>
        <w:pStyle w:val="Rubrik5"/>
        <w:spacing w:line="276" w:lineRule="auto"/>
        <w:rPr>
          <w:lang w:val="en-GB"/>
        </w:rPr>
      </w:pPr>
      <w:bookmarkStart w:id="1716" w:name="_Toc377651052"/>
      <w:bookmarkStart w:id="1717" w:name="_Toc389729121"/>
      <w:bookmarkStart w:id="1718" w:name="_Toc403472805"/>
      <w:r w:rsidRPr="00B65D57">
        <w:rPr>
          <w:lang w:val="en-GB"/>
        </w:rPr>
        <w:t xml:space="preserve">2.2.8.3.3 </w:t>
      </w:r>
      <w:r w:rsidR="009E404F" w:rsidRPr="00B65D57">
        <w:rPr>
          <w:lang w:val="en-GB"/>
        </w:rPr>
        <w:t>Aquatic compartment</w:t>
      </w:r>
      <w:bookmarkEnd w:id="1716"/>
      <w:bookmarkEnd w:id="1717"/>
      <w:bookmarkEnd w:id="1718"/>
    </w:p>
    <w:p w14:paraId="25CFD9E1" w14:textId="77777777" w:rsidR="009E404F" w:rsidRPr="00B65D57" w:rsidRDefault="009E404F" w:rsidP="008F4848">
      <w:pPr>
        <w:spacing w:line="276" w:lineRule="auto"/>
        <w:rPr>
          <w:rFonts w:eastAsia="Calibri"/>
          <w:lang w:eastAsia="en-US"/>
        </w:rPr>
      </w:pPr>
      <w:bookmarkStart w:id="1719" w:name="_Toc377651053"/>
      <w:r w:rsidRPr="00B65D57">
        <w:rPr>
          <w:rFonts w:eastAsia="Calibri"/>
          <w:lang w:eastAsia="en-US"/>
        </w:rPr>
        <w:t>No risk characterisation of the aquatic compartment has been performed since no considerable amounts of boron are expected to reach surface waters or sediments due to the limited dispersal distance of boron from the treatment zone (Joodaki &amp; Vickman, 2020). Moreover, treatment is not allowed near surface waters if there is a risk for leakage (Bandh, 2022).</w:t>
      </w:r>
    </w:p>
    <w:p w14:paraId="31E64DDA" w14:textId="77777777" w:rsidR="009E404F" w:rsidRPr="00B65D57" w:rsidRDefault="009E404F" w:rsidP="008F4848">
      <w:pPr>
        <w:spacing w:line="276" w:lineRule="auto"/>
        <w:rPr>
          <w:rFonts w:eastAsia="Calibri"/>
          <w:lang w:eastAsia="en-US"/>
        </w:rPr>
      </w:pPr>
    </w:p>
    <w:p w14:paraId="6B45781D" w14:textId="77777777" w:rsidR="009E404F" w:rsidRPr="00B65D57" w:rsidRDefault="009E404F" w:rsidP="008F4848">
      <w:pPr>
        <w:spacing w:before="60" w:line="276" w:lineRule="auto"/>
        <w:rPr>
          <w:rFonts w:eastAsia="Calibri"/>
          <w:i/>
          <w:lang w:eastAsia="en-US"/>
        </w:rPr>
      </w:pPr>
      <w:bookmarkStart w:id="1720" w:name="_Hlk11219526"/>
      <w:r w:rsidRPr="00B65D57">
        <w:rPr>
          <w:rFonts w:eastAsia="Calibri"/>
          <w:u w:val="single"/>
          <w:lang w:eastAsia="en-US"/>
        </w:rPr>
        <w:t>Conclusion</w:t>
      </w:r>
      <w:r w:rsidRPr="00B65D57">
        <w:rPr>
          <w:rFonts w:eastAsia="Calibri"/>
          <w:lang w:eastAsia="en-US"/>
        </w:rPr>
        <w:t>:</w:t>
      </w:r>
      <w:bookmarkEnd w:id="1720"/>
      <w:r w:rsidRPr="00B65D57">
        <w:rPr>
          <w:rFonts w:eastAsia="Calibri"/>
          <w:lang w:eastAsia="en-US"/>
        </w:rPr>
        <w:t xml:space="preserve"> </w:t>
      </w:r>
      <w:r w:rsidRPr="00B65D57">
        <w:rPr>
          <w:rFonts w:eastAsia="Calibri"/>
          <w:i/>
          <w:lang w:eastAsia="en-US"/>
        </w:rPr>
        <w:t>No risk characterisation of surface waters or sediments has been performed since no considerable amount of boron are expected to reach surface waters or sediments.</w:t>
      </w:r>
    </w:p>
    <w:p w14:paraId="631DDB28" w14:textId="77777777" w:rsidR="009E404F" w:rsidRPr="00B65D57" w:rsidRDefault="009E404F" w:rsidP="008F4848">
      <w:pPr>
        <w:spacing w:before="60" w:line="276" w:lineRule="auto"/>
        <w:rPr>
          <w:rFonts w:eastAsia="Calibri"/>
          <w:i/>
          <w:lang w:eastAsia="en-US"/>
        </w:rPr>
      </w:pPr>
    </w:p>
    <w:p w14:paraId="0B6D79A8" w14:textId="69B706A9" w:rsidR="009E404F" w:rsidRPr="00B65D57" w:rsidRDefault="002C23EC" w:rsidP="008F4848">
      <w:pPr>
        <w:pStyle w:val="Rubrik5"/>
        <w:rPr>
          <w:lang w:val="en-GB"/>
        </w:rPr>
      </w:pPr>
      <w:bookmarkStart w:id="1721" w:name="_Toc389729122"/>
      <w:bookmarkStart w:id="1722" w:name="_Toc403472806"/>
      <w:bookmarkStart w:id="1723" w:name="_Hlk103950334"/>
      <w:r w:rsidRPr="00B65D57">
        <w:rPr>
          <w:lang w:val="en-GB"/>
        </w:rPr>
        <w:t xml:space="preserve">2.2.8.3.4 </w:t>
      </w:r>
      <w:r w:rsidR="009E404F" w:rsidRPr="00B65D57">
        <w:rPr>
          <w:lang w:val="en-GB"/>
        </w:rPr>
        <w:t>Terrestrial compartment</w:t>
      </w:r>
      <w:bookmarkEnd w:id="1721"/>
      <w:bookmarkEnd w:id="1722"/>
      <w:r w:rsidR="009E404F" w:rsidRPr="00B65D57">
        <w:rPr>
          <w:lang w:val="en-GB"/>
        </w:rPr>
        <w:t xml:space="preserve"> </w:t>
      </w:r>
      <w:bookmarkEnd w:id="1719"/>
    </w:p>
    <w:bookmarkEnd w:id="1723"/>
    <w:p w14:paraId="01E0D9A2" w14:textId="7ED735AD" w:rsidR="009E404F" w:rsidRPr="00B65D57" w:rsidRDefault="009E404F" w:rsidP="008F4848">
      <w:pPr>
        <w:spacing w:after="360" w:line="276" w:lineRule="auto"/>
        <w:rPr>
          <w:rFonts w:eastAsia="Calibri"/>
          <w:lang w:eastAsia="en-US"/>
        </w:rPr>
      </w:pPr>
      <w:r w:rsidRPr="00B65D57">
        <w:rPr>
          <w:rFonts w:eastAsia="Calibri"/>
          <w:lang w:eastAsia="en-US"/>
        </w:rPr>
        <w:t xml:space="preserve">See information in the first section </w:t>
      </w:r>
      <w:r w:rsidR="00A600C9" w:rsidRPr="00B65D57">
        <w:rPr>
          <w:rFonts w:eastAsia="Calibri"/>
          <w:lang w:eastAsia="en-US"/>
        </w:rPr>
        <w:t xml:space="preserve">in </w:t>
      </w:r>
      <w:r w:rsidRPr="00B65D57">
        <w:rPr>
          <w:rFonts w:eastAsia="Calibri"/>
          <w:lang w:eastAsia="en-US"/>
        </w:rPr>
        <w:t xml:space="preserve">2.2.8.3 </w:t>
      </w:r>
    </w:p>
    <w:p w14:paraId="2A09C6CA" w14:textId="3DE63168" w:rsidR="009E404F" w:rsidRPr="00B65D57" w:rsidRDefault="002C23EC" w:rsidP="008F4848">
      <w:pPr>
        <w:pStyle w:val="Rubrik5"/>
        <w:rPr>
          <w:lang w:val="en-GB"/>
        </w:rPr>
      </w:pPr>
      <w:bookmarkStart w:id="1724" w:name="_Toc387245239"/>
      <w:bookmarkStart w:id="1725" w:name="_Toc387245240"/>
      <w:bookmarkStart w:id="1726" w:name="_Toc387245241"/>
      <w:bookmarkStart w:id="1727" w:name="_Toc387245244"/>
      <w:bookmarkStart w:id="1728" w:name="_Toc387245253"/>
      <w:bookmarkStart w:id="1729" w:name="_Toc389729123"/>
      <w:bookmarkStart w:id="1730" w:name="_Toc403472807"/>
      <w:bookmarkEnd w:id="1724"/>
      <w:bookmarkEnd w:id="1725"/>
      <w:bookmarkEnd w:id="1726"/>
      <w:bookmarkEnd w:id="1727"/>
      <w:bookmarkEnd w:id="1728"/>
      <w:r w:rsidRPr="00B65D57">
        <w:rPr>
          <w:lang w:val="en-GB"/>
        </w:rPr>
        <w:t xml:space="preserve">2.2.8.3.5 </w:t>
      </w:r>
      <w:r w:rsidR="009E404F" w:rsidRPr="00B65D57">
        <w:rPr>
          <w:lang w:val="en-GB"/>
        </w:rPr>
        <w:t>Groundwater</w:t>
      </w:r>
      <w:bookmarkEnd w:id="1729"/>
      <w:bookmarkEnd w:id="1730"/>
    </w:p>
    <w:p w14:paraId="541BE9EF" w14:textId="1124F689" w:rsidR="009E404F" w:rsidRPr="00B65D57" w:rsidRDefault="009E404F" w:rsidP="008F4848">
      <w:pPr>
        <w:spacing w:after="360" w:line="276" w:lineRule="auto"/>
        <w:rPr>
          <w:rFonts w:eastAsia="Calibri"/>
          <w:lang w:eastAsia="en-US"/>
        </w:rPr>
      </w:pPr>
      <w:r w:rsidRPr="00B65D57">
        <w:rPr>
          <w:rFonts w:eastAsia="Calibri"/>
          <w:lang w:eastAsia="en-US"/>
        </w:rPr>
        <w:t xml:space="preserve">See information in the first section </w:t>
      </w:r>
      <w:r w:rsidR="00A600C9" w:rsidRPr="00B65D57">
        <w:rPr>
          <w:rFonts w:eastAsia="Calibri"/>
          <w:lang w:eastAsia="en-US"/>
        </w:rPr>
        <w:t xml:space="preserve">in </w:t>
      </w:r>
      <w:r w:rsidRPr="00B65D57">
        <w:rPr>
          <w:rFonts w:eastAsia="Calibri"/>
          <w:lang w:eastAsia="en-US"/>
        </w:rPr>
        <w:t xml:space="preserve">2.2.8.3 </w:t>
      </w:r>
    </w:p>
    <w:p w14:paraId="4DEA494B" w14:textId="430241F1" w:rsidR="009E404F" w:rsidRPr="00B65D57" w:rsidRDefault="002C23EC" w:rsidP="008F4848">
      <w:pPr>
        <w:pStyle w:val="Rubrik5"/>
        <w:rPr>
          <w:lang w:val="en-GB"/>
        </w:rPr>
      </w:pPr>
      <w:r w:rsidRPr="00B65D57">
        <w:rPr>
          <w:lang w:val="en-GB"/>
        </w:rPr>
        <w:t>2.2.8.3.6</w:t>
      </w:r>
      <w:r w:rsidR="009E404F" w:rsidRPr="00B65D57">
        <w:rPr>
          <w:rFonts w:eastAsia="Calibri"/>
          <w:lang w:val="en-GB" w:eastAsia="en-US"/>
        </w:rPr>
        <w:t xml:space="preserve"> </w:t>
      </w:r>
      <w:bookmarkStart w:id="1731" w:name="_Toc377651054"/>
      <w:bookmarkStart w:id="1732" w:name="_Toc389729124"/>
      <w:bookmarkStart w:id="1733" w:name="_Toc403472808"/>
      <w:r w:rsidR="009E404F" w:rsidRPr="00B65D57">
        <w:rPr>
          <w:lang w:val="en-GB"/>
        </w:rPr>
        <w:t>Primary and secondary poisoning</w:t>
      </w:r>
      <w:bookmarkEnd w:id="1731"/>
      <w:bookmarkEnd w:id="1732"/>
      <w:bookmarkEnd w:id="1733"/>
    </w:p>
    <w:p w14:paraId="300AA96C" w14:textId="77777777" w:rsidR="009E404F" w:rsidRPr="00B65D57" w:rsidRDefault="009E404F" w:rsidP="008F4848">
      <w:pPr>
        <w:spacing w:after="120"/>
        <w:rPr>
          <w:rFonts w:eastAsia="Calibri"/>
          <w:i/>
          <w:sz w:val="22"/>
          <w:szCs w:val="22"/>
          <w:u w:val="single"/>
          <w:lang w:eastAsia="en-US"/>
        </w:rPr>
      </w:pPr>
      <w:r w:rsidRPr="00B65D57">
        <w:rPr>
          <w:rFonts w:eastAsia="Calibri"/>
          <w:i/>
          <w:sz w:val="22"/>
          <w:szCs w:val="22"/>
          <w:u w:val="single"/>
          <w:lang w:eastAsia="en-US"/>
        </w:rPr>
        <w:t>Primary poisoning</w:t>
      </w:r>
    </w:p>
    <w:p w14:paraId="241272A5" w14:textId="77777777" w:rsidR="009E404F" w:rsidRPr="00B65D57" w:rsidRDefault="009E404F" w:rsidP="00A600C9">
      <w:pPr>
        <w:spacing w:before="60" w:after="240" w:line="276" w:lineRule="auto"/>
        <w:rPr>
          <w:rFonts w:eastAsia="Calibri"/>
          <w:lang w:eastAsia="en-US"/>
        </w:rPr>
      </w:pPr>
      <w:r w:rsidRPr="00B65D57">
        <w:rPr>
          <w:rFonts w:eastAsia="Calibri"/>
          <w:lang w:eastAsia="en-US"/>
        </w:rPr>
        <w:t xml:space="preserve">No risk characterisation of the primary poisoning of birds or mammals has been performed since exposure to birds and mammals is considered to be negligible as a result of the intended use of the product. </w:t>
      </w:r>
    </w:p>
    <w:p w14:paraId="72C4F8AF" w14:textId="77777777" w:rsidR="009E404F" w:rsidRPr="00B65D57" w:rsidRDefault="009E404F" w:rsidP="00A600C9">
      <w:pPr>
        <w:spacing w:after="120" w:line="276" w:lineRule="auto"/>
        <w:rPr>
          <w:rFonts w:eastAsia="Calibri"/>
          <w:i/>
          <w:sz w:val="22"/>
          <w:szCs w:val="22"/>
          <w:u w:val="single"/>
          <w:lang w:eastAsia="en-US"/>
        </w:rPr>
      </w:pPr>
      <w:r w:rsidRPr="00B65D57">
        <w:rPr>
          <w:rFonts w:eastAsia="Calibri"/>
          <w:i/>
          <w:sz w:val="22"/>
          <w:szCs w:val="22"/>
          <w:u w:val="single"/>
          <w:lang w:eastAsia="en-US"/>
        </w:rPr>
        <w:t>Secondary poisoning</w:t>
      </w:r>
    </w:p>
    <w:p w14:paraId="09853C20" w14:textId="77777777" w:rsidR="009E404F" w:rsidRPr="00B65D57" w:rsidRDefault="009E404F" w:rsidP="00A600C9">
      <w:pPr>
        <w:spacing w:after="240" w:line="276" w:lineRule="auto"/>
        <w:rPr>
          <w:rFonts w:eastAsia="Calibri"/>
          <w:iCs/>
          <w:lang w:eastAsia="en-US"/>
        </w:rPr>
      </w:pPr>
      <w:r w:rsidRPr="00B65D57">
        <w:rPr>
          <w:rFonts w:eastAsia="Calibri"/>
          <w:iCs/>
          <w:lang w:eastAsia="en-US"/>
        </w:rPr>
        <w:t xml:space="preserve">Boron does not bioconcentrate or bioaccumulate along the food chain in neither aquatic nor terrestrial ecosystems according to the CARs for boric acid (Assessment Report Boric acid, 2009) and disodium tetraborates (Assessment Report Disodium tetraborate, 2009). The low accumulation potential is supported by the low BCF of &lt; 2000 L/kg wwt for fish. No further assessment of the potential of secondary poisoning is therefore considered necessary. </w:t>
      </w:r>
    </w:p>
    <w:p w14:paraId="5760567D" w14:textId="047FE6F4" w:rsidR="009E404F" w:rsidRPr="00B65D57" w:rsidRDefault="002C23EC" w:rsidP="002C23EC">
      <w:pPr>
        <w:pStyle w:val="Rubrik5"/>
        <w:spacing w:after="240" w:line="276" w:lineRule="auto"/>
        <w:rPr>
          <w:lang w:val="en-GB"/>
        </w:rPr>
      </w:pPr>
      <w:bookmarkStart w:id="1734" w:name="_Toc403472809"/>
      <w:r w:rsidRPr="00B65D57">
        <w:rPr>
          <w:lang w:val="en-GB"/>
        </w:rPr>
        <w:t xml:space="preserve">2.2.8.3.7 </w:t>
      </w:r>
      <w:r w:rsidR="009E404F" w:rsidRPr="00B65D57">
        <w:rPr>
          <w:lang w:val="en-GB"/>
        </w:rPr>
        <w:t>Mixture toxicity</w:t>
      </w:r>
      <w:bookmarkEnd w:id="1734"/>
    </w:p>
    <w:p w14:paraId="25E2E276" w14:textId="77777777" w:rsidR="009E404F" w:rsidRPr="00B65D57" w:rsidRDefault="009E404F" w:rsidP="008F4848">
      <w:pPr>
        <w:spacing w:after="240" w:line="276" w:lineRule="auto"/>
        <w:jc w:val="both"/>
        <w:rPr>
          <w:rFonts w:eastAsia="Calibri"/>
          <w:lang w:eastAsia="en-US"/>
        </w:rPr>
      </w:pPr>
      <w:r w:rsidRPr="00B65D57">
        <w:rPr>
          <w:rFonts w:eastAsia="Calibri"/>
          <w:lang w:eastAsia="en-US"/>
        </w:rPr>
        <w:t xml:space="preserve">As Jerbor consists of two active substances, the environmental risk characterization should be based on the combined risk. </w:t>
      </w:r>
    </w:p>
    <w:p w14:paraId="0C1695AC" w14:textId="77777777" w:rsidR="009E404F" w:rsidRPr="00B65D57" w:rsidRDefault="009E404F" w:rsidP="008F4848">
      <w:pPr>
        <w:spacing w:after="240" w:line="276" w:lineRule="auto"/>
        <w:jc w:val="both"/>
        <w:rPr>
          <w:rFonts w:eastAsia="Calibri"/>
          <w:u w:val="single"/>
          <w:lang w:eastAsia="en-US"/>
        </w:rPr>
      </w:pPr>
      <w:r w:rsidRPr="00B65D57">
        <w:rPr>
          <w:rFonts w:eastAsia="Calibri"/>
          <w:u w:val="single"/>
          <w:lang w:eastAsia="en-US"/>
        </w:rPr>
        <w:t>Screening Step 1: Identification of the concerned environmental compartments</w:t>
      </w:r>
    </w:p>
    <w:p w14:paraId="5978A1ED" w14:textId="77777777" w:rsidR="009E404F" w:rsidRPr="00B65D57" w:rsidRDefault="009E404F" w:rsidP="008F4848">
      <w:pPr>
        <w:spacing w:after="240" w:line="276" w:lineRule="auto"/>
        <w:jc w:val="both"/>
        <w:rPr>
          <w:rFonts w:eastAsia="Calibri"/>
          <w:lang w:eastAsia="en-US"/>
        </w:rPr>
      </w:pPr>
      <w:r w:rsidRPr="00B65D57">
        <w:rPr>
          <w:rFonts w:eastAsia="Calibri"/>
          <w:lang w:eastAsia="en-US"/>
        </w:rPr>
        <w:t xml:space="preserve">The only environmental compartment that will be subject to exposure of the active substances is soil due to the intended use of the product i.e. treatment of supporting foundations located in dense clay more than 2 meters deep underneath buildings. The </w:t>
      </w:r>
      <w:r w:rsidRPr="00B65D57">
        <w:rPr>
          <w:rFonts w:eastAsia="Calibri"/>
          <w:lang w:eastAsia="en-US"/>
        </w:rPr>
        <w:lastRenderedPageBreak/>
        <w:t>treatment solution is applied by pumping it through closed systems into the ground which means that there is virtually no risk of exposure of the surrounding environment.</w:t>
      </w:r>
    </w:p>
    <w:p w14:paraId="03E8F504" w14:textId="5D655330" w:rsidR="009E404F" w:rsidRPr="00B65D57" w:rsidRDefault="009E404F" w:rsidP="008F4848">
      <w:pPr>
        <w:spacing w:after="240" w:line="276" w:lineRule="auto"/>
        <w:jc w:val="both"/>
        <w:rPr>
          <w:rFonts w:eastAsia="Calibri"/>
          <w:lang w:eastAsia="en-US"/>
        </w:rPr>
      </w:pPr>
      <w:r w:rsidRPr="00B65D57">
        <w:rPr>
          <w:rFonts w:eastAsia="Calibri"/>
          <w:lang w:eastAsia="en-US"/>
        </w:rPr>
        <w:t xml:space="preserve">It is only the treatment zone that will be subject to exposure. This area is limited to a few </w:t>
      </w:r>
      <w:r w:rsidR="00F73033" w:rsidRPr="00B65D57">
        <w:rPr>
          <w:rFonts w:eastAsia="Calibri"/>
          <w:lang w:eastAsia="en-US"/>
        </w:rPr>
        <w:t>centimetres</w:t>
      </w:r>
      <w:r w:rsidRPr="00B65D57">
        <w:rPr>
          <w:rFonts w:eastAsia="Calibri"/>
          <w:lang w:eastAsia="en-US"/>
        </w:rPr>
        <w:t xml:space="preserve"> and dispersal from the treatment zone is unlikely due to the low permeability of the clay.</w:t>
      </w:r>
    </w:p>
    <w:p w14:paraId="1B0C4DDB" w14:textId="77777777" w:rsidR="009E404F" w:rsidRPr="00B65D57" w:rsidRDefault="009E404F" w:rsidP="008F4848">
      <w:pPr>
        <w:spacing w:after="240" w:line="276" w:lineRule="auto"/>
        <w:jc w:val="both"/>
        <w:rPr>
          <w:rFonts w:eastAsia="Calibri"/>
          <w:u w:val="single"/>
          <w:lang w:eastAsia="en-US"/>
        </w:rPr>
      </w:pPr>
      <w:r w:rsidRPr="00B65D57">
        <w:rPr>
          <w:rFonts w:eastAsia="Calibri"/>
          <w:u w:val="single"/>
          <w:lang w:eastAsia="en-US"/>
        </w:rPr>
        <w:t xml:space="preserve">Screening Step 2: Identification of relevant substances </w:t>
      </w:r>
    </w:p>
    <w:p w14:paraId="42139543" w14:textId="77777777" w:rsidR="009E404F" w:rsidRPr="00B65D57" w:rsidRDefault="009E404F" w:rsidP="008F4848">
      <w:pPr>
        <w:spacing w:after="240" w:line="276" w:lineRule="auto"/>
        <w:jc w:val="both"/>
        <w:rPr>
          <w:rFonts w:eastAsia="Calibri"/>
          <w:lang w:eastAsia="en-US"/>
        </w:rPr>
      </w:pPr>
      <w:r w:rsidRPr="00B65D57">
        <w:rPr>
          <w:rFonts w:eastAsia="Calibri"/>
          <w:lang w:eastAsia="en-US"/>
        </w:rPr>
        <w:t>The active substances in Jerbor are both borates. When borates are released to the environment, the predominant species is un-dissociated boric acid. There are no other substances of concern in the product. Upon treatment, Jerbor is mixed with water and sodium bentonite to get a treatment solution which is called Eurobor. The treatment solution contains 70.4% water and 20% bentonite. Sodium bentonite is not considered as a substance of concern for the environment.</w:t>
      </w:r>
    </w:p>
    <w:p w14:paraId="045208DB" w14:textId="77777777" w:rsidR="009E404F" w:rsidRPr="00B65D57" w:rsidRDefault="009E404F" w:rsidP="008F4848">
      <w:pPr>
        <w:spacing w:after="240" w:line="276" w:lineRule="auto"/>
        <w:jc w:val="both"/>
        <w:rPr>
          <w:rFonts w:eastAsia="Calibri"/>
          <w:u w:val="single"/>
          <w:lang w:eastAsia="en-US"/>
        </w:rPr>
      </w:pPr>
      <w:r w:rsidRPr="00B65D57">
        <w:rPr>
          <w:rFonts w:eastAsia="Calibri"/>
          <w:u w:val="single"/>
          <w:lang w:eastAsia="en-US"/>
        </w:rPr>
        <w:t xml:space="preserve">Screening Step 3: Synergistic interactions </w:t>
      </w:r>
    </w:p>
    <w:p w14:paraId="5A2A610B" w14:textId="77777777" w:rsidR="009E404F" w:rsidRPr="00B65D57" w:rsidRDefault="009E404F" w:rsidP="008F4848">
      <w:pPr>
        <w:spacing w:after="240" w:line="276" w:lineRule="auto"/>
        <w:jc w:val="both"/>
        <w:rPr>
          <w:rFonts w:eastAsia="Calibri"/>
          <w:lang w:eastAsia="en-US"/>
        </w:rPr>
      </w:pPr>
      <w:r w:rsidRPr="00B65D57">
        <w:rPr>
          <w:rFonts w:eastAsia="Calibri"/>
          <w:lang w:eastAsia="en-US"/>
        </w:rPr>
        <w:t xml:space="preserve">There is no indication that boric acid and disodium tetraborate pentahydrate together produce an effect greater than the sum of their individual effects. No synergistic effects for the product or its constituents are therefore expected. </w:t>
      </w:r>
    </w:p>
    <w:p w14:paraId="26D9D8A3" w14:textId="77777777" w:rsidR="009E404F" w:rsidRPr="00B65D57" w:rsidRDefault="009E404F" w:rsidP="008F4848">
      <w:pPr>
        <w:spacing w:after="240" w:line="260" w:lineRule="atLeast"/>
        <w:rPr>
          <w:rFonts w:eastAsia="Calibri"/>
          <w:u w:val="single"/>
          <w:lang w:eastAsia="en-US"/>
        </w:rPr>
      </w:pPr>
      <w:r w:rsidRPr="00B65D57">
        <w:rPr>
          <w:rFonts w:eastAsia="Calibri"/>
          <w:u w:val="single"/>
          <w:lang w:eastAsia="en-US"/>
        </w:rPr>
        <w:t xml:space="preserve">Conclusion </w:t>
      </w:r>
    </w:p>
    <w:p w14:paraId="0E589F70" w14:textId="77777777" w:rsidR="009E404F" w:rsidRPr="00B65D57" w:rsidRDefault="009E404F" w:rsidP="008F4848">
      <w:pPr>
        <w:spacing w:after="240" w:line="260" w:lineRule="atLeast"/>
        <w:rPr>
          <w:rFonts w:eastAsia="Calibri"/>
          <w:i/>
          <w:lang w:eastAsia="en-US"/>
        </w:rPr>
      </w:pPr>
      <w:r w:rsidRPr="00B65D57">
        <w:rPr>
          <w:rFonts w:eastAsia="Calibri"/>
          <w:i/>
          <w:lang w:eastAsia="en-US"/>
        </w:rPr>
        <w:t>Conducting an assessment of the combined risk is not relevant in the case of Jerbor for the following reasons:</w:t>
      </w:r>
    </w:p>
    <w:p w14:paraId="78E94455" w14:textId="77777777" w:rsidR="009E404F" w:rsidRPr="00B65D57" w:rsidRDefault="009E404F" w:rsidP="008F4848">
      <w:pPr>
        <w:spacing w:after="240" w:line="260" w:lineRule="atLeast"/>
        <w:ind w:left="360"/>
        <w:rPr>
          <w:rFonts w:eastAsia="Calibri"/>
          <w:i/>
          <w:lang w:eastAsia="en-US"/>
        </w:rPr>
      </w:pPr>
      <w:r w:rsidRPr="00B65D57">
        <w:rPr>
          <w:rFonts w:eastAsia="Calibri"/>
          <w:i/>
          <w:lang w:eastAsia="en-US"/>
        </w:rPr>
        <w:t>The number of relevant substances is one namely un-dissociated boric acid.</w:t>
      </w:r>
    </w:p>
    <w:p w14:paraId="27EF5702" w14:textId="77777777" w:rsidR="009E404F" w:rsidRPr="00B65D57" w:rsidRDefault="009E404F" w:rsidP="008F4848">
      <w:pPr>
        <w:spacing w:after="240" w:line="260" w:lineRule="atLeast"/>
        <w:ind w:left="360"/>
        <w:rPr>
          <w:rFonts w:eastAsia="Calibri"/>
          <w:i/>
          <w:lang w:eastAsia="en-US"/>
        </w:rPr>
      </w:pPr>
      <w:r w:rsidRPr="00B65D57">
        <w:rPr>
          <w:rFonts w:eastAsia="Calibri"/>
          <w:i/>
          <w:lang w:eastAsia="en-US"/>
        </w:rPr>
        <w:t>A significant environmental exposure is not likely due to the intended use of the product.</w:t>
      </w:r>
    </w:p>
    <w:p w14:paraId="23E9B162" w14:textId="77777777" w:rsidR="009E404F" w:rsidRPr="00B65D57" w:rsidRDefault="009E404F" w:rsidP="008F4848">
      <w:pPr>
        <w:spacing w:after="240" w:line="260" w:lineRule="atLeast"/>
        <w:ind w:left="360"/>
        <w:rPr>
          <w:rFonts w:eastAsia="Calibri"/>
          <w:i/>
          <w:lang w:eastAsia="en-US"/>
        </w:rPr>
      </w:pPr>
      <w:r w:rsidRPr="00B65D57">
        <w:rPr>
          <w:rFonts w:eastAsia="Calibri"/>
          <w:i/>
          <w:lang w:eastAsia="en-US"/>
        </w:rPr>
        <w:t>The product or its constituents do not have synergistic effects.</w:t>
      </w:r>
    </w:p>
    <w:p w14:paraId="5746C548" w14:textId="69B3C2C4" w:rsidR="009E404F" w:rsidRPr="00B65D57" w:rsidRDefault="002C23EC" w:rsidP="002C23EC">
      <w:pPr>
        <w:pStyle w:val="Rubrik5"/>
        <w:rPr>
          <w:lang w:val="en-GB"/>
        </w:rPr>
      </w:pPr>
      <w:bookmarkStart w:id="1735" w:name="_Toc367977022"/>
      <w:bookmarkStart w:id="1736" w:name="_Toc381283409"/>
      <w:bookmarkStart w:id="1737" w:name="_Toc389729130"/>
      <w:bookmarkStart w:id="1738" w:name="_Toc403472810"/>
      <w:r w:rsidRPr="00B65D57">
        <w:rPr>
          <w:lang w:val="en-GB"/>
        </w:rPr>
        <w:t xml:space="preserve">2.2.8.3.8 </w:t>
      </w:r>
      <w:r w:rsidR="009E404F" w:rsidRPr="00B65D57">
        <w:rPr>
          <w:lang w:val="en-GB"/>
        </w:rPr>
        <w:t>Aggregated exposure</w:t>
      </w:r>
      <w:bookmarkEnd w:id="1735"/>
      <w:r w:rsidR="009E404F" w:rsidRPr="00B65D57">
        <w:rPr>
          <w:lang w:val="en-GB"/>
        </w:rPr>
        <w:t xml:space="preserve"> (combined for relevant emission sources)</w:t>
      </w:r>
      <w:bookmarkEnd w:id="1736"/>
      <w:bookmarkEnd w:id="1737"/>
      <w:bookmarkEnd w:id="1738"/>
    </w:p>
    <w:p w14:paraId="510B3C56" w14:textId="77777777" w:rsidR="009E404F" w:rsidRPr="00B65D57" w:rsidRDefault="009E404F" w:rsidP="00A600C9">
      <w:pPr>
        <w:spacing w:before="60" w:after="240" w:line="276" w:lineRule="auto"/>
        <w:rPr>
          <w:rFonts w:eastAsia="Calibri"/>
          <w:lang w:eastAsia="en-US"/>
        </w:rPr>
      </w:pPr>
      <w:r w:rsidRPr="00B65D57">
        <w:rPr>
          <w:rFonts w:eastAsia="Calibri"/>
          <w:lang w:eastAsia="en-US"/>
        </w:rPr>
        <w:t>At the time when this application was submitted, no agreed guidance on aggregated exposure was available. It is also unclear if an assessment of aggregated exposure should be conducted in the evaluation of an active substance or in the product authorisation process. An aggregated exposure assessment for different emission sources has therefore not been carried out.</w:t>
      </w:r>
    </w:p>
    <w:p w14:paraId="37169FA3" w14:textId="77777777" w:rsidR="009E404F" w:rsidRPr="00B65D57" w:rsidRDefault="009E404F" w:rsidP="00A600C9">
      <w:pPr>
        <w:spacing w:after="240" w:line="276" w:lineRule="auto"/>
        <w:rPr>
          <w:rFonts w:eastAsia="Calibri"/>
          <w:highlight w:val="yellow"/>
          <w:lang w:eastAsia="en-US"/>
        </w:rPr>
      </w:pPr>
      <w:r w:rsidRPr="00B65D57">
        <w:rPr>
          <w:rFonts w:eastAsia="Calibri"/>
          <w:lang w:eastAsia="en-US"/>
        </w:rPr>
        <w:t xml:space="preserve">Moreover, the product Jerbor will not contribute to increased levels of boric acid and disodium tetraborate pentahydrate in the environment due to the intended use of the product and the limited dispersal distance of borates from the treatment zone. </w:t>
      </w:r>
    </w:p>
    <w:bookmarkEnd w:id="1618"/>
    <w:p w14:paraId="44DB4829" w14:textId="77777777" w:rsidR="00827FC6" w:rsidRPr="00B65D57" w:rsidRDefault="00827FC6" w:rsidP="00827FC6">
      <w:pPr>
        <w:spacing w:line="260" w:lineRule="atLeast"/>
        <w:rPr>
          <w:rFonts w:eastAsia="Calibri"/>
          <w:lang w:eastAsia="en-US"/>
        </w:rPr>
      </w:pPr>
    </w:p>
    <w:p w14:paraId="2B6C138E" w14:textId="46C5664A" w:rsidR="00827FC6" w:rsidRPr="00B65D57" w:rsidRDefault="00827FC6" w:rsidP="00827FC6">
      <w:pPr>
        <w:tabs>
          <w:tab w:val="left" w:pos="1418"/>
        </w:tabs>
        <w:ind w:left="2498" w:hanging="1418"/>
        <w:rPr>
          <w:rFonts w:ascii="Times New Roman" w:hAnsi="Times New Roman"/>
        </w:rPr>
      </w:pPr>
      <w:r w:rsidRPr="00B65D57">
        <w:rPr>
          <w:rFonts w:ascii="Times New Roman" w:hAnsi="Times New Roman"/>
          <w:noProof/>
          <w:lang w:eastAsia="en-GB"/>
        </w:rPr>
        <w:lastRenderedPageBreak/>
        <w:drawing>
          <wp:inline distT="0" distB="0" distL="0" distR="0" wp14:anchorId="719EF7D3" wp14:editId="2C29483F">
            <wp:extent cx="5060950" cy="3797300"/>
            <wp:effectExtent l="19050" t="19050" r="254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950" cy="3797300"/>
                    </a:xfrm>
                    <a:prstGeom prst="rect">
                      <a:avLst/>
                    </a:prstGeom>
                    <a:noFill/>
                    <a:ln w="9525" cmpd="sng">
                      <a:solidFill>
                        <a:srgbClr val="000000"/>
                      </a:solidFill>
                      <a:miter lim="800000"/>
                      <a:headEnd/>
                      <a:tailEnd/>
                    </a:ln>
                    <a:effectLst/>
                  </pic:spPr>
                </pic:pic>
              </a:graphicData>
            </a:graphic>
          </wp:inline>
        </w:drawing>
      </w:r>
      <w:r w:rsidRPr="00B65D57">
        <w:rPr>
          <w:rFonts w:ascii="Times New Roman" w:hAnsi="Times New Roman"/>
        </w:rPr>
        <w:t xml:space="preserve"> </w:t>
      </w:r>
    </w:p>
    <w:p w14:paraId="6C36ED13" w14:textId="718C120E" w:rsidR="00827FC6" w:rsidRPr="00B65D57" w:rsidRDefault="00827FC6" w:rsidP="008D080C">
      <w:pPr>
        <w:spacing w:line="260" w:lineRule="atLeast"/>
        <w:rPr>
          <w:rFonts w:eastAsia="Calibri"/>
          <w:lang w:eastAsia="en-US"/>
        </w:rPr>
      </w:pPr>
      <w:r w:rsidRPr="00B65D57">
        <w:rPr>
          <w:rFonts w:eastAsia="Calibri"/>
          <w:lang w:eastAsia="en-US"/>
        </w:rPr>
        <w:t xml:space="preserve">Figure </w:t>
      </w:r>
      <w:r w:rsidR="008D080C" w:rsidRPr="00B65D57">
        <w:rPr>
          <w:rFonts w:eastAsia="Calibri"/>
          <w:lang w:eastAsia="en-US"/>
        </w:rPr>
        <w:t>2.2.8.3.8-1</w:t>
      </w:r>
      <w:r w:rsidRPr="00B65D57">
        <w:rPr>
          <w:rFonts w:eastAsia="Calibri"/>
          <w:lang w:eastAsia="en-US"/>
        </w:rPr>
        <w:t>: Decision tree on the need for estimation of aggregated exposure</w:t>
      </w:r>
    </w:p>
    <w:p w14:paraId="1231DE7A" w14:textId="77777777" w:rsidR="00827FC6" w:rsidRPr="00B65D57" w:rsidRDefault="00827FC6" w:rsidP="00827FC6">
      <w:pPr>
        <w:spacing w:line="260" w:lineRule="atLeast"/>
        <w:rPr>
          <w:rFonts w:ascii="Times New Roman" w:eastAsia="Calibri" w:hAnsi="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827FC6" w:rsidRPr="00B65D57" w14:paraId="4BE11397" w14:textId="77777777" w:rsidTr="00C7597A">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1E30A971" w14:textId="77777777" w:rsidR="00827FC6" w:rsidRPr="00B65D57" w:rsidRDefault="00827FC6" w:rsidP="00C7597A">
            <w:pPr>
              <w:autoSpaceDE w:val="0"/>
              <w:autoSpaceDN w:val="0"/>
              <w:adjustRightInd w:val="0"/>
              <w:spacing w:before="60" w:after="60" w:line="260" w:lineRule="atLeast"/>
              <w:rPr>
                <w:rFonts w:eastAsia="Calibri" w:cs="Arial"/>
                <w:color w:val="000000"/>
                <w:lang w:eastAsia="en-GB"/>
              </w:rPr>
            </w:pPr>
            <w:r w:rsidRPr="00B65D57">
              <w:rPr>
                <w:rFonts w:eastAsia="Calibri"/>
                <w:b/>
                <w:lang w:eastAsia="en-US"/>
              </w:rPr>
              <w:t>Overall conclusion on the risk assessment for the environment of the product</w:t>
            </w:r>
          </w:p>
        </w:tc>
      </w:tr>
      <w:tr w:rsidR="00827FC6" w:rsidRPr="00B65D57" w14:paraId="4B4924EC" w14:textId="77777777" w:rsidTr="00C7597A">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14B962E5" w14:textId="77777777" w:rsidR="00827FC6" w:rsidRPr="00B65D57" w:rsidRDefault="00827FC6" w:rsidP="00C7597A">
            <w:pPr>
              <w:rPr>
                <w:rFonts w:eastAsia="Calibri" w:cs="Arial"/>
                <w:color w:val="000000"/>
                <w:lang w:eastAsia="en-GB"/>
              </w:rPr>
            </w:pPr>
            <w:r w:rsidRPr="00B65D57">
              <w:rPr>
                <w:rFonts w:eastAsia="Calibri" w:cs="Arial"/>
                <w:color w:val="000000"/>
                <w:lang w:eastAsia="en-GB"/>
              </w:rPr>
              <w:t>The risk characterisation indicates that:</w:t>
            </w:r>
          </w:p>
          <w:p w14:paraId="2713B945" w14:textId="2A7D0955" w:rsidR="00827FC6" w:rsidRPr="00B65D57" w:rsidRDefault="00827FC6" w:rsidP="001F5CF2">
            <w:pPr>
              <w:pStyle w:val="Liststycke"/>
              <w:numPr>
                <w:ilvl w:val="0"/>
                <w:numId w:val="9"/>
              </w:numPr>
              <w:spacing w:before="60" w:after="60"/>
              <w:contextualSpacing/>
              <w:rPr>
                <w:rFonts w:eastAsia="Calibri" w:cs="Arial"/>
                <w:color w:val="000000"/>
                <w:lang w:eastAsia="en-GB"/>
              </w:rPr>
            </w:pPr>
            <w:r w:rsidRPr="00B65D57">
              <w:rPr>
                <w:rFonts w:eastAsia="Calibri" w:cs="Arial"/>
                <w:color w:val="000000" w:themeColor="text1"/>
                <w:lang w:eastAsia="en-GB"/>
              </w:rPr>
              <w:t>The intended use of the biocidal product Jerbor by professionals does not represent unacceptable risks to the environment</w:t>
            </w:r>
            <w:r w:rsidRPr="00B65D57">
              <w:t xml:space="preserve"> </w:t>
            </w:r>
            <w:r w:rsidRPr="00B65D57">
              <w:rPr>
                <w:rFonts w:eastAsia="Calibri" w:cs="Arial"/>
                <w:color w:val="000000" w:themeColor="text1"/>
                <w:lang w:eastAsia="en-GB"/>
              </w:rPr>
              <w:t xml:space="preserve">if the </w:t>
            </w:r>
            <w:r w:rsidR="00F73033" w:rsidRPr="00B65D57">
              <w:rPr>
                <w:rFonts w:eastAsia="Calibri" w:cs="Arial"/>
                <w:color w:val="000000" w:themeColor="text1"/>
                <w:lang w:eastAsia="en-GB"/>
              </w:rPr>
              <w:t>instructions</w:t>
            </w:r>
            <w:r w:rsidRPr="00B65D57">
              <w:rPr>
                <w:rFonts w:eastAsia="Calibri" w:cs="Arial"/>
                <w:color w:val="000000" w:themeColor="text1"/>
                <w:lang w:eastAsia="en-GB"/>
              </w:rPr>
              <w:t xml:space="preserve"> for use </w:t>
            </w:r>
            <w:r w:rsidR="00F73033" w:rsidRPr="00B65D57">
              <w:rPr>
                <w:rFonts w:eastAsia="Calibri" w:cs="Arial"/>
                <w:color w:val="000000" w:themeColor="text1"/>
                <w:lang w:eastAsia="en-GB"/>
              </w:rPr>
              <w:t>are</w:t>
            </w:r>
            <w:r w:rsidRPr="00B65D57">
              <w:rPr>
                <w:rFonts w:eastAsia="Calibri" w:cs="Arial"/>
                <w:color w:val="000000" w:themeColor="text1"/>
                <w:lang w:eastAsia="en-GB"/>
              </w:rPr>
              <w:t xml:space="preserve"> carefully considered to prevent dispersal of boron to environmental </w:t>
            </w:r>
            <w:r w:rsidR="6F8E6ACF" w:rsidRPr="00B65D57">
              <w:rPr>
                <w:rFonts w:eastAsia="Calibri" w:cs="Arial"/>
                <w:color w:val="000000" w:themeColor="text1"/>
                <w:lang w:eastAsia="en-GB"/>
              </w:rPr>
              <w:t>compartments</w:t>
            </w:r>
            <w:r w:rsidRPr="00B65D57">
              <w:rPr>
                <w:rFonts w:eastAsia="Calibri" w:cs="Arial"/>
                <w:color w:val="000000" w:themeColor="text1"/>
                <w:lang w:eastAsia="en-GB"/>
              </w:rPr>
              <w:t>.</w:t>
            </w:r>
          </w:p>
          <w:p w14:paraId="3AB749E2" w14:textId="77777777" w:rsidR="00827FC6" w:rsidRPr="00B65D57" w:rsidRDefault="00827FC6" w:rsidP="00C7597A">
            <w:pPr>
              <w:pStyle w:val="Liststycke"/>
              <w:spacing w:before="60" w:after="60"/>
              <w:ind w:left="0"/>
              <w:contextualSpacing/>
              <w:rPr>
                <w:rFonts w:eastAsia="Calibri" w:cs="Arial"/>
                <w:color w:val="000000"/>
                <w:lang w:eastAsia="en-GB"/>
              </w:rPr>
            </w:pPr>
          </w:p>
          <w:p w14:paraId="249A3753" w14:textId="5580C7DF" w:rsidR="00827FC6" w:rsidRPr="00B65D57" w:rsidRDefault="00827FC6" w:rsidP="00C7597A">
            <w:pPr>
              <w:pStyle w:val="Liststycke"/>
              <w:spacing w:before="60" w:after="60"/>
              <w:ind w:left="0"/>
              <w:contextualSpacing/>
              <w:rPr>
                <w:rFonts w:eastAsia="Calibri" w:cs="Arial"/>
                <w:color w:val="000000"/>
                <w:lang w:eastAsia="en-GB"/>
              </w:rPr>
            </w:pPr>
            <w:r w:rsidRPr="00B65D57">
              <w:rPr>
                <w:rFonts w:eastAsia="Calibri" w:cs="Arial"/>
                <w:color w:val="000000"/>
                <w:lang w:eastAsia="en-GB"/>
              </w:rPr>
              <w:t xml:space="preserve">Therefore, product authorisation of Jerbor can be granted, if appropriate mitigation measures </w:t>
            </w:r>
            <w:r w:rsidR="00F73033" w:rsidRPr="00B65D57">
              <w:rPr>
                <w:rFonts w:eastAsia="Calibri" w:cs="Arial"/>
                <w:color w:val="000000"/>
                <w:lang w:eastAsia="en-GB"/>
              </w:rPr>
              <w:t xml:space="preserve">are </w:t>
            </w:r>
            <w:r w:rsidRPr="00B65D57">
              <w:rPr>
                <w:rFonts w:eastAsia="Calibri" w:cs="Arial"/>
                <w:color w:val="000000"/>
                <w:lang w:eastAsia="en-GB"/>
              </w:rPr>
              <w:t xml:space="preserve">specified on </w:t>
            </w:r>
            <w:r w:rsidR="00F73033" w:rsidRPr="00B65D57">
              <w:rPr>
                <w:rFonts w:eastAsia="Calibri" w:cs="Arial"/>
                <w:color w:val="000000"/>
                <w:lang w:eastAsia="en-GB"/>
              </w:rPr>
              <w:t xml:space="preserve">the </w:t>
            </w:r>
            <w:r w:rsidRPr="00B65D57">
              <w:rPr>
                <w:rFonts w:eastAsia="Calibri" w:cs="Arial"/>
                <w:color w:val="000000"/>
                <w:lang w:eastAsia="en-GB"/>
              </w:rPr>
              <w:t xml:space="preserve">labels and associated literature </w:t>
            </w:r>
            <w:r w:rsidR="00F73033" w:rsidRPr="00B65D57">
              <w:rPr>
                <w:rFonts w:eastAsia="Calibri" w:cs="Arial"/>
                <w:color w:val="000000"/>
                <w:lang w:eastAsia="en-GB"/>
              </w:rPr>
              <w:t>is</w:t>
            </w:r>
            <w:r w:rsidRPr="00B65D57">
              <w:rPr>
                <w:rFonts w:eastAsia="Calibri" w:cs="Arial"/>
                <w:color w:val="000000"/>
                <w:lang w:eastAsia="en-GB"/>
              </w:rPr>
              <w:t xml:space="preserve"> considered. </w:t>
            </w:r>
          </w:p>
        </w:tc>
      </w:tr>
    </w:tbl>
    <w:p w14:paraId="3F6DCCBF" w14:textId="77777777" w:rsidR="00FD2055" w:rsidRPr="00B65D57" w:rsidRDefault="00FD2055" w:rsidP="00FD2055">
      <w:pPr>
        <w:spacing w:line="260" w:lineRule="atLeast"/>
        <w:rPr>
          <w:rFonts w:eastAsia="Calibri"/>
          <w:lang w:eastAsia="en-US"/>
        </w:rPr>
      </w:pPr>
    </w:p>
    <w:p w14:paraId="1E35EB05" w14:textId="4713DCFA" w:rsidR="005E4354" w:rsidRPr="00B65D57" w:rsidRDefault="001F5CF2" w:rsidP="00223981">
      <w:pPr>
        <w:pStyle w:val="Rubrik3"/>
        <w:rPr>
          <w:lang w:val="en-GB"/>
        </w:rPr>
      </w:pPr>
      <w:bookmarkStart w:id="1739" w:name="_Toc388285362"/>
      <w:bookmarkStart w:id="1740" w:name="_Toc389725293"/>
      <w:bookmarkStart w:id="1741" w:name="_Toc389726285"/>
      <w:bookmarkStart w:id="1742" w:name="_Toc389727337"/>
      <w:bookmarkStart w:id="1743" w:name="_Toc389727695"/>
      <w:bookmarkStart w:id="1744" w:name="_Toc389728054"/>
      <w:bookmarkStart w:id="1745" w:name="_Toc389728413"/>
      <w:bookmarkStart w:id="1746" w:name="_Toc389728773"/>
      <w:bookmarkStart w:id="1747" w:name="_Toc389729131"/>
      <w:bookmarkStart w:id="1748" w:name="_Toc388285363"/>
      <w:bookmarkStart w:id="1749" w:name="_Toc389725294"/>
      <w:bookmarkStart w:id="1750" w:name="_Toc389726286"/>
      <w:bookmarkStart w:id="1751" w:name="_Toc389727338"/>
      <w:bookmarkStart w:id="1752" w:name="_Toc389727696"/>
      <w:bookmarkStart w:id="1753" w:name="_Toc389728055"/>
      <w:bookmarkStart w:id="1754" w:name="_Toc389728414"/>
      <w:bookmarkStart w:id="1755" w:name="_Toc389728774"/>
      <w:bookmarkStart w:id="1756" w:name="_Toc389729132"/>
      <w:bookmarkStart w:id="1757" w:name="_Toc388285364"/>
      <w:bookmarkStart w:id="1758" w:name="_Toc389725295"/>
      <w:bookmarkStart w:id="1759" w:name="_Toc389726287"/>
      <w:bookmarkStart w:id="1760" w:name="_Toc389727339"/>
      <w:bookmarkStart w:id="1761" w:name="_Toc389727697"/>
      <w:bookmarkStart w:id="1762" w:name="_Toc389728056"/>
      <w:bookmarkStart w:id="1763" w:name="_Toc389728415"/>
      <w:bookmarkStart w:id="1764" w:name="_Toc389728775"/>
      <w:bookmarkStart w:id="1765" w:name="_Toc389729133"/>
      <w:bookmarkStart w:id="1766" w:name="_Toc388285365"/>
      <w:bookmarkStart w:id="1767" w:name="_Toc389725296"/>
      <w:bookmarkStart w:id="1768" w:name="_Toc389726288"/>
      <w:bookmarkStart w:id="1769" w:name="_Toc389727340"/>
      <w:bookmarkStart w:id="1770" w:name="_Toc389727698"/>
      <w:bookmarkStart w:id="1771" w:name="_Toc389728057"/>
      <w:bookmarkStart w:id="1772" w:name="_Toc389728416"/>
      <w:bookmarkStart w:id="1773" w:name="_Toc389728776"/>
      <w:bookmarkStart w:id="1774" w:name="_Toc389729134"/>
      <w:bookmarkStart w:id="1775" w:name="_Toc388285367"/>
      <w:bookmarkStart w:id="1776" w:name="_Toc389725298"/>
      <w:bookmarkStart w:id="1777" w:name="_Toc389726290"/>
      <w:bookmarkStart w:id="1778" w:name="_Toc389727342"/>
      <w:bookmarkStart w:id="1779" w:name="_Toc389727700"/>
      <w:bookmarkStart w:id="1780" w:name="_Toc389728059"/>
      <w:bookmarkStart w:id="1781" w:name="_Toc389728418"/>
      <w:bookmarkStart w:id="1782" w:name="_Toc389728778"/>
      <w:bookmarkStart w:id="1783" w:name="_Toc389729136"/>
      <w:bookmarkStart w:id="1784" w:name="_Toc389748771"/>
      <w:bookmarkStart w:id="1785" w:name="_Toc389750186"/>
      <w:bookmarkStart w:id="1786" w:name="_Toc389807368"/>
      <w:bookmarkStart w:id="1787" w:name="_Toc389807624"/>
      <w:bookmarkStart w:id="1788" w:name="_Toc389807990"/>
      <w:bookmarkStart w:id="1789" w:name="_Toc398109936"/>
      <w:bookmarkStart w:id="1790" w:name="_Toc398110122"/>
      <w:bookmarkStart w:id="1791" w:name="_Toc388285369"/>
      <w:bookmarkStart w:id="1792" w:name="_Toc389725300"/>
      <w:bookmarkStart w:id="1793" w:name="_Toc389726292"/>
      <w:bookmarkStart w:id="1794" w:name="_Toc389727344"/>
      <w:bookmarkStart w:id="1795" w:name="_Toc389727702"/>
      <w:bookmarkStart w:id="1796" w:name="_Toc389728061"/>
      <w:bookmarkStart w:id="1797" w:name="_Toc389728420"/>
      <w:bookmarkStart w:id="1798" w:name="_Toc389728780"/>
      <w:bookmarkStart w:id="1799" w:name="_Toc389729138"/>
      <w:bookmarkStart w:id="1800" w:name="_Toc389748773"/>
      <w:bookmarkStart w:id="1801" w:name="_Toc389750188"/>
      <w:bookmarkStart w:id="1802" w:name="_Toc389807370"/>
      <w:bookmarkStart w:id="1803" w:name="_Toc389807626"/>
      <w:bookmarkStart w:id="1804" w:name="_Toc389807992"/>
      <w:bookmarkStart w:id="1805" w:name="_Toc398109938"/>
      <w:bookmarkStart w:id="1806" w:name="_Toc398110124"/>
      <w:bookmarkStart w:id="1807" w:name="_Toc388285372"/>
      <w:bookmarkStart w:id="1808" w:name="_Toc389725303"/>
      <w:bookmarkStart w:id="1809" w:name="_Toc389726295"/>
      <w:bookmarkStart w:id="1810" w:name="_Toc389727347"/>
      <w:bookmarkStart w:id="1811" w:name="_Toc389727705"/>
      <w:bookmarkStart w:id="1812" w:name="_Toc389728064"/>
      <w:bookmarkStart w:id="1813" w:name="_Toc389728423"/>
      <w:bookmarkStart w:id="1814" w:name="_Toc389728783"/>
      <w:bookmarkStart w:id="1815" w:name="_Toc389729141"/>
      <w:bookmarkStart w:id="1816" w:name="_Toc389748776"/>
      <w:bookmarkStart w:id="1817" w:name="_Toc389750191"/>
      <w:bookmarkStart w:id="1818" w:name="_Toc389807373"/>
      <w:bookmarkStart w:id="1819" w:name="_Toc389807629"/>
      <w:bookmarkStart w:id="1820" w:name="_Toc389807995"/>
      <w:bookmarkStart w:id="1821" w:name="_Toc398109941"/>
      <w:bookmarkStart w:id="1822" w:name="_Toc398110127"/>
      <w:bookmarkStart w:id="1823" w:name="_Toc388285375"/>
      <w:bookmarkStart w:id="1824" w:name="_Toc389725305"/>
      <w:bookmarkStart w:id="1825" w:name="_Toc389726298"/>
      <w:bookmarkStart w:id="1826" w:name="_Toc389727350"/>
      <w:bookmarkStart w:id="1827" w:name="_Toc389727708"/>
      <w:bookmarkStart w:id="1828" w:name="_Toc389728067"/>
      <w:bookmarkStart w:id="1829" w:name="_Toc389728426"/>
      <w:bookmarkStart w:id="1830" w:name="_Toc389728786"/>
      <w:bookmarkStart w:id="1831" w:name="_Toc389729144"/>
      <w:bookmarkStart w:id="1832" w:name="_Toc389748778"/>
      <w:bookmarkStart w:id="1833" w:name="_Toc389750193"/>
      <w:bookmarkStart w:id="1834" w:name="_Toc389807375"/>
      <w:bookmarkStart w:id="1835" w:name="_Toc389807631"/>
      <w:bookmarkStart w:id="1836" w:name="_Toc389807997"/>
      <w:bookmarkStart w:id="1837" w:name="_Toc398109943"/>
      <w:bookmarkStart w:id="1838" w:name="_Toc398110129"/>
      <w:bookmarkStart w:id="1839" w:name="_Toc388285382"/>
      <w:bookmarkStart w:id="1840" w:name="_Toc389725311"/>
      <w:bookmarkStart w:id="1841" w:name="_Toc389726305"/>
      <w:bookmarkStart w:id="1842" w:name="_Toc389727357"/>
      <w:bookmarkStart w:id="1843" w:name="_Toc389727715"/>
      <w:bookmarkStart w:id="1844" w:name="_Toc389728074"/>
      <w:bookmarkStart w:id="1845" w:name="_Toc389728433"/>
      <w:bookmarkStart w:id="1846" w:name="_Toc389728793"/>
      <w:bookmarkStart w:id="1847" w:name="_Toc389729151"/>
      <w:bookmarkStart w:id="1848" w:name="_Toc389748784"/>
      <w:bookmarkStart w:id="1849" w:name="_Toc389750199"/>
      <w:bookmarkStart w:id="1850" w:name="_Toc389807381"/>
      <w:bookmarkStart w:id="1851" w:name="_Toc389807637"/>
      <w:bookmarkStart w:id="1852" w:name="_Toc389808003"/>
      <w:bookmarkStart w:id="1853" w:name="_Toc398109949"/>
      <w:bookmarkStart w:id="1854" w:name="_Toc398110135"/>
      <w:bookmarkStart w:id="1855" w:name="_Toc388285389"/>
      <w:bookmarkStart w:id="1856" w:name="_Toc389725317"/>
      <w:bookmarkStart w:id="1857" w:name="_Toc389726312"/>
      <w:bookmarkStart w:id="1858" w:name="_Toc389727364"/>
      <w:bookmarkStart w:id="1859" w:name="_Toc389727722"/>
      <w:bookmarkStart w:id="1860" w:name="_Toc389728081"/>
      <w:bookmarkStart w:id="1861" w:name="_Toc389728440"/>
      <w:bookmarkStart w:id="1862" w:name="_Toc389728800"/>
      <w:bookmarkStart w:id="1863" w:name="_Toc389729158"/>
      <w:bookmarkStart w:id="1864" w:name="_Toc389748790"/>
      <w:bookmarkStart w:id="1865" w:name="_Toc389750205"/>
      <w:bookmarkStart w:id="1866" w:name="_Toc389807387"/>
      <w:bookmarkStart w:id="1867" w:name="_Toc389807643"/>
      <w:bookmarkStart w:id="1868" w:name="_Toc389808009"/>
      <w:bookmarkStart w:id="1869" w:name="_Toc398109955"/>
      <w:bookmarkStart w:id="1870" w:name="_Toc398110141"/>
      <w:bookmarkStart w:id="1871" w:name="_Toc388285396"/>
      <w:bookmarkStart w:id="1872" w:name="_Toc389726319"/>
      <w:bookmarkStart w:id="1873" w:name="_Toc389727371"/>
      <w:bookmarkStart w:id="1874" w:name="_Toc389727729"/>
      <w:bookmarkStart w:id="1875" w:name="_Toc389728088"/>
      <w:bookmarkStart w:id="1876" w:name="_Toc389728447"/>
      <w:bookmarkStart w:id="1877" w:name="_Toc389728807"/>
      <w:bookmarkStart w:id="1878" w:name="_Toc389729165"/>
      <w:bookmarkStart w:id="1879" w:name="_Toc388285397"/>
      <w:bookmarkStart w:id="1880" w:name="_Toc389725324"/>
      <w:bookmarkStart w:id="1881" w:name="_Toc389726320"/>
      <w:bookmarkStart w:id="1882" w:name="_Toc389727372"/>
      <w:bookmarkStart w:id="1883" w:name="_Toc389727730"/>
      <w:bookmarkStart w:id="1884" w:name="_Toc389728089"/>
      <w:bookmarkStart w:id="1885" w:name="_Toc389728448"/>
      <w:bookmarkStart w:id="1886" w:name="_Toc389728808"/>
      <w:bookmarkStart w:id="1887" w:name="_Toc389729166"/>
      <w:bookmarkStart w:id="1888" w:name="_Toc389748797"/>
      <w:bookmarkStart w:id="1889" w:name="_Toc389750212"/>
      <w:bookmarkStart w:id="1890" w:name="_Toc389807394"/>
      <w:bookmarkStart w:id="1891" w:name="_Toc389807650"/>
      <w:bookmarkStart w:id="1892" w:name="_Toc389808016"/>
      <w:bookmarkStart w:id="1893" w:name="_Toc398109962"/>
      <w:bookmarkStart w:id="1894" w:name="_Toc398110148"/>
      <w:bookmarkStart w:id="1895" w:name="_Toc388285399"/>
      <w:bookmarkStart w:id="1896" w:name="_Toc389725326"/>
      <w:bookmarkStart w:id="1897" w:name="_Toc389726322"/>
      <w:bookmarkStart w:id="1898" w:name="_Toc389727374"/>
      <w:bookmarkStart w:id="1899" w:name="_Toc389727732"/>
      <w:bookmarkStart w:id="1900" w:name="_Toc389728091"/>
      <w:bookmarkStart w:id="1901" w:name="_Toc389728450"/>
      <w:bookmarkStart w:id="1902" w:name="_Toc389728810"/>
      <w:bookmarkStart w:id="1903" w:name="_Toc389729168"/>
      <w:bookmarkStart w:id="1904" w:name="_Toc389748799"/>
      <w:bookmarkStart w:id="1905" w:name="_Toc389750214"/>
      <w:bookmarkStart w:id="1906" w:name="_Toc389807396"/>
      <w:bookmarkStart w:id="1907" w:name="_Toc389807652"/>
      <w:bookmarkStart w:id="1908" w:name="_Toc389808018"/>
      <w:bookmarkStart w:id="1909" w:name="_Toc398109964"/>
      <w:bookmarkStart w:id="1910" w:name="_Toc398110150"/>
      <w:bookmarkStart w:id="1911" w:name="_Toc388285400"/>
      <w:bookmarkStart w:id="1912" w:name="_Toc389726323"/>
      <w:bookmarkStart w:id="1913" w:name="_Toc389727375"/>
      <w:bookmarkStart w:id="1914" w:name="_Toc389727733"/>
      <w:bookmarkStart w:id="1915" w:name="_Toc389728092"/>
      <w:bookmarkStart w:id="1916" w:name="_Toc389728451"/>
      <w:bookmarkStart w:id="1917" w:name="_Toc389728811"/>
      <w:bookmarkStart w:id="1918" w:name="_Toc389729169"/>
      <w:bookmarkStart w:id="1919" w:name="_Toc388285401"/>
      <w:bookmarkStart w:id="1920" w:name="_Toc389725328"/>
      <w:bookmarkStart w:id="1921" w:name="_Toc389726324"/>
      <w:bookmarkStart w:id="1922" w:name="_Toc389727376"/>
      <w:bookmarkStart w:id="1923" w:name="_Toc389727734"/>
      <w:bookmarkStart w:id="1924" w:name="_Toc389728093"/>
      <w:bookmarkStart w:id="1925" w:name="_Toc389728452"/>
      <w:bookmarkStart w:id="1926" w:name="_Toc389728812"/>
      <w:bookmarkStart w:id="1927" w:name="_Toc389729170"/>
      <w:bookmarkStart w:id="1928" w:name="_Toc388285402"/>
      <w:bookmarkStart w:id="1929" w:name="_Toc389725329"/>
      <w:bookmarkStart w:id="1930" w:name="_Toc389726325"/>
      <w:bookmarkStart w:id="1931" w:name="_Toc389727377"/>
      <w:bookmarkStart w:id="1932" w:name="_Toc389727735"/>
      <w:bookmarkStart w:id="1933" w:name="_Toc389728094"/>
      <w:bookmarkStart w:id="1934" w:name="_Toc389728453"/>
      <w:bookmarkStart w:id="1935" w:name="_Toc389728813"/>
      <w:bookmarkStart w:id="1936" w:name="_Toc389729171"/>
      <w:bookmarkStart w:id="1937" w:name="_Toc389729172"/>
      <w:bookmarkStart w:id="1938" w:name="_Toc403472811"/>
      <w:bookmarkStart w:id="1939" w:name="_Toc403566583"/>
      <w:bookmarkStart w:id="1940" w:name="_Toc129689606"/>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r w:rsidRPr="00B65D57">
        <w:rPr>
          <w:lang w:val="en-GB"/>
        </w:rPr>
        <w:t xml:space="preserve">2.2.9 </w:t>
      </w:r>
      <w:r w:rsidR="00FD2055" w:rsidRPr="00B65D57">
        <w:rPr>
          <w:lang w:val="en-GB"/>
        </w:rPr>
        <w:t>Measures to protect man, animals and the environment</w:t>
      </w:r>
      <w:bookmarkStart w:id="1941" w:name="_Toc32397309"/>
      <w:bookmarkEnd w:id="1937"/>
      <w:bookmarkEnd w:id="1938"/>
      <w:bookmarkEnd w:id="1939"/>
      <w:bookmarkEnd w:id="1940"/>
    </w:p>
    <w:p w14:paraId="6C84CF33" w14:textId="4A341885" w:rsidR="005E4354" w:rsidRPr="00B65D57" w:rsidRDefault="005E4354" w:rsidP="008F4848">
      <w:pPr>
        <w:pStyle w:val="Absatz"/>
        <w:ind w:left="0"/>
        <w:rPr>
          <w:rFonts w:ascii="Verdana" w:eastAsia="Calibri" w:hAnsi="Verdana"/>
          <w:iCs/>
          <w:lang w:eastAsia="en-US"/>
        </w:rPr>
      </w:pPr>
      <w:r w:rsidRPr="00B65D57">
        <w:rPr>
          <w:rFonts w:ascii="Verdana" w:eastAsia="Calibri" w:hAnsi="Verdana"/>
          <w:iCs/>
          <w:lang w:eastAsia="en-US"/>
        </w:rPr>
        <w:t>Measures to protect man, animals and the environment are specified in the assessment. They are stipulated to be included in label directions.</w:t>
      </w:r>
    </w:p>
    <w:bookmarkEnd w:id="1941"/>
    <w:p w14:paraId="1B6C6A58" w14:textId="195C6433" w:rsidR="00FD2055" w:rsidRPr="00B65D57" w:rsidRDefault="00FD2055" w:rsidP="008F4848">
      <w:pPr>
        <w:spacing w:line="260" w:lineRule="atLeast"/>
        <w:rPr>
          <w:rFonts w:eastAsia="Calibri"/>
          <w:lang w:eastAsia="en-US"/>
        </w:rPr>
      </w:pPr>
    </w:p>
    <w:p w14:paraId="29387016" w14:textId="02B5267B" w:rsidR="00FD2055" w:rsidRPr="00B65D57" w:rsidRDefault="001F5CF2" w:rsidP="00223981">
      <w:pPr>
        <w:pStyle w:val="Rubrik3"/>
        <w:rPr>
          <w:lang w:val="en-GB"/>
        </w:rPr>
      </w:pPr>
      <w:bookmarkStart w:id="1942" w:name="_Toc377649077"/>
      <w:bookmarkStart w:id="1943" w:name="_Toc377650930"/>
      <w:bookmarkStart w:id="1944" w:name="_Toc377651057"/>
      <w:bookmarkStart w:id="1945" w:name="_Toc377653327"/>
      <w:bookmarkStart w:id="1946" w:name="_Toc378351636"/>
      <w:bookmarkStart w:id="1947" w:name="_Toc378681385"/>
      <w:bookmarkStart w:id="1948" w:name="_Toc378682305"/>
      <w:bookmarkStart w:id="1949" w:name="_Toc378683752"/>
      <w:bookmarkStart w:id="1950" w:name="_Toc378685440"/>
      <w:bookmarkStart w:id="1951" w:name="_Toc378685576"/>
      <w:bookmarkStart w:id="1952" w:name="_Toc378691786"/>
      <w:bookmarkStart w:id="1953" w:name="_Toc378692244"/>
      <w:bookmarkStart w:id="1954" w:name="_Toc378692381"/>
      <w:bookmarkStart w:id="1955" w:name="_Toc378692518"/>
      <w:bookmarkStart w:id="1956" w:name="_Toc378682321"/>
      <w:bookmarkStart w:id="1957" w:name="_Toc389729181"/>
      <w:bookmarkStart w:id="1958" w:name="_Toc403472819"/>
      <w:bookmarkStart w:id="1959" w:name="_Toc403566591"/>
      <w:bookmarkStart w:id="1960" w:name="_Toc129689607"/>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r w:rsidRPr="00B65D57">
        <w:rPr>
          <w:lang w:val="en-GB"/>
        </w:rPr>
        <w:t xml:space="preserve">2.2.10 </w:t>
      </w:r>
      <w:r w:rsidR="00FD2055" w:rsidRPr="00B65D57">
        <w:rPr>
          <w:lang w:val="en-GB"/>
        </w:rPr>
        <w:t>Assessment of a combination of biocidal products</w:t>
      </w:r>
      <w:bookmarkEnd w:id="1957"/>
      <w:bookmarkEnd w:id="1958"/>
      <w:bookmarkEnd w:id="1959"/>
      <w:bookmarkEnd w:id="1960"/>
    </w:p>
    <w:p w14:paraId="0EDE9884" w14:textId="77777777" w:rsidR="004E3DAF" w:rsidRPr="00B65D57" w:rsidRDefault="004E3DAF" w:rsidP="008F4848">
      <w:pPr>
        <w:spacing w:line="260" w:lineRule="atLeast"/>
        <w:rPr>
          <w:rFonts w:eastAsia="Calibri"/>
          <w:lang w:eastAsia="en-US"/>
        </w:rPr>
      </w:pPr>
      <w:r w:rsidRPr="00B65D57">
        <w:rPr>
          <w:rFonts w:eastAsia="Calibri"/>
          <w:lang w:eastAsia="en-US"/>
        </w:rPr>
        <w:t xml:space="preserve">Jerbor is not used with other biocidal products. </w:t>
      </w:r>
    </w:p>
    <w:p w14:paraId="7CD2C3B1" w14:textId="77777777" w:rsidR="00FD2055" w:rsidRPr="00B65D57" w:rsidRDefault="00FD2055" w:rsidP="008F4848">
      <w:pPr>
        <w:spacing w:line="260" w:lineRule="atLeast"/>
        <w:rPr>
          <w:rFonts w:eastAsia="Calibri"/>
          <w:lang w:eastAsia="en-US"/>
        </w:rPr>
      </w:pPr>
    </w:p>
    <w:p w14:paraId="3CAA551D" w14:textId="5B06A458" w:rsidR="00FD2055" w:rsidRPr="00B65D57" w:rsidRDefault="001F5CF2" w:rsidP="00223981">
      <w:pPr>
        <w:pStyle w:val="Rubrik3"/>
        <w:rPr>
          <w:lang w:val="en-GB"/>
        </w:rPr>
      </w:pPr>
      <w:bookmarkStart w:id="1961" w:name="_Toc378685456"/>
      <w:bookmarkStart w:id="1962" w:name="_Toc378685592"/>
      <w:bookmarkStart w:id="1963" w:name="_Toc378691801"/>
      <w:bookmarkStart w:id="1964" w:name="_Toc378692259"/>
      <w:bookmarkStart w:id="1965" w:name="_Toc378692396"/>
      <w:bookmarkStart w:id="1966" w:name="_Toc378692533"/>
      <w:bookmarkStart w:id="1967" w:name="_Toc389729182"/>
      <w:bookmarkStart w:id="1968" w:name="_Toc403472820"/>
      <w:bookmarkStart w:id="1969" w:name="_Toc403566592"/>
      <w:bookmarkStart w:id="1970" w:name="_Toc129689608"/>
      <w:bookmarkEnd w:id="1961"/>
      <w:bookmarkEnd w:id="1962"/>
      <w:bookmarkEnd w:id="1963"/>
      <w:bookmarkEnd w:id="1964"/>
      <w:bookmarkEnd w:id="1965"/>
      <w:bookmarkEnd w:id="1966"/>
      <w:r w:rsidRPr="00B65D57">
        <w:rPr>
          <w:lang w:val="en-GB"/>
        </w:rPr>
        <w:lastRenderedPageBreak/>
        <w:t xml:space="preserve">2.2.11 </w:t>
      </w:r>
      <w:r w:rsidR="00FD2055" w:rsidRPr="00B65D57">
        <w:rPr>
          <w:lang w:val="en-GB"/>
        </w:rPr>
        <w:t>Comparative assessment</w:t>
      </w:r>
      <w:bookmarkEnd w:id="1967"/>
      <w:bookmarkEnd w:id="1968"/>
      <w:bookmarkEnd w:id="1969"/>
      <w:bookmarkEnd w:id="1970"/>
    </w:p>
    <w:p w14:paraId="6F52E4A6" w14:textId="70F58308" w:rsidR="00993BBB" w:rsidRPr="00B65D57" w:rsidRDefault="00993BBB" w:rsidP="00065CC0">
      <w:pPr>
        <w:pStyle w:val="Rubrik4"/>
        <w:rPr>
          <w:highlight w:val="yellow"/>
        </w:rPr>
        <w:sectPr w:rsidR="00993BBB" w:rsidRPr="00B65D57" w:rsidSect="001338DA">
          <w:endnotePr>
            <w:numFmt w:val="decimal"/>
          </w:endnotePr>
          <w:pgSz w:w="11907" w:h="16840" w:code="9"/>
          <w:pgMar w:top="1474" w:right="1247" w:bottom="2013" w:left="1446" w:header="850" w:footer="850" w:gutter="0"/>
          <w:cols w:space="720"/>
          <w:docGrid w:linePitch="272"/>
        </w:sectPr>
      </w:pPr>
      <w:bookmarkStart w:id="1971" w:name="_Toc129689609"/>
      <w:r w:rsidRPr="00993BBB">
        <w:t>No comparative assessment has bee</w:t>
      </w:r>
      <w:r w:rsidR="00A3378B">
        <w:t>n</w:t>
      </w:r>
      <w:r w:rsidRPr="00993BBB">
        <w:t xml:space="preserve"> made as it has not yet been assessed for whether the active substance meets the criteria for exception under Article 5(2) and is a candidate for substitution in accordance with Article 10 of BPR.</w:t>
      </w:r>
      <w:bookmarkEnd w:id="1971"/>
    </w:p>
    <w:p w14:paraId="2E4925DB" w14:textId="26E76510" w:rsidR="00A53EE0" w:rsidRPr="00B65D57" w:rsidRDefault="00A53EE0" w:rsidP="001F5CF2">
      <w:pPr>
        <w:pStyle w:val="Rubrik1"/>
        <w:numPr>
          <w:ilvl w:val="0"/>
          <w:numId w:val="20"/>
        </w:numPr>
        <w:rPr>
          <w:rFonts w:eastAsia="Calibri"/>
          <w:lang w:val="en-GB"/>
        </w:rPr>
      </w:pPr>
      <w:bookmarkStart w:id="1972" w:name="_Toc129689610"/>
      <w:r w:rsidRPr="00B65D57">
        <w:rPr>
          <w:rFonts w:eastAsia="Calibri"/>
          <w:lang w:val="en-GB"/>
        </w:rPr>
        <w:lastRenderedPageBreak/>
        <w:t>Annexe</w:t>
      </w:r>
      <w:bookmarkEnd w:id="1380"/>
      <w:bookmarkEnd w:id="1381"/>
      <w:r w:rsidR="002F3938" w:rsidRPr="00B65D57">
        <w:rPr>
          <w:rFonts w:eastAsia="Calibri"/>
          <w:lang w:val="en-GB"/>
        </w:rPr>
        <w:t>S</w:t>
      </w:r>
      <w:bookmarkEnd w:id="1972"/>
    </w:p>
    <w:p w14:paraId="0A4A4653" w14:textId="4C0136D7" w:rsidR="00070D59" w:rsidRPr="00B65D57" w:rsidRDefault="00725532" w:rsidP="00725532">
      <w:pPr>
        <w:pStyle w:val="Rubrik2"/>
        <w:numPr>
          <w:ilvl w:val="0"/>
          <w:numId w:val="0"/>
        </w:numPr>
        <w:ind w:left="1440" w:hanging="360"/>
      </w:pPr>
      <w:bookmarkStart w:id="1973" w:name="_Toc389729189"/>
      <w:bookmarkStart w:id="1974" w:name="_Hlk33628288"/>
      <w:bookmarkStart w:id="1975" w:name="_Toc403472827"/>
      <w:bookmarkStart w:id="1976" w:name="_Toc129689611"/>
      <w:r>
        <w:t xml:space="preserve">3.1 </w:t>
      </w:r>
      <w:r w:rsidR="00A53EE0" w:rsidRPr="00B65D57">
        <w:t>List of studies for the biocidal product</w:t>
      </w:r>
      <w:bookmarkEnd w:id="1973"/>
      <w:bookmarkEnd w:id="1974"/>
      <w:bookmarkEnd w:id="1975"/>
      <w:bookmarkEnd w:id="1976"/>
    </w:p>
    <w:p w14:paraId="5E788C3B" w14:textId="77777777" w:rsidR="00070D59" w:rsidRPr="00B65D57" w:rsidRDefault="00070D59" w:rsidP="00070D59">
      <w:pPr>
        <w:pStyle w:val="Absatz"/>
        <w:rPr>
          <w:lang w:eastAsia="en-US"/>
        </w:rPr>
      </w:pPr>
    </w:p>
    <w:tbl>
      <w:tblPr>
        <w:tblpPr w:leftFromText="141" w:rightFromText="141" w:vertAnchor="text" w:horzAnchor="margin" w:tblpXSpec="center" w:tblpY="157"/>
        <w:tblW w:w="8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8"/>
        <w:gridCol w:w="1106"/>
        <w:gridCol w:w="2823"/>
        <w:gridCol w:w="1586"/>
        <w:gridCol w:w="906"/>
      </w:tblGrid>
      <w:tr w:rsidR="00070D59" w:rsidRPr="00B65D57" w14:paraId="32BB05DA" w14:textId="77777777" w:rsidTr="00DF0198">
        <w:trPr>
          <w:trHeight w:val="1056"/>
        </w:trPr>
        <w:tc>
          <w:tcPr>
            <w:tcW w:w="1848" w:type="dxa"/>
            <w:shd w:val="clear" w:color="auto" w:fill="auto"/>
            <w:vAlign w:val="center"/>
            <w:hideMark/>
          </w:tcPr>
          <w:p w14:paraId="51A8A879" w14:textId="77777777" w:rsidR="00070D59" w:rsidRPr="00B65D57" w:rsidRDefault="00070D59" w:rsidP="00DE498C">
            <w:pPr>
              <w:rPr>
                <w:rFonts w:cs="Arial"/>
                <w:b/>
                <w:bCs/>
                <w:color w:val="000000"/>
                <w:sz w:val="18"/>
                <w:szCs w:val="18"/>
                <w:lang w:eastAsia="sv-SE"/>
              </w:rPr>
            </w:pPr>
            <w:r w:rsidRPr="00B65D57">
              <w:rPr>
                <w:rFonts w:cs="Arial"/>
                <w:b/>
                <w:color w:val="000000" w:themeColor="text1"/>
                <w:sz w:val="18"/>
                <w:szCs w:val="18"/>
                <w:lang w:eastAsia="sv-SE"/>
              </w:rPr>
              <w:t>Author (s)</w:t>
            </w:r>
          </w:p>
        </w:tc>
        <w:tc>
          <w:tcPr>
            <w:tcW w:w="1106" w:type="dxa"/>
            <w:shd w:val="clear" w:color="auto" w:fill="auto"/>
            <w:vAlign w:val="center"/>
            <w:hideMark/>
          </w:tcPr>
          <w:p w14:paraId="4E53F928" w14:textId="77777777" w:rsidR="00070D59" w:rsidRPr="00B65D57" w:rsidRDefault="00070D59" w:rsidP="00DE498C">
            <w:pPr>
              <w:rPr>
                <w:rFonts w:cs="Arial"/>
                <w:b/>
                <w:bCs/>
                <w:color w:val="000000"/>
                <w:sz w:val="18"/>
                <w:szCs w:val="18"/>
                <w:lang w:eastAsia="sv-SE"/>
              </w:rPr>
            </w:pPr>
            <w:r w:rsidRPr="00B65D57">
              <w:rPr>
                <w:rFonts w:cs="Arial"/>
                <w:b/>
                <w:color w:val="000000" w:themeColor="text1"/>
                <w:sz w:val="18"/>
                <w:szCs w:val="18"/>
                <w:lang w:eastAsia="sv-SE"/>
              </w:rPr>
              <w:t>Year</w:t>
            </w:r>
          </w:p>
        </w:tc>
        <w:tc>
          <w:tcPr>
            <w:tcW w:w="2823" w:type="dxa"/>
            <w:shd w:val="clear" w:color="auto" w:fill="auto"/>
            <w:vAlign w:val="center"/>
            <w:hideMark/>
          </w:tcPr>
          <w:p w14:paraId="068A4D26" w14:textId="77777777" w:rsidR="00070D59" w:rsidRPr="00B65D57" w:rsidRDefault="00070D59" w:rsidP="00DE498C">
            <w:pPr>
              <w:rPr>
                <w:rFonts w:cs="Arial"/>
                <w:b/>
                <w:bCs/>
                <w:color w:val="000000"/>
                <w:sz w:val="18"/>
                <w:szCs w:val="18"/>
                <w:lang w:eastAsia="sv-SE"/>
              </w:rPr>
            </w:pPr>
            <w:r w:rsidRPr="00B65D57">
              <w:rPr>
                <w:rFonts w:cs="Arial"/>
                <w:b/>
                <w:color w:val="000000" w:themeColor="text1"/>
                <w:sz w:val="18"/>
                <w:szCs w:val="18"/>
                <w:lang w:eastAsia="sv-SE"/>
              </w:rPr>
              <w:t>File name, Title.                                             Source (where differnt from company), Company, Report no.                                     GLP (where relevant)/ (un)published</w:t>
            </w:r>
          </w:p>
        </w:tc>
        <w:tc>
          <w:tcPr>
            <w:tcW w:w="1586" w:type="dxa"/>
            <w:vAlign w:val="center"/>
          </w:tcPr>
          <w:p w14:paraId="02BE6793" w14:textId="77777777" w:rsidR="00070D59" w:rsidRPr="00B65D57" w:rsidRDefault="00070D59" w:rsidP="00DE498C">
            <w:pPr>
              <w:rPr>
                <w:rFonts w:cs="Arial"/>
                <w:b/>
                <w:bCs/>
                <w:color w:val="000000"/>
                <w:sz w:val="18"/>
                <w:szCs w:val="18"/>
                <w:lang w:eastAsia="sv-SE"/>
              </w:rPr>
            </w:pPr>
            <w:r w:rsidRPr="00B65D57">
              <w:rPr>
                <w:rFonts w:cs="Arial"/>
                <w:b/>
                <w:color w:val="000000" w:themeColor="text1"/>
                <w:sz w:val="18"/>
                <w:szCs w:val="18"/>
                <w:lang w:eastAsia="sv-SE"/>
              </w:rPr>
              <w:t>Data protection claimed (Y/N)</w:t>
            </w:r>
          </w:p>
        </w:tc>
        <w:tc>
          <w:tcPr>
            <w:tcW w:w="906" w:type="dxa"/>
            <w:shd w:val="clear" w:color="auto" w:fill="auto"/>
            <w:vAlign w:val="center"/>
            <w:hideMark/>
          </w:tcPr>
          <w:p w14:paraId="5D9831CA" w14:textId="77777777" w:rsidR="00070D59" w:rsidRPr="00B65D57" w:rsidRDefault="00070D59" w:rsidP="00DE498C">
            <w:pPr>
              <w:rPr>
                <w:rFonts w:cs="Arial"/>
                <w:b/>
                <w:bCs/>
                <w:color w:val="000000"/>
                <w:sz w:val="18"/>
                <w:szCs w:val="18"/>
                <w:lang w:eastAsia="sv-SE"/>
              </w:rPr>
            </w:pPr>
            <w:r w:rsidRPr="00B65D57">
              <w:rPr>
                <w:rFonts w:cs="Arial"/>
                <w:b/>
                <w:color w:val="000000" w:themeColor="text1"/>
                <w:sz w:val="18"/>
                <w:szCs w:val="18"/>
                <w:lang w:eastAsia="sv-SE"/>
              </w:rPr>
              <w:t>Owner</w:t>
            </w:r>
          </w:p>
        </w:tc>
      </w:tr>
      <w:tr w:rsidR="00DF54B4" w:rsidRPr="00B65D57" w14:paraId="654A8E7A" w14:textId="77777777" w:rsidTr="00DF0198">
        <w:trPr>
          <w:trHeight w:val="770"/>
        </w:trPr>
        <w:tc>
          <w:tcPr>
            <w:tcW w:w="1848" w:type="dxa"/>
            <w:shd w:val="clear" w:color="auto" w:fill="auto"/>
            <w:vAlign w:val="center"/>
          </w:tcPr>
          <w:p w14:paraId="581D768E" w14:textId="4D9E3BC9" w:rsidR="00DF54B4" w:rsidRPr="00F8054E" w:rsidRDefault="00DF54B4" w:rsidP="00DF54B4">
            <w:pPr>
              <w:rPr>
                <w:rFonts w:cs="Arial"/>
                <w:color w:val="000000"/>
                <w:sz w:val="18"/>
                <w:szCs w:val="18"/>
                <w:lang w:val="sv-SE" w:eastAsia="sv-SE"/>
              </w:rPr>
            </w:pPr>
            <w:r w:rsidRPr="00F8054E">
              <w:rPr>
                <w:rFonts w:cs="Arial"/>
                <w:color w:val="000000"/>
                <w:sz w:val="18"/>
                <w:szCs w:val="18"/>
                <w:lang w:val="sv-SE" w:eastAsia="sv-SE"/>
              </w:rPr>
              <w:t>Analys och konsultlaboratoriet i Borås AB.</w:t>
            </w:r>
          </w:p>
        </w:tc>
        <w:tc>
          <w:tcPr>
            <w:tcW w:w="1106" w:type="dxa"/>
            <w:shd w:val="clear" w:color="auto" w:fill="auto"/>
            <w:vAlign w:val="center"/>
          </w:tcPr>
          <w:p w14:paraId="7D5A14ED" w14:textId="4A6871AD" w:rsidR="00DF54B4" w:rsidRPr="00B65D57" w:rsidRDefault="00DF54B4" w:rsidP="00DF54B4">
            <w:pPr>
              <w:rPr>
                <w:rFonts w:cs="Arial"/>
                <w:color w:val="000000"/>
                <w:sz w:val="18"/>
                <w:szCs w:val="18"/>
                <w:lang w:eastAsia="sv-SE"/>
              </w:rPr>
            </w:pPr>
            <w:r w:rsidRPr="00B65D57">
              <w:rPr>
                <w:rFonts w:cs="Arial"/>
                <w:color w:val="000000"/>
                <w:sz w:val="18"/>
                <w:szCs w:val="18"/>
                <w:lang w:eastAsia="sv-SE"/>
              </w:rPr>
              <w:t>2019a</w:t>
            </w:r>
          </w:p>
        </w:tc>
        <w:tc>
          <w:tcPr>
            <w:tcW w:w="2823" w:type="dxa"/>
            <w:shd w:val="clear" w:color="auto" w:fill="auto"/>
            <w:vAlign w:val="center"/>
          </w:tcPr>
          <w:p w14:paraId="03E1C528" w14:textId="316F1087" w:rsidR="00DF54B4" w:rsidRPr="00B65D57" w:rsidRDefault="00DF54B4" w:rsidP="00DF54B4">
            <w:pPr>
              <w:rPr>
                <w:rFonts w:cs="Arial"/>
                <w:color w:val="000000"/>
                <w:sz w:val="18"/>
                <w:szCs w:val="18"/>
                <w:lang w:eastAsia="sv-SE"/>
              </w:rPr>
            </w:pPr>
            <w:r w:rsidRPr="00F8054E">
              <w:rPr>
                <w:rFonts w:cs="Arial"/>
                <w:color w:val="000000"/>
                <w:sz w:val="18"/>
                <w:szCs w:val="18"/>
                <w:lang w:val="sv-SE" w:eastAsia="sv-SE"/>
              </w:rPr>
              <w:t xml:space="preserve">Provrapport, Grundvatten, Kobbarnas väg, Göteborg, no 2019_6052. </w:t>
            </w:r>
            <w:r w:rsidRPr="00B65D57">
              <w:rPr>
                <w:rFonts w:cs="Arial"/>
                <w:color w:val="000000"/>
                <w:sz w:val="18"/>
                <w:szCs w:val="18"/>
                <w:lang w:eastAsia="sv-SE"/>
              </w:rPr>
              <w:t>Borås: AK lab.</w:t>
            </w:r>
            <w:r w:rsidR="00970C35">
              <w:rPr>
                <w:rFonts w:cs="Arial"/>
                <w:color w:val="000000"/>
                <w:sz w:val="18"/>
                <w:szCs w:val="18"/>
                <w:lang w:eastAsia="sv-SE"/>
              </w:rPr>
              <w:t xml:space="preserve"> </w:t>
            </w:r>
            <w:r w:rsidR="0030542E">
              <w:rPr>
                <w:rStyle w:val="cf01"/>
              </w:rPr>
              <w:t>Not GLP / Unpublished</w:t>
            </w:r>
          </w:p>
        </w:tc>
        <w:tc>
          <w:tcPr>
            <w:tcW w:w="1586" w:type="dxa"/>
            <w:vAlign w:val="center"/>
          </w:tcPr>
          <w:p w14:paraId="07554928" w14:textId="23644A50" w:rsidR="00DF54B4" w:rsidRPr="00B65D57" w:rsidRDefault="00641894" w:rsidP="00DF54B4">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6DE42ACB" w14:textId="77777777" w:rsidR="00DF54B4" w:rsidRPr="00B65D57" w:rsidRDefault="00DF54B4" w:rsidP="00DF54B4">
            <w:pPr>
              <w:rPr>
                <w:rFonts w:cs="Arial"/>
                <w:color w:val="000000"/>
                <w:sz w:val="18"/>
                <w:szCs w:val="18"/>
                <w:lang w:eastAsia="sv-SE"/>
              </w:rPr>
            </w:pPr>
          </w:p>
        </w:tc>
      </w:tr>
      <w:tr w:rsidR="00DF54B4" w:rsidRPr="00B65D57" w14:paraId="494E2CA7" w14:textId="77777777" w:rsidTr="00DF0198">
        <w:trPr>
          <w:trHeight w:val="770"/>
        </w:trPr>
        <w:tc>
          <w:tcPr>
            <w:tcW w:w="1848" w:type="dxa"/>
            <w:shd w:val="clear" w:color="auto" w:fill="auto"/>
            <w:vAlign w:val="center"/>
          </w:tcPr>
          <w:p w14:paraId="54CEDB3C" w14:textId="0DA7B44A" w:rsidR="00DF54B4" w:rsidRPr="00F8054E" w:rsidRDefault="00DF54B4" w:rsidP="00DF54B4">
            <w:pPr>
              <w:rPr>
                <w:rFonts w:cs="Arial"/>
                <w:color w:val="000000"/>
                <w:sz w:val="18"/>
                <w:szCs w:val="18"/>
                <w:lang w:val="sv-SE" w:eastAsia="sv-SE"/>
              </w:rPr>
            </w:pPr>
            <w:r w:rsidRPr="00F8054E">
              <w:rPr>
                <w:rFonts w:cs="Arial"/>
                <w:color w:val="000000"/>
                <w:sz w:val="18"/>
                <w:szCs w:val="18"/>
                <w:lang w:val="sv-SE" w:eastAsia="sv-SE"/>
              </w:rPr>
              <w:t>Analys och konsultlaboratoriet i Borås AB.</w:t>
            </w:r>
          </w:p>
        </w:tc>
        <w:tc>
          <w:tcPr>
            <w:tcW w:w="1106" w:type="dxa"/>
            <w:shd w:val="clear" w:color="auto" w:fill="auto"/>
            <w:vAlign w:val="center"/>
          </w:tcPr>
          <w:p w14:paraId="1EBD64FD" w14:textId="75BC2D75" w:rsidR="00DF54B4" w:rsidRPr="00B65D57" w:rsidRDefault="00DF54B4" w:rsidP="00DF54B4">
            <w:pPr>
              <w:rPr>
                <w:rFonts w:cs="Arial"/>
                <w:color w:val="000000"/>
                <w:sz w:val="18"/>
                <w:szCs w:val="18"/>
                <w:lang w:eastAsia="sv-SE"/>
              </w:rPr>
            </w:pPr>
            <w:r w:rsidRPr="00B65D57">
              <w:rPr>
                <w:rFonts w:cs="Arial"/>
                <w:color w:val="000000"/>
                <w:sz w:val="18"/>
                <w:szCs w:val="18"/>
                <w:lang w:eastAsia="sv-SE"/>
              </w:rPr>
              <w:t>2019b</w:t>
            </w:r>
          </w:p>
        </w:tc>
        <w:tc>
          <w:tcPr>
            <w:tcW w:w="2823" w:type="dxa"/>
            <w:shd w:val="clear" w:color="auto" w:fill="auto"/>
            <w:vAlign w:val="center"/>
          </w:tcPr>
          <w:p w14:paraId="62D80FBB" w14:textId="70BF7C35" w:rsidR="00DF54B4" w:rsidRPr="00B65D57" w:rsidRDefault="00DF54B4" w:rsidP="00DF54B4">
            <w:pPr>
              <w:rPr>
                <w:rFonts w:cs="Arial"/>
                <w:color w:val="000000"/>
                <w:sz w:val="18"/>
                <w:szCs w:val="18"/>
                <w:lang w:eastAsia="sv-SE"/>
              </w:rPr>
            </w:pPr>
            <w:r w:rsidRPr="00F8054E">
              <w:rPr>
                <w:rFonts w:cs="Arial"/>
                <w:color w:val="000000"/>
                <w:sz w:val="18"/>
                <w:szCs w:val="18"/>
                <w:lang w:val="sv-SE" w:eastAsia="sv-SE"/>
              </w:rPr>
              <w:t xml:space="preserve">Rapport, borsyra i trä, Kobbarnas väg, Göteborg, no 2019_6301. </w:t>
            </w:r>
            <w:r w:rsidRPr="00B65D57">
              <w:rPr>
                <w:rFonts w:cs="Arial"/>
                <w:color w:val="000000"/>
                <w:sz w:val="18"/>
                <w:szCs w:val="18"/>
                <w:lang w:eastAsia="sv-SE"/>
              </w:rPr>
              <w:t>Borås: AK lab AB.</w:t>
            </w:r>
            <w:r w:rsidR="00EF5E1D">
              <w:rPr>
                <w:rFonts w:cs="Arial"/>
                <w:color w:val="000000"/>
                <w:sz w:val="18"/>
                <w:szCs w:val="18"/>
                <w:lang w:eastAsia="sv-SE"/>
              </w:rPr>
              <w:t xml:space="preserve"> </w:t>
            </w:r>
            <w:r w:rsidR="00EF5E1D">
              <w:rPr>
                <w:rStyle w:val="cf01"/>
              </w:rPr>
              <w:t>Not GLP / Unpublished</w:t>
            </w:r>
          </w:p>
        </w:tc>
        <w:tc>
          <w:tcPr>
            <w:tcW w:w="1586" w:type="dxa"/>
            <w:vAlign w:val="center"/>
          </w:tcPr>
          <w:p w14:paraId="15E06043" w14:textId="598395C2" w:rsidR="00DF54B4" w:rsidRPr="00B65D57" w:rsidRDefault="00641894" w:rsidP="00DF54B4">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5BD9B052" w14:textId="77777777" w:rsidR="00DF54B4" w:rsidRPr="00B65D57" w:rsidRDefault="00DF54B4" w:rsidP="00DF54B4">
            <w:pPr>
              <w:rPr>
                <w:rFonts w:cs="Arial"/>
                <w:color w:val="000000"/>
                <w:sz w:val="18"/>
                <w:szCs w:val="18"/>
                <w:lang w:eastAsia="sv-SE"/>
              </w:rPr>
            </w:pPr>
          </w:p>
        </w:tc>
      </w:tr>
      <w:tr w:rsidR="00DC6B2C" w:rsidRPr="00B65D57" w14:paraId="17EBC447" w14:textId="77777777" w:rsidTr="00DF0198">
        <w:trPr>
          <w:trHeight w:val="770"/>
        </w:trPr>
        <w:tc>
          <w:tcPr>
            <w:tcW w:w="1848" w:type="dxa"/>
            <w:shd w:val="clear" w:color="auto" w:fill="auto"/>
            <w:vAlign w:val="center"/>
          </w:tcPr>
          <w:p w14:paraId="3DA99929" w14:textId="6949D182"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Bandh, K.</w:t>
            </w:r>
          </w:p>
        </w:tc>
        <w:tc>
          <w:tcPr>
            <w:tcW w:w="1106" w:type="dxa"/>
            <w:shd w:val="clear" w:color="auto" w:fill="auto"/>
            <w:vAlign w:val="center"/>
          </w:tcPr>
          <w:p w14:paraId="2E6598D4" w14:textId="4FF7454A"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2022</w:t>
            </w:r>
          </w:p>
        </w:tc>
        <w:tc>
          <w:tcPr>
            <w:tcW w:w="2823" w:type="dxa"/>
            <w:shd w:val="clear" w:color="auto" w:fill="auto"/>
            <w:vAlign w:val="center"/>
          </w:tcPr>
          <w:p w14:paraId="5C29FDC0" w14:textId="2C901E4C" w:rsidR="00DC6B2C" w:rsidRPr="00B65D57" w:rsidRDefault="00DC6B2C" w:rsidP="00DC6B2C">
            <w:pPr>
              <w:pStyle w:val="Absatz"/>
              <w:ind w:left="0"/>
              <w:rPr>
                <w:rFonts w:ascii="Verdana" w:hAnsi="Verdana" w:cs="Arial"/>
                <w:color w:val="000000"/>
                <w:sz w:val="18"/>
                <w:szCs w:val="18"/>
                <w:lang w:eastAsia="sv-SE"/>
              </w:rPr>
            </w:pPr>
            <w:r w:rsidRPr="00B65D57">
              <w:rPr>
                <w:rFonts w:ascii="Verdana" w:hAnsi="Verdana" w:cs="Arial"/>
                <w:color w:val="000000"/>
                <w:sz w:val="18"/>
                <w:szCs w:val="18"/>
                <w:lang w:eastAsia="sv-SE"/>
              </w:rPr>
              <w:t>Manual Euroborbehandling. Rapport WSP.</w:t>
            </w:r>
            <w:r w:rsidR="00EF5E1D">
              <w:rPr>
                <w:rFonts w:ascii="Verdana" w:hAnsi="Verdana" w:cs="Arial"/>
                <w:color w:val="000000"/>
                <w:sz w:val="18"/>
                <w:szCs w:val="18"/>
                <w:lang w:eastAsia="sv-SE"/>
              </w:rPr>
              <w:t xml:space="preserve"> </w:t>
            </w:r>
            <w:r w:rsidR="00EF5E1D">
              <w:rPr>
                <w:rStyle w:val="cf01"/>
              </w:rPr>
              <w:t>Not GLP / Unpublished</w:t>
            </w:r>
          </w:p>
          <w:p w14:paraId="0AA4DC2E" w14:textId="77777777" w:rsidR="00DC6B2C" w:rsidRPr="00B65D57" w:rsidRDefault="00DC6B2C" w:rsidP="00DC6B2C">
            <w:pPr>
              <w:rPr>
                <w:rFonts w:cs="Arial"/>
                <w:color w:val="000000"/>
                <w:sz w:val="18"/>
                <w:szCs w:val="18"/>
                <w:lang w:eastAsia="sv-SE"/>
              </w:rPr>
            </w:pPr>
          </w:p>
        </w:tc>
        <w:tc>
          <w:tcPr>
            <w:tcW w:w="1586" w:type="dxa"/>
            <w:vAlign w:val="center"/>
          </w:tcPr>
          <w:p w14:paraId="719F780C" w14:textId="51F88EBB"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Y</w:t>
            </w:r>
          </w:p>
        </w:tc>
        <w:tc>
          <w:tcPr>
            <w:tcW w:w="906" w:type="dxa"/>
            <w:shd w:val="clear" w:color="auto" w:fill="auto"/>
            <w:vAlign w:val="center"/>
          </w:tcPr>
          <w:p w14:paraId="0DCD4C10" w14:textId="47888FEC"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Jerbol System AB</w:t>
            </w:r>
          </w:p>
        </w:tc>
      </w:tr>
      <w:tr w:rsidR="00DC6B2C" w:rsidRPr="00B65D57" w14:paraId="44193AF0" w14:textId="77777777" w:rsidTr="00DF0198">
        <w:trPr>
          <w:trHeight w:val="770"/>
        </w:trPr>
        <w:tc>
          <w:tcPr>
            <w:tcW w:w="1848" w:type="dxa"/>
            <w:shd w:val="clear" w:color="auto" w:fill="auto"/>
            <w:vAlign w:val="center"/>
          </w:tcPr>
          <w:p w14:paraId="2159A75C" w14:textId="17558555"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Bandh, K.</w:t>
            </w:r>
          </w:p>
        </w:tc>
        <w:tc>
          <w:tcPr>
            <w:tcW w:w="1106" w:type="dxa"/>
            <w:shd w:val="clear" w:color="auto" w:fill="auto"/>
            <w:vAlign w:val="center"/>
          </w:tcPr>
          <w:p w14:paraId="07762AD3" w14:textId="46E8BCB6"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2020</w:t>
            </w:r>
          </w:p>
        </w:tc>
        <w:tc>
          <w:tcPr>
            <w:tcW w:w="2823" w:type="dxa"/>
            <w:shd w:val="clear" w:color="auto" w:fill="auto"/>
            <w:vAlign w:val="center"/>
          </w:tcPr>
          <w:p w14:paraId="699C59BF" w14:textId="77777777" w:rsidR="00DC6B2C" w:rsidRPr="00F8054E" w:rsidRDefault="00DC6B2C" w:rsidP="00DC6B2C">
            <w:pPr>
              <w:rPr>
                <w:rFonts w:cs="Arial"/>
                <w:sz w:val="18"/>
                <w:szCs w:val="18"/>
                <w:lang w:val="sv-SE"/>
              </w:rPr>
            </w:pPr>
            <w:r w:rsidRPr="00F8054E">
              <w:rPr>
                <w:rFonts w:cs="Arial"/>
                <w:sz w:val="18"/>
                <w:szCs w:val="18"/>
                <w:lang w:val="sv-SE"/>
              </w:rPr>
              <w:t>PM, Kobbarnas väg 2-6, Långtidsuppföljning av Euroborbehandling</w:t>
            </w:r>
          </w:p>
          <w:p w14:paraId="2E2BE71A" w14:textId="77777777" w:rsidR="00DC6B2C" w:rsidRPr="00B65D57" w:rsidRDefault="00DC6B2C" w:rsidP="00DC6B2C">
            <w:pPr>
              <w:rPr>
                <w:rFonts w:cs="Arial"/>
                <w:sz w:val="18"/>
                <w:szCs w:val="18"/>
              </w:rPr>
            </w:pPr>
            <w:r w:rsidRPr="00B65D57">
              <w:rPr>
                <w:rFonts w:cs="Arial"/>
                <w:sz w:val="18"/>
                <w:szCs w:val="18"/>
              </w:rPr>
              <w:t>Report no. K2208111</w:t>
            </w:r>
          </w:p>
          <w:p w14:paraId="5B558F2E" w14:textId="654DADCE"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Not GLP / Unpublished</w:t>
            </w:r>
          </w:p>
        </w:tc>
        <w:tc>
          <w:tcPr>
            <w:tcW w:w="1586" w:type="dxa"/>
            <w:vAlign w:val="center"/>
          </w:tcPr>
          <w:p w14:paraId="7C62D031" w14:textId="70119E1C"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Y</w:t>
            </w:r>
          </w:p>
        </w:tc>
        <w:tc>
          <w:tcPr>
            <w:tcW w:w="906" w:type="dxa"/>
            <w:shd w:val="clear" w:color="auto" w:fill="auto"/>
            <w:vAlign w:val="center"/>
          </w:tcPr>
          <w:p w14:paraId="75D9EAFF" w14:textId="6EEB960D" w:rsidR="00DC6B2C" w:rsidRPr="00B65D57" w:rsidRDefault="00DC6B2C" w:rsidP="00DC6B2C">
            <w:pPr>
              <w:rPr>
                <w:rFonts w:cs="Arial"/>
                <w:color w:val="000000"/>
                <w:sz w:val="18"/>
                <w:szCs w:val="18"/>
                <w:lang w:eastAsia="sv-SE"/>
              </w:rPr>
            </w:pPr>
            <w:r w:rsidRPr="00B65D57">
              <w:rPr>
                <w:rFonts w:cs="Arial"/>
                <w:color w:val="000000"/>
                <w:sz w:val="18"/>
                <w:szCs w:val="18"/>
                <w:lang w:eastAsia="sv-SE"/>
              </w:rPr>
              <w:t>Jerbol System AB</w:t>
            </w:r>
          </w:p>
        </w:tc>
      </w:tr>
      <w:tr w:rsidR="00DC6B2C" w:rsidRPr="00325E28" w14:paraId="25041D85" w14:textId="77777777" w:rsidTr="00DF0198">
        <w:trPr>
          <w:trHeight w:val="770"/>
        </w:trPr>
        <w:tc>
          <w:tcPr>
            <w:tcW w:w="1848" w:type="dxa"/>
            <w:shd w:val="clear" w:color="auto" w:fill="auto"/>
            <w:vAlign w:val="center"/>
          </w:tcPr>
          <w:p w14:paraId="6AD68C78" w14:textId="4FAD7F64" w:rsidR="00DC6B2C" w:rsidRPr="00B65D57" w:rsidRDefault="00DC6B2C" w:rsidP="00DC6B2C">
            <w:pPr>
              <w:rPr>
                <w:rFonts w:cs="Arial"/>
                <w:color w:val="000000"/>
                <w:sz w:val="18"/>
                <w:szCs w:val="18"/>
                <w:lang w:eastAsia="sv-SE"/>
              </w:rPr>
            </w:pPr>
            <w:r w:rsidRPr="00B65D57">
              <w:rPr>
                <w:sz w:val="18"/>
                <w:szCs w:val="18"/>
              </w:rPr>
              <w:t>Bandh, K.-M.</w:t>
            </w:r>
          </w:p>
        </w:tc>
        <w:tc>
          <w:tcPr>
            <w:tcW w:w="1106" w:type="dxa"/>
            <w:shd w:val="clear" w:color="auto" w:fill="auto"/>
            <w:vAlign w:val="center"/>
          </w:tcPr>
          <w:p w14:paraId="43D7DA0B" w14:textId="4DFD04B5" w:rsidR="00DC6B2C" w:rsidRPr="00B65D57" w:rsidRDefault="00DC6B2C" w:rsidP="00DC6B2C">
            <w:pPr>
              <w:rPr>
                <w:rFonts w:cs="Arial"/>
                <w:color w:val="000000"/>
                <w:sz w:val="18"/>
                <w:szCs w:val="18"/>
                <w:lang w:eastAsia="sv-SE"/>
              </w:rPr>
            </w:pPr>
            <w:r w:rsidRPr="00B65D57">
              <w:rPr>
                <w:sz w:val="18"/>
                <w:szCs w:val="18"/>
              </w:rPr>
              <w:t>2012a</w:t>
            </w:r>
          </w:p>
        </w:tc>
        <w:tc>
          <w:tcPr>
            <w:tcW w:w="2823" w:type="dxa"/>
            <w:shd w:val="clear" w:color="auto" w:fill="auto"/>
            <w:vAlign w:val="center"/>
          </w:tcPr>
          <w:p w14:paraId="4AD4BAFA" w14:textId="472BECCA" w:rsidR="00DC6B2C" w:rsidRPr="00EF5E1D" w:rsidRDefault="00DC6B2C" w:rsidP="00DC6B2C">
            <w:pPr>
              <w:rPr>
                <w:rFonts w:cs="Arial"/>
                <w:color w:val="000000"/>
                <w:sz w:val="18"/>
                <w:szCs w:val="18"/>
                <w:lang w:eastAsia="sv-SE"/>
              </w:rPr>
            </w:pPr>
            <w:r w:rsidRPr="00F8054E">
              <w:rPr>
                <w:sz w:val="18"/>
                <w:szCs w:val="18"/>
                <w:lang w:val="sv-SE"/>
              </w:rPr>
              <w:t xml:space="preserve">Sammanställning grundvattenvariationer kallmur. </w:t>
            </w:r>
            <w:r w:rsidRPr="00775EED">
              <w:rPr>
                <w:sz w:val="18"/>
                <w:szCs w:val="18"/>
                <w:lang w:val="sv-SE"/>
              </w:rPr>
              <w:t>PM 2012-10-11, WSP.</w:t>
            </w:r>
            <w:r w:rsidR="00EF5E1D" w:rsidRPr="00775EED">
              <w:rPr>
                <w:sz w:val="18"/>
                <w:szCs w:val="18"/>
                <w:lang w:val="sv-SE"/>
              </w:rPr>
              <w:t xml:space="preserve"> </w:t>
            </w:r>
            <w:r w:rsidR="00EF5E1D">
              <w:rPr>
                <w:rStyle w:val="cf01"/>
              </w:rPr>
              <w:t>Not GLP / Unpublished</w:t>
            </w:r>
          </w:p>
        </w:tc>
        <w:tc>
          <w:tcPr>
            <w:tcW w:w="1586" w:type="dxa"/>
            <w:vAlign w:val="center"/>
          </w:tcPr>
          <w:p w14:paraId="5E15E0A2" w14:textId="2815243F" w:rsidR="00DC6B2C" w:rsidRPr="00F8054E" w:rsidRDefault="00641894" w:rsidP="00DC6B2C">
            <w:pPr>
              <w:rPr>
                <w:rFonts w:cs="Arial"/>
                <w:color w:val="000000"/>
                <w:sz w:val="18"/>
                <w:szCs w:val="18"/>
                <w:lang w:val="sv-SE" w:eastAsia="sv-SE"/>
              </w:rPr>
            </w:pPr>
            <w:r>
              <w:rPr>
                <w:rFonts w:cs="Arial"/>
                <w:color w:val="000000"/>
                <w:sz w:val="18"/>
                <w:szCs w:val="18"/>
                <w:lang w:val="sv-SE" w:eastAsia="sv-SE"/>
              </w:rPr>
              <w:t>Y</w:t>
            </w:r>
          </w:p>
        </w:tc>
        <w:tc>
          <w:tcPr>
            <w:tcW w:w="906" w:type="dxa"/>
            <w:shd w:val="clear" w:color="auto" w:fill="auto"/>
            <w:vAlign w:val="center"/>
          </w:tcPr>
          <w:p w14:paraId="0857A290" w14:textId="77777777" w:rsidR="00DC6B2C" w:rsidRPr="00F8054E" w:rsidRDefault="00DC6B2C" w:rsidP="00DC6B2C">
            <w:pPr>
              <w:rPr>
                <w:rFonts w:cs="Arial"/>
                <w:color w:val="000000"/>
                <w:sz w:val="18"/>
                <w:szCs w:val="18"/>
                <w:lang w:val="sv-SE" w:eastAsia="sv-SE"/>
              </w:rPr>
            </w:pPr>
          </w:p>
        </w:tc>
      </w:tr>
      <w:tr w:rsidR="00DC6B2C" w:rsidRPr="00B65D57" w14:paraId="329A9869" w14:textId="77777777" w:rsidTr="00DF0198">
        <w:trPr>
          <w:trHeight w:val="770"/>
        </w:trPr>
        <w:tc>
          <w:tcPr>
            <w:tcW w:w="1848" w:type="dxa"/>
            <w:shd w:val="clear" w:color="auto" w:fill="auto"/>
            <w:vAlign w:val="center"/>
          </w:tcPr>
          <w:p w14:paraId="4301AC2B" w14:textId="69D9A1CC" w:rsidR="00DC6B2C" w:rsidRPr="00B65D57" w:rsidRDefault="00DC6B2C" w:rsidP="00DC6B2C">
            <w:pPr>
              <w:rPr>
                <w:rFonts w:cs="Arial"/>
                <w:color w:val="000000"/>
                <w:sz w:val="18"/>
                <w:szCs w:val="18"/>
                <w:lang w:eastAsia="sv-SE"/>
              </w:rPr>
            </w:pPr>
            <w:r w:rsidRPr="00B65D57">
              <w:rPr>
                <w:sz w:val="18"/>
                <w:szCs w:val="18"/>
              </w:rPr>
              <w:t>Bandh, K.-M.</w:t>
            </w:r>
          </w:p>
        </w:tc>
        <w:tc>
          <w:tcPr>
            <w:tcW w:w="1106" w:type="dxa"/>
            <w:shd w:val="clear" w:color="auto" w:fill="auto"/>
            <w:vAlign w:val="center"/>
          </w:tcPr>
          <w:p w14:paraId="3236C85C" w14:textId="5D20F0BD" w:rsidR="00DC6B2C" w:rsidRPr="00B65D57" w:rsidRDefault="00DC6B2C" w:rsidP="00DC6B2C">
            <w:pPr>
              <w:rPr>
                <w:rFonts w:cs="Arial"/>
                <w:color w:val="000000"/>
                <w:sz w:val="18"/>
                <w:szCs w:val="18"/>
                <w:lang w:eastAsia="sv-SE"/>
              </w:rPr>
            </w:pPr>
            <w:r w:rsidRPr="00B65D57">
              <w:rPr>
                <w:sz w:val="18"/>
                <w:szCs w:val="18"/>
              </w:rPr>
              <w:t>2012b</w:t>
            </w:r>
          </w:p>
        </w:tc>
        <w:tc>
          <w:tcPr>
            <w:tcW w:w="2823" w:type="dxa"/>
            <w:shd w:val="clear" w:color="auto" w:fill="auto"/>
            <w:vAlign w:val="center"/>
          </w:tcPr>
          <w:p w14:paraId="7AB149FC" w14:textId="47B6D11A" w:rsidR="00DC6B2C" w:rsidRPr="00B65D57" w:rsidRDefault="00DC6B2C" w:rsidP="00DC6B2C">
            <w:pPr>
              <w:rPr>
                <w:rFonts w:cs="Arial"/>
                <w:color w:val="000000"/>
                <w:sz w:val="18"/>
                <w:szCs w:val="18"/>
                <w:lang w:eastAsia="sv-SE"/>
              </w:rPr>
            </w:pPr>
            <w:r w:rsidRPr="00F8054E">
              <w:rPr>
                <w:rFonts w:cs="Arial"/>
                <w:color w:val="000000"/>
                <w:sz w:val="18"/>
                <w:szCs w:val="18"/>
                <w:lang w:val="sv-SE" w:eastAsia="sv-SE"/>
              </w:rPr>
              <w:t xml:space="preserve">PM, Kompletterande provtagning i kontrollrör, Kobbarnas väg. </w:t>
            </w:r>
            <w:r w:rsidRPr="00B65D57">
              <w:rPr>
                <w:rFonts w:cs="Arial"/>
                <w:color w:val="000000"/>
                <w:sz w:val="18"/>
                <w:szCs w:val="18"/>
                <w:lang w:eastAsia="sv-SE"/>
              </w:rPr>
              <w:t>WSP Göteborg.</w:t>
            </w:r>
            <w:r w:rsidR="00EF5E1D">
              <w:rPr>
                <w:rFonts w:cs="Arial"/>
                <w:color w:val="000000"/>
                <w:sz w:val="18"/>
                <w:szCs w:val="18"/>
                <w:lang w:eastAsia="sv-SE"/>
              </w:rPr>
              <w:t xml:space="preserve"> </w:t>
            </w:r>
            <w:r w:rsidR="00EF5E1D">
              <w:rPr>
                <w:rStyle w:val="cf01"/>
              </w:rPr>
              <w:t>Not GLP / Unpublished</w:t>
            </w:r>
          </w:p>
        </w:tc>
        <w:tc>
          <w:tcPr>
            <w:tcW w:w="1586" w:type="dxa"/>
            <w:vAlign w:val="center"/>
          </w:tcPr>
          <w:p w14:paraId="7E703D35" w14:textId="4E1C4686" w:rsidR="00DC6B2C" w:rsidRPr="00B65D57" w:rsidRDefault="00641894" w:rsidP="00DC6B2C">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32E9136A" w14:textId="77777777" w:rsidR="00DC6B2C" w:rsidRPr="00B65D57" w:rsidRDefault="00DC6B2C" w:rsidP="00DC6B2C">
            <w:pPr>
              <w:rPr>
                <w:rFonts w:cs="Arial"/>
                <w:color w:val="000000"/>
                <w:sz w:val="18"/>
                <w:szCs w:val="18"/>
                <w:lang w:eastAsia="sv-SE"/>
              </w:rPr>
            </w:pPr>
          </w:p>
        </w:tc>
      </w:tr>
      <w:tr w:rsidR="00FB086A" w:rsidRPr="00B65D57" w14:paraId="712F302F" w14:textId="77777777" w:rsidTr="00DF0198">
        <w:trPr>
          <w:trHeight w:val="770"/>
        </w:trPr>
        <w:tc>
          <w:tcPr>
            <w:tcW w:w="1848" w:type="dxa"/>
            <w:shd w:val="clear" w:color="auto" w:fill="auto"/>
            <w:vAlign w:val="center"/>
          </w:tcPr>
          <w:p w14:paraId="504B46EE" w14:textId="25BC2E4C" w:rsidR="00FB086A" w:rsidRPr="00B65D57" w:rsidRDefault="00FB086A" w:rsidP="00FB086A">
            <w:pPr>
              <w:rPr>
                <w:rFonts w:cs="Arial"/>
                <w:color w:val="000000"/>
                <w:sz w:val="18"/>
                <w:szCs w:val="18"/>
                <w:lang w:eastAsia="sv-SE"/>
              </w:rPr>
            </w:pPr>
            <w:r w:rsidRPr="00B65D57">
              <w:rPr>
                <w:sz w:val="18"/>
                <w:szCs w:val="18"/>
              </w:rPr>
              <w:t>Bandh, K.-M.</w:t>
            </w:r>
          </w:p>
        </w:tc>
        <w:tc>
          <w:tcPr>
            <w:tcW w:w="1106" w:type="dxa"/>
            <w:shd w:val="clear" w:color="auto" w:fill="auto"/>
            <w:vAlign w:val="center"/>
          </w:tcPr>
          <w:p w14:paraId="72ED06C1" w14:textId="3F48F1BA"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2010a</w:t>
            </w:r>
          </w:p>
        </w:tc>
        <w:tc>
          <w:tcPr>
            <w:tcW w:w="2823" w:type="dxa"/>
            <w:shd w:val="clear" w:color="auto" w:fill="auto"/>
            <w:vAlign w:val="center"/>
          </w:tcPr>
          <w:p w14:paraId="6C6E376C" w14:textId="5A6C967B" w:rsidR="00FB086A" w:rsidRPr="00B65D57" w:rsidRDefault="00FB086A" w:rsidP="00FB086A">
            <w:pPr>
              <w:rPr>
                <w:rFonts w:cs="Arial"/>
                <w:color w:val="000000"/>
                <w:sz w:val="18"/>
                <w:szCs w:val="18"/>
                <w:lang w:eastAsia="sv-SE"/>
              </w:rPr>
            </w:pPr>
            <w:r w:rsidRPr="00F8054E">
              <w:rPr>
                <w:rFonts w:cs="Arial"/>
                <w:color w:val="000000"/>
                <w:sz w:val="18"/>
                <w:szCs w:val="18"/>
                <w:lang w:val="sv-SE" w:eastAsia="sv-SE"/>
              </w:rPr>
              <w:t xml:space="preserve">Djupedalsgatan 4 - Uppföljning Eurobor och utvärdering av dosering. </w:t>
            </w:r>
            <w:r w:rsidRPr="00B65D57">
              <w:rPr>
                <w:rFonts w:cs="Arial"/>
                <w:color w:val="000000"/>
                <w:sz w:val="18"/>
                <w:szCs w:val="18"/>
                <w:lang w:eastAsia="sv-SE"/>
              </w:rPr>
              <w:t>Report, WSP.</w:t>
            </w:r>
            <w:r w:rsidR="00EF5E1D">
              <w:rPr>
                <w:rFonts w:cs="Arial"/>
                <w:color w:val="000000"/>
                <w:sz w:val="18"/>
                <w:szCs w:val="18"/>
                <w:lang w:eastAsia="sv-SE"/>
              </w:rPr>
              <w:t xml:space="preserve"> </w:t>
            </w:r>
            <w:r w:rsidR="00EF5E1D">
              <w:rPr>
                <w:rStyle w:val="cf01"/>
              </w:rPr>
              <w:t>Not GLP / Unpublished</w:t>
            </w:r>
            <w:r w:rsidRPr="00B65D57">
              <w:rPr>
                <w:rFonts w:cs="Arial"/>
                <w:color w:val="000000"/>
                <w:sz w:val="18"/>
                <w:szCs w:val="18"/>
                <w:lang w:eastAsia="sv-SE"/>
              </w:rPr>
              <w:t xml:space="preserve"> </w:t>
            </w:r>
          </w:p>
          <w:p w14:paraId="50B9A055" w14:textId="77777777" w:rsidR="00FB086A" w:rsidRPr="00B65D57" w:rsidRDefault="00FB086A" w:rsidP="00FB086A">
            <w:pPr>
              <w:rPr>
                <w:rFonts w:cs="Arial"/>
                <w:color w:val="000000"/>
                <w:sz w:val="18"/>
                <w:szCs w:val="18"/>
                <w:lang w:eastAsia="sv-SE"/>
              </w:rPr>
            </w:pPr>
          </w:p>
          <w:p w14:paraId="0A290258" w14:textId="77777777" w:rsidR="00FB086A" w:rsidRPr="00B65D57" w:rsidRDefault="00FB086A" w:rsidP="00FB086A">
            <w:pPr>
              <w:rPr>
                <w:rFonts w:cs="Arial"/>
                <w:color w:val="000000"/>
                <w:sz w:val="18"/>
                <w:szCs w:val="18"/>
                <w:lang w:eastAsia="sv-SE"/>
              </w:rPr>
            </w:pPr>
          </w:p>
        </w:tc>
        <w:tc>
          <w:tcPr>
            <w:tcW w:w="1586" w:type="dxa"/>
            <w:vAlign w:val="center"/>
          </w:tcPr>
          <w:p w14:paraId="624B908E" w14:textId="2DCA6104" w:rsidR="00FB086A" w:rsidRPr="00B65D57" w:rsidRDefault="00641894" w:rsidP="00FB086A">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07F58655" w14:textId="77777777" w:rsidR="00FB086A" w:rsidRPr="00B65D57" w:rsidRDefault="00FB086A" w:rsidP="00FB086A">
            <w:pPr>
              <w:rPr>
                <w:rFonts w:cs="Arial"/>
                <w:color w:val="000000"/>
                <w:sz w:val="18"/>
                <w:szCs w:val="18"/>
                <w:lang w:eastAsia="sv-SE"/>
              </w:rPr>
            </w:pPr>
          </w:p>
        </w:tc>
      </w:tr>
      <w:tr w:rsidR="00FB086A" w:rsidRPr="00B65D57" w14:paraId="7DD35B42" w14:textId="77777777" w:rsidTr="00DF0198">
        <w:trPr>
          <w:trHeight w:val="770"/>
        </w:trPr>
        <w:tc>
          <w:tcPr>
            <w:tcW w:w="1848" w:type="dxa"/>
            <w:shd w:val="clear" w:color="auto" w:fill="auto"/>
            <w:vAlign w:val="center"/>
          </w:tcPr>
          <w:p w14:paraId="1A5AD36D" w14:textId="7C48BAD6" w:rsidR="00FB086A" w:rsidRPr="00B65D57" w:rsidRDefault="00FB086A" w:rsidP="00FB086A">
            <w:pPr>
              <w:rPr>
                <w:rFonts w:cs="Arial"/>
                <w:color w:val="000000"/>
                <w:sz w:val="18"/>
                <w:szCs w:val="18"/>
                <w:lang w:eastAsia="sv-SE"/>
              </w:rPr>
            </w:pPr>
            <w:r w:rsidRPr="00B65D57">
              <w:rPr>
                <w:sz w:val="18"/>
                <w:szCs w:val="18"/>
              </w:rPr>
              <w:t>Bandh, K.-M.</w:t>
            </w:r>
          </w:p>
        </w:tc>
        <w:tc>
          <w:tcPr>
            <w:tcW w:w="1106" w:type="dxa"/>
            <w:shd w:val="clear" w:color="auto" w:fill="auto"/>
            <w:vAlign w:val="center"/>
          </w:tcPr>
          <w:p w14:paraId="296DBD56" w14:textId="0D349B68"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2010b</w:t>
            </w:r>
          </w:p>
        </w:tc>
        <w:tc>
          <w:tcPr>
            <w:tcW w:w="2823" w:type="dxa"/>
            <w:shd w:val="clear" w:color="auto" w:fill="auto"/>
            <w:vAlign w:val="center"/>
          </w:tcPr>
          <w:p w14:paraId="363A9B68" w14:textId="2DB0C5AC" w:rsidR="00FB086A" w:rsidRPr="00B65D57" w:rsidRDefault="00FB086A" w:rsidP="00FB086A">
            <w:pPr>
              <w:rPr>
                <w:rFonts w:cs="Arial"/>
                <w:color w:val="000000"/>
                <w:sz w:val="18"/>
                <w:szCs w:val="18"/>
                <w:lang w:eastAsia="sv-SE"/>
              </w:rPr>
            </w:pPr>
            <w:r w:rsidRPr="00F8054E">
              <w:rPr>
                <w:rFonts w:cs="Arial"/>
                <w:color w:val="000000"/>
                <w:sz w:val="18"/>
                <w:szCs w:val="18"/>
                <w:lang w:val="sv-SE" w:eastAsia="sv-SE"/>
              </w:rPr>
              <w:t xml:space="preserve">Grundläggningsved i Sverige, behov av underhållsåtgärder. </w:t>
            </w:r>
            <w:r w:rsidRPr="00B65D57">
              <w:rPr>
                <w:rFonts w:cs="Arial"/>
                <w:color w:val="000000"/>
                <w:sz w:val="18"/>
                <w:szCs w:val="18"/>
                <w:lang w:eastAsia="sv-SE"/>
              </w:rPr>
              <w:t xml:space="preserve">Report, WSP. </w:t>
            </w:r>
            <w:r w:rsidR="00EF5E1D">
              <w:rPr>
                <w:rStyle w:val="cf01"/>
              </w:rPr>
              <w:t>Not GLP / Unpublished</w:t>
            </w:r>
          </w:p>
          <w:p w14:paraId="720563AE" w14:textId="77777777" w:rsidR="00FB086A" w:rsidRPr="00B65D57" w:rsidRDefault="00FB086A" w:rsidP="00FB086A">
            <w:pPr>
              <w:rPr>
                <w:rFonts w:cs="Arial"/>
                <w:color w:val="000000"/>
                <w:sz w:val="18"/>
                <w:szCs w:val="18"/>
                <w:lang w:eastAsia="sv-SE"/>
              </w:rPr>
            </w:pPr>
          </w:p>
        </w:tc>
        <w:tc>
          <w:tcPr>
            <w:tcW w:w="1586" w:type="dxa"/>
            <w:vAlign w:val="center"/>
          </w:tcPr>
          <w:p w14:paraId="53CE0970" w14:textId="47F8A43B" w:rsidR="00FB086A" w:rsidRPr="00B65D57" w:rsidRDefault="00641894" w:rsidP="00FB086A">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224CF803" w14:textId="77777777" w:rsidR="00FB086A" w:rsidRPr="00B65D57" w:rsidRDefault="00FB086A" w:rsidP="00FB086A">
            <w:pPr>
              <w:rPr>
                <w:rFonts w:cs="Arial"/>
                <w:color w:val="000000"/>
                <w:sz w:val="18"/>
                <w:szCs w:val="18"/>
                <w:lang w:eastAsia="sv-SE"/>
              </w:rPr>
            </w:pPr>
          </w:p>
        </w:tc>
      </w:tr>
      <w:tr w:rsidR="00FB086A" w:rsidRPr="00B65D57" w14:paraId="69B6B936" w14:textId="77777777" w:rsidTr="00DF0198">
        <w:trPr>
          <w:trHeight w:val="770"/>
        </w:trPr>
        <w:tc>
          <w:tcPr>
            <w:tcW w:w="1848" w:type="dxa"/>
            <w:shd w:val="clear" w:color="auto" w:fill="auto"/>
            <w:vAlign w:val="center"/>
          </w:tcPr>
          <w:p w14:paraId="680FD377" w14:textId="0168A839" w:rsidR="00FB086A" w:rsidRPr="00B65D57" w:rsidRDefault="00FB086A" w:rsidP="00FB086A">
            <w:pPr>
              <w:rPr>
                <w:rFonts w:cs="Arial"/>
                <w:color w:val="000000"/>
                <w:sz w:val="18"/>
                <w:szCs w:val="18"/>
                <w:lang w:eastAsia="sv-SE"/>
              </w:rPr>
            </w:pPr>
            <w:r w:rsidRPr="00B65D57">
              <w:rPr>
                <w:sz w:val="18"/>
                <w:szCs w:val="18"/>
              </w:rPr>
              <w:t>Bandh, K.-M.</w:t>
            </w:r>
          </w:p>
        </w:tc>
        <w:tc>
          <w:tcPr>
            <w:tcW w:w="1106" w:type="dxa"/>
            <w:shd w:val="clear" w:color="auto" w:fill="auto"/>
            <w:vAlign w:val="center"/>
          </w:tcPr>
          <w:p w14:paraId="423059E4" w14:textId="270A321B"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2010c</w:t>
            </w:r>
          </w:p>
        </w:tc>
        <w:tc>
          <w:tcPr>
            <w:tcW w:w="2823" w:type="dxa"/>
            <w:shd w:val="clear" w:color="auto" w:fill="auto"/>
            <w:vAlign w:val="center"/>
          </w:tcPr>
          <w:p w14:paraId="53F55B9D" w14:textId="5357586B" w:rsidR="00FB086A" w:rsidRPr="00B65D57" w:rsidRDefault="00FB086A" w:rsidP="00FB086A">
            <w:pPr>
              <w:rPr>
                <w:rFonts w:cs="Arial"/>
                <w:color w:val="000000"/>
                <w:sz w:val="18"/>
                <w:szCs w:val="18"/>
                <w:lang w:eastAsia="sv-SE"/>
              </w:rPr>
            </w:pPr>
            <w:r w:rsidRPr="00F8054E">
              <w:rPr>
                <w:rFonts w:cs="Arial"/>
                <w:color w:val="000000"/>
                <w:sz w:val="18"/>
                <w:szCs w:val="18"/>
                <w:lang w:val="sv-SE" w:eastAsia="sv-SE"/>
              </w:rPr>
              <w:t xml:space="preserve">Kvarteret 13, Gamla Tullen, Göteborg. Exempel på en Jerborbehandling och dess långsiktiga funktion i fastigheterna 13:10 och 13:3. </w:t>
            </w:r>
            <w:r w:rsidRPr="00B65D57">
              <w:rPr>
                <w:rFonts w:cs="Arial"/>
                <w:color w:val="000000"/>
                <w:sz w:val="18"/>
                <w:szCs w:val="18"/>
                <w:lang w:eastAsia="sv-SE"/>
              </w:rPr>
              <w:t>Report, WSP.</w:t>
            </w:r>
            <w:r w:rsidR="00EF5E1D">
              <w:rPr>
                <w:rFonts w:cs="Arial"/>
                <w:color w:val="000000"/>
                <w:sz w:val="18"/>
                <w:szCs w:val="18"/>
                <w:lang w:eastAsia="sv-SE"/>
              </w:rPr>
              <w:t xml:space="preserve"> </w:t>
            </w:r>
            <w:r w:rsidR="00EF5E1D">
              <w:rPr>
                <w:rStyle w:val="cf01"/>
              </w:rPr>
              <w:t>Not GLP / Unpublished</w:t>
            </w:r>
          </w:p>
        </w:tc>
        <w:tc>
          <w:tcPr>
            <w:tcW w:w="1586" w:type="dxa"/>
            <w:vAlign w:val="center"/>
          </w:tcPr>
          <w:p w14:paraId="06C8836F" w14:textId="28C133BE" w:rsidR="00FB086A" w:rsidRPr="00B65D57" w:rsidRDefault="00641894" w:rsidP="00FB086A">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5566F44B" w14:textId="77777777" w:rsidR="00FB086A" w:rsidRPr="00B65D57" w:rsidRDefault="00FB086A" w:rsidP="00FB086A">
            <w:pPr>
              <w:rPr>
                <w:rFonts w:cs="Arial"/>
                <w:color w:val="000000"/>
                <w:sz w:val="18"/>
                <w:szCs w:val="18"/>
                <w:lang w:eastAsia="sv-SE"/>
              </w:rPr>
            </w:pPr>
          </w:p>
        </w:tc>
      </w:tr>
      <w:tr w:rsidR="00FB086A" w:rsidRPr="00B65D57" w14:paraId="77D0306E" w14:textId="77777777" w:rsidTr="00DF0198">
        <w:trPr>
          <w:trHeight w:val="770"/>
        </w:trPr>
        <w:tc>
          <w:tcPr>
            <w:tcW w:w="1848" w:type="dxa"/>
            <w:shd w:val="clear" w:color="auto" w:fill="auto"/>
            <w:vAlign w:val="center"/>
          </w:tcPr>
          <w:p w14:paraId="2DA5875B" w14:textId="2A2E1832" w:rsidR="00FB086A" w:rsidRPr="00B65D57" w:rsidRDefault="00FB086A" w:rsidP="00FB086A">
            <w:pPr>
              <w:rPr>
                <w:rFonts w:cs="Arial"/>
                <w:color w:val="000000"/>
                <w:sz w:val="18"/>
                <w:szCs w:val="18"/>
                <w:lang w:eastAsia="sv-SE"/>
              </w:rPr>
            </w:pPr>
            <w:r w:rsidRPr="00B65D57">
              <w:rPr>
                <w:sz w:val="18"/>
                <w:szCs w:val="18"/>
              </w:rPr>
              <w:lastRenderedPageBreak/>
              <w:t xml:space="preserve">Bandh K.-M., Fimmerstad, K. and Theorin, M. </w:t>
            </w:r>
          </w:p>
        </w:tc>
        <w:tc>
          <w:tcPr>
            <w:tcW w:w="1106" w:type="dxa"/>
            <w:shd w:val="clear" w:color="auto" w:fill="auto"/>
            <w:vAlign w:val="center"/>
          </w:tcPr>
          <w:p w14:paraId="42467BE9" w14:textId="45630464" w:rsidR="00FB086A" w:rsidRPr="00B65D57" w:rsidRDefault="00FB086A" w:rsidP="00FB086A">
            <w:pPr>
              <w:rPr>
                <w:rFonts w:cs="Arial"/>
                <w:color w:val="000000"/>
                <w:sz w:val="18"/>
                <w:szCs w:val="18"/>
                <w:lang w:eastAsia="sv-SE"/>
              </w:rPr>
            </w:pPr>
            <w:r w:rsidRPr="00B65D57">
              <w:rPr>
                <w:sz w:val="18"/>
                <w:szCs w:val="18"/>
              </w:rPr>
              <w:t>2011</w:t>
            </w:r>
          </w:p>
        </w:tc>
        <w:tc>
          <w:tcPr>
            <w:tcW w:w="2823" w:type="dxa"/>
            <w:shd w:val="clear" w:color="auto" w:fill="auto"/>
            <w:vAlign w:val="center"/>
          </w:tcPr>
          <w:p w14:paraId="250C68EC" w14:textId="2EA67FB1" w:rsidR="00FB086A" w:rsidRPr="00B65D57" w:rsidRDefault="00FB086A" w:rsidP="00FB086A">
            <w:pPr>
              <w:rPr>
                <w:rFonts w:cs="Arial"/>
                <w:color w:val="000000"/>
                <w:sz w:val="18"/>
                <w:szCs w:val="18"/>
                <w:lang w:eastAsia="sv-SE"/>
              </w:rPr>
            </w:pPr>
            <w:r w:rsidRPr="00B65D57">
              <w:rPr>
                <w:sz w:val="18"/>
                <w:szCs w:val="18"/>
              </w:rPr>
              <w:t>Effectiveness of Water Based Bentonite-Borate Slurry for In-situ Remedial Protection of Historic Wooden Piles. The Eurobor Protocol. Part 2. IRG/WP 11-30574. IRG-WP.</w:t>
            </w:r>
            <w:r w:rsidR="00EF5E1D">
              <w:rPr>
                <w:sz w:val="18"/>
                <w:szCs w:val="18"/>
              </w:rPr>
              <w:t xml:space="preserve"> </w:t>
            </w:r>
            <w:r w:rsidR="00EF5E1D">
              <w:rPr>
                <w:rStyle w:val="cf01"/>
              </w:rPr>
              <w:t>Not GLP / Unpublished</w:t>
            </w:r>
          </w:p>
        </w:tc>
        <w:tc>
          <w:tcPr>
            <w:tcW w:w="1586" w:type="dxa"/>
            <w:vAlign w:val="center"/>
          </w:tcPr>
          <w:p w14:paraId="6821DFF4" w14:textId="16EABE5E" w:rsidR="00FB086A" w:rsidRPr="00B65D57" w:rsidRDefault="00641894" w:rsidP="00FB086A">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769972A6" w14:textId="77777777" w:rsidR="00FB086A" w:rsidRPr="00B65D57" w:rsidRDefault="00FB086A" w:rsidP="00FB086A">
            <w:pPr>
              <w:rPr>
                <w:rFonts w:cs="Arial"/>
                <w:color w:val="000000"/>
                <w:sz w:val="18"/>
                <w:szCs w:val="18"/>
                <w:lang w:eastAsia="sv-SE"/>
              </w:rPr>
            </w:pPr>
          </w:p>
        </w:tc>
      </w:tr>
      <w:tr w:rsidR="00FB086A" w:rsidRPr="00B65D57" w14:paraId="507E9833" w14:textId="77777777" w:rsidTr="00DF0198">
        <w:trPr>
          <w:trHeight w:val="770"/>
        </w:trPr>
        <w:tc>
          <w:tcPr>
            <w:tcW w:w="1848" w:type="dxa"/>
            <w:shd w:val="clear" w:color="auto" w:fill="auto"/>
            <w:vAlign w:val="center"/>
          </w:tcPr>
          <w:p w14:paraId="4BDC4327" w14:textId="7777777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Bandh, K. and Theorin, M.</w:t>
            </w:r>
          </w:p>
        </w:tc>
        <w:tc>
          <w:tcPr>
            <w:tcW w:w="1106" w:type="dxa"/>
            <w:shd w:val="clear" w:color="auto" w:fill="auto"/>
            <w:vAlign w:val="center"/>
          </w:tcPr>
          <w:p w14:paraId="5C090988" w14:textId="7777777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2011a</w:t>
            </w:r>
          </w:p>
        </w:tc>
        <w:tc>
          <w:tcPr>
            <w:tcW w:w="2823" w:type="dxa"/>
            <w:shd w:val="clear" w:color="auto" w:fill="auto"/>
            <w:vAlign w:val="center"/>
          </w:tcPr>
          <w:p w14:paraId="61BF827E" w14:textId="77777777" w:rsidR="00FB086A" w:rsidRPr="00F8054E" w:rsidRDefault="00FB086A" w:rsidP="00FB086A">
            <w:pPr>
              <w:rPr>
                <w:rFonts w:cs="Arial"/>
                <w:color w:val="000000"/>
                <w:sz w:val="18"/>
                <w:szCs w:val="18"/>
                <w:lang w:val="sv-SE" w:eastAsia="sv-SE"/>
              </w:rPr>
            </w:pPr>
            <w:r w:rsidRPr="00F8054E">
              <w:rPr>
                <w:rFonts w:cs="Arial"/>
                <w:color w:val="000000"/>
                <w:sz w:val="18"/>
                <w:szCs w:val="18"/>
                <w:lang w:val="sv-SE" w:eastAsia="sv-SE"/>
              </w:rPr>
              <w:t>Eurobor svällande egenskaper och behandlingszonen</w:t>
            </w:r>
          </w:p>
          <w:p w14:paraId="0AFDFEAF" w14:textId="77777777" w:rsidR="00FB086A" w:rsidRPr="00F8054E" w:rsidRDefault="00FB086A" w:rsidP="00FB086A">
            <w:pPr>
              <w:rPr>
                <w:rFonts w:cs="Arial"/>
                <w:color w:val="000000"/>
                <w:sz w:val="18"/>
                <w:szCs w:val="18"/>
                <w:lang w:val="sv-SE" w:eastAsia="sv-SE"/>
              </w:rPr>
            </w:pPr>
            <w:r w:rsidRPr="00F8054E">
              <w:rPr>
                <w:rFonts w:cs="Arial"/>
                <w:color w:val="000000"/>
                <w:sz w:val="18"/>
                <w:szCs w:val="18"/>
                <w:lang w:val="sv-SE" w:eastAsia="sv-SE"/>
              </w:rPr>
              <w:t>Not GLP / Unpublished</w:t>
            </w:r>
          </w:p>
        </w:tc>
        <w:tc>
          <w:tcPr>
            <w:tcW w:w="1586" w:type="dxa"/>
            <w:vAlign w:val="center"/>
          </w:tcPr>
          <w:p w14:paraId="4D202A0F" w14:textId="7777777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Y</w:t>
            </w:r>
          </w:p>
        </w:tc>
        <w:tc>
          <w:tcPr>
            <w:tcW w:w="906" w:type="dxa"/>
            <w:shd w:val="clear" w:color="auto" w:fill="auto"/>
            <w:vAlign w:val="center"/>
          </w:tcPr>
          <w:p w14:paraId="65FA5AE9" w14:textId="7777777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Jerbol System AB</w:t>
            </w:r>
          </w:p>
        </w:tc>
      </w:tr>
      <w:tr w:rsidR="00FB086A" w:rsidRPr="00B65D57" w14:paraId="4E6E07F3" w14:textId="77777777" w:rsidTr="00DF0198">
        <w:trPr>
          <w:trHeight w:val="770"/>
        </w:trPr>
        <w:tc>
          <w:tcPr>
            <w:tcW w:w="1848" w:type="dxa"/>
            <w:shd w:val="clear" w:color="auto" w:fill="auto"/>
            <w:vAlign w:val="center"/>
          </w:tcPr>
          <w:p w14:paraId="7B108EAD" w14:textId="267CA1E0" w:rsidR="00FB086A" w:rsidRPr="00B65D57" w:rsidRDefault="00FB086A" w:rsidP="00FB086A">
            <w:pPr>
              <w:pStyle w:val="Absatz"/>
              <w:ind w:left="0"/>
              <w:rPr>
                <w:rFonts w:cs="Arial"/>
                <w:color w:val="000000"/>
                <w:sz w:val="18"/>
                <w:szCs w:val="18"/>
                <w:lang w:eastAsia="sv-SE"/>
              </w:rPr>
            </w:pPr>
            <w:r w:rsidRPr="00B65D57">
              <w:rPr>
                <w:rFonts w:ascii="Verdana" w:hAnsi="Verdana"/>
                <w:sz w:val="18"/>
                <w:szCs w:val="18"/>
                <w:lang w:eastAsia="en-US"/>
              </w:rPr>
              <w:t xml:space="preserve">Bandh K. and Theorin, M. </w:t>
            </w:r>
          </w:p>
        </w:tc>
        <w:tc>
          <w:tcPr>
            <w:tcW w:w="1106" w:type="dxa"/>
            <w:shd w:val="clear" w:color="auto" w:fill="auto"/>
            <w:vAlign w:val="center"/>
          </w:tcPr>
          <w:p w14:paraId="453E7B68" w14:textId="4FEB4B09"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2011b</w:t>
            </w:r>
          </w:p>
        </w:tc>
        <w:tc>
          <w:tcPr>
            <w:tcW w:w="2823" w:type="dxa"/>
            <w:shd w:val="clear" w:color="auto" w:fill="auto"/>
            <w:vAlign w:val="center"/>
          </w:tcPr>
          <w:p w14:paraId="382BC873" w14:textId="11E4A050" w:rsidR="00FB086A" w:rsidRPr="00B65D57" w:rsidRDefault="00FB086A" w:rsidP="00FB086A">
            <w:pPr>
              <w:pStyle w:val="Absatz"/>
              <w:ind w:left="0"/>
              <w:rPr>
                <w:rFonts w:ascii="Verdana" w:hAnsi="Verdana"/>
                <w:sz w:val="18"/>
                <w:szCs w:val="18"/>
                <w:lang w:eastAsia="en-US"/>
              </w:rPr>
            </w:pPr>
            <w:r w:rsidRPr="00B65D57">
              <w:rPr>
                <w:rFonts w:ascii="Verdana" w:hAnsi="Verdana"/>
                <w:sz w:val="18"/>
                <w:szCs w:val="18"/>
                <w:lang w:eastAsia="en-US"/>
              </w:rPr>
              <w:t xml:space="preserve">Protective Levels of Borates in Wooden Foundation Piles 5 – 18 Years After In-situ Remedial Treatment in Areas with Wet Clay Ground Conditions. The Jerbor and Eurobor Protocol, Part 1. </w:t>
            </w:r>
          </w:p>
          <w:p w14:paraId="02B5C21E" w14:textId="223ADF12" w:rsidR="00FB086A" w:rsidRPr="00B65D57" w:rsidRDefault="00FB086A" w:rsidP="00FB086A">
            <w:pPr>
              <w:pStyle w:val="Absatz"/>
              <w:ind w:left="0"/>
              <w:rPr>
                <w:rFonts w:ascii="Verdana" w:hAnsi="Verdana"/>
                <w:sz w:val="18"/>
                <w:szCs w:val="18"/>
                <w:lang w:eastAsia="en-US"/>
              </w:rPr>
            </w:pPr>
            <w:r w:rsidRPr="00B65D57">
              <w:rPr>
                <w:rFonts w:ascii="Verdana" w:hAnsi="Verdana"/>
                <w:sz w:val="18"/>
                <w:szCs w:val="18"/>
                <w:lang w:eastAsia="en-US"/>
              </w:rPr>
              <w:t>IRG/WP 11-30571. IRG 2011.</w:t>
            </w:r>
            <w:r w:rsidR="00EF5E1D">
              <w:rPr>
                <w:rFonts w:ascii="Verdana" w:hAnsi="Verdana"/>
                <w:sz w:val="18"/>
                <w:szCs w:val="18"/>
                <w:lang w:eastAsia="en-US"/>
              </w:rPr>
              <w:t xml:space="preserve"> </w:t>
            </w:r>
            <w:r w:rsidR="00EF5E1D">
              <w:rPr>
                <w:rStyle w:val="cf01"/>
              </w:rPr>
              <w:t>Not GLP / Unpublished</w:t>
            </w:r>
          </w:p>
          <w:p w14:paraId="091128AA" w14:textId="77777777" w:rsidR="00FB086A" w:rsidRPr="00B65D57" w:rsidRDefault="00FB086A" w:rsidP="00FB086A">
            <w:pPr>
              <w:rPr>
                <w:rFonts w:cs="Arial"/>
                <w:color w:val="000000"/>
                <w:sz w:val="18"/>
                <w:szCs w:val="18"/>
                <w:lang w:eastAsia="sv-SE"/>
              </w:rPr>
            </w:pPr>
          </w:p>
        </w:tc>
        <w:tc>
          <w:tcPr>
            <w:tcW w:w="1586" w:type="dxa"/>
            <w:vAlign w:val="center"/>
          </w:tcPr>
          <w:p w14:paraId="7251BA1A" w14:textId="4695D46B" w:rsidR="00FB086A" w:rsidRPr="00B65D57" w:rsidRDefault="00641894" w:rsidP="00FB086A">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445D6810" w14:textId="77777777" w:rsidR="00FB086A" w:rsidRPr="00B65D57" w:rsidRDefault="00FB086A" w:rsidP="00FB086A">
            <w:pPr>
              <w:rPr>
                <w:rFonts w:cs="Arial"/>
                <w:color w:val="000000"/>
                <w:sz w:val="18"/>
                <w:szCs w:val="18"/>
                <w:lang w:eastAsia="sv-SE"/>
              </w:rPr>
            </w:pPr>
          </w:p>
        </w:tc>
      </w:tr>
      <w:tr w:rsidR="00FB086A" w:rsidRPr="00B65D57" w14:paraId="0D80D156" w14:textId="77777777" w:rsidTr="00DF0198">
        <w:trPr>
          <w:trHeight w:val="770"/>
        </w:trPr>
        <w:tc>
          <w:tcPr>
            <w:tcW w:w="1848" w:type="dxa"/>
            <w:shd w:val="clear" w:color="auto" w:fill="auto"/>
            <w:vAlign w:val="center"/>
          </w:tcPr>
          <w:p w14:paraId="2D172106" w14:textId="52D17268" w:rsidR="00FB086A" w:rsidRPr="00B65D57" w:rsidRDefault="00FB086A" w:rsidP="00FB086A">
            <w:pPr>
              <w:pStyle w:val="Absatz"/>
              <w:ind w:left="0"/>
              <w:rPr>
                <w:rFonts w:ascii="Verdana" w:hAnsi="Verdana"/>
                <w:lang w:eastAsia="en-US"/>
              </w:rPr>
            </w:pPr>
            <w:r w:rsidRPr="00B65D57">
              <w:rPr>
                <w:rFonts w:ascii="Verdana" w:hAnsi="Verdana" w:cs="Arial"/>
                <w:color w:val="000000"/>
                <w:sz w:val="18"/>
                <w:szCs w:val="18"/>
                <w:lang w:eastAsia="sv-SE"/>
              </w:rPr>
              <w:t>Bech-Andersen, J.</w:t>
            </w:r>
          </w:p>
        </w:tc>
        <w:tc>
          <w:tcPr>
            <w:tcW w:w="1106" w:type="dxa"/>
            <w:shd w:val="clear" w:color="auto" w:fill="auto"/>
            <w:vAlign w:val="center"/>
          </w:tcPr>
          <w:p w14:paraId="6B5AB6CD" w14:textId="481EEAC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2005</w:t>
            </w:r>
          </w:p>
        </w:tc>
        <w:tc>
          <w:tcPr>
            <w:tcW w:w="2823" w:type="dxa"/>
            <w:shd w:val="clear" w:color="auto" w:fill="auto"/>
            <w:vAlign w:val="center"/>
          </w:tcPr>
          <w:p w14:paraId="1223BC3A" w14:textId="6521BCD1" w:rsidR="00FB086A" w:rsidRPr="00B65D57" w:rsidRDefault="00FB086A" w:rsidP="00FB086A">
            <w:pPr>
              <w:pStyle w:val="Absatz"/>
              <w:ind w:left="0"/>
              <w:rPr>
                <w:rFonts w:ascii="Verdana" w:hAnsi="Verdana"/>
                <w:lang w:eastAsia="en-US"/>
              </w:rPr>
            </w:pPr>
            <w:r w:rsidRPr="00B65D57">
              <w:rPr>
                <w:rFonts w:ascii="Verdana" w:hAnsi="Verdana" w:cs="Arial"/>
                <w:color w:val="000000"/>
                <w:sz w:val="18"/>
                <w:szCs w:val="18"/>
                <w:lang w:eastAsia="sv-SE"/>
              </w:rPr>
              <w:t>Hussvampe og Husbukke. ISBN 87-89560-34-5.</w:t>
            </w:r>
          </w:p>
        </w:tc>
        <w:tc>
          <w:tcPr>
            <w:tcW w:w="1586" w:type="dxa"/>
            <w:vAlign w:val="center"/>
          </w:tcPr>
          <w:p w14:paraId="7FF8CA51"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0676900C" w14:textId="77777777" w:rsidR="00FB086A" w:rsidRPr="00B65D57" w:rsidRDefault="00FB086A" w:rsidP="00FB086A">
            <w:pPr>
              <w:rPr>
                <w:rFonts w:cs="Arial"/>
                <w:color w:val="000000"/>
                <w:sz w:val="18"/>
                <w:szCs w:val="18"/>
                <w:lang w:eastAsia="sv-SE"/>
              </w:rPr>
            </w:pPr>
          </w:p>
        </w:tc>
      </w:tr>
      <w:tr w:rsidR="00FB086A" w:rsidRPr="00325E28" w14:paraId="4D4029A3" w14:textId="77777777" w:rsidTr="00DF0198">
        <w:trPr>
          <w:trHeight w:val="770"/>
        </w:trPr>
        <w:tc>
          <w:tcPr>
            <w:tcW w:w="1848" w:type="dxa"/>
            <w:shd w:val="clear" w:color="auto" w:fill="auto"/>
            <w:vAlign w:val="center"/>
          </w:tcPr>
          <w:p w14:paraId="23A1CA86" w14:textId="5A5586AD"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Bermin, J.</w:t>
            </w:r>
          </w:p>
        </w:tc>
        <w:tc>
          <w:tcPr>
            <w:tcW w:w="1106" w:type="dxa"/>
            <w:shd w:val="clear" w:color="auto" w:fill="auto"/>
            <w:vAlign w:val="center"/>
          </w:tcPr>
          <w:p w14:paraId="10E34309" w14:textId="1E1C7224"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2012</w:t>
            </w:r>
          </w:p>
        </w:tc>
        <w:tc>
          <w:tcPr>
            <w:tcW w:w="2823" w:type="dxa"/>
            <w:shd w:val="clear" w:color="auto" w:fill="auto"/>
          </w:tcPr>
          <w:p w14:paraId="097C51C7" w14:textId="61173D66" w:rsidR="00FB086A" w:rsidRPr="00EF5E1D" w:rsidRDefault="00FB086A" w:rsidP="00DE0935">
            <w:pPr>
              <w:rPr>
                <w:rFonts w:cs="Arial"/>
                <w:color w:val="000000"/>
                <w:sz w:val="18"/>
                <w:szCs w:val="18"/>
                <w:lang w:eastAsia="sv-SE"/>
              </w:rPr>
            </w:pPr>
            <w:r w:rsidRPr="00F8054E">
              <w:rPr>
                <w:rFonts w:cs="Arial"/>
                <w:color w:val="000000"/>
                <w:sz w:val="18"/>
                <w:szCs w:val="18"/>
                <w:lang w:val="sv-SE" w:eastAsia="sv-SE"/>
              </w:rPr>
              <w:t xml:space="preserve">Eurobormetoden, Spridningsberäkning i kallmur. </w:t>
            </w:r>
            <w:r w:rsidRPr="00BC5D62">
              <w:rPr>
                <w:rFonts w:cs="Arial"/>
                <w:color w:val="000000"/>
                <w:sz w:val="18"/>
                <w:szCs w:val="18"/>
                <w:lang w:val="sv-SE" w:eastAsia="sv-SE"/>
              </w:rPr>
              <w:t>Rapport WSP.</w:t>
            </w:r>
            <w:r w:rsidR="00EF5E1D" w:rsidRPr="00BC5D62">
              <w:rPr>
                <w:rFonts w:cs="Arial"/>
                <w:color w:val="000000"/>
                <w:sz w:val="18"/>
                <w:szCs w:val="18"/>
                <w:lang w:val="sv-SE" w:eastAsia="sv-SE"/>
              </w:rPr>
              <w:t xml:space="preserve"> </w:t>
            </w:r>
            <w:r w:rsidR="00EF5E1D">
              <w:rPr>
                <w:rStyle w:val="cf01"/>
              </w:rPr>
              <w:t>Not GLP / Unpublished</w:t>
            </w:r>
          </w:p>
        </w:tc>
        <w:tc>
          <w:tcPr>
            <w:tcW w:w="1586" w:type="dxa"/>
            <w:vAlign w:val="center"/>
          </w:tcPr>
          <w:p w14:paraId="0159FFBC" w14:textId="7D02F684" w:rsidR="00FB086A" w:rsidRPr="00F8054E" w:rsidRDefault="00641894" w:rsidP="00FB086A">
            <w:pPr>
              <w:rPr>
                <w:rFonts w:cs="Arial"/>
                <w:color w:val="000000"/>
                <w:sz w:val="18"/>
                <w:szCs w:val="18"/>
                <w:lang w:val="sv-SE" w:eastAsia="sv-SE"/>
              </w:rPr>
            </w:pPr>
            <w:r>
              <w:rPr>
                <w:rFonts w:cs="Arial"/>
                <w:color w:val="000000"/>
                <w:sz w:val="18"/>
                <w:szCs w:val="18"/>
                <w:lang w:val="sv-SE" w:eastAsia="sv-SE"/>
              </w:rPr>
              <w:t>Y</w:t>
            </w:r>
          </w:p>
        </w:tc>
        <w:tc>
          <w:tcPr>
            <w:tcW w:w="906" w:type="dxa"/>
            <w:shd w:val="clear" w:color="auto" w:fill="auto"/>
            <w:vAlign w:val="center"/>
          </w:tcPr>
          <w:p w14:paraId="74B48ADD" w14:textId="23F6E231" w:rsidR="00FB086A" w:rsidRPr="00F8054E" w:rsidRDefault="00FB086A" w:rsidP="00FB086A">
            <w:pPr>
              <w:rPr>
                <w:rFonts w:cs="Arial"/>
                <w:color w:val="000000"/>
                <w:sz w:val="18"/>
                <w:szCs w:val="18"/>
                <w:lang w:val="sv-SE" w:eastAsia="sv-SE"/>
              </w:rPr>
            </w:pPr>
          </w:p>
        </w:tc>
      </w:tr>
      <w:tr w:rsidR="00FB086A" w:rsidRPr="00B65D57" w14:paraId="7F9087C7" w14:textId="77777777" w:rsidTr="00DF0198">
        <w:trPr>
          <w:trHeight w:val="770"/>
        </w:trPr>
        <w:tc>
          <w:tcPr>
            <w:tcW w:w="1848" w:type="dxa"/>
            <w:shd w:val="clear" w:color="auto" w:fill="auto"/>
            <w:vAlign w:val="center"/>
          </w:tcPr>
          <w:p w14:paraId="5655EA31" w14:textId="3525C7D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Blanchette, R. A.</w:t>
            </w:r>
          </w:p>
        </w:tc>
        <w:tc>
          <w:tcPr>
            <w:tcW w:w="1106" w:type="dxa"/>
            <w:shd w:val="clear" w:color="auto" w:fill="auto"/>
            <w:vAlign w:val="center"/>
          </w:tcPr>
          <w:p w14:paraId="3906313E" w14:textId="05705921"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1984</w:t>
            </w:r>
          </w:p>
        </w:tc>
        <w:tc>
          <w:tcPr>
            <w:tcW w:w="2823" w:type="dxa"/>
            <w:shd w:val="clear" w:color="auto" w:fill="auto"/>
            <w:vAlign w:val="center"/>
          </w:tcPr>
          <w:p w14:paraId="3D9BF064" w14:textId="4217E82F" w:rsidR="00FB086A" w:rsidRPr="00B65D57" w:rsidRDefault="00FB086A" w:rsidP="00FB086A">
            <w:pPr>
              <w:rPr>
                <w:rFonts w:cs="Arial"/>
                <w:sz w:val="18"/>
                <w:szCs w:val="18"/>
              </w:rPr>
            </w:pPr>
            <w:r w:rsidRPr="00B65D57">
              <w:rPr>
                <w:rFonts w:cs="Arial"/>
                <w:color w:val="000000"/>
                <w:sz w:val="18"/>
                <w:szCs w:val="18"/>
                <w:lang w:eastAsia="sv-SE"/>
              </w:rPr>
              <w:t>Manganese Accumulation in Wood Decayed by White Rot Fungi. Ecology and Epidemology, 725-730.</w:t>
            </w:r>
          </w:p>
        </w:tc>
        <w:tc>
          <w:tcPr>
            <w:tcW w:w="1586" w:type="dxa"/>
            <w:vAlign w:val="center"/>
          </w:tcPr>
          <w:p w14:paraId="2261F024"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22465751" w14:textId="77777777" w:rsidR="00FB086A" w:rsidRPr="00B65D57" w:rsidRDefault="00FB086A" w:rsidP="00FB086A">
            <w:pPr>
              <w:rPr>
                <w:rFonts w:cs="Arial"/>
                <w:color w:val="000000"/>
                <w:sz w:val="18"/>
                <w:szCs w:val="18"/>
                <w:lang w:eastAsia="sv-SE"/>
              </w:rPr>
            </w:pPr>
          </w:p>
        </w:tc>
      </w:tr>
      <w:tr w:rsidR="00FB086A" w:rsidRPr="00B65D57" w14:paraId="48FAB42B" w14:textId="77777777" w:rsidTr="00DF0198">
        <w:trPr>
          <w:trHeight w:val="770"/>
        </w:trPr>
        <w:tc>
          <w:tcPr>
            <w:tcW w:w="1848" w:type="dxa"/>
            <w:shd w:val="clear" w:color="auto" w:fill="auto"/>
            <w:vAlign w:val="center"/>
          </w:tcPr>
          <w:p w14:paraId="0ABEBF30" w14:textId="7C2CBF7C" w:rsidR="00FB086A" w:rsidRPr="00325E28" w:rsidRDefault="00FB086A" w:rsidP="00FB086A">
            <w:pPr>
              <w:rPr>
                <w:rFonts w:cs="Arial"/>
                <w:color w:val="000000"/>
                <w:sz w:val="18"/>
                <w:szCs w:val="18"/>
                <w:lang w:val="da-DK" w:eastAsia="sv-SE"/>
              </w:rPr>
            </w:pPr>
            <w:r w:rsidRPr="00325E28">
              <w:rPr>
                <w:rFonts w:cs="Arial"/>
                <w:color w:val="000000"/>
                <w:sz w:val="18"/>
                <w:szCs w:val="18"/>
                <w:lang w:val="da-DK" w:eastAsia="sv-SE"/>
              </w:rPr>
              <w:t xml:space="preserve">Communar, G., Keren, R. </w:t>
            </w:r>
            <w:r w:rsidR="000348DD">
              <w:rPr>
                <w:rFonts w:cs="Arial"/>
                <w:color w:val="000000"/>
                <w:sz w:val="18"/>
                <w:szCs w:val="18"/>
                <w:lang w:val="da-DK" w:eastAsia="sv-SE"/>
              </w:rPr>
              <w:t>and</w:t>
            </w:r>
            <w:r w:rsidRPr="00325E28">
              <w:rPr>
                <w:rFonts w:cs="Arial"/>
                <w:color w:val="000000"/>
                <w:sz w:val="18"/>
                <w:szCs w:val="18"/>
                <w:lang w:val="da-DK" w:eastAsia="sv-SE"/>
              </w:rPr>
              <w:t xml:space="preserve"> Li, F.</w:t>
            </w:r>
          </w:p>
        </w:tc>
        <w:tc>
          <w:tcPr>
            <w:tcW w:w="1106" w:type="dxa"/>
            <w:shd w:val="clear" w:color="auto" w:fill="auto"/>
            <w:vAlign w:val="center"/>
          </w:tcPr>
          <w:p w14:paraId="52B9388D" w14:textId="3D1555DC"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2004</w:t>
            </w:r>
          </w:p>
        </w:tc>
        <w:tc>
          <w:tcPr>
            <w:tcW w:w="2823" w:type="dxa"/>
            <w:shd w:val="clear" w:color="auto" w:fill="auto"/>
            <w:vAlign w:val="center"/>
          </w:tcPr>
          <w:p w14:paraId="768BB83A" w14:textId="7777777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Deriving Boron Adsorption Iso-therms from Soil Column Displacement Experiments. Soil Science Society of America Journal 68(2).</w:t>
            </w:r>
          </w:p>
          <w:p w14:paraId="26BB6831" w14:textId="77777777" w:rsidR="00FB086A" w:rsidRPr="00B65D57" w:rsidRDefault="00FB086A" w:rsidP="00FB086A">
            <w:pPr>
              <w:rPr>
                <w:rFonts w:cs="Arial"/>
                <w:color w:val="000000"/>
                <w:sz w:val="18"/>
                <w:szCs w:val="18"/>
                <w:lang w:eastAsia="sv-SE"/>
              </w:rPr>
            </w:pPr>
          </w:p>
        </w:tc>
        <w:tc>
          <w:tcPr>
            <w:tcW w:w="1586" w:type="dxa"/>
            <w:vAlign w:val="center"/>
          </w:tcPr>
          <w:p w14:paraId="7E98FA03"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4DBC399A" w14:textId="77777777" w:rsidR="00FB086A" w:rsidRPr="00B65D57" w:rsidRDefault="00FB086A" w:rsidP="00FB086A">
            <w:pPr>
              <w:rPr>
                <w:rFonts w:cs="Arial"/>
                <w:color w:val="000000"/>
                <w:sz w:val="18"/>
                <w:szCs w:val="18"/>
                <w:lang w:eastAsia="sv-SE"/>
              </w:rPr>
            </w:pPr>
          </w:p>
        </w:tc>
      </w:tr>
      <w:tr w:rsidR="00FB086A" w:rsidRPr="00B65D57" w14:paraId="77C059E2" w14:textId="77777777" w:rsidTr="00DF0198">
        <w:trPr>
          <w:trHeight w:val="770"/>
        </w:trPr>
        <w:tc>
          <w:tcPr>
            <w:tcW w:w="1848" w:type="dxa"/>
            <w:shd w:val="clear" w:color="auto" w:fill="auto"/>
            <w:vAlign w:val="center"/>
          </w:tcPr>
          <w:p w14:paraId="23A31A97" w14:textId="7C8A05E4"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 xml:space="preserve">Couch, E. L. </w:t>
            </w:r>
            <w:r w:rsidR="000348DD">
              <w:rPr>
                <w:rFonts w:cs="Arial"/>
                <w:color w:val="000000"/>
                <w:sz w:val="18"/>
                <w:szCs w:val="18"/>
                <w:lang w:eastAsia="sv-SE"/>
              </w:rPr>
              <w:t>and</w:t>
            </w:r>
            <w:r w:rsidRPr="00B65D57">
              <w:rPr>
                <w:rFonts w:cs="Arial"/>
                <w:color w:val="000000"/>
                <w:sz w:val="18"/>
                <w:szCs w:val="18"/>
                <w:lang w:eastAsia="sv-SE"/>
              </w:rPr>
              <w:t xml:space="preserve"> Grim, R. E.</w:t>
            </w:r>
          </w:p>
        </w:tc>
        <w:tc>
          <w:tcPr>
            <w:tcW w:w="1106" w:type="dxa"/>
            <w:shd w:val="clear" w:color="auto" w:fill="auto"/>
            <w:vAlign w:val="center"/>
          </w:tcPr>
          <w:p w14:paraId="433FDB9C" w14:textId="2D0F1113"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1968</w:t>
            </w:r>
          </w:p>
        </w:tc>
        <w:tc>
          <w:tcPr>
            <w:tcW w:w="2823" w:type="dxa"/>
            <w:shd w:val="clear" w:color="auto" w:fill="auto"/>
            <w:vAlign w:val="center"/>
          </w:tcPr>
          <w:p w14:paraId="03D8D7D4" w14:textId="360ED015"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Boron fixation by Illites. Clays &amp; Clay Minerals 16: 249 - 256.</w:t>
            </w:r>
          </w:p>
        </w:tc>
        <w:tc>
          <w:tcPr>
            <w:tcW w:w="1586" w:type="dxa"/>
            <w:vAlign w:val="center"/>
          </w:tcPr>
          <w:p w14:paraId="30DC7F90"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16167CD9" w14:textId="77777777" w:rsidR="00FB086A" w:rsidRPr="00B65D57" w:rsidRDefault="00FB086A" w:rsidP="00FB086A">
            <w:pPr>
              <w:rPr>
                <w:rFonts w:cs="Arial"/>
                <w:color w:val="000000"/>
                <w:sz w:val="18"/>
                <w:szCs w:val="18"/>
                <w:lang w:eastAsia="sv-SE"/>
              </w:rPr>
            </w:pPr>
          </w:p>
        </w:tc>
      </w:tr>
      <w:tr w:rsidR="00FB086A" w:rsidRPr="00B65D57" w14:paraId="02AF89FD" w14:textId="77777777" w:rsidTr="00DF0198">
        <w:trPr>
          <w:trHeight w:val="770"/>
        </w:trPr>
        <w:tc>
          <w:tcPr>
            <w:tcW w:w="1848" w:type="dxa"/>
            <w:shd w:val="clear" w:color="auto" w:fill="auto"/>
            <w:vAlign w:val="center"/>
          </w:tcPr>
          <w:p w14:paraId="0324C35D" w14:textId="04EA4BDB"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 xml:space="preserve">Daniel, G. </w:t>
            </w:r>
            <w:r w:rsidR="000348DD">
              <w:rPr>
                <w:rFonts w:cs="Arial"/>
                <w:color w:val="000000"/>
                <w:sz w:val="18"/>
                <w:szCs w:val="18"/>
                <w:lang w:eastAsia="sv-SE"/>
              </w:rPr>
              <w:t>and</w:t>
            </w:r>
            <w:r w:rsidRPr="00B65D57">
              <w:rPr>
                <w:rFonts w:cs="Arial"/>
                <w:color w:val="000000"/>
                <w:sz w:val="18"/>
                <w:szCs w:val="18"/>
                <w:lang w:eastAsia="sv-SE"/>
              </w:rPr>
              <w:t xml:space="preserve"> Bergman, Ö.</w:t>
            </w:r>
          </w:p>
        </w:tc>
        <w:tc>
          <w:tcPr>
            <w:tcW w:w="1106" w:type="dxa"/>
            <w:shd w:val="clear" w:color="auto" w:fill="auto"/>
            <w:vAlign w:val="center"/>
          </w:tcPr>
          <w:p w14:paraId="34676BE0" w14:textId="666E0FB3"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1997</w:t>
            </w:r>
          </w:p>
        </w:tc>
        <w:tc>
          <w:tcPr>
            <w:tcW w:w="2823" w:type="dxa"/>
            <w:shd w:val="clear" w:color="auto" w:fill="auto"/>
            <w:vAlign w:val="center"/>
          </w:tcPr>
          <w:p w14:paraId="7EA246D7" w14:textId="35DB0E2E" w:rsidR="00FB086A" w:rsidRPr="00B65D57" w:rsidRDefault="00FB086A" w:rsidP="00FB086A">
            <w:pPr>
              <w:rPr>
                <w:rFonts w:cs="Arial"/>
                <w:sz w:val="18"/>
                <w:szCs w:val="18"/>
              </w:rPr>
            </w:pPr>
            <w:r w:rsidRPr="00B65D57">
              <w:rPr>
                <w:rFonts w:cs="Arial"/>
                <w:color w:val="000000"/>
                <w:sz w:val="18"/>
                <w:szCs w:val="18"/>
                <w:lang w:eastAsia="sv-SE"/>
              </w:rPr>
              <w:t>White Rot and Manganese deposition in TnBTO-AAC precervative treated pine stakes from field tests. Holz als Roh- und Werkstoff, 197-201.</w:t>
            </w:r>
          </w:p>
        </w:tc>
        <w:tc>
          <w:tcPr>
            <w:tcW w:w="1586" w:type="dxa"/>
            <w:vAlign w:val="center"/>
          </w:tcPr>
          <w:p w14:paraId="3284AE7A"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27264847" w14:textId="77777777" w:rsidR="00FB086A" w:rsidRPr="00B65D57" w:rsidRDefault="00FB086A" w:rsidP="00FB086A">
            <w:pPr>
              <w:rPr>
                <w:rFonts w:cs="Arial"/>
                <w:color w:val="000000"/>
                <w:sz w:val="18"/>
                <w:szCs w:val="18"/>
                <w:lang w:eastAsia="sv-SE"/>
              </w:rPr>
            </w:pPr>
          </w:p>
        </w:tc>
      </w:tr>
      <w:tr w:rsidR="00FB086A" w:rsidRPr="00B65D57" w14:paraId="2909C7C5" w14:textId="77777777" w:rsidTr="00DF0198">
        <w:trPr>
          <w:trHeight w:val="770"/>
        </w:trPr>
        <w:tc>
          <w:tcPr>
            <w:tcW w:w="1848" w:type="dxa"/>
            <w:shd w:val="clear" w:color="auto" w:fill="auto"/>
            <w:vAlign w:val="center"/>
          </w:tcPr>
          <w:p w14:paraId="7763FC62" w14:textId="2FBBD3F4"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ECHA</w:t>
            </w:r>
          </w:p>
        </w:tc>
        <w:tc>
          <w:tcPr>
            <w:tcW w:w="1106" w:type="dxa"/>
            <w:shd w:val="clear" w:color="auto" w:fill="auto"/>
            <w:vAlign w:val="center"/>
          </w:tcPr>
          <w:p w14:paraId="51D6258D" w14:textId="53BEF7EE"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2017</w:t>
            </w:r>
          </w:p>
        </w:tc>
        <w:tc>
          <w:tcPr>
            <w:tcW w:w="2823" w:type="dxa"/>
            <w:shd w:val="clear" w:color="auto" w:fill="auto"/>
            <w:vAlign w:val="center"/>
          </w:tcPr>
          <w:p w14:paraId="1F6B6612" w14:textId="603A3974" w:rsidR="00FB086A" w:rsidRPr="00B65D57" w:rsidRDefault="00FB086A" w:rsidP="00FB086A">
            <w:pPr>
              <w:rPr>
                <w:rFonts w:cs="Arial"/>
                <w:sz w:val="18"/>
                <w:szCs w:val="18"/>
              </w:rPr>
            </w:pPr>
            <w:r w:rsidRPr="00B65D57">
              <w:rPr>
                <w:rFonts w:cs="Arial"/>
                <w:color w:val="000000"/>
                <w:sz w:val="18"/>
                <w:szCs w:val="18"/>
                <w:lang w:eastAsia="sv-SE"/>
              </w:rPr>
              <w:t>Guidance on the Biocidal Products Regulation Volume IV Environment - Assessment and Evaluation (Parts B + C), Version 2.0.</w:t>
            </w:r>
          </w:p>
        </w:tc>
        <w:tc>
          <w:tcPr>
            <w:tcW w:w="1586" w:type="dxa"/>
            <w:vAlign w:val="center"/>
          </w:tcPr>
          <w:p w14:paraId="76377DD4"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49E31E2F" w14:textId="77777777" w:rsidR="00FB086A" w:rsidRPr="00B65D57" w:rsidRDefault="00FB086A" w:rsidP="00FB086A">
            <w:pPr>
              <w:rPr>
                <w:rFonts w:cs="Arial"/>
                <w:color w:val="000000"/>
                <w:sz w:val="18"/>
                <w:szCs w:val="18"/>
                <w:lang w:eastAsia="sv-SE"/>
              </w:rPr>
            </w:pPr>
          </w:p>
        </w:tc>
      </w:tr>
      <w:tr w:rsidR="00FB086A" w:rsidRPr="00B65D57" w14:paraId="131B12E6" w14:textId="77777777" w:rsidTr="00DF0198">
        <w:trPr>
          <w:trHeight w:val="770"/>
        </w:trPr>
        <w:tc>
          <w:tcPr>
            <w:tcW w:w="1848" w:type="dxa"/>
            <w:shd w:val="clear" w:color="auto" w:fill="auto"/>
            <w:vAlign w:val="center"/>
          </w:tcPr>
          <w:p w14:paraId="6441AFC9" w14:textId="2B35385E"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Fetter, C.W.</w:t>
            </w:r>
          </w:p>
        </w:tc>
        <w:tc>
          <w:tcPr>
            <w:tcW w:w="1106" w:type="dxa"/>
            <w:shd w:val="clear" w:color="auto" w:fill="auto"/>
            <w:vAlign w:val="center"/>
          </w:tcPr>
          <w:p w14:paraId="4701A27D" w14:textId="33C0407F"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2001</w:t>
            </w:r>
          </w:p>
        </w:tc>
        <w:tc>
          <w:tcPr>
            <w:tcW w:w="2823" w:type="dxa"/>
            <w:shd w:val="clear" w:color="auto" w:fill="auto"/>
            <w:vAlign w:val="center"/>
          </w:tcPr>
          <w:p w14:paraId="24C3618A" w14:textId="71771383" w:rsidR="00FB086A" w:rsidRPr="00B65D57" w:rsidRDefault="00FB086A" w:rsidP="00FB086A">
            <w:pPr>
              <w:rPr>
                <w:rFonts w:cs="Arial"/>
                <w:sz w:val="18"/>
                <w:szCs w:val="18"/>
              </w:rPr>
            </w:pPr>
            <w:r w:rsidRPr="00B65D57">
              <w:rPr>
                <w:rFonts w:cs="Arial"/>
                <w:color w:val="000000"/>
                <w:sz w:val="18"/>
                <w:szCs w:val="18"/>
                <w:lang w:eastAsia="sv-SE"/>
              </w:rPr>
              <w:t>Applied Hydrogeology. 4th Ed. Prentice Hall, Upper Saddle River.</w:t>
            </w:r>
          </w:p>
        </w:tc>
        <w:tc>
          <w:tcPr>
            <w:tcW w:w="1586" w:type="dxa"/>
            <w:vAlign w:val="center"/>
          </w:tcPr>
          <w:p w14:paraId="7681B396"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68D37421" w14:textId="77777777" w:rsidR="00FB086A" w:rsidRPr="00B65D57" w:rsidRDefault="00FB086A" w:rsidP="00FB086A">
            <w:pPr>
              <w:rPr>
                <w:rFonts w:cs="Arial"/>
                <w:color w:val="000000"/>
                <w:sz w:val="18"/>
                <w:szCs w:val="18"/>
                <w:lang w:eastAsia="sv-SE"/>
              </w:rPr>
            </w:pPr>
          </w:p>
        </w:tc>
      </w:tr>
      <w:tr w:rsidR="00FB086A" w:rsidRPr="00B65D57" w14:paraId="417E5C1C" w14:textId="77777777" w:rsidTr="00DF0198">
        <w:trPr>
          <w:trHeight w:val="770"/>
        </w:trPr>
        <w:tc>
          <w:tcPr>
            <w:tcW w:w="1848" w:type="dxa"/>
            <w:shd w:val="clear" w:color="auto" w:fill="auto"/>
            <w:vAlign w:val="center"/>
          </w:tcPr>
          <w:p w14:paraId="344BDFFB" w14:textId="5949BC34" w:rsidR="00FB086A" w:rsidRPr="00325E28" w:rsidRDefault="00FB086A" w:rsidP="00FB086A">
            <w:pPr>
              <w:rPr>
                <w:rFonts w:cs="Arial"/>
                <w:color w:val="000000"/>
                <w:sz w:val="18"/>
                <w:szCs w:val="18"/>
                <w:lang w:val="nb-NO" w:eastAsia="sv-SE"/>
              </w:rPr>
            </w:pPr>
            <w:r w:rsidRPr="00325E28">
              <w:rPr>
                <w:rFonts w:cs="Arial"/>
                <w:color w:val="000000"/>
                <w:sz w:val="18"/>
                <w:szCs w:val="18"/>
                <w:lang w:val="nb-NO" w:eastAsia="sv-SE"/>
              </w:rPr>
              <w:lastRenderedPageBreak/>
              <w:t xml:space="preserve">Flemming, R </w:t>
            </w:r>
            <w:r w:rsidR="00821EDA">
              <w:rPr>
                <w:rFonts w:cs="Arial"/>
                <w:color w:val="000000"/>
                <w:sz w:val="18"/>
                <w:szCs w:val="18"/>
                <w:lang w:val="nb-NO" w:eastAsia="sv-SE"/>
              </w:rPr>
              <w:t>and</w:t>
            </w:r>
            <w:r w:rsidRPr="00325E28">
              <w:rPr>
                <w:rFonts w:cs="Arial"/>
                <w:color w:val="000000"/>
                <w:sz w:val="18"/>
                <w:szCs w:val="18"/>
                <w:lang w:val="nb-NO" w:eastAsia="sv-SE"/>
              </w:rPr>
              <w:t xml:space="preserve"> Koch, A. P.</w:t>
            </w:r>
          </w:p>
        </w:tc>
        <w:tc>
          <w:tcPr>
            <w:tcW w:w="1106" w:type="dxa"/>
            <w:shd w:val="clear" w:color="auto" w:fill="auto"/>
            <w:vAlign w:val="center"/>
          </w:tcPr>
          <w:p w14:paraId="5DDC7B5F" w14:textId="78E3F756"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1992</w:t>
            </w:r>
          </w:p>
        </w:tc>
        <w:tc>
          <w:tcPr>
            <w:tcW w:w="2823" w:type="dxa"/>
            <w:shd w:val="clear" w:color="auto" w:fill="auto"/>
            <w:vAlign w:val="center"/>
          </w:tcPr>
          <w:p w14:paraId="6E75C785" w14:textId="5C949E38" w:rsidR="00FB086A" w:rsidRPr="00B65D57" w:rsidRDefault="00FB086A" w:rsidP="00FB086A">
            <w:pPr>
              <w:rPr>
                <w:rFonts w:cs="Arial"/>
                <w:sz w:val="18"/>
                <w:szCs w:val="18"/>
              </w:rPr>
            </w:pPr>
            <w:r w:rsidRPr="00B65D57">
              <w:rPr>
                <w:rFonts w:cs="Arial"/>
                <w:color w:val="000000"/>
                <w:sz w:val="18"/>
                <w:szCs w:val="18"/>
                <w:lang w:eastAsia="sv-SE"/>
              </w:rPr>
              <w:t>Valid scientific names of wood decaying fungi in construction timber and their vernacular names in England, Germany, France, Sweden, Norway and Denmark. The International Research Group on Wood Preservation. Document No: IRG/WP/1546-92</w:t>
            </w:r>
          </w:p>
        </w:tc>
        <w:tc>
          <w:tcPr>
            <w:tcW w:w="1586" w:type="dxa"/>
            <w:vAlign w:val="center"/>
          </w:tcPr>
          <w:p w14:paraId="37743B9E"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011FF172" w14:textId="77777777" w:rsidR="00FB086A" w:rsidRPr="00B65D57" w:rsidRDefault="00FB086A" w:rsidP="00FB086A">
            <w:pPr>
              <w:rPr>
                <w:rFonts w:cs="Arial"/>
                <w:color w:val="000000"/>
                <w:sz w:val="18"/>
                <w:szCs w:val="18"/>
                <w:lang w:eastAsia="sv-SE"/>
              </w:rPr>
            </w:pPr>
          </w:p>
        </w:tc>
      </w:tr>
      <w:tr w:rsidR="00FB086A" w:rsidRPr="00B65D57" w14:paraId="49695F70" w14:textId="77777777" w:rsidTr="00DF0198">
        <w:trPr>
          <w:trHeight w:val="770"/>
        </w:trPr>
        <w:tc>
          <w:tcPr>
            <w:tcW w:w="1848" w:type="dxa"/>
            <w:shd w:val="clear" w:color="auto" w:fill="auto"/>
            <w:vAlign w:val="center"/>
          </w:tcPr>
          <w:p w14:paraId="460F649D" w14:textId="669CFB6B"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Freeman, M. H.</w:t>
            </w:r>
            <w:r w:rsidR="00A74BE4" w:rsidRPr="00B65D57">
              <w:rPr>
                <w:rFonts w:cs="Arial"/>
                <w:color w:val="000000"/>
                <w:sz w:val="18"/>
                <w:szCs w:val="18"/>
                <w:lang w:eastAsia="sv-SE"/>
              </w:rPr>
              <w:t xml:space="preserve">, McIntyre, C. R. </w:t>
            </w:r>
            <w:r w:rsidR="00821EDA">
              <w:rPr>
                <w:rFonts w:cs="Arial"/>
                <w:color w:val="000000"/>
                <w:sz w:val="18"/>
                <w:szCs w:val="18"/>
                <w:lang w:eastAsia="sv-SE"/>
              </w:rPr>
              <w:t>and</w:t>
            </w:r>
            <w:r w:rsidR="00A74BE4" w:rsidRPr="00B65D57">
              <w:rPr>
                <w:rFonts w:cs="Arial"/>
                <w:color w:val="000000"/>
                <w:sz w:val="18"/>
                <w:szCs w:val="18"/>
                <w:lang w:eastAsia="sv-SE"/>
              </w:rPr>
              <w:t xml:space="preserve"> Jackson, D.</w:t>
            </w:r>
          </w:p>
        </w:tc>
        <w:tc>
          <w:tcPr>
            <w:tcW w:w="1106" w:type="dxa"/>
            <w:shd w:val="clear" w:color="auto" w:fill="auto"/>
            <w:vAlign w:val="center"/>
          </w:tcPr>
          <w:p w14:paraId="5793C26F" w14:textId="5B23F2AB"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2009</w:t>
            </w:r>
          </w:p>
        </w:tc>
        <w:tc>
          <w:tcPr>
            <w:tcW w:w="2823" w:type="dxa"/>
            <w:shd w:val="clear" w:color="auto" w:fill="auto"/>
            <w:vAlign w:val="center"/>
          </w:tcPr>
          <w:p w14:paraId="5A970FA3" w14:textId="0D2167F9" w:rsidR="00FB086A" w:rsidRPr="00B65D57" w:rsidRDefault="00FB086A" w:rsidP="00FB086A">
            <w:pPr>
              <w:rPr>
                <w:rFonts w:cs="Arial"/>
                <w:sz w:val="18"/>
                <w:szCs w:val="18"/>
              </w:rPr>
            </w:pPr>
            <w:r w:rsidRPr="00B65D57">
              <w:rPr>
                <w:rFonts w:cs="Arial"/>
                <w:color w:val="000000"/>
                <w:sz w:val="18"/>
                <w:szCs w:val="18"/>
                <w:lang w:eastAsia="sv-SE"/>
              </w:rPr>
              <w:t>A Critical and Comprehensive Review of Boron in Wood Preservation. Report.  Unpublished</w:t>
            </w:r>
          </w:p>
        </w:tc>
        <w:tc>
          <w:tcPr>
            <w:tcW w:w="1586" w:type="dxa"/>
            <w:vAlign w:val="center"/>
          </w:tcPr>
          <w:p w14:paraId="703FCEF5"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5AF378AD" w14:textId="77777777" w:rsidR="00FB086A" w:rsidRPr="00B65D57" w:rsidRDefault="00FB086A" w:rsidP="00FB086A">
            <w:pPr>
              <w:rPr>
                <w:rFonts w:cs="Arial"/>
                <w:color w:val="000000"/>
                <w:sz w:val="18"/>
                <w:szCs w:val="18"/>
                <w:lang w:eastAsia="sv-SE"/>
              </w:rPr>
            </w:pPr>
          </w:p>
        </w:tc>
      </w:tr>
      <w:tr w:rsidR="00FB086A" w:rsidRPr="00B65D57" w14:paraId="6728B800" w14:textId="77777777" w:rsidTr="00DF0198">
        <w:trPr>
          <w:trHeight w:val="770"/>
        </w:trPr>
        <w:tc>
          <w:tcPr>
            <w:tcW w:w="1848" w:type="dxa"/>
            <w:shd w:val="clear" w:color="auto" w:fill="auto"/>
            <w:vAlign w:val="center"/>
          </w:tcPr>
          <w:p w14:paraId="7E47AA97" w14:textId="4052CDF6" w:rsidR="00FB086A" w:rsidRPr="00821EDA" w:rsidRDefault="00FB086A" w:rsidP="00FB086A">
            <w:pPr>
              <w:rPr>
                <w:rFonts w:cs="Arial"/>
                <w:color w:val="000000"/>
                <w:sz w:val="18"/>
                <w:szCs w:val="18"/>
                <w:lang w:eastAsia="sv-SE"/>
              </w:rPr>
            </w:pPr>
            <w:r w:rsidRPr="00821EDA">
              <w:rPr>
                <w:rFonts w:cs="Arial"/>
                <w:color w:val="000000"/>
                <w:sz w:val="18"/>
                <w:szCs w:val="18"/>
                <w:lang w:eastAsia="sv-SE"/>
              </w:rPr>
              <w:t xml:space="preserve">Freitag, C. </w:t>
            </w:r>
            <w:r w:rsidR="00821EDA" w:rsidRPr="00821EDA">
              <w:rPr>
                <w:rFonts w:cs="Arial"/>
                <w:color w:val="000000"/>
                <w:sz w:val="18"/>
                <w:szCs w:val="18"/>
                <w:lang w:eastAsia="sv-SE"/>
              </w:rPr>
              <w:t>and</w:t>
            </w:r>
            <w:r w:rsidRPr="00821EDA">
              <w:rPr>
                <w:rFonts w:cs="Arial"/>
                <w:color w:val="000000"/>
                <w:sz w:val="18"/>
                <w:szCs w:val="18"/>
                <w:lang w:eastAsia="sv-SE"/>
              </w:rPr>
              <w:t xml:space="preserve"> Morrell, J. J. </w:t>
            </w:r>
          </w:p>
        </w:tc>
        <w:tc>
          <w:tcPr>
            <w:tcW w:w="1106" w:type="dxa"/>
            <w:shd w:val="clear" w:color="auto" w:fill="auto"/>
            <w:vAlign w:val="center"/>
          </w:tcPr>
          <w:p w14:paraId="1E6864DC" w14:textId="3A1B381C"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2005</w:t>
            </w:r>
          </w:p>
        </w:tc>
        <w:tc>
          <w:tcPr>
            <w:tcW w:w="2823" w:type="dxa"/>
            <w:shd w:val="clear" w:color="auto" w:fill="auto"/>
            <w:vAlign w:val="center"/>
          </w:tcPr>
          <w:p w14:paraId="41445733" w14:textId="77777777"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Development of threshold values for boron</w:t>
            </w:r>
          </w:p>
          <w:p w14:paraId="25F20518" w14:textId="75D20EE0" w:rsidR="00FB086A" w:rsidRPr="00B65D57" w:rsidRDefault="00FB086A" w:rsidP="00FB086A">
            <w:pPr>
              <w:rPr>
                <w:rFonts w:cs="Arial"/>
                <w:sz w:val="18"/>
                <w:szCs w:val="18"/>
              </w:rPr>
            </w:pPr>
            <w:r w:rsidRPr="00B65D57">
              <w:rPr>
                <w:rFonts w:cs="Arial"/>
                <w:color w:val="000000"/>
                <w:sz w:val="18"/>
                <w:szCs w:val="18"/>
                <w:lang w:eastAsia="sv-SE"/>
              </w:rPr>
              <w:t>and fluoride in non-soil contact applications. Forest Prod. J. 55:97-101.</w:t>
            </w:r>
          </w:p>
        </w:tc>
        <w:tc>
          <w:tcPr>
            <w:tcW w:w="1586" w:type="dxa"/>
            <w:vAlign w:val="center"/>
          </w:tcPr>
          <w:p w14:paraId="50BA33E6" w14:textId="77777777" w:rsidR="00FB086A" w:rsidRPr="00B65D57" w:rsidRDefault="00FB086A" w:rsidP="00FB086A">
            <w:pPr>
              <w:rPr>
                <w:rFonts w:cs="Arial"/>
                <w:color w:val="000000"/>
                <w:sz w:val="18"/>
                <w:szCs w:val="18"/>
                <w:lang w:eastAsia="sv-SE"/>
              </w:rPr>
            </w:pPr>
          </w:p>
        </w:tc>
        <w:tc>
          <w:tcPr>
            <w:tcW w:w="906" w:type="dxa"/>
            <w:shd w:val="clear" w:color="auto" w:fill="auto"/>
            <w:vAlign w:val="center"/>
          </w:tcPr>
          <w:p w14:paraId="1265D1A7" w14:textId="77777777" w:rsidR="00FB086A" w:rsidRPr="00B65D57" w:rsidRDefault="00FB086A" w:rsidP="00FB086A">
            <w:pPr>
              <w:rPr>
                <w:rFonts w:cs="Arial"/>
                <w:color w:val="000000"/>
                <w:sz w:val="18"/>
                <w:szCs w:val="18"/>
                <w:lang w:eastAsia="sv-SE"/>
              </w:rPr>
            </w:pPr>
          </w:p>
        </w:tc>
      </w:tr>
      <w:tr w:rsidR="008636D6" w:rsidRPr="00B65D57" w14:paraId="1178F5F8" w14:textId="77777777" w:rsidTr="00DF0198">
        <w:trPr>
          <w:trHeight w:val="770"/>
        </w:trPr>
        <w:tc>
          <w:tcPr>
            <w:tcW w:w="1848" w:type="dxa"/>
            <w:shd w:val="clear" w:color="auto" w:fill="auto"/>
            <w:vAlign w:val="center"/>
          </w:tcPr>
          <w:p w14:paraId="12412341" w14:textId="73C1D44A" w:rsidR="008636D6" w:rsidRPr="00F8054E" w:rsidRDefault="008636D6" w:rsidP="00FB086A">
            <w:pPr>
              <w:rPr>
                <w:rFonts w:cs="Arial"/>
                <w:color w:val="000000"/>
                <w:sz w:val="18"/>
                <w:szCs w:val="18"/>
                <w:lang w:val="sv-SE" w:eastAsia="sv-SE"/>
              </w:rPr>
            </w:pPr>
            <w:r>
              <w:rPr>
                <w:rFonts w:cs="Arial"/>
                <w:color w:val="000000"/>
                <w:sz w:val="18"/>
                <w:szCs w:val="18"/>
                <w:lang w:val="sv-SE" w:eastAsia="sv-SE"/>
              </w:rPr>
              <w:t>Grenberg, U. and Engström, E.</w:t>
            </w:r>
          </w:p>
        </w:tc>
        <w:tc>
          <w:tcPr>
            <w:tcW w:w="1106" w:type="dxa"/>
            <w:shd w:val="clear" w:color="auto" w:fill="auto"/>
            <w:vAlign w:val="center"/>
          </w:tcPr>
          <w:p w14:paraId="67F237D2" w14:textId="099D4D05" w:rsidR="008636D6" w:rsidRPr="00B65D57" w:rsidRDefault="008636D6" w:rsidP="00FB086A">
            <w:pPr>
              <w:rPr>
                <w:rFonts w:cs="Arial"/>
                <w:color w:val="000000"/>
                <w:sz w:val="18"/>
                <w:szCs w:val="18"/>
                <w:lang w:eastAsia="sv-SE"/>
              </w:rPr>
            </w:pPr>
            <w:r>
              <w:rPr>
                <w:rFonts w:cs="Arial"/>
                <w:color w:val="000000"/>
                <w:sz w:val="18"/>
                <w:szCs w:val="18"/>
                <w:lang w:eastAsia="sv-SE"/>
              </w:rPr>
              <w:t>2022</w:t>
            </w:r>
          </w:p>
        </w:tc>
        <w:tc>
          <w:tcPr>
            <w:tcW w:w="2823" w:type="dxa"/>
            <w:shd w:val="clear" w:color="auto" w:fill="auto"/>
            <w:vAlign w:val="center"/>
          </w:tcPr>
          <w:p w14:paraId="76039EF5" w14:textId="77777777" w:rsidR="008636D6" w:rsidRPr="008636D6" w:rsidRDefault="008636D6" w:rsidP="008636D6">
            <w:pPr>
              <w:rPr>
                <w:rFonts w:cs="Arial"/>
                <w:color w:val="000000"/>
                <w:sz w:val="18"/>
                <w:szCs w:val="18"/>
                <w:lang w:eastAsia="sv-SE"/>
              </w:rPr>
            </w:pPr>
            <w:r w:rsidRPr="008636D6">
              <w:rPr>
                <w:rFonts w:cs="Arial"/>
                <w:color w:val="000000"/>
                <w:sz w:val="18"/>
                <w:szCs w:val="18"/>
                <w:lang w:eastAsia="sv-SE"/>
              </w:rPr>
              <w:t>Validation of method B-01 for the quantitative determination</w:t>
            </w:r>
          </w:p>
          <w:p w14:paraId="4A9131F8" w14:textId="109B2A39" w:rsidR="008636D6" w:rsidRDefault="008636D6" w:rsidP="008636D6">
            <w:pPr>
              <w:rPr>
                <w:rFonts w:cs="Arial"/>
                <w:color w:val="000000"/>
                <w:sz w:val="18"/>
                <w:szCs w:val="18"/>
                <w:lang w:eastAsia="sv-SE"/>
              </w:rPr>
            </w:pPr>
            <w:r w:rsidRPr="008636D6">
              <w:rPr>
                <w:rFonts w:cs="Arial"/>
                <w:color w:val="000000"/>
                <w:sz w:val="18"/>
                <w:szCs w:val="18"/>
                <w:lang w:eastAsia="sv-SE"/>
              </w:rPr>
              <w:t>of B and Na in boric acid/borax mixture by ICP-SFMS</w:t>
            </w:r>
          </w:p>
          <w:p w14:paraId="2BAF7791" w14:textId="749CFA48" w:rsidR="008636D6" w:rsidRDefault="008636D6" w:rsidP="008636D6">
            <w:pPr>
              <w:rPr>
                <w:rFonts w:cs="Arial"/>
                <w:color w:val="000000"/>
                <w:sz w:val="18"/>
                <w:szCs w:val="18"/>
                <w:lang w:eastAsia="sv-SE"/>
              </w:rPr>
            </w:pPr>
            <w:r>
              <w:rPr>
                <w:rFonts w:cs="Arial"/>
                <w:color w:val="000000"/>
                <w:sz w:val="18"/>
                <w:szCs w:val="18"/>
                <w:lang w:eastAsia="sv-SE"/>
              </w:rPr>
              <w:t>ALS Scandinavia</w:t>
            </w:r>
          </w:p>
          <w:p w14:paraId="525470DE" w14:textId="21DC043C" w:rsidR="008636D6" w:rsidRPr="00B65D57" w:rsidRDefault="008636D6" w:rsidP="008636D6">
            <w:pPr>
              <w:rPr>
                <w:rFonts w:cs="Arial"/>
                <w:color w:val="000000"/>
                <w:sz w:val="18"/>
                <w:szCs w:val="18"/>
                <w:lang w:eastAsia="sv-SE"/>
              </w:rPr>
            </w:pPr>
            <w:r>
              <w:rPr>
                <w:rFonts w:cs="Arial"/>
                <w:color w:val="000000"/>
                <w:sz w:val="18"/>
                <w:szCs w:val="18"/>
                <w:lang w:eastAsia="sv-SE"/>
              </w:rPr>
              <w:t>Report no. VB01</w:t>
            </w:r>
          </w:p>
        </w:tc>
        <w:tc>
          <w:tcPr>
            <w:tcW w:w="1586" w:type="dxa"/>
            <w:vAlign w:val="center"/>
          </w:tcPr>
          <w:p w14:paraId="0C7ADEFA" w14:textId="091FB8E0" w:rsidR="008636D6" w:rsidRPr="00B65D57" w:rsidRDefault="00DF1D5F" w:rsidP="00FB086A">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60C8C6A1" w14:textId="77777777" w:rsidR="008636D6" w:rsidRPr="00B65D57" w:rsidRDefault="008636D6" w:rsidP="00FB086A">
            <w:pPr>
              <w:rPr>
                <w:rFonts w:cs="Arial"/>
                <w:color w:val="000000"/>
                <w:sz w:val="18"/>
                <w:szCs w:val="18"/>
                <w:lang w:eastAsia="sv-SE"/>
              </w:rPr>
            </w:pPr>
          </w:p>
        </w:tc>
      </w:tr>
      <w:tr w:rsidR="00FB086A" w:rsidRPr="00B65D57" w14:paraId="646A9CE6" w14:textId="77777777" w:rsidTr="00DF0198">
        <w:trPr>
          <w:trHeight w:val="770"/>
        </w:trPr>
        <w:tc>
          <w:tcPr>
            <w:tcW w:w="1848" w:type="dxa"/>
            <w:shd w:val="clear" w:color="auto" w:fill="auto"/>
            <w:vAlign w:val="center"/>
          </w:tcPr>
          <w:p w14:paraId="318A2011" w14:textId="57580F2A" w:rsidR="00FB086A" w:rsidRPr="00F8054E" w:rsidRDefault="00FB086A" w:rsidP="00FB086A">
            <w:pPr>
              <w:rPr>
                <w:rFonts w:cs="Arial"/>
                <w:color w:val="000000"/>
                <w:sz w:val="18"/>
                <w:szCs w:val="18"/>
                <w:lang w:val="sv-SE" w:eastAsia="sv-SE"/>
              </w:rPr>
            </w:pPr>
            <w:r w:rsidRPr="00F8054E">
              <w:rPr>
                <w:rFonts w:cs="Arial"/>
                <w:color w:val="000000"/>
                <w:sz w:val="18"/>
                <w:szCs w:val="18"/>
                <w:lang w:val="sv-SE" w:eastAsia="sv-SE"/>
              </w:rPr>
              <w:t>Henningsson, B.</w:t>
            </w:r>
            <w:r w:rsidR="00A74BE4" w:rsidRPr="00F8054E">
              <w:rPr>
                <w:rFonts w:cs="Arial"/>
                <w:color w:val="000000"/>
                <w:sz w:val="18"/>
                <w:szCs w:val="18"/>
                <w:lang w:val="sv-SE" w:eastAsia="sv-SE"/>
              </w:rPr>
              <w:t xml:space="preserve">, Friis-Hansen, H., Käärik, A. </w:t>
            </w:r>
            <w:r w:rsidR="00821EDA">
              <w:rPr>
                <w:rFonts w:cs="Arial"/>
                <w:color w:val="000000"/>
                <w:sz w:val="18"/>
                <w:szCs w:val="18"/>
                <w:lang w:val="sv-SE" w:eastAsia="sv-SE"/>
              </w:rPr>
              <w:t>and</w:t>
            </w:r>
            <w:r w:rsidR="00A74BE4" w:rsidRPr="00F8054E">
              <w:rPr>
                <w:rFonts w:cs="Arial"/>
                <w:color w:val="000000"/>
                <w:sz w:val="18"/>
                <w:szCs w:val="18"/>
                <w:lang w:val="sv-SE" w:eastAsia="sv-SE"/>
              </w:rPr>
              <w:t xml:space="preserve"> Edlund, M.-L.</w:t>
            </w:r>
          </w:p>
        </w:tc>
        <w:tc>
          <w:tcPr>
            <w:tcW w:w="1106" w:type="dxa"/>
            <w:shd w:val="clear" w:color="auto" w:fill="auto"/>
            <w:vAlign w:val="center"/>
          </w:tcPr>
          <w:p w14:paraId="1AFCFB74" w14:textId="6924F522" w:rsidR="00FB086A" w:rsidRPr="00B65D57" w:rsidRDefault="00FB086A" w:rsidP="00FB086A">
            <w:pPr>
              <w:rPr>
                <w:rFonts w:cs="Arial"/>
                <w:color w:val="000000"/>
                <w:sz w:val="18"/>
                <w:szCs w:val="18"/>
                <w:lang w:eastAsia="sv-SE"/>
              </w:rPr>
            </w:pPr>
            <w:r w:rsidRPr="00B65D57">
              <w:rPr>
                <w:rFonts w:cs="Arial"/>
                <w:color w:val="000000"/>
                <w:sz w:val="18"/>
                <w:szCs w:val="18"/>
                <w:lang w:eastAsia="sv-SE"/>
              </w:rPr>
              <w:t>1988</w:t>
            </w:r>
          </w:p>
        </w:tc>
        <w:tc>
          <w:tcPr>
            <w:tcW w:w="2823" w:type="dxa"/>
            <w:shd w:val="clear" w:color="auto" w:fill="auto"/>
            <w:vAlign w:val="center"/>
          </w:tcPr>
          <w:p w14:paraId="2822E76F" w14:textId="49DD0DCA" w:rsidR="00FB086A" w:rsidRPr="00B65D57" w:rsidRDefault="00FB086A" w:rsidP="00FB086A">
            <w:pPr>
              <w:rPr>
                <w:rFonts w:cs="Arial"/>
                <w:sz w:val="18"/>
                <w:szCs w:val="18"/>
              </w:rPr>
            </w:pPr>
            <w:r w:rsidRPr="00B65D57">
              <w:rPr>
                <w:rFonts w:cs="Arial"/>
                <w:color w:val="000000"/>
                <w:sz w:val="18"/>
                <w:szCs w:val="18"/>
                <w:lang w:eastAsia="sv-SE"/>
              </w:rPr>
              <w:t>Remedial ground-line treatment of CCA poles in service. A progress report after 28 months’ testing. Document No: IRG/WP/3481.</w:t>
            </w:r>
          </w:p>
        </w:tc>
        <w:tc>
          <w:tcPr>
            <w:tcW w:w="1586" w:type="dxa"/>
            <w:vAlign w:val="center"/>
          </w:tcPr>
          <w:p w14:paraId="5E154D16" w14:textId="6DD16F85" w:rsidR="00FB086A" w:rsidRPr="00B65D57" w:rsidRDefault="00FB086A" w:rsidP="00FB086A">
            <w:pPr>
              <w:rPr>
                <w:rFonts w:cs="Arial"/>
                <w:color w:val="000000"/>
                <w:sz w:val="18"/>
                <w:szCs w:val="18"/>
                <w:lang w:eastAsia="sv-SE"/>
              </w:rPr>
            </w:pPr>
          </w:p>
        </w:tc>
        <w:tc>
          <w:tcPr>
            <w:tcW w:w="906" w:type="dxa"/>
            <w:shd w:val="clear" w:color="auto" w:fill="auto"/>
            <w:vAlign w:val="center"/>
          </w:tcPr>
          <w:p w14:paraId="723B34EF" w14:textId="5D5054C8" w:rsidR="00FB086A" w:rsidRPr="00B65D57" w:rsidRDefault="00FB086A" w:rsidP="00FB086A">
            <w:pPr>
              <w:rPr>
                <w:rFonts w:cs="Arial"/>
                <w:color w:val="000000"/>
                <w:sz w:val="18"/>
                <w:szCs w:val="18"/>
                <w:lang w:eastAsia="sv-SE"/>
              </w:rPr>
            </w:pPr>
          </w:p>
        </w:tc>
      </w:tr>
      <w:tr w:rsidR="00C20371" w:rsidRPr="00FE19C9" w14:paraId="24497C23" w14:textId="77777777" w:rsidTr="00DF0198">
        <w:trPr>
          <w:trHeight w:val="770"/>
        </w:trPr>
        <w:tc>
          <w:tcPr>
            <w:tcW w:w="1848" w:type="dxa"/>
            <w:shd w:val="clear" w:color="auto" w:fill="auto"/>
            <w:vAlign w:val="center"/>
          </w:tcPr>
          <w:p w14:paraId="50169342" w14:textId="01879EAC"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IVL</w:t>
            </w:r>
          </w:p>
        </w:tc>
        <w:tc>
          <w:tcPr>
            <w:tcW w:w="1106" w:type="dxa"/>
            <w:shd w:val="clear" w:color="auto" w:fill="auto"/>
            <w:vAlign w:val="center"/>
          </w:tcPr>
          <w:p w14:paraId="0D1C1D40" w14:textId="4ADED911"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2012</w:t>
            </w:r>
          </w:p>
        </w:tc>
        <w:tc>
          <w:tcPr>
            <w:tcW w:w="2823" w:type="dxa"/>
            <w:shd w:val="clear" w:color="auto" w:fill="auto"/>
            <w:vAlign w:val="center"/>
          </w:tcPr>
          <w:p w14:paraId="623A3DF0" w14:textId="77777777" w:rsidR="00C20371" w:rsidRPr="00F8054E" w:rsidRDefault="00C20371" w:rsidP="00C20371">
            <w:pPr>
              <w:rPr>
                <w:rFonts w:cs="Arial"/>
                <w:color w:val="000000"/>
                <w:sz w:val="18"/>
                <w:szCs w:val="18"/>
                <w:lang w:val="sv-SE" w:eastAsia="sv-SE"/>
              </w:rPr>
            </w:pPr>
            <w:r w:rsidRPr="00F8054E">
              <w:rPr>
                <w:rFonts w:cs="Arial"/>
                <w:color w:val="000000"/>
                <w:sz w:val="18"/>
                <w:szCs w:val="18"/>
                <w:lang w:val="sv-SE" w:eastAsia="sv-SE"/>
              </w:rPr>
              <w:t>”Effektiva åtgärder mot damm på byggarbetsplatser”, Christinasson B, Östlund G, Alvarez E, Antonsson A-B, IVL Rapport B 2057, pp 1-99.</w:t>
            </w:r>
          </w:p>
          <w:p w14:paraId="0A9AE4AA" w14:textId="77777777" w:rsidR="00C20371" w:rsidRPr="00F8054E" w:rsidRDefault="00C20371" w:rsidP="00C20371">
            <w:pPr>
              <w:rPr>
                <w:rFonts w:cs="Arial"/>
                <w:color w:val="000000"/>
                <w:sz w:val="18"/>
                <w:szCs w:val="18"/>
                <w:lang w:val="sv-SE" w:eastAsia="sv-SE"/>
              </w:rPr>
            </w:pPr>
          </w:p>
        </w:tc>
        <w:tc>
          <w:tcPr>
            <w:tcW w:w="1586" w:type="dxa"/>
            <w:vAlign w:val="center"/>
          </w:tcPr>
          <w:p w14:paraId="7342FB03" w14:textId="77777777" w:rsidR="00C20371" w:rsidRPr="00F8054E" w:rsidRDefault="00C20371" w:rsidP="00C20371">
            <w:pPr>
              <w:rPr>
                <w:rFonts w:cs="Arial"/>
                <w:color w:val="000000"/>
                <w:sz w:val="18"/>
                <w:szCs w:val="18"/>
                <w:lang w:val="sv-SE" w:eastAsia="sv-SE"/>
              </w:rPr>
            </w:pPr>
          </w:p>
        </w:tc>
        <w:tc>
          <w:tcPr>
            <w:tcW w:w="906" w:type="dxa"/>
            <w:shd w:val="clear" w:color="auto" w:fill="auto"/>
            <w:vAlign w:val="center"/>
          </w:tcPr>
          <w:p w14:paraId="6BA49733" w14:textId="77777777" w:rsidR="00C20371" w:rsidRPr="00F8054E" w:rsidRDefault="00C20371" w:rsidP="00C20371">
            <w:pPr>
              <w:rPr>
                <w:rFonts w:cs="Arial"/>
                <w:color w:val="000000"/>
                <w:sz w:val="18"/>
                <w:szCs w:val="18"/>
                <w:lang w:val="sv-SE" w:eastAsia="sv-SE"/>
              </w:rPr>
            </w:pPr>
          </w:p>
        </w:tc>
      </w:tr>
      <w:tr w:rsidR="00C20371" w:rsidRPr="00B65D57" w14:paraId="4B15EA2D" w14:textId="77777777" w:rsidTr="00DF0198">
        <w:trPr>
          <w:trHeight w:val="770"/>
        </w:trPr>
        <w:tc>
          <w:tcPr>
            <w:tcW w:w="1848" w:type="dxa"/>
            <w:shd w:val="clear" w:color="auto" w:fill="auto"/>
            <w:vAlign w:val="center"/>
          </w:tcPr>
          <w:p w14:paraId="2790082C" w14:textId="6F67008B"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Jerbor</w:t>
            </w:r>
          </w:p>
        </w:tc>
        <w:tc>
          <w:tcPr>
            <w:tcW w:w="1106" w:type="dxa"/>
            <w:shd w:val="clear" w:color="auto" w:fill="auto"/>
            <w:vAlign w:val="center"/>
          </w:tcPr>
          <w:p w14:paraId="5B9653FA" w14:textId="5D8CC4F6"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2004</w:t>
            </w:r>
          </w:p>
        </w:tc>
        <w:tc>
          <w:tcPr>
            <w:tcW w:w="2823" w:type="dxa"/>
            <w:shd w:val="clear" w:color="auto" w:fill="auto"/>
            <w:vAlign w:val="center"/>
          </w:tcPr>
          <w:p w14:paraId="31208F6A" w14:textId="0F04B8EE" w:rsidR="00C20371" w:rsidRPr="00B65D57" w:rsidRDefault="00C20371" w:rsidP="00C20371">
            <w:pPr>
              <w:rPr>
                <w:rFonts w:cs="Arial"/>
                <w:color w:val="000000"/>
                <w:sz w:val="18"/>
                <w:szCs w:val="18"/>
                <w:lang w:eastAsia="sv-SE"/>
              </w:rPr>
            </w:pPr>
            <w:r w:rsidRPr="00F8054E">
              <w:rPr>
                <w:rFonts w:cs="Arial"/>
                <w:color w:val="000000"/>
                <w:sz w:val="18"/>
                <w:szCs w:val="18"/>
                <w:lang w:val="sv-SE" w:eastAsia="sv-SE"/>
              </w:rPr>
              <w:t xml:space="preserve">Avd 3.2 Diagnos av röta/ tänedbrytande svamp. </w:t>
            </w:r>
            <w:r w:rsidRPr="00B65D57">
              <w:rPr>
                <w:rFonts w:cs="Arial"/>
                <w:color w:val="000000"/>
                <w:sz w:val="18"/>
                <w:szCs w:val="18"/>
                <w:lang w:eastAsia="sv-SE"/>
              </w:rPr>
              <w:t>Rapport Jerbol AB.</w:t>
            </w:r>
            <w:r w:rsidR="00EF5E1D">
              <w:rPr>
                <w:rFonts w:cs="Arial"/>
                <w:color w:val="000000"/>
                <w:sz w:val="18"/>
                <w:szCs w:val="18"/>
                <w:lang w:eastAsia="sv-SE"/>
              </w:rPr>
              <w:t xml:space="preserve"> </w:t>
            </w:r>
            <w:r w:rsidR="00EF5E1D">
              <w:rPr>
                <w:rStyle w:val="cf01"/>
              </w:rPr>
              <w:t>Not GLP / Unpublished</w:t>
            </w:r>
          </w:p>
        </w:tc>
        <w:tc>
          <w:tcPr>
            <w:tcW w:w="1586" w:type="dxa"/>
            <w:vAlign w:val="center"/>
          </w:tcPr>
          <w:p w14:paraId="492A9712" w14:textId="75B82A80" w:rsidR="00C20371" w:rsidRPr="00B65D57" w:rsidRDefault="00641894" w:rsidP="00C20371">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01F264E9" w14:textId="77777777" w:rsidR="00C20371" w:rsidRPr="00B65D57" w:rsidRDefault="00C20371" w:rsidP="00C20371">
            <w:pPr>
              <w:rPr>
                <w:rFonts w:cs="Arial"/>
                <w:color w:val="000000"/>
                <w:sz w:val="18"/>
                <w:szCs w:val="18"/>
                <w:lang w:eastAsia="sv-SE"/>
              </w:rPr>
            </w:pPr>
          </w:p>
        </w:tc>
      </w:tr>
      <w:tr w:rsidR="00C20371" w:rsidRPr="00B65D57" w14:paraId="1B40B90B" w14:textId="77777777" w:rsidTr="00DF0198">
        <w:trPr>
          <w:trHeight w:val="770"/>
        </w:trPr>
        <w:tc>
          <w:tcPr>
            <w:tcW w:w="1848" w:type="dxa"/>
            <w:shd w:val="clear" w:color="auto" w:fill="auto"/>
            <w:vAlign w:val="center"/>
          </w:tcPr>
          <w:p w14:paraId="70685A30" w14:textId="6F26586B"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 xml:space="preserve">Joodaki, S. </w:t>
            </w:r>
            <w:r w:rsidR="00821EDA">
              <w:rPr>
                <w:rFonts w:cs="Arial"/>
                <w:color w:val="000000"/>
                <w:sz w:val="18"/>
                <w:szCs w:val="18"/>
                <w:lang w:eastAsia="sv-SE"/>
              </w:rPr>
              <w:t>and</w:t>
            </w:r>
            <w:r w:rsidRPr="00B65D57">
              <w:rPr>
                <w:rFonts w:cs="Arial"/>
                <w:color w:val="000000"/>
                <w:sz w:val="18"/>
                <w:szCs w:val="18"/>
                <w:lang w:eastAsia="sv-SE"/>
              </w:rPr>
              <w:t xml:space="preserve"> Vickman, A.</w:t>
            </w:r>
          </w:p>
        </w:tc>
        <w:tc>
          <w:tcPr>
            <w:tcW w:w="1106" w:type="dxa"/>
            <w:shd w:val="clear" w:color="auto" w:fill="auto"/>
            <w:vAlign w:val="center"/>
          </w:tcPr>
          <w:p w14:paraId="6E58E24A" w14:textId="1D4EDA69"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2020</w:t>
            </w:r>
          </w:p>
        </w:tc>
        <w:tc>
          <w:tcPr>
            <w:tcW w:w="2823" w:type="dxa"/>
            <w:shd w:val="clear" w:color="auto" w:fill="auto"/>
            <w:vAlign w:val="center"/>
          </w:tcPr>
          <w:p w14:paraId="62EE1EA7" w14:textId="39DE7301" w:rsidR="00C20371" w:rsidRPr="00B65D57" w:rsidRDefault="00C20371" w:rsidP="00C20371">
            <w:pPr>
              <w:rPr>
                <w:rFonts w:cs="Arial"/>
                <w:color w:val="000000"/>
                <w:sz w:val="18"/>
                <w:szCs w:val="18"/>
                <w:lang w:eastAsia="sv-SE"/>
              </w:rPr>
            </w:pPr>
            <w:r w:rsidRPr="00F8054E">
              <w:rPr>
                <w:rFonts w:cs="Arial"/>
                <w:color w:val="000000"/>
                <w:sz w:val="18"/>
                <w:szCs w:val="18"/>
                <w:lang w:val="sv-SE" w:eastAsia="sv-SE"/>
              </w:rPr>
              <w:t xml:space="preserve">Haltberäkning – Användning av Jerbor enligt Eurobormetoden. </w:t>
            </w:r>
            <w:r w:rsidRPr="00B65D57">
              <w:rPr>
                <w:rFonts w:cs="Arial"/>
                <w:color w:val="000000"/>
                <w:sz w:val="18"/>
                <w:szCs w:val="18"/>
                <w:lang w:eastAsia="sv-SE"/>
              </w:rPr>
              <w:t>Rapport WSP.</w:t>
            </w:r>
            <w:r w:rsidR="00EF5E1D">
              <w:rPr>
                <w:rFonts w:cs="Arial"/>
                <w:color w:val="000000"/>
                <w:sz w:val="18"/>
                <w:szCs w:val="18"/>
                <w:lang w:eastAsia="sv-SE"/>
              </w:rPr>
              <w:t xml:space="preserve"> </w:t>
            </w:r>
            <w:r w:rsidR="00EF5E1D">
              <w:rPr>
                <w:rStyle w:val="cf01"/>
              </w:rPr>
              <w:t>Not GLP / Unpublished</w:t>
            </w:r>
          </w:p>
        </w:tc>
        <w:tc>
          <w:tcPr>
            <w:tcW w:w="1586" w:type="dxa"/>
            <w:vAlign w:val="center"/>
          </w:tcPr>
          <w:p w14:paraId="641ACA8D" w14:textId="354356C7" w:rsidR="00C20371" w:rsidRPr="00B65D57" w:rsidRDefault="00641894" w:rsidP="00C20371">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72D973E9" w14:textId="77777777" w:rsidR="00C20371" w:rsidRPr="00B65D57" w:rsidRDefault="00C20371" w:rsidP="00C20371">
            <w:pPr>
              <w:rPr>
                <w:rFonts w:cs="Arial"/>
                <w:color w:val="000000"/>
                <w:sz w:val="18"/>
                <w:szCs w:val="18"/>
                <w:lang w:eastAsia="sv-SE"/>
              </w:rPr>
            </w:pPr>
          </w:p>
        </w:tc>
      </w:tr>
      <w:tr w:rsidR="00C20371" w:rsidRPr="00B65D57" w14:paraId="12BAC70E" w14:textId="77777777" w:rsidTr="00DF0198">
        <w:trPr>
          <w:trHeight w:val="770"/>
        </w:trPr>
        <w:tc>
          <w:tcPr>
            <w:tcW w:w="1848" w:type="dxa"/>
            <w:shd w:val="clear" w:color="auto" w:fill="auto"/>
            <w:vAlign w:val="center"/>
          </w:tcPr>
          <w:p w14:paraId="5BBC576C" w14:textId="402236A2" w:rsidR="00C20371" w:rsidRPr="00F8054E" w:rsidRDefault="00C20371" w:rsidP="00C20371">
            <w:pPr>
              <w:rPr>
                <w:rFonts w:cs="Arial"/>
                <w:color w:val="000000"/>
                <w:sz w:val="18"/>
                <w:szCs w:val="18"/>
                <w:lang w:val="sv-SE" w:eastAsia="sv-SE"/>
              </w:rPr>
            </w:pPr>
            <w:r w:rsidRPr="00F8054E">
              <w:rPr>
                <w:rFonts w:cs="Arial"/>
                <w:color w:val="000000"/>
                <w:sz w:val="18"/>
                <w:szCs w:val="18"/>
                <w:lang w:val="sv-SE" w:eastAsia="sv-SE"/>
              </w:rPr>
              <w:t>Klaassen, R. K. W. M.</w:t>
            </w:r>
          </w:p>
        </w:tc>
        <w:tc>
          <w:tcPr>
            <w:tcW w:w="1106" w:type="dxa"/>
            <w:shd w:val="clear" w:color="auto" w:fill="auto"/>
            <w:vAlign w:val="center"/>
          </w:tcPr>
          <w:p w14:paraId="6372AABD" w14:textId="7B96B34C"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2008</w:t>
            </w:r>
          </w:p>
        </w:tc>
        <w:tc>
          <w:tcPr>
            <w:tcW w:w="2823" w:type="dxa"/>
            <w:shd w:val="clear" w:color="auto" w:fill="auto"/>
            <w:vAlign w:val="center"/>
          </w:tcPr>
          <w:p w14:paraId="5F6971A1" w14:textId="77777777" w:rsidR="00C20371" w:rsidRPr="00B65D57" w:rsidRDefault="00C20371" w:rsidP="00C20371">
            <w:pPr>
              <w:autoSpaceDE w:val="0"/>
              <w:autoSpaceDN w:val="0"/>
              <w:adjustRightInd w:val="0"/>
              <w:rPr>
                <w:rFonts w:cs="AdvTimes"/>
                <w:sz w:val="18"/>
                <w:szCs w:val="18"/>
                <w:lang w:eastAsia="sv-SE"/>
              </w:rPr>
            </w:pPr>
            <w:r w:rsidRPr="00B65D57">
              <w:rPr>
                <w:rFonts w:cs="AdvTimes"/>
                <w:sz w:val="18"/>
                <w:szCs w:val="18"/>
                <w:lang w:eastAsia="sv-SE"/>
              </w:rPr>
              <w:t>Bacterial decay in wooden foundation piles—Patterns and causes:</w:t>
            </w:r>
          </w:p>
          <w:p w14:paraId="410D1310" w14:textId="6B39139D" w:rsidR="00C20371" w:rsidRPr="00B65D57" w:rsidRDefault="00C20371" w:rsidP="00C20371">
            <w:pPr>
              <w:rPr>
                <w:rFonts w:cs="Arial"/>
                <w:color w:val="000000"/>
                <w:sz w:val="18"/>
                <w:szCs w:val="18"/>
                <w:lang w:eastAsia="sv-SE"/>
              </w:rPr>
            </w:pPr>
            <w:r w:rsidRPr="00B65D57">
              <w:rPr>
                <w:rFonts w:cs="AdvTimes"/>
                <w:sz w:val="18"/>
                <w:szCs w:val="18"/>
                <w:lang w:eastAsia="sv-SE"/>
              </w:rPr>
              <w:t xml:space="preserve">A study of historical pile foundations in the Netherlands. </w:t>
            </w:r>
            <w:r w:rsidRPr="00B65D57">
              <w:t xml:space="preserve"> </w:t>
            </w:r>
            <w:r w:rsidRPr="00B65D57">
              <w:rPr>
                <w:rFonts w:cs="AdvTimes"/>
                <w:sz w:val="18"/>
                <w:szCs w:val="18"/>
                <w:lang w:eastAsia="sv-SE"/>
              </w:rPr>
              <w:t>Int. Biodeterior. Biodegradation. 61:45-60.</w:t>
            </w:r>
          </w:p>
        </w:tc>
        <w:tc>
          <w:tcPr>
            <w:tcW w:w="1586" w:type="dxa"/>
            <w:vAlign w:val="center"/>
          </w:tcPr>
          <w:p w14:paraId="2DA13710"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1CCA2A05" w14:textId="77777777" w:rsidR="00C20371" w:rsidRPr="00B65D57" w:rsidRDefault="00C20371" w:rsidP="00C20371">
            <w:pPr>
              <w:rPr>
                <w:rFonts w:cs="Arial"/>
                <w:color w:val="000000"/>
                <w:sz w:val="18"/>
                <w:szCs w:val="18"/>
                <w:lang w:eastAsia="sv-SE"/>
              </w:rPr>
            </w:pPr>
          </w:p>
        </w:tc>
      </w:tr>
      <w:tr w:rsidR="00C20371" w:rsidRPr="00B65D57" w14:paraId="1E31743D" w14:textId="77777777" w:rsidTr="00DF0198">
        <w:trPr>
          <w:trHeight w:val="770"/>
        </w:trPr>
        <w:tc>
          <w:tcPr>
            <w:tcW w:w="1848" w:type="dxa"/>
            <w:shd w:val="clear" w:color="auto" w:fill="auto"/>
            <w:vAlign w:val="center"/>
          </w:tcPr>
          <w:p w14:paraId="1F139A2C" w14:textId="7B209328" w:rsidR="00C20371" w:rsidRPr="00325E28" w:rsidRDefault="00F8054E" w:rsidP="00C20371">
            <w:pPr>
              <w:rPr>
                <w:rFonts w:cs="Arial"/>
                <w:color w:val="000000"/>
                <w:sz w:val="18"/>
                <w:szCs w:val="18"/>
                <w:lang w:val="fi-FI" w:eastAsia="sv-SE"/>
              </w:rPr>
            </w:pPr>
            <w:r w:rsidRPr="00325E28">
              <w:rPr>
                <w:rFonts w:cs="Arial"/>
                <w:color w:val="000000"/>
                <w:sz w:val="18"/>
                <w:szCs w:val="18"/>
                <w:lang w:val="fi-FI" w:eastAsia="sv-SE"/>
              </w:rPr>
              <w:lastRenderedPageBreak/>
              <w:t xml:space="preserve">Kochkodan, V., Hilal, N. </w:t>
            </w:r>
            <w:r w:rsidR="00821EDA">
              <w:rPr>
                <w:rFonts w:cs="Arial"/>
                <w:color w:val="000000"/>
                <w:sz w:val="18"/>
                <w:szCs w:val="18"/>
                <w:lang w:val="fi-FI" w:eastAsia="sv-SE"/>
              </w:rPr>
              <w:t>and</w:t>
            </w:r>
            <w:r w:rsidRPr="00325E28">
              <w:rPr>
                <w:rFonts w:cs="Arial"/>
                <w:color w:val="000000"/>
                <w:sz w:val="18"/>
                <w:szCs w:val="18"/>
                <w:lang w:val="fi-FI" w:eastAsia="sv-SE"/>
              </w:rPr>
              <w:t xml:space="preserve"> Bin, N. </w:t>
            </w:r>
          </w:p>
        </w:tc>
        <w:tc>
          <w:tcPr>
            <w:tcW w:w="1106" w:type="dxa"/>
            <w:shd w:val="clear" w:color="auto" w:fill="auto"/>
            <w:vAlign w:val="center"/>
          </w:tcPr>
          <w:p w14:paraId="4E0E4088" w14:textId="60CC280B"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2015</w:t>
            </w:r>
          </w:p>
        </w:tc>
        <w:tc>
          <w:tcPr>
            <w:tcW w:w="2823" w:type="dxa"/>
            <w:shd w:val="clear" w:color="auto" w:fill="auto"/>
            <w:vAlign w:val="center"/>
          </w:tcPr>
          <w:p w14:paraId="13CE843D" w14:textId="019C916C"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The Chemistry of Boron in Water.</w:t>
            </w:r>
            <w:r w:rsidR="00F8054E">
              <w:rPr>
                <w:rFonts w:cs="Arial"/>
                <w:color w:val="000000"/>
                <w:sz w:val="18"/>
                <w:szCs w:val="18"/>
                <w:lang w:eastAsia="sv-SE"/>
              </w:rPr>
              <w:t xml:space="preserve"> </w:t>
            </w:r>
            <w:r w:rsidR="00F8054E" w:rsidRPr="00F8054E">
              <w:rPr>
                <w:rFonts w:cs="Arial"/>
                <w:color w:val="000000"/>
                <w:sz w:val="18"/>
                <w:szCs w:val="18"/>
                <w:lang w:eastAsia="sv-SE"/>
              </w:rPr>
              <w:t>Boron Separation Processes (ss. 35-63). Elsevier</w:t>
            </w:r>
          </w:p>
        </w:tc>
        <w:tc>
          <w:tcPr>
            <w:tcW w:w="1586" w:type="dxa"/>
            <w:vAlign w:val="center"/>
          </w:tcPr>
          <w:p w14:paraId="74B3E209"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33F37738" w14:textId="77777777" w:rsidR="00C20371" w:rsidRPr="00B65D57" w:rsidRDefault="00C20371" w:rsidP="00C20371">
            <w:pPr>
              <w:rPr>
                <w:rFonts w:cs="Arial"/>
                <w:color w:val="000000"/>
                <w:sz w:val="18"/>
                <w:szCs w:val="18"/>
                <w:lang w:eastAsia="sv-SE"/>
              </w:rPr>
            </w:pPr>
          </w:p>
        </w:tc>
      </w:tr>
      <w:tr w:rsidR="00C20371" w:rsidRPr="00B65D57" w14:paraId="32326D75" w14:textId="77777777" w:rsidTr="00DF0198">
        <w:trPr>
          <w:trHeight w:val="770"/>
        </w:trPr>
        <w:tc>
          <w:tcPr>
            <w:tcW w:w="1848" w:type="dxa"/>
            <w:shd w:val="clear" w:color="auto" w:fill="auto"/>
            <w:vAlign w:val="center"/>
          </w:tcPr>
          <w:p w14:paraId="1B2A6091" w14:textId="03B80081"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Kresic, N.</w:t>
            </w:r>
          </w:p>
        </w:tc>
        <w:tc>
          <w:tcPr>
            <w:tcW w:w="1106" w:type="dxa"/>
            <w:shd w:val="clear" w:color="auto" w:fill="auto"/>
            <w:vAlign w:val="center"/>
          </w:tcPr>
          <w:p w14:paraId="43C766E1" w14:textId="44F7F768"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2007</w:t>
            </w:r>
          </w:p>
        </w:tc>
        <w:tc>
          <w:tcPr>
            <w:tcW w:w="2823" w:type="dxa"/>
            <w:shd w:val="clear" w:color="auto" w:fill="auto"/>
            <w:vAlign w:val="center"/>
          </w:tcPr>
          <w:p w14:paraId="53C29529" w14:textId="77DB2080"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Hydrogeology and Groundwater Modelling. 2nd Ed. CRC Press, Boca Raton.</w:t>
            </w:r>
          </w:p>
        </w:tc>
        <w:tc>
          <w:tcPr>
            <w:tcW w:w="1586" w:type="dxa"/>
            <w:vAlign w:val="center"/>
          </w:tcPr>
          <w:p w14:paraId="6AE13469"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5CA49D46" w14:textId="77777777" w:rsidR="00C20371" w:rsidRPr="00B65D57" w:rsidRDefault="00C20371" w:rsidP="00C20371">
            <w:pPr>
              <w:rPr>
                <w:rFonts w:cs="Arial"/>
                <w:color w:val="000000"/>
                <w:sz w:val="18"/>
                <w:szCs w:val="18"/>
                <w:lang w:eastAsia="sv-SE"/>
              </w:rPr>
            </w:pPr>
          </w:p>
        </w:tc>
      </w:tr>
      <w:tr w:rsidR="00C20371" w:rsidRPr="006630EB" w14:paraId="4063B0BF" w14:textId="77777777" w:rsidTr="00DF0198">
        <w:trPr>
          <w:trHeight w:val="770"/>
        </w:trPr>
        <w:tc>
          <w:tcPr>
            <w:tcW w:w="1848" w:type="dxa"/>
            <w:shd w:val="clear" w:color="auto" w:fill="auto"/>
            <w:vAlign w:val="center"/>
          </w:tcPr>
          <w:p w14:paraId="2CAA8934" w14:textId="41D7AB78"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Larsson, R.</w:t>
            </w:r>
          </w:p>
        </w:tc>
        <w:tc>
          <w:tcPr>
            <w:tcW w:w="1106" w:type="dxa"/>
            <w:shd w:val="clear" w:color="auto" w:fill="auto"/>
            <w:vAlign w:val="center"/>
          </w:tcPr>
          <w:p w14:paraId="255E6B3B" w14:textId="09D9E52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2008</w:t>
            </w:r>
          </w:p>
        </w:tc>
        <w:tc>
          <w:tcPr>
            <w:tcW w:w="2823" w:type="dxa"/>
            <w:shd w:val="clear" w:color="auto" w:fill="auto"/>
            <w:vAlign w:val="center"/>
          </w:tcPr>
          <w:p w14:paraId="32447A05" w14:textId="0738B262" w:rsidR="00C20371" w:rsidRPr="00F8054E" w:rsidRDefault="00C20371" w:rsidP="00C20371">
            <w:pPr>
              <w:rPr>
                <w:rFonts w:cs="Arial"/>
                <w:color w:val="000000"/>
                <w:sz w:val="18"/>
                <w:szCs w:val="18"/>
                <w:lang w:val="sv-SE" w:eastAsia="sv-SE"/>
              </w:rPr>
            </w:pPr>
            <w:r w:rsidRPr="00F8054E">
              <w:rPr>
                <w:rFonts w:cs="Arial"/>
                <w:color w:val="000000"/>
                <w:sz w:val="18"/>
                <w:szCs w:val="18"/>
                <w:lang w:val="sv-SE" w:eastAsia="sv-SE"/>
              </w:rPr>
              <w:t>Jords egenskaper, 5:e utgåvan, SGI (Statens Geotekniska Institut).</w:t>
            </w:r>
          </w:p>
        </w:tc>
        <w:tc>
          <w:tcPr>
            <w:tcW w:w="1586" w:type="dxa"/>
            <w:vAlign w:val="center"/>
          </w:tcPr>
          <w:p w14:paraId="0809E584" w14:textId="77777777" w:rsidR="00C20371" w:rsidRPr="00F8054E" w:rsidRDefault="00C20371" w:rsidP="00C20371">
            <w:pPr>
              <w:rPr>
                <w:rFonts w:cs="Arial"/>
                <w:color w:val="000000"/>
                <w:sz w:val="18"/>
                <w:szCs w:val="18"/>
                <w:lang w:val="sv-SE" w:eastAsia="sv-SE"/>
              </w:rPr>
            </w:pPr>
          </w:p>
        </w:tc>
        <w:tc>
          <w:tcPr>
            <w:tcW w:w="906" w:type="dxa"/>
            <w:shd w:val="clear" w:color="auto" w:fill="auto"/>
            <w:vAlign w:val="center"/>
          </w:tcPr>
          <w:p w14:paraId="7EB6A84E" w14:textId="77777777" w:rsidR="00C20371" w:rsidRPr="00F8054E" w:rsidRDefault="00C20371" w:rsidP="00C20371">
            <w:pPr>
              <w:rPr>
                <w:rFonts w:cs="Arial"/>
                <w:color w:val="000000"/>
                <w:sz w:val="18"/>
                <w:szCs w:val="18"/>
                <w:lang w:val="sv-SE" w:eastAsia="sv-SE"/>
              </w:rPr>
            </w:pPr>
          </w:p>
        </w:tc>
      </w:tr>
      <w:tr w:rsidR="00C20371" w:rsidRPr="00B65D57" w14:paraId="7A56C004" w14:textId="77777777" w:rsidTr="00DF0198">
        <w:trPr>
          <w:trHeight w:val="770"/>
        </w:trPr>
        <w:tc>
          <w:tcPr>
            <w:tcW w:w="1848" w:type="dxa"/>
            <w:shd w:val="clear" w:color="auto" w:fill="auto"/>
            <w:vAlign w:val="center"/>
          </w:tcPr>
          <w:p w14:paraId="30A3BF25" w14:textId="25200955"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Lehringer, C.</w:t>
            </w:r>
          </w:p>
        </w:tc>
        <w:tc>
          <w:tcPr>
            <w:tcW w:w="1106" w:type="dxa"/>
            <w:shd w:val="clear" w:color="auto" w:fill="auto"/>
            <w:vAlign w:val="center"/>
          </w:tcPr>
          <w:p w14:paraId="14E8AECF" w14:textId="5912D06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2011</w:t>
            </w:r>
          </w:p>
        </w:tc>
        <w:tc>
          <w:tcPr>
            <w:tcW w:w="2823" w:type="dxa"/>
            <w:shd w:val="clear" w:color="auto" w:fill="auto"/>
            <w:vAlign w:val="center"/>
          </w:tcPr>
          <w:p w14:paraId="3D86EFCD" w14:textId="41D1E70B"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 xml:space="preserve">Permeability improved of Norway spruce wood with the white rot fungus </w:t>
            </w:r>
            <w:r w:rsidRPr="00B65D57">
              <w:rPr>
                <w:rFonts w:cs="Arial"/>
                <w:i/>
                <w:iCs/>
                <w:color w:val="000000"/>
                <w:sz w:val="18"/>
                <w:szCs w:val="18"/>
                <w:lang w:eastAsia="sv-SE"/>
              </w:rPr>
              <w:t>Physisporinus</w:t>
            </w:r>
            <w:r w:rsidRPr="00B65D57">
              <w:rPr>
                <w:rFonts w:cs="Arial"/>
                <w:color w:val="000000"/>
                <w:sz w:val="18"/>
                <w:szCs w:val="18"/>
                <w:lang w:eastAsia="sv-SE"/>
              </w:rPr>
              <w:t xml:space="preserve"> </w:t>
            </w:r>
            <w:r w:rsidRPr="00B65D57">
              <w:rPr>
                <w:rFonts w:cs="Arial"/>
                <w:i/>
                <w:iCs/>
                <w:color w:val="000000"/>
                <w:sz w:val="18"/>
                <w:szCs w:val="18"/>
                <w:lang w:eastAsia="sv-SE"/>
              </w:rPr>
              <w:t>vitreus</w:t>
            </w:r>
            <w:r w:rsidRPr="00B65D57">
              <w:rPr>
                <w:rFonts w:cs="Arial"/>
                <w:color w:val="000000"/>
                <w:sz w:val="18"/>
                <w:szCs w:val="18"/>
                <w:lang w:eastAsia="sv-SE"/>
              </w:rPr>
              <w:t xml:space="preserve">. Doctoral thesis. 1-23. </w:t>
            </w:r>
          </w:p>
        </w:tc>
        <w:tc>
          <w:tcPr>
            <w:tcW w:w="1586" w:type="dxa"/>
            <w:vAlign w:val="center"/>
          </w:tcPr>
          <w:p w14:paraId="7CAA5294"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2D2EE011" w14:textId="77777777" w:rsidR="00C20371" w:rsidRPr="00B65D57" w:rsidRDefault="00C20371" w:rsidP="00C20371">
            <w:pPr>
              <w:rPr>
                <w:rFonts w:cs="Arial"/>
                <w:color w:val="000000"/>
                <w:sz w:val="18"/>
                <w:szCs w:val="18"/>
                <w:lang w:eastAsia="sv-SE"/>
              </w:rPr>
            </w:pPr>
          </w:p>
        </w:tc>
      </w:tr>
      <w:tr w:rsidR="00C20371" w:rsidRPr="006630EB" w14:paraId="5C6CBF32" w14:textId="77777777" w:rsidTr="00DF0198">
        <w:trPr>
          <w:trHeight w:val="770"/>
        </w:trPr>
        <w:tc>
          <w:tcPr>
            <w:tcW w:w="1848" w:type="dxa"/>
            <w:shd w:val="clear" w:color="auto" w:fill="auto"/>
            <w:vAlign w:val="center"/>
          </w:tcPr>
          <w:p w14:paraId="45360578" w14:textId="30B7E26E"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Naturvårdsverket</w:t>
            </w:r>
          </w:p>
        </w:tc>
        <w:tc>
          <w:tcPr>
            <w:tcW w:w="1106" w:type="dxa"/>
            <w:shd w:val="clear" w:color="auto" w:fill="auto"/>
            <w:vAlign w:val="center"/>
          </w:tcPr>
          <w:p w14:paraId="447CADAA" w14:textId="19765B59"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2009</w:t>
            </w:r>
          </w:p>
        </w:tc>
        <w:tc>
          <w:tcPr>
            <w:tcW w:w="2823" w:type="dxa"/>
            <w:shd w:val="clear" w:color="auto" w:fill="auto"/>
            <w:vAlign w:val="center"/>
          </w:tcPr>
          <w:p w14:paraId="6C9B2073" w14:textId="77777777" w:rsidR="00C20371" w:rsidRPr="00F8054E" w:rsidRDefault="00C20371" w:rsidP="00C20371">
            <w:pPr>
              <w:rPr>
                <w:rFonts w:cs="Arial"/>
                <w:color w:val="000000"/>
                <w:sz w:val="18"/>
                <w:szCs w:val="18"/>
                <w:lang w:val="sv-SE" w:eastAsia="sv-SE"/>
              </w:rPr>
            </w:pPr>
            <w:r w:rsidRPr="00F8054E">
              <w:rPr>
                <w:rFonts w:cs="Arial"/>
                <w:color w:val="000000"/>
                <w:sz w:val="18"/>
                <w:szCs w:val="18"/>
                <w:lang w:val="sv-SE" w:eastAsia="sv-SE"/>
              </w:rPr>
              <w:t>Riktvärden för förorenad mark, modellbeskrivning och vägledning, Rapport 5976.</w:t>
            </w:r>
          </w:p>
          <w:p w14:paraId="1638C1AF" w14:textId="77777777" w:rsidR="00C20371" w:rsidRPr="00F8054E" w:rsidRDefault="00C20371" w:rsidP="00C20371">
            <w:pPr>
              <w:rPr>
                <w:rFonts w:cs="Arial"/>
                <w:color w:val="000000"/>
                <w:sz w:val="18"/>
                <w:szCs w:val="18"/>
                <w:lang w:val="sv-SE" w:eastAsia="sv-SE"/>
              </w:rPr>
            </w:pPr>
          </w:p>
          <w:p w14:paraId="7E1F257A" w14:textId="77777777" w:rsidR="00C20371" w:rsidRPr="00F8054E" w:rsidRDefault="00C20371" w:rsidP="00C20371">
            <w:pPr>
              <w:rPr>
                <w:rFonts w:cs="Arial"/>
                <w:color w:val="000000"/>
                <w:sz w:val="18"/>
                <w:szCs w:val="18"/>
                <w:lang w:val="sv-SE" w:eastAsia="sv-SE"/>
              </w:rPr>
            </w:pPr>
          </w:p>
        </w:tc>
        <w:tc>
          <w:tcPr>
            <w:tcW w:w="1586" w:type="dxa"/>
            <w:vAlign w:val="center"/>
          </w:tcPr>
          <w:p w14:paraId="0BEDA78B" w14:textId="77777777" w:rsidR="00C20371" w:rsidRPr="00F8054E" w:rsidRDefault="00C20371" w:rsidP="00C20371">
            <w:pPr>
              <w:rPr>
                <w:rFonts w:cs="Arial"/>
                <w:color w:val="000000"/>
                <w:sz w:val="18"/>
                <w:szCs w:val="18"/>
                <w:lang w:val="sv-SE" w:eastAsia="sv-SE"/>
              </w:rPr>
            </w:pPr>
          </w:p>
        </w:tc>
        <w:tc>
          <w:tcPr>
            <w:tcW w:w="906" w:type="dxa"/>
            <w:shd w:val="clear" w:color="auto" w:fill="auto"/>
            <w:vAlign w:val="center"/>
          </w:tcPr>
          <w:p w14:paraId="37413A77" w14:textId="77777777" w:rsidR="00C20371" w:rsidRPr="00F8054E" w:rsidRDefault="00C20371" w:rsidP="00C20371">
            <w:pPr>
              <w:rPr>
                <w:rFonts w:cs="Arial"/>
                <w:color w:val="000000"/>
                <w:sz w:val="18"/>
                <w:szCs w:val="18"/>
                <w:lang w:val="sv-SE" w:eastAsia="sv-SE"/>
              </w:rPr>
            </w:pPr>
          </w:p>
        </w:tc>
      </w:tr>
      <w:tr w:rsidR="00C20371" w:rsidRPr="00FE19C9" w14:paraId="4A1662F6" w14:textId="77777777" w:rsidTr="00DF0198">
        <w:trPr>
          <w:trHeight w:val="770"/>
        </w:trPr>
        <w:tc>
          <w:tcPr>
            <w:tcW w:w="1848" w:type="dxa"/>
            <w:shd w:val="clear" w:color="auto" w:fill="auto"/>
            <w:vAlign w:val="center"/>
          </w:tcPr>
          <w:p w14:paraId="24F612FC" w14:textId="1A6B0B40"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Naturvårdsverket</w:t>
            </w:r>
          </w:p>
        </w:tc>
        <w:tc>
          <w:tcPr>
            <w:tcW w:w="1106" w:type="dxa"/>
            <w:shd w:val="clear" w:color="auto" w:fill="auto"/>
            <w:vAlign w:val="center"/>
          </w:tcPr>
          <w:p w14:paraId="0F431568" w14:textId="179B6454"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2008</w:t>
            </w:r>
          </w:p>
        </w:tc>
        <w:tc>
          <w:tcPr>
            <w:tcW w:w="2823" w:type="dxa"/>
            <w:shd w:val="clear" w:color="auto" w:fill="auto"/>
            <w:vAlign w:val="center"/>
          </w:tcPr>
          <w:p w14:paraId="3F64A855" w14:textId="77777777" w:rsidR="00C20371" w:rsidRPr="00F8054E" w:rsidRDefault="00C20371" w:rsidP="00C20371">
            <w:pPr>
              <w:rPr>
                <w:rFonts w:cs="Arial"/>
                <w:color w:val="000000"/>
                <w:sz w:val="18"/>
                <w:szCs w:val="18"/>
                <w:lang w:val="sv-SE" w:eastAsia="sv-SE"/>
              </w:rPr>
            </w:pPr>
            <w:r w:rsidRPr="00F8054E">
              <w:rPr>
                <w:rFonts w:cs="Arial"/>
                <w:color w:val="000000"/>
                <w:sz w:val="18"/>
                <w:szCs w:val="18"/>
                <w:lang w:val="sv-SE" w:eastAsia="sv-SE"/>
              </w:rPr>
              <w:t>”Hälsoriskbedömning vid utredning av förorenade områden”, Liljelind  I &amp; Barregård L, rapport 5859, september 2008, ISBN 978-91-620-5859-3</w:t>
            </w:r>
          </w:p>
          <w:p w14:paraId="1B98F1AD" w14:textId="77777777" w:rsidR="00C20371" w:rsidRPr="00F8054E" w:rsidRDefault="00C20371" w:rsidP="00C20371">
            <w:pPr>
              <w:rPr>
                <w:rFonts w:cs="Arial"/>
                <w:color w:val="000000"/>
                <w:sz w:val="18"/>
                <w:szCs w:val="18"/>
                <w:lang w:val="sv-SE" w:eastAsia="sv-SE"/>
              </w:rPr>
            </w:pPr>
          </w:p>
        </w:tc>
        <w:tc>
          <w:tcPr>
            <w:tcW w:w="1586" w:type="dxa"/>
            <w:vAlign w:val="center"/>
          </w:tcPr>
          <w:p w14:paraId="557C4AD8" w14:textId="77777777" w:rsidR="00C20371" w:rsidRPr="00F8054E" w:rsidRDefault="00C20371" w:rsidP="00C20371">
            <w:pPr>
              <w:rPr>
                <w:rFonts w:cs="Arial"/>
                <w:color w:val="000000"/>
                <w:sz w:val="18"/>
                <w:szCs w:val="18"/>
                <w:lang w:val="sv-SE" w:eastAsia="sv-SE"/>
              </w:rPr>
            </w:pPr>
          </w:p>
        </w:tc>
        <w:tc>
          <w:tcPr>
            <w:tcW w:w="906" w:type="dxa"/>
            <w:shd w:val="clear" w:color="auto" w:fill="auto"/>
            <w:vAlign w:val="center"/>
          </w:tcPr>
          <w:p w14:paraId="1C5027DF" w14:textId="77777777" w:rsidR="00C20371" w:rsidRPr="00F8054E" w:rsidRDefault="00C20371" w:rsidP="00C20371">
            <w:pPr>
              <w:rPr>
                <w:rFonts w:cs="Arial"/>
                <w:color w:val="000000"/>
                <w:sz w:val="18"/>
                <w:szCs w:val="18"/>
                <w:lang w:val="sv-SE" w:eastAsia="sv-SE"/>
              </w:rPr>
            </w:pPr>
          </w:p>
        </w:tc>
      </w:tr>
      <w:tr w:rsidR="00C20371" w:rsidRPr="00B65D57" w14:paraId="75AFD68A" w14:textId="77777777" w:rsidTr="00DF0198">
        <w:trPr>
          <w:trHeight w:val="770"/>
        </w:trPr>
        <w:tc>
          <w:tcPr>
            <w:tcW w:w="1848" w:type="dxa"/>
            <w:shd w:val="clear" w:color="auto" w:fill="auto"/>
            <w:vAlign w:val="center"/>
          </w:tcPr>
          <w:p w14:paraId="3665AB55" w14:textId="771FEDFC"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OECD</w:t>
            </w:r>
          </w:p>
        </w:tc>
        <w:tc>
          <w:tcPr>
            <w:tcW w:w="1106" w:type="dxa"/>
            <w:shd w:val="clear" w:color="auto" w:fill="auto"/>
            <w:vAlign w:val="center"/>
          </w:tcPr>
          <w:p w14:paraId="756A9A1B" w14:textId="1EF9DE5D"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2013</w:t>
            </w:r>
          </w:p>
        </w:tc>
        <w:tc>
          <w:tcPr>
            <w:tcW w:w="2823" w:type="dxa"/>
            <w:shd w:val="clear" w:color="auto" w:fill="auto"/>
            <w:vAlign w:val="center"/>
          </w:tcPr>
          <w:p w14:paraId="15A6E536" w14:textId="72D450C0"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Series on Emission Scenario Documents, Number 2. Revised Emission Scenario Document for Wood Preservatives.</w:t>
            </w:r>
          </w:p>
        </w:tc>
        <w:tc>
          <w:tcPr>
            <w:tcW w:w="1586" w:type="dxa"/>
            <w:vAlign w:val="center"/>
          </w:tcPr>
          <w:p w14:paraId="3EB41592"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1DAC4A6C" w14:textId="77777777" w:rsidR="00C20371" w:rsidRPr="00B65D57" w:rsidRDefault="00C20371" w:rsidP="00C20371">
            <w:pPr>
              <w:rPr>
                <w:rFonts w:cs="Arial"/>
                <w:color w:val="000000"/>
                <w:sz w:val="18"/>
                <w:szCs w:val="18"/>
                <w:lang w:eastAsia="sv-SE"/>
              </w:rPr>
            </w:pPr>
          </w:p>
        </w:tc>
      </w:tr>
      <w:tr w:rsidR="00C20371" w:rsidRPr="00B65D57" w14:paraId="27FD1510" w14:textId="77777777" w:rsidTr="00DF0198">
        <w:trPr>
          <w:trHeight w:val="770"/>
        </w:trPr>
        <w:tc>
          <w:tcPr>
            <w:tcW w:w="1848" w:type="dxa"/>
            <w:shd w:val="clear" w:color="auto" w:fill="auto"/>
            <w:vAlign w:val="center"/>
          </w:tcPr>
          <w:p w14:paraId="46B2B812" w14:textId="562AD414"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RISE</w:t>
            </w:r>
          </w:p>
        </w:tc>
        <w:tc>
          <w:tcPr>
            <w:tcW w:w="1106" w:type="dxa"/>
            <w:shd w:val="clear" w:color="auto" w:fill="auto"/>
            <w:vAlign w:val="center"/>
          </w:tcPr>
          <w:p w14:paraId="514C7037" w14:textId="4416E6B2"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2020</w:t>
            </w:r>
          </w:p>
        </w:tc>
        <w:tc>
          <w:tcPr>
            <w:tcW w:w="2823" w:type="dxa"/>
            <w:shd w:val="clear" w:color="auto" w:fill="auto"/>
            <w:vAlign w:val="center"/>
          </w:tcPr>
          <w:p w14:paraId="3D9D15ED"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Evaluation of the concentration of “Jerbor” needed for</w:t>
            </w:r>
          </w:p>
          <w:p w14:paraId="7C79DA79" w14:textId="6C5DF1CF"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decay resistance of wood. Report. 1-10.</w:t>
            </w:r>
            <w:r w:rsidR="005D0D7C">
              <w:rPr>
                <w:rFonts w:cs="Arial"/>
                <w:color w:val="000000"/>
                <w:sz w:val="18"/>
                <w:szCs w:val="18"/>
                <w:lang w:eastAsia="sv-SE"/>
              </w:rPr>
              <w:t xml:space="preserve"> </w:t>
            </w:r>
            <w:r w:rsidR="005D0D7C">
              <w:rPr>
                <w:rStyle w:val="cf01"/>
              </w:rPr>
              <w:t>Not GLP / Unpublished</w:t>
            </w:r>
          </w:p>
        </w:tc>
        <w:tc>
          <w:tcPr>
            <w:tcW w:w="1586" w:type="dxa"/>
            <w:vAlign w:val="center"/>
          </w:tcPr>
          <w:p w14:paraId="69BF54C2" w14:textId="7364E7E2" w:rsidR="00C20371" w:rsidRPr="00B65D57" w:rsidRDefault="00641894" w:rsidP="00C20371">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6C23799B" w14:textId="77777777" w:rsidR="00C20371" w:rsidRPr="00B65D57" w:rsidRDefault="00C20371" w:rsidP="00C20371">
            <w:pPr>
              <w:rPr>
                <w:rFonts w:cs="Arial"/>
                <w:color w:val="000000"/>
                <w:sz w:val="18"/>
                <w:szCs w:val="18"/>
                <w:lang w:eastAsia="sv-SE"/>
              </w:rPr>
            </w:pPr>
          </w:p>
        </w:tc>
      </w:tr>
      <w:tr w:rsidR="00C20371" w:rsidRPr="00FE19C9" w14:paraId="2BE26044" w14:textId="77777777" w:rsidTr="00DF0198">
        <w:trPr>
          <w:trHeight w:val="770"/>
        </w:trPr>
        <w:tc>
          <w:tcPr>
            <w:tcW w:w="1848" w:type="dxa"/>
            <w:shd w:val="clear" w:color="auto" w:fill="auto"/>
            <w:vAlign w:val="center"/>
          </w:tcPr>
          <w:p w14:paraId="7A3A0EDC" w14:textId="296BF9CA" w:rsidR="00C20371" w:rsidRPr="00F8054E" w:rsidRDefault="00C20371" w:rsidP="00C20371">
            <w:pPr>
              <w:rPr>
                <w:rFonts w:cs="Arial"/>
                <w:color w:val="000000"/>
                <w:sz w:val="18"/>
                <w:szCs w:val="18"/>
                <w:lang w:val="sv-SE" w:eastAsia="sv-SE"/>
              </w:rPr>
            </w:pPr>
            <w:r w:rsidRPr="00F8054E">
              <w:rPr>
                <w:rFonts w:cs="Arial"/>
                <w:color w:val="000000"/>
                <w:sz w:val="18"/>
                <w:szCs w:val="18"/>
                <w:lang w:val="sv-SE" w:eastAsia="sv-SE"/>
              </w:rPr>
              <w:t xml:space="preserve">Rodhe, A., Lindström, G., Rosberg, J. </w:t>
            </w:r>
            <w:r w:rsidR="00821EDA">
              <w:rPr>
                <w:rFonts w:cs="Arial"/>
                <w:color w:val="000000"/>
                <w:sz w:val="18"/>
                <w:szCs w:val="18"/>
                <w:lang w:val="sv-SE" w:eastAsia="sv-SE"/>
              </w:rPr>
              <w:t>and</w:t>
            </w:r>
            <w:r w:rsidRPr="00F8054E">
              <w:rPr>
                <w:rFonts w:cs="Arial"/>
                <w:color w:val="000000"/>
                <w:sz w:val="18"/>
                <w:szCs w:val="18"/>
                <w:lang w:val="sv-SE" w:eastAsia="sv-SE"/>
              </w:rPr>
              <w:t xml:space="preserve"> Pers, C.</w:t>
            </w:r>
          </w:p>
        </w:tc>
        <w:tc>
          <w:tcPr>
            <w:tcW w:w="1106" w:type="dxa"/>
            <w:shd w:val="clear" w:color="auto" w:fill="auto"/>
            <w:vAlign w:val="center"/>
          </w:tcPr>
          <w:p w14:paraId="20590B21" w14:textId="73405DF8"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2006</w:t>
            </w:r>
          </w:p>
        </w:tc>
        <w:tc>
          <w:tcPr>
            <w:tcW w:w="2823" w:type="dxa"/>
            <w:shd w:val="clear" w:color="auto" w:fill="auto"/>
            <w:vAlign w:val="center"/>
          </w:tcPr>
          <w:p w14:paraId="130CB88C" w14:textId="0761EF07" w:rsidR="00C20371" w:rsidRPr="00F8054E" w:rsidRDefault="00C20371" w:rsidP="00C20371">
            <w:pPr>
              <w:rPr>
                <w:rFonts w:cs="Arial"/>
                <w:color w:val="000000"/>
                <w:sz w:val="18"/>
                <w:szCs w:val="18"/>
                <w:lang w:val="sv-SE" w:eastAsia="sv-SE"/>
              </w:rPr>
            </w:pPr>
            <w:r w:rsidRPr="00F8054E">
              <w:rPr>
                <w:rFonts w:cs="Arial"/>
                <w:color w:val="000000"/>
                <w:sz w:val="18"/>
                <w:szCs w:val="18"/>
                <w:lang w:val="sv-SE" w:eastAsia="sv-SE"/>
              </w:rPr>
              <w:t>Grundvattenbildning i svenska typjordar, Geotryckeriet, Institutionen för geovetenskaper, Uppsala Universitet.</w:t>
            </w:r>
          </w:p>
        </w:tc>
        <w:tc>
          <w:tcPr>
            <w:tcW w:w="1586" w:type="dxa"/>
            <w:vAlign w:val="center"/>
          </w:tcPr>
          <w:p w14:paraId="6A10983E" w14:textId="77777777" w:rsidR="00C20371" w:rsidRPr="00F8054E" w:rsidRDefault="00C20371" w:rsidP="00C20371">
            <w:pPr>
              <w:rPr>
                <w:rFonts w:cs="Arial"/>
                <w:color w:val="000000"/>
                <w:sz w:val="18"/>
                <w:szCs w:val="18"/>
                <w:lang w:val="sv-SE" w:eastAsia="sv-SE"/>
              </w:rPr>
            </w:pPr>
          </w:p>
        </w:tc>
        <w:tc>
          <w:tcPr>
            <w:tcW w:w="906" w:type="dxa"/>
            <w:shd w:val="clear" w:color="auto" w:fill="auto"/>
            <w:vAlign w:val="center"/>
          </w:tcPr>
          <w:p w14:paraId="19AD6402" w14:textId="77777777" w:rsidR="00C20371" w:rsidRPr="00F8054E" w:rsidRDefault="00C20371" w:rsidP="00C20371">
            <w:pPr>
              <w:rPr>
                <w:rFonts w:cs="Arial"/>
                <w:color w:val="000000"/>
                <w:sz w:val="18"/>
                <w:szCs w:val="18"/>
                <w:lang w:val="sv-SE" w:eastAsia="sv-SE"/>
              </w:rPr>
            </w:pPr>
          </w:p>
        </w:tc>
      </w:tr>
      <w:tr w:rsidR="00C20371" w:rsidRPr="00B65D57" w14:paraId="4A66386A" w14:textId="77777777" w:rsidTr="00DF0198">
        <w:trPr>
          <w:trHeight w:val="770"/>
        </w:trPr>
        <w:tc>
          <w:tcPr>
            <w:tcW w:w="1848" w:type="dxa"/>
            <w:shd w:val="clear" w:color="auto" w:fill="auto"/>
            <w:vAlign w:val="center"/>
          </w:tcPr>
          <w:p w14:paraId="19BB47AE" w14:textId="1E2E844D"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Schmidt, O.</w:t>
            </w:r>
          </w:p>
        </w:tc>
        <w:tc>
          <w:tcPr>
            <w:tcW w:w="1106" w:type="dxa"/>
            <w:shd w:val="clear" w:color="auto" w:fill="auto"/>
            <w:vAlign w:val="center"/>
          </w:tcPr>
          <w:p w14:paraId="40B99655" w14:textId="79963471"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2007</w:t>
            </w:r>
          </w:p>
        </w:tc>
        <w:tc>
          <w:tcPr>
            <w:tcW w:w="2823" w:type="dxa"/>
            <w:shd w:val="clear" w:color="auto" w:fill="auto"/>
            <w:vAlign w:val="center"/>
          </w:tcPr>
          <w:p w14:paraId="1266D547"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Indoor wood-decay basidiomycetes: damage, causal fungi,</w:t>
            </w:r>
          </w:p>
          <w:p w14:paraId="0E10D2F2"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physiology, identification and characterization,</w:t>
            </w:r>
          </w:p>
          <w:p w14:paraId="2AC91698" w14:textId="367952B3"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prevention and control. Mycol Progress. 6:261-279.</w:t>
            </w:r>
          </w:p>
        </w:tc>
        <w:tc>
          <w:tcPr>
            <w:tcW w:w="1586" w:type="dxa"/>
            <w:vAlign w:val="center"/>
          </w:tcPr>
          <w:p w14:paraId="7F748547"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342A009C" w14:textId="77777777" w:rsidR="00C20371" w:rsidRPr="00B65D57" w:rsidRDefault="00C20371" w:rsidP="00C20371">
            <w:pPr>
              <w:rPr>
                <w:rFonts w:cs="Arial"/>
                <w:color w:val="000000"/>
                <w:sz w:val="18"/>
                <w:szCs w:val="18"/>
                <w:lang w:eastAsia="sv-SE"/>
              </w:rPr>
            </w:pPr>
          </w:p>
        </w:tc>
      </w:tr>
      <w:tr w:rsidR="00C20371" w:rsidRPr="00B65D57" w14:paraId="326BC3C5" w14:textId="77777777" w:rsidTr="00DF0198">
        <w:trPr>
          <w:trHeight w:val="770"/>
        </w:trPr>
        <w:tc>
          <w:tcPr>
            <w:tcW w:w="1848" w:type="dxa"/>
            <w:shd w:val="clear" w:color="auto" w:fill="auto"/>
            <w:vAlign w:val="center"/>
          </w:tcPr>
          <w:p w14:paraId="53232AB7" w14:textId="67666D20"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Schlumberger Water Services</w:t>
            </w:r>
          </w:p>
        </w:tc>
        <w:tc>
          <w:tcPr>
            <w:tcW w:w="1106" w:type="dxa"/>
            <w:shd w:val="clear" w:color="auto" w:fill="auto"/>
            <w:vAlign w:val="center"/>
          </w:tcPr>
          <w:p w14:paraId="072A7D62" w14:textId="5F754522"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2006</w:t>
            </w:r>
          </w:p>
        </w:tc>
        <w:tc>
          <w:tcPr>
            <w:tcW w:w="2823" w:type="dxa"/>
            <w:shd w:val="clear" w:color="auto" w:fill="auto"/>
            <w:vAlign w:val="center"/>
          </w:tcPr>
          <w:p w14:paraId="0418D659" w14:textId="30EA0165"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Visual MODFLOW Professional. User’s Manual.</w:t>
            </w:r>
          </w:p>
        </w:tc>
        <w:tc>
          <w:tcPr>
            <w:tcW w:w="1586" w:type="dxa"/>
            <w:vAlign w:val="center"/>
          </w:tcPr>
          <w:p w14:paraId="47E3BB38"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0692379A" w14:textId="77777777" w:rsidR="00C20371" w:rsidRPr="00B65D57" w:rsidRDefault="00C20371" w:rsidP="00C20371">
            <w:pPr>
              <w:rPr>
                <w:rFonts w:cs="Arial"/>
                <w:color w:val="000000"/>
                <w:sz w:val="18"/>
                <w:szCs w:val="18"/>
                <w:lang w:eastAsia="sv-SE"/>
              </w:rPr>
            </w:pPr>
          </w:p>
        </w:tc>
      </w:tr>
      <w:tr w:rsidR="00C20371" w:rsidRPr="00B65D57" w14:paraId="635E4E78" w14:textId="77777777" w:rsidTr="00DF0198">
        <w:trPr>
          <w:trHeight w:val="770"/>
        </w:trPr>
        <w:tc>
          <w:tcPr>
            <w:tcW w:w="1848" w:type="dxa"/>
            <w:shd w:val="clear" w:color="auto" w:fill="auto"/>
            <w:vAlign w:val="center"/>
          </w:tcPr>
          <w:p w14:paraId="632E97C6" w14:textId="310C3492"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Schwarze, F. W. M. R.</w:t>
            </w:r>
          </w:p>
        </w:tc>
        <w:tc>
          <w:tcPr>
            <w:tcW w:w="1106" w:type="dxa"/>
            <w:shd w:val="clear" w:color="auto" w:fill="auto"/>
            <w:vAlign w:val="center"/>
          </w:tcPr>
          <w:p w14:paraId="0D817441" w14:textId="3C499C8E"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2007</w:t>
            </w:r>
          </w:p>
        </w:tc>
        <w:tc>
          <w:tcPr>
            <w:tcW w:w="2823" w:type="dxa"/>
            <w:shd w:val="clear" w:color="auto" w:fill="auto"/>
            <w:vAlign w:val="center"/>
          </w:tcPr>
          <w:p w14:paraId="3A55959D" w14:textId="6F07D36B"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 xml:space="preserve">Wood decay under the microscope. British Mycological Society. </w:t>
            </w:r>
            <w:r w:rsidRPr="00B65D57">
              <w:rPr>
                <w:sz w:val="18"/>
                <w:szCs w:val="18"/>
              </w:rPr>
              <w:t>F</w:t>
            </w:r>
            <w:r w:rsidRPr="00B65D57">
              <w:rPr>
                <w:rFonts w:cs="Arial"/>
                <w:color w:val="000000"/>
                <w:sz w:val="18"/>
                <w:szCs w:val="18"/>
                <w:lang w:eastAsia="sv-SE"/>
              </w:rPr>
              <w:t xml:space="preserve">ungal biology reviews. 1-38. </w:t>
            </w:r>
          </w:p>
        </w:tc>
        <w:tc>
          <w:tcPr>
            <w:tcW w:w="1586" w:type="dxa"/>
            <w:vAlign w:val="center"/>
          </w:tcPr>
          <w:p w14:paraId="00598420"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052E7C2C" w14:textId="77777777" w:rsidR="00C20371" w:rsidRPr="00B65D57" w:rsidRDefault="00C20371" w:rsidP="00C20371">
            <w:pPr>
              <w:rPr>
                <w:rFonts w:cs="Arial"/>
                <w:color w:val="000000"/>
                <w:sz w:val="18"/>
                <w:szCs w:val="18"/>
                <w:lang w:eastAsia="sv-SE"/>
              </w:rPr>
            </w:pPr>
          </w:p>
        </w:tc>
      </w:tr>
      <w:tr w:rsidR="00C20371" w:rsidRPr="00B65D57" w14:paraId="4D7F153A" w14:textId="77777777" w:rsidTr="00DF0198">
        <w:trPr>
          <w:trHeight w:val="770"/>
        </w:trPr>
        <w:tc>
          <w:tcPr>
            <w:tcW w:w="1848" w:type="dxa"/>
            <w:shd w:val="clear" w:color="auto" w:fill="auto"/>
            <w:vAlign w:val="center"/>
          </w:tcPr>
          <w:p w14:paraId="6FB2BFF2" w14:textId="586FE222" w:rsidR="00C20371" w:rsidRPr="00B65D57" w:rsidRDefault="00C20371" w:rsidP="00C20371">
            <w:pPr>
              <w:rPr>
                <w:rFonts w:cs="Arial"/>
                <w:color w:val="000000"/>
                <w:sz w:val="18"/>
                <w:szCs w:val="18"/>
                <w:lang w:eastAsia="sv-SE"/>
              </w:rPr>
            </w:pPr>
            <w:r w:rsidRPr="00B65D57">
              <w:rPr>
                <w:rFonts w:cs="Arial"/>
                <w:color w:val="000000"/>
                <w:sz w:val="18"/>
                <w:szCs w:val="18"/>
                <w:lang w:eastAsia="sv-SE"/>
              </w:rPr>
              <w:lastRenderedPageBreak/>
              <w:t xml:space="preserve">Schwarze, F. W. M. R., Landmesser, H., Zgraggen, B. </w:t>
            </w:r>
            <w:r w:rsidR="00821EDA">
              <w:rPr>
                <w:rFonts w:cs="Arial"/>
                <w:color w:val="000000"/>
                <w:sz w:val="18"/>
                <w:szCs w:val="18"/>
                <w:lang w:eastAsia="sv-SE"/>
              </w:rPr>
              <w:t>and</w:t>
            </w:r>
            <w:r w:rsidRPr="00B65D57">
              <w:rPr>
                <w:rFonts w:cs="Arial"/>
                <w:color w:val="000000"/>
                <w:sz w:val="18"/>
                <w:szCs w:val="18"/>
                <w:lang w:eastAsia="sv-SE"/>
              </w:rPr>
              <w:t xml:space="preserve"> Heeb, M.</w:t>
            </w:r>
          </w:p>
        </w:tc>
        <w:tc>
          <w:tcPr>
            <w:tcW w:w="1106" w:type="dxa"/>
            <w:shd w:val="clear" w:color="auto" w:fill="auto"/>
            <w:vAlign w:val="center"/>
          </w:tcPr>
          <w:p w14:paraId="377AAC36" w14:textId="619F8874"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2006</w:t>
            </w:r>
          </w:p>
        </w:tc>
        <w:tc>
          <w:tcPr>
            <w:tcW w:w="2823" w:type="dxa"/>
            <w:shd w:val="clear" w:color="auto" w:fill="auto"/>
            <w:vAlign w:val="center"/>
          </w:tcPr>
          <w:p w14:paraId="782D72D9" w14:textId="4042C446"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Permeability changes in heartwood of Picea abies and Abies alba induced by incubation with Physisporinus vitreus. Holzforschung.  60:450–454.</w:t>
            </w:r>
          </w:p>
        </w:tc>
        <w:tc>
          <w:tcPr>
            <w:tcW w:w="1586" w:type="dxa"/>
            <w:vAlign w:val="center"/>
          </w:tcPr>
          <w:p w14:paraId="029BE9DE" w14:textId="77777777" w:rsidR="00C20371" w:rsidRPr="00B65D57" w:rsidRDefault="00C20371" w:rsidP="00C20371">
            <w:pPr>
              <w:rPr>
                <w:rFonts w:cs="Arial"/>
                <w:color w:val="000000"/>
                <w:sz w:val="18"/>
                <w:szCs w:val="18"/>
                <w:lang w:eastAsia="sv-SE"/>
              </w:rPr>
            </w:pPr>
          </w:p>
        </w:tc>
        <w:tc>
          <w:tcPr>
            <w:tcW w:w="906" w:type="dxa"/>
            <w:shd w:val="clear" w:color="auto" w:fill="auto"/>
            <w:vAlign w:val="center"/>
          </w:tcPr>
          <w:p w14:paraId="3267A704" w14:textId="77777777" w:rsidR="00C20371" w:rsidRPr="00B65D57" w:rsidRDefault="00C20371" w:rsidP="00C20371">
            <w:pPr>
              <w:rPr>
                <w:rFonts w:cs="Arial"/>
                <w:color w:val="000000"/>
                <w:sz w:val="18"/>
                <w:szCs w:val="18"/>
                <w:lang w:eastAsia="sv-SE"/>
              </w:rPr>
            </w:pPr>
          </w:p>
        </w:tc>
      </w:tr>
      <w:tr w:rsidR="00C20371" w:rsidRPr="00B65D57" w14:paraId="56547C88" w14:textId="77777777" w:rsidTr="00DF0198">
        <w:trPr>
          <w:trHeight w:val="770"/>
        </w:trPr>
        <w:tc>
          <w:tcPr>
            <w:tcW w:w="1848" w:type="dxa"/>
            <w:shd w:val="clear" w:color="auto" w:fill="auto"/>
            <w:vAlign w:val="center"/>
          </w:tcPr>
          <w:p w14:paraId="09312AF1" w14:textId="00EFB06F"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Theorin, M.</w:t>
            </w:r>
          </w:p>
        </w:tc>
        <w:tc>
          <w:tcPr>
            <w:tcW w:w="1106" w:type="dxa"/>
            <w:shd w:val="clear" w:color="auto" w:fill="auto"/>
            <w:vAlign w:val="center"/>
          </w:tcPr>
          <w:p w14:paraId="3E4922B0" w14:textId="06504CD9"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2022</w:t>
            </w:r>
          </w:p>
        </w:tc>
        <w:tc>
          <w:tcPr>
            <w:tcW w:w="2823" w:type="dxa"/>
            <w:shd w:val="clear" w:color="auto" w:fill="auto"/>
            <w:vAlign w:val="center"/>
          </w:tcPr>
          <w:p w14:paraId="51A0CEFD"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 xml:space="preserve">Jerbor Penta – Physical and Chemical Properties </w:t>
            </w:r>
          </w:p>
          <w:p w14:paraId="2131A10D"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RISE AB, Report no. 140185</w:t>
            </w:r>
          </w:p>
          <w:p w14:paraId="16C48A30" w14:textId="07FC41D9"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Not GLP / Unpublished</w:t>
            </w:r>
          </w:p>
        </w:tc>
        <w:tc>
          <w:tcPr>
            <w:tcW w:w="1586" w:type="dxa"/>
            <w:vAlign w:val="center"/>
          </w:tcPr>
          <w:p w14:paraId="0CF61B86" w14:textId="7376D84D"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Y</w:t>
            </w:r>
          </w:p>
        </w:tc>
        <w:tc>
          <w:tcPr>
            <w:tcW w:w="906" w:type="dxa"/>
            <w:shd w:val="clear" w:color="auto" w:fill="auto"/>
            <w:vAlign w:val="center"/>
          </w:tcPr>
          <w:p w14:paraId="588A8D1D" w14:textId="31550433"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Jerbol System AB</w:t>
            </w:r>
          </w:p>
        </w:tc>
      </w:tr>
      <w:tr w:rsidR="00C20371" w:rsidRPr="00B65D57" w14:paraId="70C4956D" w14:textId="77777777" w:rsidTr="00DF0198">
        <w:trPr>
          <w:trHeight w:val="770"/>
        </w:trPr>
        <w:tc>
          <w:tcPr>
            <w:tcW w:w="1848" w:type="dxa"/>
            <w:shd w:val="clear" w:color="auto" w:fill="auto"/>
            <w:vAlign w:val="center"/>
          </w:tcPr>
          <w:p w14:paraId="22F7D5E5"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Theorin, M.</w:t>
            </w:r>
          </w:p>
          <w:p w14:paraId="5233444B" w14:textId="77777777" w:rsidR="00C20371" w:rsidRPr="00B65D57" w:rsidRDefault="00C20371" w:rsidP="00C20371">
            <w:pPr>
              <w:rPr>
                <w:rFonts w:cs="Arial"/>
                <w:color w:val="000000"/>
                <w:sz w:val="18"/>
                <w:szCs w:val="18"/>
                <w:lang w:eastAsia="sv-SE"/>
              </w:rPr>
            </w:pPr>
          </w:p>
        </w:tc>
        <w:tc>
          <w:tcPr>
            <w:tcW w:w="1106" w:type="dxa"/>
            <w:shd w:val="clear" w:color="auto" w:fill="auto"/>
            <w:vAlign w:val="center"/>
          </w:tcPr>
          <w:p w14:paraId="13CFE3D1" w14:textId="18D56F30"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2021</w:t>
            </w:r>
          </w:p>
        </w:tc>
        <w:tc>
          <w:tcPr>
            <w:tcW w:w="2823" w:type="dxa"/>
            <w:shd w:val="clear" w:color="auto" w:fill="auto"/>
            <w:vAlign w:val="center"/>
          </w:tcPr>
          <w:p w14:paraId="4F17325E"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PM – Physical and chemical properties of the biocidal product (wood preservative) Jerbor Penta</w:t>
            </w:r>
          </w:p>
          <w:p w14:paraId="47F42740"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WSP Jerbol, Report no. K2208111</w:t>
            </w:r>
          </w:p>
          <w:p w14:paraId="296371FD" w14:textId="7C9299B0"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Not GLP / Unpublished</w:t>
            </w:r>
          </w:p>
        </w:tc>
        <w:tc>
          <w:tcPr>
            <w:tcW w:w="1586" w:type="dxa"/>
            <w:vAlign w:val="center"/>
          </w:tcPr>
          <w:p w14:paraId="6718BF10" w14:textId="0120AFE8" w:rsidR="00C20371" w:rsidRPr="00B65D57" w:rsidRDefault="00641894" w:rsidP="00C20371">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3B66C5F1" w14:textId="1F1EF42B"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Jerbol System AB</w:t>
            </w:r>
          </w:p>
        </w:tc>
      </w:tr>
      <w:tr w:rsidR="00C20371" w:rsidRPr="00B65D57" w14:paraId="2114B852" w14:textId="77777777" w:rsidTr="00DF0198">
        <w:trPr>
          <w:trHeight w:val="1056"/>
        </w:trPr>
        <w:tc>
          <w:tcPr>
            <w:tcW w:w="1848" w:type="dxa"/>
            <w:shd w:val="clear" w:color="auto" w:fill="auto"/>
            <w:vAlign w:val="center"/>
          </w:tcPr>
          <w:p w14:paraId="5FD9029C"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Theorin, M.</w:t>
            </w:r>
          </w:p>
        </w:tc>
        <w:tc>
          <w:tcPr>
            <w:tcW w:w="1106" w:type="dxa"/>
            <w:shd w:val="clear" w:color="auto" w:fill="auto"/>
            <w:vAlign w:val="center"/>
          </w:tcPr>
          <w:p w14:paraId="23460E70"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2011a</w:t>
            </w:r>
          </w:p>
        </w:tc>
        <w:tc>
          <w:tcPr>
            <w:tcW w:w="2823" w:type="dxa"/>
            <w:shd w:val="clear" w:color="auto" w:fill="auto"/>
            <w:vAlign w:val="center"/>
          </w:tcPr>
          <w:p w14:paraId="51A4AA84" w14:textId="2E53E3C3" w:rsidR="00C20371" w:rsidRPr="00B65D57" w:rsidRDefault="00C20371" w:rsidP="00C20371">
            <w:pPr>
              <w:rPr>
                <w:rFonts w:cs="Arial"/>
                <w:color w:val="000000"/>
                <w:sz w:val="18"/>
                <w:szCs w:val="18"/>
                <w:lang w:eastAsia="sv-SE"/>
              </w:rPr>
            </w:pPr>
            <w:r w:rsidRPr="00F8054E">
              <w:rPr>
                <w:rFonts w:cs="Arial"/>
                <w:color w:val="000000"/>
                <w:sz w:val="18"/>
                <w:szCs w:val="18"/>
                <w:lang w:val="sv-SE" w:eastAsia="sv-SE"/>
              </w:rPr>
              <w:t xml:space="preserve">Trägrundläggningar, lera och borföreningar i mark. </w:t>
            </w:r>
            <w:r w:rsidRPr="00B65D57">
              <w:rPr>
                <w:rFonts w:cs="Arial"/>
                <w:color w:val="000000"/>
                <w:sz w:val="18"/>
                <w:szCs w:val="18"/>
                <w:lang w:eastAsia="sv-SE"/>
              </w:rPr>
              <w:t>Rapport 2010:4, Rev. 2011:1.</w:t>
            </w:r>
            <w:r w:rsidR="005D0D7C">
              <w:rPr>
                <w:rFonts w:cs="Arial"/>
                <w:color w:val="000000"/>
                <w:sz w:val="18"/>
                <w:szCs w:val="18"/>
                <w:lang w:eastAsia="sv-SE"/>
              </w:rPr>
              <w:t xml:space="preserve"> </w:t>
            </w:r>
            <w:r w:rsidR="005D0D7C">
              <w:rPr>
                <w:rStyle w:val="cf01"/>
              </w:rPr>
              <w:t>Not GLP / Unpublished</w:t>
            </w:r>
          </w:p>
        </w:tc>
        <w:tc>
          <w:tcPr>
            <w:tcW w:w="1586" w:type="dxa"/>
            <w:vAlign w:val="center"/>
          </w:tcPr>
          <w:p w14:paraId="352E5CE6" w14:textId="1D24F82F" w:rsidR="00C20371" w:rsidRPr="00B65D57" w:rsidRDefault="00641894" w:rsidP="00C20371">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4EAEC051" w14:textId="77777777" w:rsidR="00C20371" w:rsidRPr="00B65D57" w:rsidRDefault="00C20371" w:rsidP="00C20371">
            <w:pPr>
              <w:rPr>
                <w:rFonts w:cs="Arial"/>
                <w:color w:val="000000"/>
                <w:sz w:val="18"/>
                <w:szCs w:val="18"/>
                <w:lang w:eastAsia="sv-SE"/>
              </w:rPr>
            </w:pPr>
          </w:p>
        </w:tc>
      </w:tr>
      <w:tr w:rsidR="00C20371" w:rsidRPr="00B65D57" w14:paraId="23011B23" w14:textId="77777777" w:rsidTr="00DF0198">
        <w:trPr>
          <w:trHeight w:val="1056"/>
        </w:trPr>
        <w:tc>
          <w:tcPr>
            <w:tcW w:w="1848" w:type="dxa"/>
            <w:shd w:val="clear" w:color="auto" w:fill="auto"/>
            <w:vAlign w:val="center"/>
          </w:tcPr>
          <w:p w14:paraId="32EFF3E9"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Theorin, M.</w:t>
            </w:r>
          </w:p>
        </w:tc>
        <w:tc>
          <w:tcPr>
            <w:tcW w:w="1106" w:type="dxa"/>
            <w:shd w:val="clear" w:color="auto" w:fill="auto"/>
            <w:vAlign w:val="center"/>
          </w:tcPr>
          <w:p w14:paraId="3A6D0E7B"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2011b</w:t>
            </w:r>
          </w:p>
        </w:tc>
        <w:tc>
          <w:tcPr>
            <w:tcW w:w="2823" w:type="dxa"/>
            <w:shd w:val="clear" w:color="auto" w:fill="auto"/>
            <w:vAlign w:val="center"/>
          </w:tcPr>
          <w:p w14:paraId="04D1608D" w14:textId="4F1ABF4C" w:rsidR="00C20371" w:rsidRPr="00B65D57" w:rsidRDefault="00C20371" w:rsidP="00C20371">
            <w:pPr>
              <w:rPr>
                <w:rFonts w:cs="Arial"/>
                <w:color w:val="000000"/>
                <w:sz w:val="18"/>
                <w:szCs w:val="18"/>
                <w:lang w:eastAsia="sv-SE"/>
              </w:rPr>
            </w:pPr>
            <w:r w:rsidRPr="00F8054E">
              <w:rPr>
                <w:rFonts w:cs="Arial"/>
                <w:color w:val="000000"/>
                <w:sz w:val="18"/>
                <w:szCs w:val="18"/>
                <w:lang w:val="sv-SE" w:eastAsia="sv-SE"/>
              </w:rPr>
              <w:t xml:space="preserve">Kvantitativ bestämning av borater i prover från Euroborbehandlingar. </w:t>
            </w:r>
            <w:r w:rsidRPr="00B65D57">
              <w:rPr>
                <w:rFonts w:cs="Arial"/>
                <w:color w:val="000000"/>
                <w:sz w:val="18"/>
                <w:szCs w:val="18"/>
                <w:lang w:eastAsia="sv-SE"/>
              </w:rPr>
              <w:t>Rapport 2011:2.</w:t>
            </w:r>
            <w:r w:rsidR="005D0D7C">
              <w:rPr>
                <w:rFonts w:cs="Arial"/>
                <w:color w:val="000000"/>
                <w:sz w:val="18"/>
                <w:szCs w:val="18"/>
                <w:lang w:eastAsia="sv-SE"/>
              </w:rPr>
              <w:t xml:space="preserve"> </w:t>
            </w:r>
            <w:r w:rsidR="005D0D7C">
              <w:rPr>
                <w:rStyle w:val="cf01"/>
              </w:rPr>
              <w:t>Not GLP / Unpublished</w:t>
            </w:r>
          </w:p>
          <w:p w14:paraId="6F71A8DB" w14:textId="77777777" w:rsidR="00C20371" w:rsidRPr="00B65D57" w:rsidRDefault="00C20371" w:rsidP="00C20371">
            <w:pPr>
              <w:rPr>
                <w:rFonts w:cs="Arial"/>
                <w:color w:val="000000"/>
                <w:sz w:val="18"/>
                <w:szCs w:val="18"/>
                <w:lang w:eastAsia="sv-SE"/>
              </w:rPr>
            </w:pPr>
          </w:p>
        </w:tc>
        <w:tc>
          <w:tcPr>
            <w:tcW w:w="1586" w:type="dxa"/>
            <w:vAlign w:val="center"/>
          </w:tcPr>
          <w:p w14:paraId="7667DD21" w14:textId="2E51F0DA" w:rsidR="00C20371" w:rsidRPr="00B65D57" w:rsidRDefault="00641894" w:rsidP="00C20371">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099B39B2" w14:textId="77777777" w:rsidR="00C20371" w:rsidRPr="00B65D57" w:rsidRDefault="00C20371" w:rsidP="00C20371">
            <w:pPr>
              <w:rPr>
                <w:rFonts w:cs="Arial"/>
                <w:color w:val="000000"/>
                <w:sz w:val="18"/>
                <w:szCs w:val="18"/>
                <w:lang w:eastAsia="sv-SE"/>
              </w:rPr>
            </w:pPr>
          </w:p>
        </w:tc>
      </w:tr>
      <w:tr w:rsidR="00C20371" w:rsidRPr="00B65D57" w14:paraId="63865EDF" w14:textId="77777777" w:rsidTr="00DF0198">
        <w:trPr>
          <w:trHeight w:val="1056"/>
        </w:trPr>
        <w:tc>
          <w:tcPr>
            <w:tcW w:w="1848" w:type="dxa"/>
            <w:shd w:val="clear" w:color="auto" w:fill="auto"/>
            <w:vAlign w:val="center"/>
          </w:tcPr>
          <w:p w14:paraId="7C7ACD67"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Theorin, M.</w:t>
            </w:r>
          </w:p>
        </w:tc>
        <w:tc>
          <w:tcPr>
            <w:tcW w:w="1106" w:type="dxa"/>
            <w:shd w:val="clear" w:color="auto" w:fill="auto"/>
            <w:vAlign w:val="center"/>
          </w:tcPr>
          <w:p w14:paraId="0E26D165" w14:textId="77777777" w:rsidR="00C20371" w:rsidRPr="00B65D57" w:rsidRDefault="00C20371" w:rsidP="00C20371">
            <w:pPr>
              <w:rPr>
                <w:rFonts w:cs="Arial"/>
                <w:color w:val="000000"/>
                <w:sz w:val="18"/>
                <w:szCs w:val="18"/>
                <w:lang w:eastAsia="sv-SE"/>
              </w:rPr>
            </w:pPr>
            <w:r w:rsidRPr="00B65D57">
              <w:rPr>
                <w:rFonts w:cs="Arial"/>
                <w:color w:val="000000"/>
                <w:sz w:val="18"/>
                <w:szCs w:val="18"/>
                <w:lang w:eastAsia="sv-SE"/>
              </w:rPr>
              <w:t>2011c</w:t>
            </w:r>
          </w:p>
        </w:tc>
        <w:tc>
          <w:tcPr>
            <w:tcW w:w="2823" w:type="dxa"/>
            <w:shd w:val="clear" w:color="auto" w:fill="auto"/>
            <w:vAlign w:val="center"/>
          </w:tcPr>
          <w:p w14:paraId="023BD59B" w14:textId="0D5FFA4F" w:rsidR="00C20371" w:rsidRPr="00B65D57" w:rsidRDefault="00C20371" w:rsidP="00C20371">
            <w:pPr>
              <w:rPr>
                <w:rFonts w:cs="Arial"/>
                <w:color w:val="000000"/>
                <w:sz w:val="18"/>
                <w:szCs w:val="18"/>
                <w:lang w:eastAsia="sv-SE"/>
              </w:rPr>
            </w:pPr>
            <w:r w:rsidRPr="00F8054E">
              <w:rPr>
                <w:rFonts w:cs="Arial"/>
                <w:color w:val="000000"/>
                <w:sz w:val="18"/>
                <w:szCs w:val="18"/>
                <w:lang w:val="sv-SE" w:eastAsia="sv-SE"/>
              </w:rPr>
              <w:t xml:space="preserve">Kvantitativ bestämning av borater i prover från leror med marint ursprung. </w:t>
            </w:r>
            <w:r w:rsidRPr="00B65D57">
              <w:rPr>
                <w:rFonts w:cs="Arial"/>
                <w:color w:val="000000"/>
                <w:sz w:val="18"/>
                <w:szCs w:val="18"/>
                <w:lang w:eastAsia="sv-SE"/>
              </w:rPr>
              <w:t>Rapport 2011:5.</w:t>
            </w:r>
            <w:r w:rsidR="005D0D7C">
              <w:rPr>
                <w:rFonts w:cs="Arial"/>
                <w:color w:val="000000"/>
                <w:sz w:val="18"/>
                <w:szCs w:val="18"/>
                <w:lang w:eastAsia="sv-SE"/>
              </w:rPr>
              <w:t xml:space="preserve"> </w:t>
            </w:r>
            <w:r w:rsidR="005D0D7C">
              <w:rPr>
                <w:rStyle w:val="cf01"/>
              </w:rPr>
              <w:t>Not GLP / Unpublished</w:t>
            </w:r>
          </w:p>
          <w:p w14:paraId="4C7E3A7A" w14:textId="77777777" w:rsidR="00C20371" w:rsidRPr="00B65D57" w:rsidRDefault="00C20371" w:rsidP="00C20371">
            <w:pPr>
              <w:rPr>
                <w:rFonts w:cs="Arial"/>
                <w:color w:val="000000"/>
                <w:sz w:val="18"/>
                <w:szCs w:val="18"/>
                <w:lang w:eastAsia="sv-SE"/>
              </w:rPr>
            </w:pPr>
          </w:p>
        </w:tc>
        <w:tc>
          <w:tcPr>
            <w:tcW w:w="1586" w:type="dxa"/>
            <w:vAlign w:val="center"/>
          </w:tcPr>
          <w:p w14:paraId="219649BE" w14:textId="1891A381" w:rsidR="00C20371" w:rsidRPr="00B65D57" w:rsidRDefault="00641894" w:rsidP="00C20371">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1D97CC53" w14:textId="77777777" w:rsidR="00C20371" w:rsidRPr="00B65D57" w:rsidRDefault="00C20371" w:rsidP="00C20371">
            <w:pPr>
              <w:rPr>
                <w:rFonts w:cs="Arial"/>
                <w:color w:val="000000"/>
                <w:sz w:val="18"/>
                <w:szCs w:val="18"/>
                <w:lang w:eastAsia="sv-SE"/>
              </w:rPr>
            </w:pPr>
          </w:p>
        </w:tc>
      </w:tr>
      <w:tr w:rsidR="00DF0198" w:rsidRPr="00B65D57" w14:paraId="68FF3BEE" w14:textId="77777777" w:rsidTr="00DF0198">
        <w:trPr>
          <w:trHeight w:val="1056"/>
        </w:trPr>
        <w:tc>
          <w:tcPr>
            <w:tcW w:w="1848" w:type="dxa"/>
            <w:shd w:val="clear" w:color="auto" w:fill="auto"/>
            <w:vAlign w:val="center"/>
          </w:tcPr>
          <w:p w14:paraId="7111EB13" w14:textId="6FFC11FB"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Theorin, M.</w:t>
            </w:r>
          </w:p>
        </w:tc>
        <w:tc>
          <w:tcPr>
            <w:tcW w:w="1106" w:type="dxa"/>
            <w:shd w:val="clear" w:color="auto" w:fill="auto"/>
            <w:vAlign w:val="center"/>
          </w:tcPr>
          <w:p w14:paraId="577429A4" w14:textId="344AB269"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2011</w:t>
            </w:r>
            <w:r>
              <w:rPr>
                <w:rFonts w:cs="Arial"/>
                <w:color w:val="000000"/>
                <w:sz w:val="18"/>
                <w:szCs w:val="18"/>
                <w:lang w:eastAsia="sv-SE"/>
              </w:rPr>
              <w:t>d</w:t>
            </w:r>
          </w:p>
        </w:tc>
        <w:tc>
          <w:tcPr>
            <w:tcW w:w="2823" w:type="dxa"/>
            <w:shd w:val="clear" w:color="auto" w:fill="auto"/>
            <w:vAlign w:val="center"/>
          </w:tcPr>
          <w:p w14:paraId="30AB3319" w14:textId="77777777" w:rsidR="00DF0198" w:rsidRPr="00F8054E" w:rsidRDefault="00DF0198" w:rsidP="00DF0198">
            <w:pPr>
              <w:rPr>
                <w:rFonts w:cs="Arial"/>
                <w:color w:val="000000"/>
                <w:sz w:val="18"/>
                <w:szCs w:val="18"/>
                <w:lang w:val="sv-SE" w:eastAsia="sv-SE"/>
              </w:rPr>
            </w:pPr>
            <w:r w:rsidRPr="00F8054E">
              <w:rPr>
                <w:rFonts w:cs="Arial"/>
                <w:color w:val="000000"/>
                <w:sz w:val="18"/>
                <w:szCs w:val="18"/>
                <w:lang w:val="sv-SE" w:eastAsia="sv-SE"/>
              </w:rPr>
              <w:t>Bestämning av fysikaliska egenskaper for bentonitförtjockad Jerbor (Eurobor)</w:t>
            </w:r>
          </w:p>
          <w:p w14:paraId="32D40E77" w14:textId="77777777"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Report no. 2011:6</w:t>
            </w:r>
          </w:p>
          <w:p w14:paraId="1E6E6E98" w14:textId="0C3BB08B" w:rsidR="00DF0198" w:rsidRPr="00DF0198" w:rsidRDefault="00DF0198" w:rsidP="00DF0198">
            <w:pPr>
              <w:rPr>
                <w:rFonts w:cs="Arial"/>
                <w:color w:val="000000"/>
                <w:sz w:val="18"/>
                <w:szCs w:val="18"/>
                <w:lang w:eastAsia="sv-SE"/>
              </w:rPr>
            </w:pPr>
            <w:r w:rsidRPr="00B65D57">
              <w:rPr>
                <w:rFonts w:cs="Arial"/>
                <w:color w:val="000000"/>
                <w:sz w:val="18"/>
                <w:szCs w:val="18"/>
                <w:lang w:eastAsia="sv-SE"/>
              </w:rPr>
              <w:t>Not GLP / Unpublished</w:t>
            </w:r>
          </w:p>
        </w:tc>
        <w:tc>
          <w:tcPr>
            <w:tcW w:w="1586" w:type="dxa"/>
            <w:vAlign w:val="center"/>
          </w:tcPr>
          <w:p w14:paraId="0D9573EB" w14:textId="68F078A5" w:rsidR="00DF0198" w:rsidRDefault="00DF0198" w:rsidP="00DF0198">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398CC8C7" w14:textId="6C513BF6"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Jerbol System AB</w:t>
            </w:r>
          </w:p>
        </w:tc>
      </w:tr>
      <w:tr w:rsidR="00DF0198" w:rsidRPr="00B65D57" w14:paraId="46FC16C5" w14:textId="77777777" w:rsidTr="00DF0198">
        <w:trPr>
          <w:trHeight w:val="1056"/>
        </w:trPr>
        <w:tc>
          <w:tcPr>
            <w:tcW w:w="1848" w:type="dxa"/>
            <w:shd w:val="clear" w:color="auto" w:fill="auto"/>
            <w:vAlign w:val="center"/>
          </w:tcPr>
          <w:p w14:paraId="4C845CA6" w14:textId="25767EEB" w:rsidR="00DF0198" w:rsidRPr="00DA61BD" w:rsidRDefault="00DF0198" w:rsidP="00DF0198">
            <w:pPr>
              <w:rPr>
                <w:rFonts w:cs="Arial"/>
                <w:color w:val="000000"/>
                <w:sz w:val="18"/>
                <w:szCs w:val="18"/>
                <w:highlight w:val="yellow"/>
                <w:lang w:val="sv-SE" w:eastAsia="sv-SE"/>
              </w:rPr>
            </w:pPr>
            <w:bookmarkStart w:id="1977" w:name="_Hlk113966336"/>
            <w:r w:rsidRPr="00DA61BD">
              <w:rPr>
                <w:rFonts w:cs="Arial"/>
                <w:color w:val="000000"/>
                <w:sz w:val="18"/>
                <w:szCs w:val="18"/>
                <w:lang w:val="sv-SE" w:eastAsia="sv-SE"/>
              </w:rPr>
              <w:t xml:space="preserve">Theorin, M., Fimmerstad, K. </w:t>
            </w:r>
            <w:r>
              <w:rPr>
                <w:rFonts w:cs="Arial"/>
                <w:color w:val="000000"/>
                <w:sz w:val="18"/>
                <w:szCs w:val="18"/>
                <w:lang w:val="sv-SE" w:eastAsia="sv-SE"/>
              </w:rPr>
              <w:t xml:space="preserve">and </w:t>
            </w:r>
            <w:r w:rsidRPr="00DA61BD">
              <w:rPr>
                <w:rFonts w:cs="Arial"/>
                <w:color w:val="000000"/>
                <w:sz w:val="18"/>
                <w:szCs w:val="18"/>
                <w:lang w:val="sv-SE" w:eastAsia="sv-SE"/>
              </w:rPr>
              <w:t xml:space="preserve">Bandh </w:t>
            </w:r>
            <w:r>
              <w:rPr>
                <w:rFonts w:cs="Arial"/>
                <w:color w:val="000000"/>
                <w:sz w:val="18"/>
                <w:szCs w:val="18"/>
                <w:lang w:val="sv-SE" w:eastAsia="sv-SE"/>
              </w:rPr>
              <w:t>K-M.</w:t>
            </w:r>
            <w:bookmarkEnd w:id="1977"/>
          </w:p>
        </w:tc>
        <w:tc>
          <w:tcPr>
            <w:tcW w:w="1106" w:type="dxa"/>
            <w:shd w:val="clear" w:color="auto" w:fill="auto"/>
            <w:vAlign w:val="center"/>
          </w:tcPr>
          <w:p w14:paraId="0CE32027" w14:textId="6CAA882D" w:rsidR="00DF0198" w:rsidRPr="0048368E" w:rsidRDefault="00DF0198" w:rsidP="00DF0198">
            <w:pPr>
              <w:rPr>
                <w:rFonts w:cs="Arial"/>
                <w:color w:val="000000"/>
                <w:sz w:val="18"/>
                <w:szCs w:val="18"/>
                <w:highlight w:val="yellow"/>
                <w:lang w:eastAsia="sv-SE"/>
              </w:rPr>
            </w:pPr>
            <w:r w:rsidRPr="00DA61BD">
              <w:rPr>
                <w:rFonts w:cs="Arial"/>
                <w:color w:val="000000"/>
                <w:sz w:val="18"/>
                <w:szCs w:val="18"/>
                <w:lang w:eastAsia="sv-SE"/>
              </w:rPr>
              <w:t>2011</w:t>
            </w:r>
          </w:p>
        </w:tc>
        <w:tc>
          <w:tcPr>
            <w:tcW w:w="2823" w:type="dxa"/>
            <w:shd w:val="clear" w:color="auto" w:fill="auto"/>
            <w:vAlign w:val="center"/>
          </w:tcPr>
          <w:p w14:paraId="7FE7FB3F" w14:textId="77777777" w:rsidR="00DF0198" w:rsidRPr="006A7DF0" w:rsidRDefault="00DF0198" w:rsidP="00DF0198">
            <w:pPr>
              <w:rPr>
                <w:rFonts w:cs="Arial"/>
                <w:color w:val="000000"/>
                <w:sz w:val="18"/>
                <w:szCs w:val="18"/>
                <w:lang w:eastAsia="sv-SE"/>
              </w:rPr>
            </w:pPr>
            <w:r w:rsidRPr="006A7DF0">
              <w:rPr>
                <w:rFonts w:cs="Arial"/>
                <w:color w:val="000000"/>
                <w:sz w:val="18"/>
                <w:szCs w:val="18"/>
                <w:lang w:eastAsia="sv-SE"/>
              </w:rPr>
              <w:t>Effectiveness of Water Based Bentonite-Borate Slurry for In-situ</w:t>
            </w:r>
          </w:p>
          <w:p w14:paraId="019EAA35" w14:textId="77777777" w:rsidR="00DF0198" w:rsidRPr="006A7DF0" w:rsidRDefault="00DF0198" w:rsidP="00DF0198">
            <w:pPr>
              <w:rPr>
                <w:rFonts w:cs="Arial"/>
                <w:color w:val="000000"/>
                <w:sz w:val="18"/>
                <w:szCs w:val="18"/>
                <w:lang w:eastAsia="sv-SE"/>
              </w:rPr>
            </w:pPr>
            <w:r w:rsidRPr="006A7DF0">
              <w:rPr>
                <w:rFonts w:cs="Arial"/>
                <w:color w:val="000000"/>
                <w:sz w:val="18"/>
                <w:szCs w:val="18"/>
                <w:lang w:eastAsia="sv-SE"/>
              </w:rPr>
              <w:t>Remedial Protection of Historic Wooden Piles:</w:t>
            </w:r>
          </w:p>
          <w:p w14:paraId="00553577" w14:textId="696059D7" w:rsidR="00DF0198" w:rsidRPr="0048368E" w:rsidRDefault="00DF0198" w:rsidP="00DF0198">
            <w:pPr>
              <w:rPr>
                <w:rFonts w:cs="Arial"/>
                <w:color w:val="000000"/>
                <w:sz w:val="18"/>
                <w:szCs w:val="18"/>
                <w:highlight w:val="yellow"/>
                <w:lang w:eastAsia="sv-SE"/>
              </w:rPr>
            </w:pPr>
            <w:r w:rsidRPr="006A7DF0">
              <w:rPr>
                <w:rFonts w:cs="Arial"/>
                <w:color w:val="000000"/>
                <w:sz w:val="18"/>
                <w:szCs w:val="18"/>
                <w:lang w:eastAsia="sv-SE"/>
              </w:rPr>
              <w:t>The Eurobor Protocol, Part 2</w:t>
            </w:r>
            <w:r>
              <w:rPr>
                <w:rFonts w:cs="Arial"/>
                <w:color w:val="000000"/>
                <w:sz w:val="18"/>
                <w:szCs w:val="18"/>
                <w:lang w:eastAsia="sv-SE"/>
              </w:rPr>
              <w:t xml:space="preserve"> (</w:t>
            </w:r>
            <w:r w:rsidRPr="006A7DF0">
              <w:rPr>
                <w:rFonts w:cs="Arial"/>
                <w:color w:val="000000"/>
                <w:sz w:val="18"/>
                <w:szCs w:val="18"/>
                <w:lang w:eastAsia="sv-SE"/>
              </w:rPr>
              <w:t>IRG/WP 11-30574</w:t>
            </w:r>
            <w:r>
              <w:rPr>
                <w:rFonts w:cs="Arial"/>
                <w:color w:val="000000"/>
                <w:sz w:val="18"/>
                <w:szCs w:val="18"/>
                <w:lang w:eastAsia="sv-SE"/>
              </w:rPr>
              <w:t xml:space="preserve">). </w:t>
            </w:r>
            <w:r>
              <w:rPr>
                <w:rStyle w:val="cf01"/>
              </w:rPr>
              <w:t>Not GLP / Unpublished</w:t>
            </w:r>
          </w:p>
        </w:tc>
        <w:tc>
          <w:tcPr>
            <w:tcW w:w="1586" w:type="dxa"/>
            <w:vAlign w:val="center"/>
          </w:tcPr>
          <w:p w14:paraId="5FF0B9AC" w14:textId="263A4A35" w:rsidR="00DF0198" w:rsidRPr="00B65D57" w:rsidRDefault="00DF0198" w:rsidP="00DF0198">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310FD21B" w14:textId="77777777" w:rsidR="00DF0198" w:rsidRPr="00B65D57" w:rsidRDefault="00DF0198" w:rsidP="00DF0198">
            <w:pPr>
              <w:rPr>
                <w:rFonts w:cs="Arial"/>
                <w:color w:val="000000"/>
                <w:sz w:val="18"/>
                <w:szCs w:val="18"/>
                <w:lang w:eastAsia="sv-SE"/>
              </w:rPr>
            </w:pPr>
          </w:p>
        </w:tc>
      </w:tr>
      <w:tr w:rsidR="00DF0198" w:rsidRPr="00B65D57" w14:paraId="1804BA8A" w14:textId="77777777" w:rsidTr="00DF0198">
        <w:trPr>
          <w:trHeight w:val="1056"/>
        </w:trPr>
        <w:tc>
          <w:tcPr>
            <w:tcW w:w="1848" w:type="dxa"/>
            <w:shd w:val="clear" w:color="auto" w:fill="auto"/>
            <w:vAlign w:val="center"/>
          </w:tcPr>
          <w:p w14:paraId="5D796C7E" w14:textId="64968DDF"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USDA</w:t>
            </w:r>
          </w:p>
        </w:tc>
        <w:tc>
          <w:tcPr>
            <w:tcW w:w="1106" w:type="dxa"/>
            <w:shd w:val="clear" w:color="auto" w:fill="auto"/>
            <w:vAlign w:val="center"/>
          </w:tcPr>
          <w:p w14:paraId="1644101E" w14:textId="7ECD9CA5"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2008</w:t>
            </w:r>
          </w:p>
        </w:tc>
        <w:tc>
          <w:tcPr>
            <w:tcW w:w="2823" w:type="dxa"/>
            <w:shd w:val="clear" w:color="auto" w:fill="auto"/>
            <w:vAlign w:val="center"/>
          </w:tcPr>
          <w:p w14:paraId="4C2B096B" w14:textId="30FF5C2E"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USDA Natural Resources Conservation Service, 2008. Soil Quality Indicators.</w:t>
            </w:r>
          </w:p>
        </w:tc>
        <w:tc>
          <w:tcPr>
            <w:tcW w:w="1586" w:type="dxa"/>
            <w:vAlign w:val="center"/>
          </w:tcPr>
          <w:p w14:paraId="2A152264" w14:textId="77777777" w:rsidR="00DF0198" w:rsidRPr="00B65D57" w:rsidRDefault="00DF0198" w:rsidP="00DF0198">
            <w:pPr>
              <w:rPr>
                <w:rFonts w:cs="Arial"/>
                <w:color w:val="000000"/>
                <w:sz w:val="18"/>
                <w:szCs w:val="18"/>
                <w:lang w:eastAsia="sv-SE"/>
              </w:rPr>
            </w:pPr>
          </w:p>
        </w:tc>
        <w:tc>
          <w:tcPr>
            <w:tcW w:w="906" w:type="dxa"/>
            <w:shd w:val="clear" w:color="auto" w:fill="auto"/>
            <w:vAlign w:val="center"/>
          </w:tcPr>
          <w:p w14:paraId="07D52BFA" w14:textId="77777777" w:rsidR="00DF0198" w:rsidRPr="00B65D57" w:rsidRDefault="00DF0198" w:rsidP="00DF0198">
            <w:pPr>
              <w:rPr>
                <w:rFonts w:cs="Arial"/>
                <w:color w:val="000000"/>
                <w:sz w:val="18"/>
                <w:szCs w:val="18"/>
                <w:lang w:eastAsia="sv-SE"/>
              </w:rPr>
            </w:pPr>
          </w:p>
        </w:tc>
      </w:tr>
      <w:tr w:rsidR="00DF0198" w:rsidRPr="00B65D57" w14:paraId="69BD0F7C" w14:textId="77777777" w:rsidTr="00DF0198">
        <w:trPr>
          <w:trHeight w:val="1056"/>
        </w:trPr>
        <w:tc>
          <w:tcPr>
            <w:tcW w:w="1848" w:type="dxa"/>
            <w:shd w:val="clear" w:color="auto" w:fill="auto"/>
            <w:vAlign w:val="center"/>
          </w:tcPr>
          <w:p w14:paraId="490BE531" w14:textId="5B2C0C7D"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Vickman, A.</w:t>
            </w:r>
          </w:p>
        </w:tc>
        <w:tc>
          <w:tcPr>
            <w:tcW w:w="1106" w:type="dxa"/>
            <w:shd w:val="clear" w:color="auto" w:fill="auto"/>
            <w:vAlign w:val="center"/>
          </w:tcPr>
          <w:p w14:paraId="6864602A" w14:textId="43E80255"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2011</w:t>
            </w:r>
          </w:p>
        </w:tc>
        <w:tc>
          <w:tcPr>
            <w:tcW w:w="2823" w:type="dxa"/>
            <w:shd w:val="clear" w:color="auto" w:fill="auto"/>
            <w:vAlign w:val="center"/>
          </w:tcPr>
          <w:p w14:paraId="6DCA2384" w14:textId="736872AF" w:rsidR="00DF0198" w:rsidRPr="00B65D57" w:rsidRDefault="00DF0198" w:rsidP="00DF0198">
            <w:pPr>
              <w:rPr>
                <w:rFonts w:cs="Arial"/>
                <w:color w:val="000000"/>
                <w:sz w:val="18"/>
                <w:szCs w:val="18"/>
                <w:lang w:eastAsia="sv-SE"/>
              </w:rPr>
            </w:pPr>
            <w:r w:rsidRPr="00F8054E">
              <w:rPr>
                <w:rFonts w:cs="Arial"/>
                <w:color w:val="000000"/>
                <w:sz w:val="18"/>
                <w:szCs w:val="18"/>
                <w:lang w:val="sv-SE" w:eastAsia="sv-SE"/>
              </w:rPr>
              <w:t xml:space="preserve">Emissionsscenario - Användning av Jerbor enligt Eurobormetoden. </w:t>
            </w:r>
            <w:r w:rsidRPr="00B65D57">
              <w:rPr>
                <w:rFonts w:cs="Arial"/>
                <w:color w:val="000000"/>
                <w:sz w:val="18"/>
                <w:szCs w:val="18"/>
                <w:lang w:eastAsia="sv-SE"/>
              </w:rPr>
              <w:t>Rapport WSP.</w:t>
            </w:r>
            <w:r>
              <w:rPr>
                <w:rFonts w:cs="Arial"/>
                <w:color w:val="000000"/>
                <w:sz w:val="18"/>
                <w:szCs w:val="18"/>
                <w:lang w:eastAsia="sv-SE"/>
              </w:rPr>
              <w:t xml:space="preserve"> </w:t>
            </w:r>
            <w:r>
              <w:rPr>
                <w:rStyle w:val="cf01"/>
              </w:rPr>
              <w:t>Not GLP / Unpublished</w:t>
            </w:r>
          </w:p>
        </w:tc>
        <w:tc>
          <w:tcPr>
            <w:tcW w:w="1586" w:type="dxa"/>
            <w:vAlign w:val="center"/>
          </w:tcPr>
          <w:p w14:paraId="7EC16D3E" w14:textId="253D8B87" w:rsidR="00DF0198" w:rsidRPr="00B65D57" w:rsidRDefault="00DF0198" w:rsidP="00DF0198">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5D88F21C" w14:textId="77777777" w:rsidR="00DF0198" w:rsidRPr="00B65D57" w:rsidRDefault="00DF0198" w:rsidP="00DF0198">
            <w:pPr>
              <w:rPr>
                <w:rFonts w:cs="Arial"/>
                <w:color w:val="000000"/>
                <w:sz w:val="18"/>
                <w:szCs w:val="18"/>
                <w:lang w:eastAsia="sv-SE"/>
              </w:rPr>
            </w:pPr>
          </w:p>
        </w:tc>
      </w:tr>
      <w:tr w:rsidR="00DF0198" w:rsidRPr="00B65D57" w14:paraId="4F140F60" w14:textId="77777777" w:rsidTr="00DF0198">
        <w:trPr>
          <w:trHeight w:val="1056"/>
        </w:trPr>
        <w:tc>
          <w:tcPr>
            <w:tcW w:w="1848" w:type="dxa"/>
            <w:shd w:val="clear" w:color="auto" w:fill="auto"/>
            <w:vAlign w:val="center"/>
          </w:tcPr>
          <w:p w14:paraId="34F27F3B" w14:textId="25ABD853" w:rsidR="00DF0198" w:rsidRPr="00821EDA" w:rsidRDefault="00DF0198" w:rsidP="00DF0198">
            <w:pPr>
              <w:rPr>
                <w:rFonts w:cs="Arial"/>
                <w:color w:val="000000"/>
                <w:sz w:val="18"/>
                <w:szCs w:val="18"/>
                <w:lang w:eastAsia="sv-SE"/>
              </w:rPr>
            </w:pPr>
            <w:r w:rsidRPr="00821EDA">
              <w:rPr>
                <w:rFonts w:cs="Arial"/>
                <w:color w:val="000000"/>
                <w:sz w:val="18"/>
                <w:szCs w:val="18"/>
                <w:lang w:eastAsia="sv-SE"/>
              </w:rPr>
              <w:lastRenderedPageBreak/>
              <w:t>Vickman, A. and Bandh, K.M.</w:t>
            </w:r>
          </w:p>
        </w:tc>
        <w:tc>
          <w:tcPr>
            <w:tcW w:w="1106" w:type="dxa"/>
            <w:shd w:val="clear" w:color="auto" w:fill="auto"/>
            <w:vAlign w:val="center"/>
          </w:tcPr>
          <w:p w14:paraId="5607DBB1" w14:textId="77777777"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2011</w:t>
            </w:r>
          </w:p>
        </w:tc>
        <w:tc>
          <w:tcPr>
            <w:tcW w:w="2823" w:type="dxa"/>
            <w:shd w:val="clear" w:color="auto" w:fill="auto"/>
            <w:vAlign w:val="center"/>
          </w:tcPr>
          <w:p w14:paraId="0683E64D" w14:textId="53480B60" w:rsidR="00DF0198" w:rsidRPr="00B65D57" w:rsidRDefault="00DF0198" w:rsidP="00DF0198">
            <w:pPr>
              <w:rPr>
                <w:rFonts w:cs="Arial"/>
                <w:color w:val="000000"/>
                <w:sz w:val="18"/>
                <w:szCs w:val="18"/>
                <w:lang w:eastAsia="sv-SE"/>
              </w:rPr>
            </w:pPr>
            <w:r w:rsidRPr="00F8054E">
              <w:rPr>
                <w:rFonts w:cs="Arial"/>
                <w:color w:val="000000"/>
                <w:sz w:val="18"/>
                <w:szCs w:val="18"/>
                <w:lang w:val="sv-SE" w:eastAsia="sv-SE"/>
              </w:rPr>
              <w:t xml:space="preserve">Beskrivning av behandlingsmiljön – Användning av Jerbor enligt Eurobormetoden. </w:t>
            </w:r>
            <w:r w:rsidRPr="00B65D57">
              <w:rPr>
                <w:rFonts w:cs="Arial"/>
                <w:color w:val="000000"/>
                <w:sz w:val="18"/>
                <w:szCs w:val="18"/>
                <w:lang w:eastAsia="sv-SE"/>
              </w:rPr>
              <w:t>Rapport WSP.</w:t>
            </w:r>
            <w:r>
              <w:rPr>
                <w:rFonts w:cs="Arial"/>
                <w:color w:val="000000"/>
                <w:sz w:val="18"/>
                <w:szCs w:val="18"/>
                <w:lang w:eastAsia="sv-SE"/>
              </w:rPr>
              <w:t xml:space="preserve"> </w:t>
            </w:r>
            <w:r>
              <w:rPr>
                <w:rStyle w:val="cf01"/>
              </w:rPr>
              <w:t>Not GLP / Unpublished</w:t>
            </w:r>
          </w:p>
        </w:tc>
        <w:tc>
          <w:tcPr>
            <w:tcW w:w="1586" w:type="dxa"/>
            <w:vAlign w:val="center"/>
          </w:tcPr>
          <w:p w14:paraId="0D26D904" w14:textId="451E7D54" w:rsidR="00DF0198" w:rsidRPr="00B65D57" w:rsidRDefault="00DF0198" w:rsidP="00DF0198">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2660150B" w14:textId="77777777" w:rsidR="00DF0198" w:rsidRPr="00B65D57" w:rsidRDefault="00DF0198" w:rsidP="00DF0198">
            <w:pPr>
              <w:rPr>
                <w:rFonts w:cs="Arial"/>
                <w:color w:val="000000"/>
                <w:sz w:val="18"/>
                <w:szCs w:val="18"/>
                <w:lang w:eastAsia="sv-SE"/>
              </w:rPr>
            </w:pPr>
          </w:p>
        </w:tc>
      </w:tr>
      <w:tr w:rsidR="00DF0198" w:rsidRPr="00B65D57" w14:paraId="3EB41DA0" w14:textId="77777777" w:rsidTr="00DF0198">
        <w:trPr>
          <w:trHeight w:val="1056"/>
        </w:trPr>
        <w:tc>
          <w:tcPr>
            <w:tcW w:w="1848" w:type="dxa"/>
            <w:shd w:val="clear" w:color="auto" w:fill="auto"/>
            <w:vAlign w:val="center"/>
          </w:tcPr>
          <w:p w14:paraId="395FBA20" w14:textId="15A9A201"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 xml:space="preserve">Vickman, A. </w:t>
            </w:r>
            <w:r>
              <w:rPr>
                <w:rFonts w:cs="Arial"/>
                <w:color w:val="000000"/>
                <w:sz w:val="18"/>
                <w:szCs w:val="18"/>
                <w:lang w:eastAsia="sv-SE"/>
              </w:rPr>
              <w:t>and</w:t>
            </w:r>
            <w:r w:rsidRPr="00B65D57">
              <w:rPr>
                <w:rFonts w:cs="Arial"/>
                <w:color w:val="000000"/>
                <w:sz w:val="18"/>
                <w:szCs w:val="18"/>
                <w:lang w:eastAsia="sv-SE"/>
              </w:rPr>
              <w:t xml:space="preserve"> Danielsson, L.</w:t>
            </w:r>
          </w:p>
        </w:tc>
        <w:tc>
          <w:tcPr>
            <w:tcW w:w="1106" w:type="dxa"/>
            <w:shd w:val="clear" w:color="auto" w:fill="auto"/>
            <w:vAlign w:val="center"/>
          </w:tcPr>
          <w:p w14:paraId="28742795" w14:textId="2AC12DFA"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2011</w:t>
            </w:r>
          </w:p>
        </w:tc>
        <w:tc>
          <w:tcPr>
            <w:tcW w:w="2823" w:type="dxa"/>
            <w:shd w:val="clear" w:color="auto" w:fill="auto"/>
            <w:vAlign w:val="center"/>
          </w:tcPr>
          <w:p w14:paraId="500D956E" w14:textId="77777777" w:rsidR="00DF0198" w:rsidRPr="00251079" w:rsidRDefault="00DF0198" w:rsidP="00DF0198">
            <w:pPr>
              <w:pStyle w:val="Absatz"/>
              <w:ind w:left="0"/>
              <w:rPr>
                <w:rFonts w:ascii="Verdana" w:hAnsi="Verdana" w:cs="Arial"/>
                <w:sz w:val="18"/>
                <w:szCs w:val="18"/>
                <w:lang w:val="sv-SE"/>
              </w:rPr>
            </w:pPr>
            <w:r w:rsidRPr="00F8054E">
              <w:rPr>
                <w:rFonts w:ascii="Verdana" w:hAnsi="Verdana" w:cs="Arial"/>
                <w:sz w:val="18"/>
                <w:szCs w:val="18"/>
                <w:lang w:val="sv-SE"/>
              </w:rPr>
              <w:t xml:space="preserve">Rapport: Spridningsundersökning vid injektering av Eurobor för bevarande av träpålar. </w:t>
            </w:r>
            <w:r w:rsidRPr="00251079">
              <w:rPr>
                <w:rFonts w:ascii="Verdana" w:hAnsi="Verdana" w:cs="Arial"/>
                <w:sz w:val="18"/>
                <w:szCs w:val="18"/>
                <w:lang w:val="sv-SE"/>
              </w:rPr>
              <w:t>Kobbarnas väg 2-8, Göteborgs stad.</w:t>
            </w:r>
          </w:p>
          <w:p w14:paraId="342A6CFC" w14:textId="77777777" w:rsidR="00DF0198" w:rsidRPr="00251079" w:rsidRDefault="00DF0198" w:rsidP="00DF0198">
            <w:pPr>
              <w:pStyle w:val="Absatz"/>
              <w:ind w:left="0"/>
              <w:rPr>
                <w:rFonts w:ascii="Verdana" w:hAnsi="Verdana" w:cs="Arial"/>
                <w:sz w:val="18"/>
                <w:szCs w:val="18"/>
                <w:lang w:val="sv-SE"/>
              </w:rPr>
            </w:pPr>
            <w:r w:rsidRPr="00251079">
              <w:rPr>
                <w:rFonts w:ascii="Verdana" w:hAnsi="Verdana" w:cs="Arial"/>
                <w:sz w:val="18"/>
                <w:szCs w:val="18"/>
                <w:lang w:val="sv-SE"/>
              </w:rPr>
              <w:t>Report no.</w:t>
            </w:r>
            <w:r w:rsidRPr="00251079">
              <w:rPr>
                <w:rFonts w:ascii="Verdana" w:hAnsi="Verdana"/>
                <w:sz w:val="18"/>
                <w:szCs w:val="18"/>
                <w:lang w:val="sv-SE"/>
              </w:rPr>
              <w:t xml:space="preserve"> </w:t>
            </w:r>
            <w:r w:rsidRPr="00251079">
              <w:rPr>
                <w:rFonts w:ascii="Verdana" w:hAnsi="Verdana" w:cs="Arial"/>
                <w:sz w:val="18"/>
                <w:szCs w:val="18"/>
                <w:lang w:val="sv-SE"/>
              </w:rPr>
              <w:t>K2208040</w:t>
            </w:r>
          </w:p>
          <w:p w14:paraId="0B1F3D53" w14:textId="5AA3D916" w:rsidR="00DF0198" w:rsidRPr="00251079" w:rsidRDefault="00DF0198" w:rsidP="00DF0198">
            <w:pPr>
              <w:rPr>
                <w:rFonts w:cs="Arial"/>
                <w:color w:val="000000"/>
                <w:sz w:val="18"/>
                <w:szCs w:val="18"/>
                <w:lang w:val="sv-SE" w:eastAsia="sv-SE"/>
              </w:rPr>
            </w:pPr>
            <w:r w:rsidRPr="00251079">
              <w:rPr>
                <w:rFonts w:cs="Arial"/>
                <w:color w:val="000000"/>
                <w:sz w:val="18"/>
                <w:szCs w:val="18"/>
                <w:lang w:val="sv-SE" w:eastAsia="sv-SE"/>
              </w:rPr>
              <w:t>Not GLP / Unpublished</w:t>
            </w:r>
          </w:p>
        </w:tc>
        <w:tc>
          <w:tcPr>
            <w:tcW w:w="1586" w:type="dxa"/>
            <w:vAlign w:val="center"/>
          </w:tcPr>
          <w:p w14:paraId="4880437D" w14:textId="5ACBFD27"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Y</w:t>
            </w:r>
          </w:p>
        </w:tc>
        <w:tc>
          <w:tcPr>
            <w:tcW w:w="906" w:type="dxa"/>
            <w:shd w:val="clear" w:color="auto" w:fill="auto"/>
            <w:vAlign w:val="center"/>
          </w:tcPr>
          <w:p w14:paraId="7BA9DDEF" w14:textId="5EBBAB0A"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Jerbol System AB</w:t>
            </w:r>
          </w:p>
        </w:tc>
      </w:tr>
      <w:tr w:rsidR="00DF0198" w:rsidRPr="00B65D57" w14:paraId="4D40D41E" w14:textId="77777777" w:rsidTr="00DF0198">
        <w:trPr>
          <w:trHeight w:val="1056"/>
        </w:trPr>
        <w:tc>
          <w:tcPr>
            <w:tcW w:w="1848" w:type="dxa"/>
            <w:shd w:val="clear" w:color="auto" w:fill="auto"/>
            <w:vAlign w:val="center"/>
          </w:tcPr>
          <w:p w14:paraId="4F9EC18C" w14:textId="61672046"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 xml:space="preserve">Vickman, A. </w:t>
            </w:r>
            <w:r>
              <w:rPr>
                <w:rFonts w:cs="Arial"/>
                <w:color w:val="000000"/>
                <w:sz w:val="18"/>
                <w:szCs w:val="18"/>
                <w:lang w:eastAsia="sv-SE"/>
              </w:rPr>
              <w:t>and</w:t>
            </w:r>
            <w:r w:rsidRPr="00B65D57">
              <w:rPr>
                <w:rFonts w:cs="Arial"/>
                <w:color w:val="000000"/>
                <w:sz w:val="18"/>
                <w:szCs w:val="18"/>
                <w:lang w:eastAsia="sv-SE"/>
              </w:rPr>
              <w:t xml:space="preserve"> Nilsson, A.</w:t>
            </w:r>
          </w:p>
        </w:tc>
        <w:tc>
          <w:tcPr>
            <w:tcW w:w="1106" w:type="dxa"/>
            <w:shd w:val="clear" w:color="auto" w:fill="auto"/>
            <w:vAlign w:val="center"/>
          </w:tcPr>
          <w:p w14:paraId="1873F260" w14:textId="77777777"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2011</w:t>
            </w:r>
          </w:p>
        </w:tc>
        <w:tc>
          <w:tcPr>
            <w:tcW w:w="2823" w:type="dxa"/>
            <w:shd w:val="clear" w:color="auto" w:fill="auto"/>
            <w:vAlign w:val="center"/>
          </w:tcPr>
          <w:p w14:paraId="33261089" w14:textId="601558EB" w:rsidR="00DF0198" w:rsidRPr="00B65D57" w:rsidRDefault="00DF0198" w:rsidP="00DF0198">
            <w:pPr>
              <w:rPr>
                <w:rFonts w:cs="Arial"/>
                <w:color w:val="000000"/>
                <w:sz w:val="18"/>
                <w:szCs w:val="18"/>
                <w:lang w:eastAsia="sv-SE"/>
              </w:rPr>
            </w:pPr>
            <w:r w:rsidRPr="00F8054E">
              <w:rPr>
                <w:rFonts w:cs="Arial"/>
                <w:color w:val="000000"/>
                <w:sz w:val="18"/>
                <w:szCs w:val="18"/>
                <w:lang w:val="sv-SE" w:eastAsia="sv-SE"/>
              </w:rPr>
              <w:t xml:space="preserve">Undersökningar av tidigare utförda Euroborbehandlingar. </w:t>
            </w:r>
            <w:r w:rsidRPr="00B65D57">
              <w:rPr>
                <w:rFonts w:cs="Arial"/>
                <w:color w:val="000000"/>
                <w:sz w:val="18"/>
                <w:szCs w:val="18"/>
                <w:lang w:eastAsia="sv-SE"/>
              </w:rPr>
              <w:t>Rapport WSP.</w:t>
            </w:r>
            <w:r>
              <w:rPr>
                <w:rFonts w:cs="Arial"/>
                <w:color w:val="000000"/>
                <w:sz w:val="18"/>
                <w:szCs w:val="18"/>
                <w:lang w:eastAsia="sv-SE"/>
              </w:rPr>
              <w:t xml:space="preserve"> </w:t>
            </w:r>
            <w:r>
              <w:rPr>
                <w:rStyle w:val="cf01"/>
              </w:rPr>
              <w:t>Not GLP / Unpublished</w:t>
            </w:r>
          </w:p>
          <w:p w14:paraId="5655326F" w14:textId="77777777" w:rsidR="00DF0198" w:rsidRPr="00B65D57" w:rsidRDefault="00DF0198" w:rsidP="00DF0198">
            <w:pPr>
              <w:rPr>
                <w:rFonts w:cs="Arial"/>
                <w:color w:val="000000"/>
                <w:sz w:val="18"/>
                <w:szCs w:val="18"/>
                <w:lang w:eastAsia="sv-SE"/>
              </w:rPr>
            </w:pPr>
          </w:p>
          <w:p w14:paraId="1D7C9DEC" w14:textId="77777777" w:rsidR="00DF0198" w:rsidRPr="00B65D57" w:rsidRDefault="00DF0198" w:rsidP="00DF0198">
            <w:pPr>
              <w:rPr>
                <w:rFonts w:cs="Arial"/>
                <w:color w:val="000000"/>
                <w:sz w:val="18"/>
                <w:szCs w:val="18"/>
                <w:lang w:eastAsia="sv-SE"/>
              </w:rPr>
            </w:pPr>
          </w:p>
        </w:tc>
        <w:tc>
          <w:tcPr>
            <w:tcW w:w="1586" w:type="dxa"/>
            <w:vAlign w:val="center"/>
          </w:tcPr>
          <w:p w14:paraId="50C33928" w14:textId="3DBADDB3" w:rsidR="00DF0198" w:rsidRPr="00B65D57" w:rsidRDefault="00DF0198" w:rsidP="00DF0198">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6C7485E0" w14:textId="77777777" w:rsidR="00DF0198" w:rsidRPr="00B65D57" w:rsidRDefault="00DF0198" w:rsidP="00DF0198">
            <w:pPr>
              <w:rPr>
                <w:rFonts w:cs="Arial"/>
                <w:color w:val="000000"/>
                <w:sz w:val="18"/>
                <w:szCs w:val="18"/>
                <w:lang w:eastAsia="sv-SE"/>
              </w:rPr>
            </w:pPr>
          </w:p>
        </w:tc>
      </w:tr>
      <w:tr w:rsidR="00DF0198" w:rsidRPr="00B65D57" w14:paraId="2C903E5F" w14:textId="77777777" w:rsidTr="00DF0198">
        <w:trPr>
          <w:trHeight w:val="1056"/>
        </w:trPr>
        <w:tc>
          <w:tcPr>
            <w:tcW w:w="1848" w:type="dxa"/>
            <w:shd w:val="clear" w:color="auto" w:fill="auto"/>
            <w:vAlign w:val="center"/>
          </w:tcPr>
          <w:p w14:paraId="4B16528C" w14:textId="20E1A494"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 xml:space="preserve">Vickman, A. </w:t>
            </w:r>
            <w:r>
              <w:rPr>
                <w:rFonts w:cs="Arial"/>
                <w:color w:val="000000"/>
                <w:sz w:val="18"/>
                <w:szCs w:val="18"/>
                <w:lang w:eastAsia="sv-SE"/>
              </w:rPr>
              <w:t>and</w:t>
            </w:r>
            <w:r w:rsidRPr="00B65D57">
              <w:rPr>
                <w:rFonts w:cs="Arial"/>
                <w:color w:val="000000"/>
                <w:sz w:val="18"/>
                <w:szCs w:val="18"/>
                <w:lang w:eastAsia="sv-SE"/>
              </w:rPr>
              <w:t xml:space="preserve"> Valtersson E.</w:t>
            </w:r>
          </w:p>
        </w:tc>
        <w:tc>
          <w:tcPr>
            <w:tcW w:w="1106" w:type="dxa"/>
            <w:shd w:val="clear" w:color="auto" w:fill="auto"/>
            <w:vAlign w:val="center"/>
          </w:tcPr>
          <w:p w14:paraId="3269A1EC" w14:textId="77777777"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2011</w:t>
            </w:r>
          </w:p>
        </w:tc>
        <w:tc>
          <w:tcPr>
            <w:tcW w:w="2823" w:type="dxa"/>
            <w:shd w:val="clear" w:color="auto" w:fill="auto"/>
            <w:vAlign w:val="center"/>
          </w:tcPr>
          <w:p w14:paraId="1975A524" w14:textId="2D428F0F" w:rsidR="00DF0198" w:rsidRPr="00B65D57" w:rsidRDefault="00DF0198" w:rsidP="00DF0198">
            <w:pPr>
              <w:rPr>
                <w:rFonts w:cs="Arial"/>
                <w:color w:val="000000"/>
                <w:sz w:val="18"/>
                <w:szCs w:val="18"/>
                <w:lang w:eastAsia="sv-SE"/>
              </w:rPr>
            </w:pPr>
            <w:r w:rsidRPr="00F8054E">
              <w:rPr>
                <w:rFonts w:cs="Arial"/>
                <w:color w:val="000000"/>
                <w:sz w:val="18"/>
                <w:szCs w:val="18"/>
                <w:lang w:val="sv-SE" w:eastAsia="sv-SE"/>
              </w:rPr>
              <w:t xml:space="preserve">Test av genomsläppligheten i fyllnadsmaterial Eurobormetoden. </w:t>
            </w:r>
            <w:r w:rsidRPr="00B65D57">
              <w:rPr>
                <w:rFonts w:cs="Arial"/>
                <w:color w:val="000000"/>
                <w:sz w:val="18"/>
                <w:szCs w:val="18"/>
                <w:lang w:eastAsia="sv-SE"/>
              </w:rPr>
              <w:t>WSP Environmental.</w:t>
            </w:r>
            <w:r>
              <w:rPr>
                <w:rFonts w:cs="Arial"/>
                <w:color w:val="000000"/>
                <w:sz w:val="18"/>
                <w:szCs w:val="18"/>
                <w:lang w:eastAsia="sv-SE"/>
              </w:rPr>
              <w:t xml:space="preserve"> </w:t>
            </w:r>
            <w:r>
              <w:rPr>
                <w:rStyle w:val="cf01"/>
              </w:rPr>
              <w:t>Not GLP / Unpublished</w:t>
            </w:r>
          </w:p>
          <w:p w14:paraId="514D17B7" w14:textId="77777777" w:rsidR="00DF0198" w:rsidRPr="00B65D57" w:rsidRDefault="00DF0198" w:rsidP="00DF0198">
            <w:pPr>
              <w:rPr>
                <w:rFonts w:cs="Arial"/>
                <w:color w:val="000000"/>
                <w:sz w:val="18"/>
                <w:szCs w:val="18"/>
                <w:lang w:eastAsia="sv-SE"/>
              </w:rPr>
            </w:pPr>
          </w:p>
          <w:p w14:paraId="1593A5D1" w14:textId="77777777" w:rsidR="00DF0198" w:rsidRPr="00B65D57" w:rsidRDefault="00DF0198" w:rsidP="00DF0198">
            <w:pPr>
              <w:rPr>
                <w:rFonts w:cs="Arial"/>
                <w:color w:val="000000"/>
                <w:sz w:val="18"/>
                <w:szCs w:val="18"/>
                <w:lang w:eastAsia="sv-SE"/>
              </w:rPr>
            </w:pPr>
          </w:p>
        </w:tc>
        <w:tc>
          <w:tcPr>
            <w:tcW w:w="1586" w:type="dxa"/>
            <w:vAlign w:val="center"/>
          </w:tcPr>
          <w:p w14:paraId="5C4D10B3" w14:textId="44D8023B" w:rsidR="00DF0198" w:rsidRPr="00B65D57" w:rsidRDefault="00DF0198" w:rsidP="00DF0198">
            <w:pPr>
              <w:rPr>
                <w:rFonts w:cs="Arial"/>
                <w:color w:val="000000"/>
                <w:sz w:val="18"/>
                <w:szCs w:val="18"/>
                <w:lang w:eastAsia="sv-SE"/>
              </w:rPr>
            </w:pPr>
            <w:r>
              <w:rPr>
                <w:rFonts w:cs="Arial"/>
                <w:color w:val="000000"/>
                <w:sz w:val="18"/>
                <w:szCs w:val="18"/>
                <w:lang w:eastAsia="sv-SE"/>
              </w:rPr>
              <w:t>Y</w:t>
            </w:r>
          </w:p>
        </w:tc>
        <w:tc>
          <w:tcPr>
            <w:tcW w:w="906" w:type="dxa"/>
            <w:shd w:val="clear" w:color="auto" w:fill="auto"/>
            <w:vAlign w:val="center"/>
          </w:tcPr>
          <w:p w14:paraId="138691B3" w14:textId="77777777" w:rsidR="00DF0198" w:rsidRPr="00B65D57" w:rsidRDefault="00DF0198" w:rsidP="00DF0198">
            <w:pPr>
              <w:rPr>
                <w:rFonts w:cs="Arial"/>
                <w:color w:val="000000"/>
                <w:sz w:val="18"/>
                <w:szCs w:val="18"/>
                <w:lang w:eastAsia="sv-SE"/>
              </w:rPr>
            </w:pPr>
          </w:p>
        </w:tc>
      </w:tr>
      <w:tr w:rsidR="00DF0198" w:rsidRPr="00B65D57" w14:paraId="7DFB10E3" w14:textId="77777777" w:rsidTr="00DF0198">
        <w:trPr>
          <w:trHeight w:val="1056"/>
        </w:trPr>
        <w:tc>
          <w:tcPr>
            <w:tcW w:w="1848" w:type="dxa"/>
            <w:shd w:val="clear" w:color="auto" w:fill="auto"/>
            <w:vAlign w:val="center"/>
          </w:tcPr>
          <w:p w14:paraId="6F0A27D6" w14:textId="09BF0948"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 xml:space="preserve">Zheng, C. </w:t>
            </w:r>
            <w:r>
              <w:rPr>
                <w:rFonts w:cs="Arial"/>
                <w:color w:val="000000"/>
                <w:sz w:val="18"/>
                <w:szCs w:val="18"/>
                <w:lang w:eastAsia="sv-SE"/>
              </w:rPr>
              <w:t>and</w:t>
            </w:r>
            <w:r w:rsidRPr="00B65D57">
              <w:rPr>
                <w:rFonts w:cs="Arial"/>
                <w:color w:val="000000"/>
                <w:sz w:val="18"/>
                <w:szCs w:val="18"/>
                <w:lang w:eastAsia="sv-SE"/>
              </w:rPr>
              <w:t xml:space="preserve"> Wang, P. P.</w:t>
            </w:r>
          </w:p>
        </w:tc>
        <w:tc>
          <w:tcPr>
            <w:tcW w:w="1106" w:type="dxa"/>
            <w:shd w:val="clear" w:color="auto" w:fill="auto"/>
            <w:vAlign w:val="center"/>
          </w:tcPr>
          <w:p w14:paraId="73A7294F" w14:textId="77777777"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1999</w:t>
            </w:r>
          </w:p>
        </w:tc>
        <w:tc>
          <w:tcPr>
            <w:tcW w:w="2823" w:type="dxa"/>
            <w:shd w:val="clear" w:color="auto" w:fill="auto"/>
            <w:vAlign w:val="center"/>
          </w:tcPr>
          <w:p w14:paraId="6EE8C38B" w14:textId="77777777" w:rsidR="00DF0198" w:rsidRPr="00B65D57" w:rsidRDefault="00DF0198" w:rsidP="00DF0198">
            <w:pPr>
              <w:rPr>
                <w:rFonts w:cs="Arial"/>
                <w:color w:val="000000"/>
                <w:sz w:val="18"/>
                <w:szCs w:val="18"/>
                <w:lang w:eastAsia="sv-SE"/>
              </w:rPr>
            </w:pPr>
            <w:r w:rsidRPr="00B65D57">
              <w:rPr>
                <w:rFonts w:cs="Arial"/>
                <w:color w:val="000000"/>
                <w:sz w:val="18"/>
                <w:szCs w:val="18"/>
                <w:lang w:eastAsia="sv-SE"/>
              </w:rPr>
              <w:t>MT3DMS: A modular three-dimensional multispecies transport model for simulation of advection, dispersion, and chemical reactions of contaminants in groundwater systems; documentation and user guide. US Army Corps of Engineers. Contract Report SERDP-99-1.</w:t>
            </w:r>
          </w:p>
          <w:p w14:paraId="72A29179" w14:textId="77777777" w:rsidR="00DF0198" w:rsidRPr="00B65D57" w:rsidRDefault="00DF0198" w:rsidP="00DF0198">
            <w:pPr>
              <w:rPr>
                <w:rFonts w:cs="Arial"/>
                <w:color w:val="000000"/>
                <w:sz w:val="18"/>
                <w:szCs w:val="18"/>
                <w:lang w:eastAsia="sv-SE"/>
              </w:rPr>
            </w:pPr>
          </w:p>
        </w:tc>
        <w:tc>
          <w:tcPr>
            <w:tcW w:w="1586" w:type="dxa"/>
            <w:vAlign w:val="center"/>
          </w:tcPr>
          <w:p w14:paraId="61B3B109" w14:textId="77777777" w:rsidR="00DF0198" w:rsidRPr="00B65D57" w:rsidRDefault="00DF0198" w:rsidP="00DF0198">
            <w:pPr>
              <w:rPr>
                <w:rFonts w:cs="Arial"/>
                <w:color w:val="000000"/>
                <w:sz w:val="18"/>
                <w:szCs w:val="18"/>
                <w:lang w:eastAsia="sv-SE"/>
              </w:rPr>
            </w:pPr>
          </w:p>
        </w:tc>
        <w:tc>
          <w:tcPr>
            <w:tcW w:w="906" w:type="dxa"/>
            <w:shd w:val="clear" w:color="auto" w:fill="auto"/>
            <w:vAlign w:val="center"/>
          </w:tcPr>
          <w:p w14:paraId="459B9DA1" w14:textId="77777777" w:rsidR="00DF0198" w:rsidRPr="00B65D57" w:rsidRDefault="00DF0198" w:rsidP="00DF0198">
            <w:pPr>
              <w:rPr>
                <w:rFonts w:cs="Arial"/>
                <w:color w:val="000000"/>
                <w:sz w:val="18"/>
                <w:szCs w:val="18"/>
                <w:lang w:eastAsia="sv-SE"/>
              </w:rPr>
            </w:pPr>
          </w:p>
        </w:tc>
      </w:tr>
    </w:tbl>
    <w:p w14:paraId="3611CAB8" w14:textId="77777777" w:rsidR="00070D59" w:rsidRPr="00B65D57" w:rsidRDefault="00070D59" w:rsidP="00070D59">
      <w:pPr>
        <w:pStyle w:val="Absatz"/>
        <w:ind w:left="0"/>
        <w:rPr>
          <w:rFonts w:ascii="Verdana" w:hAnsi="Verdana"/>
        </w:rPr>
      </w:pPr>
    </w:p>
    <w:p w14:paraId="691E82C8" w14:textId="77777777" w:rsidR="00B7313A" w:rsidRPr="00B65D57" w:rsidRDefault="00B7313A" w:rsidP="00B7313A">
      <w:pPr>
        <w:pStyle w:val="Absatz"/>
        <w:ind w:left="0"/>
        <w:rPr>
          <w:rFonts w:ascii="Verdana" w:hAnsi="Verdana"/>
        </w:rPr>
      </w:pPr>
    </w:p>
    <w:p w14:paraId="62DF0943" w14:textId="77777777" w:rsidR="00B7313A" w:rsidRPr="00B65D57" w:rsidRDefault="00B7313A" w:rsidP="00B7313A">
      <w:pPr>
        <w:pStyle w:val="Absatz"/>
        <w:ind w:left="0"/>
        <w:rPr>
          <w:rFonts w:ascii="Verdana" w:hAnsi="Verdana"/>
        </w:rPr>
      </w:pPr>
    </w:p>
    <w:p w14:paraId="16EDBCE1" w14:textId="77777777" w:rsidR="00B7313A" w:rsidRPr="00B65D57" w:rsidRDefault="00B7313A" w:rsidP="00B7313A">
      <w:pPr>
        <w:pStyle w:val="Absatz"/>
        <w:ind w:left="0"/>
        <w:rPr>
          <w:rFonts w:ascii="Verdana" w:hAnsi="Verdana"/>
        </w:rPr>
      </w:pPr>
    </w:p>
    <w:p w14:paraId="52566FDC" w14:textId="7420B0C2" w:rsidR="00A53EE0" w:rsidRPr="00B65D57" w:rsidRDefault="001F5CF2" w:rsidP="00223981">
      <w:pPr>
        <w:pStyle w:val="Rubrik2"/>
        <w:numPr>
          <w:ilvl w:val="0"/>
          <w:numId w:val="0"/>
        </w:numPr>
        <w:ind w:left="1080"/>
        <w:rPr>
          <w:lang w:val="en-GB"/>
        </w:rPr>
      </w:pPr>
      <w:bookmarkStart w:id="1978" w:name="_Toc389729190"/>
      <w:bookmarkStart w:id="1979" w:name="_Toc403472828"/>
      <w:bookmarkStart w:id="1980" w:name="_Toc129689612"/>
      <w:r w:rsidRPr="00B65D57">
        <w:rPr>
          <w:lang w:val="en-GB"/>
        </w:rPr>
        <w:t xml:space="preserve">3.2  </w:t>
      </w:r>
      <w:r w:rsidR="2B07A45A" w:rsidRPr="00B65D57">
        <w:rPr>
          <w:lang w:val="en-GB"/>
        </w:rPr>
        <w:t>Output tables from exposure assessment tools</w:t>
      </w:r>
      <w:bookmarkEnd w:id="1978"/>
      <w:bookmarkEnd w:id="1979"/>
      <w:bookmarkEnd w:id="1980"/>
    </w:p>
    <w:p w14:paraId="1DAD8045" w14:textId="3683C2E8" w:rsidR="000C1FFA" w:rsidRPr="00B65D57" w:rsidRDefault="001F5CF2" w:rsidP="00223981">
      <w:pPr>
        <w:pStyle w:val="Rubrik3"/>
        <w:rPr>
          <w:noProof/>
          <w:lang w:val="en-GB"/>
        </w:rPr>
      </w:pPr>
      <w:bookmarkStart w:id="1981" w:name="_Toc129689613"/>
      <w:r w:rsidRPr="00B65D57">
        <w:rPr>
          <w:noProof/>
          <w:lang w:val="en-GB"/>
        </w:rPr>
        <w:t xml:space="preserve">3.2.1 </w:t>
      </w:r>
      <w:r w:rsidR="000C1FFA" w:rsidRPr="00B65D57">
        <w:rPr>
          <w:noProof/>
          <w:lang w:val="en-GB"/>
        </w:rPr>
        <w:t>Input files for the human health risk assessment</w:t>
      </w:r>
      <w:bookmarkEnd w:id="1981"/>
    </w:p>
    <w:bookmarkStart w:id="1982" w:name="_Toc32397331"/>
    <w:p w14:paraId="25289587" w14:textId="223D8BAC" w:rsidR="000C1FFA" w:rsidRPr="00B65D57" w:rsidRDefault="000C1FFA" w:rsidP="008F4848">
      <w:pPr>
        <w:pStyle w:val="Absatz"/>
      </w:pPr>
      <w:r w:rsidRPr="00B65D57">
        <w:object w:dxaOrig="1539" w:dyaOrig="997" w14:anchorId="2BB4E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50.25pt" o:ole="">
            <v:imagedata r:id="rId28" o:title=""/>
          </v:shape>
          <o:OLEObject Type="Embed" ProgID="Package" ShapeID="_x0000_i1025" DrawAspect="Icon" ObjectID="_1740302303" r:id="rId29"/>
        </w:object>
      </w:r>
      <w:r w:rsidR="00022B34" w:rsidRPr="00B65D57">
        <w:object w:dxaOrig="1539" w:dyaOrig="997" w14:anchorId="1182C7DB">
          <v:shape id="_x0000_i1026" type="#_x0000_t75" style="width:78.1pt;height:50.25pt" o:ole="">
            <v:imagedata r:id="rId30" o:title=""/>
          </v:shape>
          <o:OLEObject Type="Embed" ProgID="Package" ShapeID="_x0000_i1026" DrawAspect="Icon" ObjectID="_1740302304" r:id="rId31"/>
        </w:object>
      </w:r>
    </w:p>
    <w:p w14:paraId="2E240686" w14:textId="77777777" w:rsidR="00980CAA" w:rsidRPr="00B65D57" w:rsidRDefault="00980CAA" w:rsidP="008F4848">
      <w:pPr>
        <w:pStyle w:val="Absatz"/>
      </w:pPr>
    </w:p>
    <w:p w14:paraId="4C6E5FD0" w14:textId="096CE1CF" w:rsidR="004F3B2D" w:rsidRPr="00B65D57" w:rsidRDefault="001F5CF2" w:rsidP="00223981">
      <w:pPr>
        <w:pStyle w:val="Rubrik3"/>
        <w:rPr>
          <w:noProof/>
          <w:lang w:val="en-GB"/>
        </w:rPr>
      </w:pPr>
      <w:bookmarkStart w:id="1983" w:name="_Toc129689614"/>
      <w:r w:rsidRPr="00B65D57">
        <w:rPr>
          <w:lang w:val="en-GB"/>
        </w:rPr>
        <w:lastRenderedPageBreak/>
        <w:t xml:space="preserve">3.2.2 </w:t>
      </w:r>
      <w:r w:rsidR="004F3B2D" w:rsidRPr="00B65D57">
        <w:rPr>
          <w:lang w:val="en-GB"/>
        </w:rPr>
        <w:t xml:space="preserve">Input data for </w:t>
      </w:r>
      <w:r w:rsidR="008D3116" w:rsidRPr="00B65D57">
        <w:rPr>
          <w:lang w:val="en-GB"/>
        </w:rPr>
        <w:t xml:space="preserve">environmental risk assessment </w:t>
      </w:r>
      <w:r w:rsidR="004F3B2D" w:rsidRPr="00B65D57">
        <w:rPr>
          <w:lang w:val="en-GB"/>
        </w:rPr>
        <w:t>model scenario 2B</w:t>
      </w:r>
      <w:bookmarkEnd w:id="1982"/>
      <w:bookmarkEnd w:id="1983"/>
    </w:p>
    <w:p w14:paraId="415E99EF" w14:textId="46F70E37" w:rsidR="004F3B2D" w:rsidRPr="00B65D57" w:rsidRDefault="5EC0E40A" w:rsidP="004F3B2D">
      <w:bookmarkStart w:id="1984" w:name="_Toc32397332"/>
      <w:r w:rsidRPr="00E8161F">
        <w:rPr>
          <w:noProof/>
          <w:highlight w:val="black"/>
        </w:rPr>
        <w:drawing>
          <wp:inline distT="0" distB="0" distL="0" distR="0" wp14:anchorId="68CFE819" wp14:editId="3D3579B8">
            <wp:extent cx="5378450"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cstate="print">
                      <a:alphaModFix amt="5000"/>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5378450" cy="2667000"/>
                    </a:xfrm>
                    <a:prstGeom prst="rect">
                      <a:avLst/>
                    </a:prstGeom>
                    <a:solidFill>
                      <a:schemeClr val="tx1"/>
                    </a:solidFill>
                  </pic:spPr>
                </pic:pic>
              </a:graphicData>
            </a:graphic>
          </wp:inline>
        </w:drawing>
      </w:r>
      <w:bookmarkEnd w:id="1984"/>
    </w:p>
    <w:p w14:paraId="65444AD3" w14:textId="5088D630" w:rsidR="004F3B2D" w:rsidRPr="00B65D57" w:rsidRDefault="004F3B2D" w:rsidP="004F3B2D">
      <w:pPr>
        <w:pStyle w:val="Beskrivning"/>
      </w:pPr>
      <w:r w:rsidRPr="00B65D57">
        <w:t xml:space="preserve">Figure </w:t>
      </w:r>
      <w:r w:rsidR="008D080C" w:rsidRPr="00B65D57">
        <w:t>3.2.1-1</w:t>
      </w:r>
      <w:r w:rsidRPr="00B65D57">
        <w:t>. Adsorption constant (Kl) in l/mg and maximum absorption (S) in kg/kg.</w:t>
      </w:r>
    </w:p>
    <w:p w14:paraId="07F77B2A" w14:textId="5AFA5D85" w:rsidR="004F3B2D" w:rsidRPr="00B65D57" w:rsidRDefault="5EC0E40A" w:rsidP="004F3B2D">
      <w:pPr>
        <w:keepNext/>
      </w:pPr>
      <w:r w:rsidRPr="00B65D57">
        <w:rPr>
          <w:noProof/>
        </w:rPr>
        <w:drawing>
          <wp:inline distT="0" distB="0" distL="0" distR="0" wp14:anchorId="0B07FC80" wp14:editId="4920E8E4">
            <wp:extent cx="5378450" cy="267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cstate="print">
                      <a:alphaModFix amt="5000"/>
                      <a:extLst>
                        <a:ext uri="{28A0092B-C50C-407E-A947-70E740481C1C}">
                          <a14:useLocalDpi xmlns:a14="http://schemas.microsoft.com/office/drawing/2010/main" val="0"/>
                        </a:ext>
                      </a:extLst>
                    </a:blip>
                    <a:srcRect/>
                    <a:stretch>
                      <a:fillRect/>
                    </a:stretch>
                  </pic:blipFill>
                  <pic:spPr>
                    <a:xfrm>
                      <a:off x="0" y="0"/>
                      <a:ext cx="5378450" cy="2673350"/>
                    </a:xfrm>
                    <a:prstGeom prst="rect">
                      <a:avLst/>
                    </a:prstGeom>
                    <a:solidFill>
                      <a:sysClr val="windowText" lastClr="000000"/>
                    </a:solidFill>
                  </pic:spPr>
                </pic:pic>
              </a:graphicData>
            </a:graphic>
          </wp:inline>
        </w:drawing>
      </w:r>
    </w:p>
    <w:p w14:paraId="3C3CAD0F" w14:textId="6B24044E" w:rsidR="004F3B2D" w:rsidRPr="00B65D57" w:rsidRDefault="004F3B2D" w:rsidP="004F3B2D">
      <w:pPr>
        <w:pStyle w:val="Beskrivning"/>
      </w:pPr>
      <w:r w:rsidRPr="00B65D57">
        <w:t xml:space="preserve">Figure </w:t>
      </w:r>
      <w:r w:rsidR="008D080C" w:rsidRPr="00B65D57">
        <w:t>3.2.1-2</w:t>
      </w:r>
      <w:r w:rsidRPr="00B65D57">
        <w:t>. Density parameter</w:t>
      </w:r>
    </w:p>
    <w:p w14:paraId="67C81B3F" w14:textId="2F13B39A" w:rsidR="004F3B2D" w:rsidRPr="00B65D57" w:rsidRDefault="5EC0E40A" w:rsidP="004F3B2D">
      <w:pPr>
        <w:keepNext/>
      </w:pPr>
      <w:r w:rsidRPr="00B65D57">
        <w:rPr>
          <w:noProof/>
        </w:rPr>
        <w:lastRenderedPageBreak/>
        <w:drawing>
          <wp:inline distT="0" distB="0" distL="0" distR="0" wp14:anchorId="74F53A3E" wp14:editId="46F64B01">
            <wp:extent cx="3530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cstate="print">
                      <a:alphaModFix amt="5000"/>
                      <a:extLst>
                        <a:ext uri="{28A0092B-C50C-407E-A947-70E740481C1C}">
                          <a14:useLocalDpi xmlns:a14="http://schemas.microsoft.com/office/drawing/2010/main" val="0"/>
                        </a:ext>
                      </a:extLst>
                    </a:blip>
                    <a:srcRect/>
                    <a:stretch>
                      <a:fillRect/>
                    </a:stretch>
                  </pic:blipFill>
                  <pic:spPr>
                    <a:xfrm>
                      <a:off x="0" y="0"/>
                      <a:ext cx="3530600" cy="3714750"/>
                    </a:xfrm>
                    <a:prstGeom prst="rect">
                      <a:avLst/>
                    </a:prstGeom>
                    <a:solidFill>
                      <a:sysClr val="windowText" lastClr="000000"/>
                    </a:solidFill>
                  </pic:spPr>
                </pic:pic>
              </a:graphicData>
            </a:graphic>
          </wp:inline>
        </w:drawing>
      </w:r>
    </w:p>
    <w:p w14:paraId="02CA2B1D" w14:textId="707E737B" w:rsidR="004F3B2D" w:rsidRPr="00B65D57" w:rsidRDefault="004F3B2D" w:rsidP="004F3B2D">
      <w:pPr>
        <w:pStyle w:val="Beskrivning"/>
      </w:pPr>
      <w:r w:rsidRPr="00B65D57">
        <w:t xml:space="preserve">Figure </w:t>
      </w:r>
      <w:r w:rsidR="008D080C" w:rsidRPr="00B65D57">
        <w:t>3.2.1-3</w:t>
      </w:r>
      <w:r w:rsidRPr="00B65D57">
        <w:t>. Diffusion coefficient.</w:t>
      </w:r>
    </w:p>
    <w:p w14:paraId="20E4A83E" w14:textId="2A51BF02" w:rsidR="004F3B2D" w:rsidRPr="00B65D57" w:rsidRDefault="5EC0E40A" w:rsidP="004F3B2D">
      <w:pPr>
        <w:keepNext/>
      </w:pPr>
      <w:r w:rsidRPr="00B65D57">
        <w:rPr>
          <w:noProof/>
        </w:rPr>
        <w:drawing>
          <wp:inline distT="0" distB="0" distL="0" distR="0" wp14:anchorId="7EC85DEC" wp14:editId="5F14997C">
            <wp:extent cx="5156201" cy="2520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cstate="print">
                      <a:alphaModFix amt="5000"/>
                      <a:extLst>
                        <a:ext uri="{28A0092B-C50C-407E-A947-70E740481C1C}">
                          <a14:useLocalDpi xmlns:a14="http://schemas.microsoft.com/office/drawing/2010/main" val="0"/>
                        </a:ext>
                      </a:extLst>
                    </a:blip>
                    <a:srcRect/>
                    <a:stretch>
                      <a:fillRect/>
                    </a:stretch>
                  </pic:blipFill>
                  <pic:spPr>
                    <a:xfrm>
                      <a:off x="0" y="0"/>
                      <a:ext cx="5156201" cy="2520950"/>
                    </a:xfrm>
                    <a:prstGeom prst="rect">
                      <a:avLst/>
                    </a:prstGeom>
                    <a:solidFill>
                      <a:sysClr val="windowText" lastClr="000000"/>
                    </a:solidFill>
                  </pic:spPr>
                </pic:pic>
              </a:graphicData>
            </a:graphic>
          </wp:inline>
        </w:drawing>
      </w:r>
    </w:p>
    <w:p w14:paraId="7F17088C" w14:textId="5E290C03" w:rsidR="004F3B2D" w:rsidRPr="00B65D57" w:rsidRDefault="004F3B2D" w:rsidP="004F3B2D">
      <w:pPr>
        <w:pStyle w:val="Beskrivning"/>
      </w:pPr>
      <w:r w:rsidRPr="00B65D57">
        <w:t xml:space="preserve">Figure </w:t>
      </w:r>
      <w:r w:rsidR="008D080C" w:rsidRPr="00B65D57">
        <w:t>3.2.1-4</w:t>
      </w:r>
      <w:r w:rsidRPr="00B65D57">
        <w:t>. Dispersion coefficient (for 0.2 m transport distance).</w:t>
      </w:r>
    </w:p>
    <w:p w14:paraId="4E66B0A6" w14:textId="51B8BDF7" w:rsidR="00B35CAE" w:rsidRPr="00B65D57" w:rsidRDefault="001F5CF2" w:rsidP="00223981">
      <w:pPr>
        <w:pStyle w:val="Rubrik3"/>
        <w:rPr>
          <w:lang w:val="en-GB"/>
        </w:rPr>
      </w:pPr>
      <w:bookmarkStart w:id="1985" w:name="_Toc32397333"/>
      <w:bookmarkStart w:id="1986" w:name="_Toc129689615"/>
      <w:r w:rsidRPr="00B65D57">
        <w:rPr>
          <w:lang w:val="en-GB"/>
        </w:rPr>
        <w:lastRenderedPageBreak/>
        <w:t xml:space="preserve">3.2.3 </w:t>
      </w:r>
      <w:r w:rsidR="004F3B2D" w:rsidRPr="00B65D57">
        <w:rPr>
          <w:lang w:val="en-GB"/>
        </w:rPr>
        <w:t>Output of model scenario 2B</w:t>
      </w:r>
      <w:bookmarkStart w:id="1987" w:name="_Hlk108093482"/>
      <w:bookmarkStart w:id="1988" w:name="_Toc389729199"/>
      <w:bookmarkStart w:id="1989" w:name="_Toc403472832"/>
      <w:bookmarkEnd w:id="1985"/>
      <w:bookmarkEnd w:id="1986"/>
    </w:p>
    <w:p w14:paraId="5493C0D9" w14:textId="77777777" w:rsidR="00B35CAE" w:rsidRPr="00B65D57" w:rsidRDefault="00B35CAE" w:rsidP="00B35CAE">
      <w:pPr>
        <w:keepNext/>
      </w:pPr>
      <w:r w:rsidRPr="00B65D57">
        <w:rPr>
          <w:noProof/>
        </w:rPr>
        <w:drawing>
          <wp:anchor distT="0" distB="0" distL="114300" distR="114300" simplePos="0" relativeHeight="251660288" behindDoc="0" locked="0" layoutInCell="1" allowOverlap="1" wp14:anchorId="3DD602C9" wp14:editId="5635B5C8">
            <wp:simplePos x="0" y="0"/>
            <wp:positionH relativeFrom="column">
              <wp:posOffset>1270</wp:posOffset>
            </wp:positionH>
            <wp:positionV relativeFrom="paragraph">
              <wp:posOffset>1270</wp:posOffset>
            </wp:positionV>
            <wp:extent cx="5633720" cy="3750310"/>
            <wp:effectExtent l="0" t="0" r="5080" b="2540"/>
            <wp:wrapTopAndBottom/>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a:stretch>
                      <a:fillRect/>
                    </a:stretch>
                  </pic:blipFill>
                  <pic:spPr bwMode="auto">
                    <a:xfrm>
                      <a:off x="0" y="0"/>
                      <a:ext cx="5633720" cy="375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A17ED" w14:textId="1940926B" w:rsidR="00B35CAE" w:rsidRPr="00B65D57" w:rsidRDefault="00B35CAE" w:rsidP="00B35CAE">
      <w:pPr>
        <w:pStyle w:val="Beskrivning"/>
        <w:tabs>
          <w:tab w:val="clear" w:pos="1418"/>
          <w:tab w:val="left" w:pos="0"/>
        </w:tabs>
        <w:spacing w:after="240" w:line="276" w:lineRule="auto"/>
        <w:ind w:left="0" w:firstLine="0"/>
      </w:pPr>
      <w:r w:rsidRPr="00B65D57">
        <w:rPr>
          <w:b/>
          <w:bCs/>
        </w:rPr>
        <w:t>Figure 3.3.3-1.</w:t>
      </w:r>
      <w:r w:rsidRPr="00B65D57">
        <w:t xml:space="preserve"> A vertical profile of the spreading of borates (mg BAE/L) in groundwater for scenario 2B after 10 days. The gray/green color represents the concrete wall. The highest concentration is marked with red, and the lowest concentration is marked with blue color. The treatment area is just under the concrete wall which is a 0.01 m thick cell. The next 10 cells below have the thickness of 0.0048 m.</w:t>
      </w:r>
    </w:p>
    <w:p w14:paraId="7254C9CB" w14:textId="77777777" w:rsidR="00B35CAE" w:rsidRPr="00B65D57" w:rsidRDefault="00B35CAE" w:rsidP="00B35CAE">
      <w:pPr>
        <w:pStyle w:val="Beskrivning"/>
        <w:tabs>
          <w:tab w:val="clear" w:pos="1418"/>
          <w:tab w:val="left" w:pos="0"/>
        </w:tabs>
        <w:spacing w:after="240" w:line="276" w:lineRule="auto"/>
        <w:ind w:left="0" w:firstLine="0"/>
      </w:pPr>
      <w:r w:rsidRPr="00B65D57">
        <w:rPr>
          <w:noProof/>
        </w:rPr>
        <w:lastRenderedPageBreak/>
        <w:drawing>
          <wp:inline distT="0" distB="0" distL="0" distR="0" wp14:anchorId="658B8E8C" wp14:editId="35E88958">
            <wp:extent cx="5850890" cy="3917315"/>
            <wp:effectExtent l="0" t="0" r="0" b="6985"/>
            <wp:docPr id="43104224" name="Bildobjekt 431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5850890" cy="3917315"/>
                    </a:xfrm>
                    <a:prstGeom prst="rect">
                      <a:avLst/>
                    </a:prstGeom>
                    <a:noFill/>
                    <a:ln>
                      <a:noFill/>
                    </a:ln>
                  </pic:spPr>
                </pic:pic>
              </a:graphicData>
            </a:graphic>
          </wp:inline>
        </w:drawing>
      </w:r>
    </w:p>
    <w:p w14:paraId="39CE63C3" w14:textId="2E655774" w:rsidR="00B35CAE" w:rsidRPr="00B65D57" w:rsidRDefault="00B35CAE" w:rsidP="00B35CAE">
      <w:pPr>
        <w:pStyle w:val="Beskrivning"/>
      </w:pPr>
      <w:r w:rsidRPr="00B65D57">
        <w:rPr>
          <w:b/>
          <w:bCs/>
        </w:rPr>
        <w:t>Figure 3.3.3-2.</w:t>
      </w:r>
      <w:r w:rsidRPr="00B65D57">
        <w:t xml:space="preserve"> A vertical profile of the spreading of borates (mg BAE/L) in groundwater for scenario 2B after 100 days. The gray/green color represents the concrete wall. The concentration variation in the treatment zone after 100 days is shown by the color scale. The treatment area is just under the concrete wall which is a 0.01 m thick cell. The next 10 cells below have the thickness of 0.0048 m.</w:t>
      </w:r>
    </w:p>
    <w:p w14:paraId="2B015F05" w14:textId="5DB44C7A" w:rsidR="00A53EE0" w:rsidRPr="00B65D57" w:rsidRDefault="2B07A45A" w:rsidP="00794E70">
      <w:pPr>
        <w:pStyle w:val="Rubrik2"/>
        <w:numPr>
          <w:ilvl w:val="1"/>
          <w:numId w:val="22"/>
        </w:numPr>
        <w:rPr>
          <w:lang w:val="en-GB"/>
        </w:rPr>
      </w:pPr>
      <w:bookmarkStart w:id="1990" w:name="_Toc129689616"/>
      <w:bookmarkEnd w:id="1987"/>
      <w:r w:rsidRPr="00B65D57">
        <w:rPr>
          <w:lang w:val="en-GB"/>
        </w:rPr>
        <w:t>Confidential annex</w:t>
      </w:r>
      <w:bookmarkEnd w:id="1988"/>
      <w:bookmarkEnd w:id="1989"/>
      <w:bookmarkEnd w:id="1990"/>
      <w:r w:rsidRPr="00B65D57">
        <w:rPr>
          <w:lang w:val="en-GB"/>
        </w:rPr>
        <w:t xml:space="preserve"> </w:t>
      </w:r>
    </w:p>
    <w:p w14:paraId="0FF867F5" w14:textId="42D94769" w:rsidR="00FA5236" w:rsidRPr="00B65D57" w:rsidRDefault="00FA5236" w:rsidP="008F4848">
      <w:pPr>
        <w:spacing w:line="260" w:lineRule="atLeast"/>
        <w:rPr>
          <w:rFonts w:eastAsia="Calibri"/>
          <w:lang w:eastAsia="en-US"/>
        </w:rPr>
      </w:pPr>
      <w:r w:rsidRPr="00B65D57">
        <w:rPr>
          <w:rFonts w:eastAsia="Calibri"/>
          <w:lang w:eastAsia="en-US"/>
        </w:rPr>
        <w:t>NB: This information is confidential and should not be disclosed to third parties</w:t>
      </w:r>
      <w:r w:rsidR="00A33481" w:rsidRPr="00B65D57">
        <w:rPr>
          <w:rFonts w:eastAsia="Calibri"/>
          <w:lang w:eastAsia="en-US"/>
        </w:rPr>
        <w:t>.</w:t>
      </w:r>
      <w:r w:rsidRPr="00B65D57">
        <w:rPr>
          <w:rFonts w:eastAsia="Calibri"/>
          <w:lang w:eastAsia="en-US"/>
        </w:rPr>
        <w:t xml:space="preserve"> </w:t>
      </w:r>
    </w:p>
    <w:p w14:paraId="6EA70979" w14:textId="56B8DE2C" w:rsidR="00293220" w:rsidRPr="00B65D57" w:rsidRDefault="00293220" w:rsidP="008F4848">
      <w:pPr>
        <w:rPr>
          <w:rFonts w:eastAsia="Calibri"/>
          <w:lang w:eastAsia="en-US"/>
        </w:rPr>
      </w:pPr>
    </w:p>
    <w:p w14:paraId="29FFF828" w14:textId="77777777" w:rsidR="00FA5236" w:rsidRPr="00B65D57" w:rsidRDefault="00FA5236" w:rsidP="008F4848">
      <w:pPr>
        <w:rPr>
          <w:sz w:val="24"/>
          <w:szCs w:val="24"/>
        </w:rPr>
      </w:pPr>
      <w:r w:rsidRPr="00B65D57">
        <w:rPr>
          <w:sz w:val="24"/>
          <w:szCs w:val="24"/>
        </w:rPr>
        <w:t>Qualitative and quantitative information on the composition of the biocidal product</w:t>
      </w:r>
    </w:p>
    <w:p w14:paraId="5BDFDE63" w14:textId="77777777" w:rsidR="00FA5236" w:rsidRPr="00B65D57" w:rsidRDefault="00FA5236" w:rsidP="008F4848">
      <w:pPr>
        <w:rPr>
          <w:sz w:val="24"/>
          <w:szCs w:val="24"/>
        </w:rPr>
      </w:pPr>
      <w:r w:rsidRPr="00B65D57">
        <w:rPr>
          <w:sz w:val="24"/>
          <w:szCs w:val="24"/>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256"/>
        <w:gridCol w:w="1425"/>
        <w:gridCol w:w="1281"/>
        <w:gridCol w:w="1353"/>
        <w:gridCol w:w="1353"/>
        <w:gridCol w:w="1353"/>
      </w:tblGrid>
      <w:tr w:rsidR="00FA5236" w:rsidRPr="00B65D57" w14:paraId="064A18BC" w14:textId="77777777" w:rsidTr="007D1AEC">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35D39" w14:textId="77777777" w:rsidR="00FA5236" w:rsidRPr="00B65D57" w:rsidRDefault="00FA5236" w:rsidP="008F4848">
            <w:r w:rsidRPr="00B65D57">
              <w:rPr>
                <w:b/>
                <w:bCs/>
                <w:color w:val="000000"/>
                <w:szCs w:val="24"/>
                <w:lang w:eastAsia="en-GB"/>
              </w:rPr>
              <w:t>Common name</w:t>
            </w:r>
          </w:p>
        </w:tc>
        <w:tc>
          <w:tcPr>
            <w:tcW w:w="142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CFC24B5" w14:textId="77777777" w:rsidR="00FA5236" w:rsidRPr="00B65D57" w:rsidRDefault="00FA5236" w:rsidP="008F4848">
            <w:r w:rsidRPr="00B65D57">
              <w:rPr>
                <w:b/>
                <w:bCs/>
                <w:color w:val="000000"/>
                <w:szCs w:val="24"/>
                <w:lang w:eastAsia="en-GB"/>
              </w:rPr>
              <w:t>IUPAC name</w:t>
            </w:r>
          </w:p>
        </w:tc>
        <w:tc>
          <w:tcPr>
            <w:tcW w:w="1281"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18F4CB" w14:textId="77777777" w:rsidR="00FA5236" w:rsidRPr="00B65D57" w:rsidRDefault="00FA5236" w:rsidP="008F4848">
            <w:r w:rsidRPr="00B65D57">
              <w:rPr>
                <w:b/>
                <w:bCs/>
                <w:color w:val="000000"/>
                <w:szCs w:val="24"/>
                <w:lang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873DCB3" w14:textId="77777777" w:rsidR="00FA5236" w:rsidRPr="00B65D57" w:rsidRDefault="00FA5236" w:rsidP="008F4848">
            <w:r w:rsidRPr="00B65D57">
              <w:rPr>
                <w:b/>
                <w:bCs/>
                <w:color w:val="000000"/>
                <w:szCs w:val="24"/>
                <w:lang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FE68768" w14:textId="77777777" w:rsidR="00FA5236" w:rsidRPr="00B65D57" w:rsidRDefault="00FA5236" w:rsidP="008F4848">
            <w:r w:rsidRPr="00B65D57">
              <w:rPr>
                <w:b/>
                <w:bCs/>
                <w:color w:val="000000"/>
                <w:szCs w:val="24"/>
                <w:lang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A0E5686" w14:textId="77777777" w:rsidR="00D765E1" w:rsidRPr="00B65D57" w:rsidRDefault="00FA5236" w:rsidP="008F4848">
            <w:pPr>
              <w:rPr>
                <w:b/>
                <w:bCs/>
                <w:color w:val="000000"/>
                <w:szCs w:val="24"/>
                <w:lang w:eastAsia="en-GB"/>
              </w:rPr>
            </w:pPr>
            <w:r w:rsidRPr="00B65D57">
              <w:rPr>
                <w:b/>
                <w:bCs/>
                <w:color w:val="000000"/>
                <w:szCs w:val="24"/>
                <w:lang w:eastAsia="en-GB"/>
              </w:rPr>
              <w:t xml:space="preserve">Content </w:t>
            </w:r>
          </w:p>
          <w:p w14:paraId="49E58C74" w14:textId="718A19D8" w:rsidR="00FA5236" w:rsidRPr="00B65D57" w:rsidRDefault="00FA5236" w:rsidP="008F4848">
            <w:r w:rsidRPr="00B65D57">
              <w:rPr>
                <w:b/>
                <w:bCs/>
                <w:color w:val="000000"/>
                <w:szCs w:val="24"/>
                <w:lang w:eastAsia="en-GB"/>
              </w:rPr>
              <w:t>%</w:t>
            </w:r>
            <w:r w:rsidR="00D765E1" w:rsidRPr="00B65D57">
              <w:rPr>
                <w:b/>
                <w:bCs/>
                <w:color w:val="000000"/>
                <w:szCs w:val="24"/>
                <w:lang w:eastAsia="en-GB"/>
              </w:rPr>
              <w:t xml:space="preserve"> w/w</w:t>
            </w:r>
          </w:p>
        </w:tc>
      </w:tr>
      <w:tr w:rsidR="00D765E1" w:rsidRPr="00B65D57" w14:paraId="04C3FE04" w14:textId="77777777" w:rsidTr="007D1AEC">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A3888F" w14:textId="62E27BD8" w:rsidR="00D765E1" w:rsidRPr="00B65D57" w:rsidRDefault="00D765E1" w:rsidP="008F4848">
            <w:r w:rsidRPr="00B65D57">
              <w:t>Boric acid</w:t>
            </w:r>
          </w:p>
          <w:p w14:paraId="13BAD2DC" w14:textId="251D9EA1" w:rsidR="00D765E1" w:rsidRPr="00B65D57" w:rsidRDefault="00D765E1" w:rsidP="008F4848">
            <w:r w:rsidRPr="00B65D57">
              <w:t>(</w:t>
            </w:r>
            <w:r w:rsidR="0027027C" w:rsidRPr="00B65D57">
              <w:t>min. purity 99</w:t>
            </w:r>
            <w:r w:rsidR="000B6F1D" w:rsidRPr="00B65D57">
              <w:t>.0</w:t>
            </w:r>
            <w:r w:rsidR="0027027C" w:rsidRPr="00B65D57">
              <w:t>%</w:t>
            </w:r>
            <w:r w:rsidRPr="00B65D57">
              <w:t>)</w:t>
            </w:r>
          </w:p>
        </w:tc>
        <w:tc>
          <w:tcPr>
            <w:tcW w:w="1425" w:type="dxa"/>
            <w:tcBorders>
              <w:top w:val="nil"/>
              <w:left w:val="nil"/>
              <w:bottom w:val="single" w:sz="4" w:space="0" w:color="000000"/>
              <w:right w:val="single" w:sz="4" w:space="0" w:color="000000"/>
            </w:tcBorders>
            <w:tcMar>
              <w:top w:w="40" w:type="dxa"/>
              <w:left w:w="40" w:type="dxa"/>
              <w:bottom w:w="40" w:type="dxa"/>
              <w:right w:w="40" w:type="dxa"/>
            </w:tcMar>
          </w:tcPr>
          <w:p w14:paraId="0137ED89" w14:textId="62C6A8E2" w:rsidR="00D765E1" w:rsidRPr="00B65D57" w:rsidRDefault="00D765E1" w:rsidP="008F4848">
            <w:r w:rsidRPr="00B65D57">
              <w:t>Boric acid</w:t>
            </w:r>
          </w:p>
        </w:tc>
        <w:tc>
          <w:tcPr>
            <w:tcW w:w="1281" w:type="dxa"/>
            <w:tcBorders>
              <w:top w:val="nil"/>
              <w:left w:val="nil"/>
              <w:bottom w:val="single" w:sz="4" w:space="0" w:color="000000"/>
              <w:right w:val="single" w:sz="4" w:space="0" w:color="000000"/>
            </w:tcBorders>
            <w:tcMar>
              <w:top w:w="40" w:type="dxa"/>
              <w:left w:w="40" w:type="dxa"/>
              <w:bottom w:w="40" w:type="dxa"/>
              <w:right w:w="40" w:type="dxa"/>
            </w:tcMar>
          </w:tcPr>
          <w:p w14:paraId="59A0494E" w14:textId="77777777" w:rsidR="00D765E1" w:rsidRPr="00B65D57" w:rsidRDefault="00D765E1" w:rsidP="008F4848">
            <w:r w:rsidRPr="00B65D57">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75291970" w14:textId="1D0A3762" w:rsidR="00D765E1" w:rsidRPr="00B65D57" w:rsidRDefault="00D765E1" w:rsidP="008F4848">
            <w:r w:rsidRPr="00B65D57">
              <w:t>10043-35-3</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44C1DCC4" w14:textId="65A8532F" w:rsidR="00D765E1" w:rsidRPr="00B65D57" w:rsidRDefault="00D765E1" w:rsidP="008F4848">
            <w:r w:rsidRPr="00B65D57">
              <w:t>233-139-2</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5C3F2770" w14:textId="3FF0E76A" w:rsidR="00D765E1" w:rsidRPr="00B65D57" w:rsidRDefault="00D765E1" w:rsidP="008F4848">
            <w:r w:rsidRPr="00B65D57">
              <w:t>53</w:t>
            </w:r>
            <w:r w:rsidR="009F5026" w:rsidRPr="00B65D57">
              <w:t>.</w:t>
            </w:r>
            <w:r w:rsidRPr="00B65D57">
              <w:t>7</w:t>
            </w:r>
          </w:p>
          <w:p w14:paraId="7DD8E487" w14:textId="49DF111D" w:rsidR="00D765E1" w:rsidRPr="00B65D57" w:rsidRDefault="00D765E1" w:rsidP="008F4848">
            <w:r w:rsidRPr="00B65D57">
              <w:t>(</w:t>
            </w:r>
            <w:r w:rsidR="0027027C" w:rsidRPr="00B65D57">
              <w:t>53.2</w:t>
            </w:r>
            <w:r w:rsidRPr="00B65D57">
              <w:t>)</w:t>
            </w:r>
          </w:p>
        </w:tc>
      </w:tr>
      <w:tr w:rsidR="00D765E1" w:rsidRPr="00B65D57" w14:paraId="0039426B" w14:textId="77777777" w:rsidTr="007D1AEC">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F470DC" w14:textId="77777777" w:rsidR="00AA0B39" w:rsidRPr="00B65D57" w:rsidRDefault="00AA0B39" w:rsidP="008F4848">
            <w:r w:rsidRPr="00B65D57">
              <w:t xml:space="preserve">Disodium tetraborate pentahydrate </w:t>
            </w:r>
          </w:p>
          <w:p w14:paraId="6DF49360" w14:textId="162F419A" w:rsidR="00D765E1" w:rsidRPr="00B65D57" w:rsidRDefault="00D765E1" w:rsidP="008F4848">
            <w:r w:rsidRPr="00B65D57">
              <w:t>(</w:t>
            </w:r>
            <w:r w:rsidR="0027027C" w:rsidRPr="00B65D57">
              <w:t>min. purity 99</w:t>
            </w:r>
            <w:r w:rsidR="000B6F1D" w:rsidRPr="00B65D57">
              <w:t>.0</w:t>
            </w:r>
            <w:r w:rsidR="0027027C" w:rsidRPr="00B65D57">
              <w:t>%</w:t>
            </w:r>
            <w:r w:rsidRPr="00B65D57">
              <w:t>)</w:t>
            </w:r>
          </w:p>
        </w:tc>
        <w:tc>
          <w:tcPr>
            <w:tcW w:w="1425" w:type="dxa"/>
            <w:tcBorders>
              <w:top w:val="nil"/>
              <w:left w:val="nil"/>
              <w:bottom w:val="single" w:sz="4" w:space="0" w:color="000000"/>
              <w:right w:val="single" w:sz="4" w:space="0" w:color="000000"/>
            </w:tcBorders>
            <w:tcMar>
              <w:top w:w="40" w:type="dxa"/>
              <w:left w:w="40" w:type="dxa"/>
              <w:bottom w:w="40" w:type="dxa"/>
              <w:right w:w="40" w:type="dxa"/>
            </w:tcMar>
          </w:tcPr>
          <w:p w14:paraId="5AC6C55B" w14:textId="32F3987A" w:rsidR="00D765E1" w:rsidRPr="00B65D57" w:rsidRDefault="00D765E1" w:rsidP="008F4848">
            <w:r w:rsidRPr="00B65D57">
              <w:t>Disodium tetraborate pentahydrate</w:t>
            </w:r>
          </w:p>
        </w:tc>
        <w:tc>
          <w:tcPr>
            <w:tcW w:w="1281" w:type="dxa"/>
            <w:tcBorders>
              <w:top w:val="nil"/>
              <w:left w:val="nil"/>
              <w:bottom w:val="single" w:sz="4" w:space="0" w:color="000000"/>
              <w:right w:val="single" w:sz="4" w:space="0" w:color="000000"/>
            </w:tcBorders>
            <w:tcMar>
              <w:top w:w="40" w:type="dxa"/>
              <w:left w:w="40" w:type="dxa"/>
              <w:bottom w:w="40" w:type="dxa"/>
              <w:right w:w="40" w:type="dxa"/>
            </w:tcMar>
          </w:tcPr>
          <w:p w14:paraId="168E1B16" w14:textId="154AAFF4" w:rsidR="00D765E1" w:rsidRPr="00B65D57" w:rsidRDefault="00D765E1" w:rsidP="008F4848">
            <w:r w:rsidRPr="00B65D57">
              <w:t xml:space="preserve">Active substance </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64B1EB77" w14:textId="6683DEB6" w:rsidR="00D765E1" w:rsidRPr="00B65D57" w:rsidRDefault="00D765E1" w:rsidP="008F4848">
            <w:r w:rsidRPr="00B65D57">
              <w:rPr>
                <w:rFonts w:eastAsia="Calibri"/>
                <w:lang w:eastAsia="en-US"/>
              </w:rPr>
              <w:t>12179-04-3</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18A31138" w14:textId="6CCD4020" w:rsidR="00D765E1" w:rsidRPr="00B65D57" w:rsidRDefault="00D765E1" w:rsidP="008F4848">
            <w:r w:rsidRPr="00B65D57">
              <w:t>215-540-4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358D62B1" w14:textId="1D0F3671" w:rsidR="00D765E1" w:rsidRPr="00B65D57" w:rsidRDefault="00D765E1" w:rsidP="008F4848">
            <w:r w:rsidRPr="00B65D57">
              <w:t>46</w:t>
            </w:r>
            <w:r w:rsidR="009F5026" w:rsidRPr="00B65D57">
              <w:t>.</w:t>
            </w:r>
            <w:r w:rsidRPr="00B65D57">
              <w:t>3</w:t>
            </w:r>
          </w:p>
          <w:p w14:paraId="42D854C8" w14:textId="139F8923" w:rsidR="00D765E1" w:rsidRPr="00B65D57" w:rsidRDefault="0027027C" w:rsidP="008F4848">
            <w:r w:rsidRPr="00B65D57">
              <w:t>(45.8)</w:t>
            </w:r>
          </w:p>
        </w:tc>
      </w:tr>
    </w:tbl>
    <w:p w14:paraId="7BB0ADA8" w14:textId="705F0156" w:rsidR="00FA5236" w:rsidRPr="00B65D57" w:rsidRDefault="00FA5236" w:rsidP="008F4848">
      <w:pPr>
        <w:rPr>
          <w:sz w:val="16"/>
          <w:lang w:eastAsia="en-US"/>
        </w:rPr>
      </w:pPr>
    </w:p>
    <w:p w14:paraId="0D3014D4" w14:textId="089BD080" w:rsidR="00FA5236" w:rsidRPr="00B65D57" w:rsidRDefault="00FA5236" w:rsidP="008F4848">
      <w:pPr>
        <w:rPr>
          <w:rFonts w:eastAsia="Calibri"/>
          <w:lang w:eastAsia="en-US"/>
        </w:rPr>
      </w:pPr>
    </w:p>
    <w:p w14:paraId="267A28A3" w14:textId="77777777" w:rsidR="003F535A" w:rsidRPr="00B65D57" w:rsidRDefault="003F535A" w:rsidP="008F4848">
      <w:pPr>
        <w:rPr>
          <w:rFonts w:eastAsia="Calibri"/>
          <w:lang w:eastAsia="en-US"/>
        </w:rPr>
        <w:sectPr w:rsidR="003F535A" w:rsidRPr="00B65D57" w:rsidSect="001338DA">
          <w:endnotePr>
            <w:numFmt w:val="decimal"/>
          </w:endnotePr>
          <w:pgSz w:w="11907" w:h="16840" w:code="9"/>
          <w:pgMar w:top="1474" w:right="1247" w:bottom="2013" w:left="1446" w:header="850" w:footer="850" w:gutter="0"/>
          <w:cols w:space="720"/>
          <w:docGrid w:linePitch="272"/>
        </w:sectPr>
      </w:pPr>
    </w:p>
    <w:p w14:paraId="19234BD0" w14:textId="57DF2A8C" w:rsidR="00A53EE0" w:rsidRPr="00B65D57" w:rsidRDefault="001F5CF2" w:rsidP="00223981">
      <w:pPr>
        <w:pStyle w:val="Rubrik2"/>
        <w:numPr>
          <w:ilvl w:val="0"/>
          <w:numId w:val="0"/>
        </w:numPr>
        <w:ind w:left="1440"/>
        <w:rPr>
          <w:lang w:val="en-GB"/>
        </w:rPr>
      </w:pPr>
      <w:bookmarkStart w:id="1991" w:name="_Toc389729200"/>
      <w:bookmarkStart w:id="1992" w:name="_Toc403472833"/>
      <w:bookmarkStart w:id="1993" w:name="_Toc129689617"/>
      <w:r w:rsidRPr="00B65D57">
        <w:rPr>
          <w:lang w:val="en-GB"/>
        </w:rPr>
        <w:lastRenderedPageBreak/>
        <w:t xml:space="preserve">3.4 </w:t>
      </w:r>
      <w:r w:rsidR="2B07A45A" w:rsidRPr="00B65D57">
        <w:rPr>
          <w:lang w:val="en-GB"/>
        </w:rPr>
        <w:t>Other</w:t>
      </w:r>
      <w:bookmarkEnd w:id="1991"/>
      <w:bookmarkEnd w:id="1992"/>
      <w:bookmarkEnd w:id="1993"/>
    </w:p>
    <w:p w14:paraId="016D062F" w14:textId="3DFE6C11" w:rsidR="004A598A" w:rsidRPr="00B65D57" w:rsidRDefault="004A598A" w:rsidP="008F4848"/>
    <w:p w14:paraId="4313F32C" w14:textId="7519A13C" w:rsidR="00A96885" w:rsidRPr="00B65D57" w:rsidRDefault="003F535A" w:rsidP="008F4848">
      <w:pPr>
        <w:rPr>
          <w:b/>
          <w:bCs/>
        </w:rPr>
      </w:pPr>
      <w:r w:rsidRPr="00B65D57">
        <w:rPr>
          <w:b/>
          <w:bCs/>
        </w:rPr>
        <w:t>Additional</w:t>
      </w:r>
      <w:r w:rsidR="00F279E6" w:rsidRPr="00B65D57">
        <w:rPr>
          <w:b/>
          <w:bCs/>
        </w:rPr>
        <w:t xml:space="preserve"> information from the applicant</w:t>
      </w:r>
      <w:r w:rsidR="00A96885" w:rsidRPr="00B65D57">
        <w:rPr>
          <w:b/>
          <w:bCs/>
        </w:rPr>
        <w:t xml:space="preserve"> and not </w:t>
      </w:r>
      <w:r w:rsidR="00863C52" w:rsidRPr="00B65D57">
        <w:rPr>
          <w:b/>
          <w:bCs/>
        </w:rPr>
        <w:t>edited</w:t>
      </w:r>
      <w:r w:rsidR="00A96885" w:rsidRPr="00B65D57">
        <w:rPr>
          <w:b/>
          <w:bCs/>
        </w:rPr>
        <w:t xml:space="preserve"> by refMS</w:t>
      </w:r>
    </w:p>
    <w:p w14:paraId="01DB776F" w14:textId="2B818B7B" w:rsidR="00A96885" w:rsidRPr="00B65D57" w:rsidRDefault="00A96885" w:rsidP="008F4848"/>
    <w:p w14:paraId="5D46EE27" w14:textId="440F35F7" w:rsidR="00A96885" w:rsidRPr="00B65D57" w:rsidRDefault="00A96885" w:rsidP="008F4848">
      <w:r w:rsidRPr="00B65D57">
        <w:t>Introduction</w:t>
      </w:r>
      <w:r w:rsidR="00725103" w:rsidRPr="00B65D57">
        <w:t xml:space="preserve"> </w:t>
      </w:r>
    </w:p>
    <w:p w14:paraId="16960D1D" w14:textId="77777777" w:rsidR="00725103" w:rsidRPr="00B65D57" w:rsidRDefault="00725103" w:rsidP="00A96885"/>
    <w:p w14:paraId="052B495B" w14:textId="5C75FB88" w:rsidR="00A96885" w:rsidRPr="00B65D57" w:rsidRDefault="00A96885" w:rsidP="00A96885">
      <w:r w:rsidRPr="00B65D57">
        <w:t xml:space="preserve">Jerbor* was first developed during the late 1970s by the late professor Allan Jerbo and has been used for curative treatment of foundation wood, piles and grillages (rafts), against decay by wood rooting fungi since 1983. In the early 1990s the Eurobor technique was developed from the Jerbor technique. Sodium bentonite was mixed with Jerbor solution to reduce the risk for leakage and increase efficacy over time. </w:t>
      </w:r>
    </w:p>
    <w:p w14:paraId="68A9CCD9" w14:textId="77777777" w:rsidR="00A96885" w:rsidRPr="00B65D57" w:rsidRDefault="00A96885" w:rsidP="00A96885">
      <w:r w:rsidRPr="00B65D57">
        <w:t xml:space="preserve">Soft soils dominated by clay are often situated when rivers meet or have met the ocean and this coincide with places where humans often have built their cities (Holm, C. Olsson, G. 1993). In areas with mighty clay depths buildings have traditionally been built with wooden piles as supporting foundation. Timber foundation with piles and grillages has been used for centuries with great success and often for buildings of historic important value (Klaassen, René K. W. M. 2008). In northern Europe these foundations are known in </w:t>
      </w:r>
    </w:p>
    <w:p w14:paraId="552481CA" w14:textId="488088CF" w:rsidR="00A96885" w:rsidRPr="00B65D57" w:rsidRDefault="00A96885" w:rsidP="00A96885">
      <w:r w:rsidRPr="00B65D57">
        <w:t>Copenhagen, Oslo, Stockholm, Helsinki, Gothenburg any many other cities. In Sweden alone there is approximately 60 cities with wooden foundation in soft clay (Lundin, S-E 2000). Early man knew that wood beneath water had long durability</w:t>
      </w:r>
      <w:r w:rsidR="00F73033" w:rsidRPr="00B65D57">
        <w:t xml:space="preserve"> </w:t>
      </w:r>
      <w:r w:rsidRPr="00B65D57">
        <w:t xml:space="preserve">(Brynjer, T. 2001). Piles was therefore installed in deep ditches beneath ground water table and covered with clay (Bergren, K. et al. 1990). Wooden grillages, stone or concrete foundations were then placed on top of the piles. The wooden foundation takes the load from the building either by transfer of the force to the clay with cohesion forces or by standing on the underlying rock i.e. point bearing piles. </w:t>
      </w:r>
    </w:p>
    <w:p w14:paraId="7493FDDE" w14:textId="43BAE7CC" w:rsidR="00A96885" w:rsidRPr="00B65D57" w:rsidRDefault="00A96885" w:rsidP="00A96885">
      <w:r w:rsidRPr="00B65D57">
        <w:t xml:space="preserve">Urbanization with subway development, </w:t>
      </w:r>
      <w:r w:rsidR="00F73033" w:rsidRPr="00B65D57">
        <w:t>tunnelling</w:t>
      </w:r>
      <w:r w:rsidRPr="00B65D57">
        <w:t xml:space="preserve">, installation of sewage pipes, impervious surfaces (reduces infiltration of rain water) contribute to a </w:t>
      </w:r>
    </w:p>
    <w:p w14:paraId="6C7F2588" w14:textId="77777777" w:rsidR="00A96885" w:rsidRPr="00B65D57" w:rsidRDefault="00A96885" w:rsidP="00A96885">
      <w:r w:rsidRPr="00B65D57">
        <w:t xml:space="preserve">lowered groundwater table which causes timber foundations to get exposed to air with increasing risk for accelerated decay by rot fungi (Bjerking, S-E. 1989; Bergren, K., Fabricius, O. et al. 1990). Decay by bacteria is always present but effects on wood durability are often minor. If oxygen in measurable concentrations is present fungal decay will dominate and destroy wood in relative short periods (Gelbrich, Huisman, Kretschmar, Klaassen, Keijer, Lamerdorf 2005). Fungal decay of supporting constructions such as a timber foundation will eventually cause odd settlements with a consequence of severe damages to the building. </w:t>
      </w:r>
    </w:p>
    <w:p w14:paraId="64CFC438" w14:textId="77777777" w:rsidR="00A96885" w:rsidRPr="00B65D57" w:rsidRDefault="00A96885" w:rsidP="00A96885">
      <w:r w:rsidRPr="00B65D57">
        <w:t>If the decay is discovered in time when the wood still has sufficient strength a preservation technique can be used, such as the Eurobor technique. Other alternatives to preserve foundation wood is only hydrological manipulation which is often difficult to do and rarely with good result over time (Brynjer, T. 2001; Bandh, Karl-Magnus 2010). (Elam, Björdal, 2020)</w:t>
      </w:r>
    </w:p>
    <w:p w14:paraId="11A79541" w14:textId="77777777" w:rsidR="00A96885" w:rsidRPr="00B65D57" w:rsidRDefault="00A96885" w:rsidP="00A96885">
      <w:r w:rsidRPr="00B65D57">
        <w:t xml:space="preserve">However there are great advantages to address the problem early and avoid reinforcement with underpinning. Underpinning often results in risk for damages to the building itself and the surroundings (Brynjer, T. 2001). Reinforcement of a foundation with large amounts of concrete and steel results in big costs and considerable use of natural resources as well as </w:t>
      </w:r>
    </w:p>
    <w:p w14:paraId="65158A38" w14:textId="77777777" w:rsidR="00A96885" w:rsidRPr="00B65D57" w:rsidRDefault="00A96885" w:rsidP="00A96885">
      <w:r w:rsidRPr="00B65D57">
        <w:t xml:space="preserve">release of carbon dioxide (Bjerking, S-E. 1989; Bandh, Karl-Magnus 2010).  </w:t>
      </w:r>
    </w:p>
    <w:p w14:paraId="06647B9C" w14:textId="77777777" w:rsidR="00A96885" w:rsidRPr="00B65D57" w:rsidRDefault="00A96885" w:rsidP="00A96885">
      <w:r w:rsidRPr="00B65D57">
        <w:t xml:space="preserve">Decay by wood root fungi on wooden foundations can be curative treated with Jerbor and the Eurobor technique (Brynjer, T. 2001; Bandh, K-M. 2011). Toxic retention levels of borates in the foundation piles and grillages have been proved after 5 years or more (Bandh, K. et al. 2011) Since 1940:s 1 kg boric acid/m3 wood has been recognized as toxic retention level against decay by basidiomycetes (Drysdale, J. A. 1984; Lloyd, J. D. et al. 1998; Peylo, A. et al. 2001). European standard for boron retention, EN113, in non </w:t>
      </w:r>
    </w:p>
    <w:p w14:paraId="57E6CD69" w14:textId="77777777" w:rsidR="00A96885" w:rsidRPr="00B65D57" w:rsidRDefault="00A96885" w:rsidP="00A96885">
      <w:r w:rsidRPr="00B65D57">
        <w:t xml:space="preserve">termite areas, are set to 0.89 for Coriolus versicolor, 0.69 for Gloeophyllum trabeum, 0.38 for Coniophora puteana and 0.35 Poria placenta as kg BAE/m3 wood (Lloyd, J. D., </w:t>
      </w:r>
      <w:r w:rsidRPr="00B65D57">
        <w:lastRenderedPageBreak/>
        <w:t>Schoeman, M. W. et al. 1998). More recent studies (Freitag, C. et al. 2005) showed toxicity of 0.4-0.44 kg BAE/m3 of wood against decay by fungi, for more details se section 2.2.5.6.</w:t>
      </w:r>
    </w:p>
    <w:p w14:paraId="219A61CB" w14:textId="4C6328C2" w:rsidR="00F279E6" w:rsidRPr="00B65D57" w:rsidRDefault="00A96885" w:rsidP="00A96885">
      <w:r w:rsidRPr="00B65D57">
        <w:t>*) Jerbor is a registered trademark at Jerbol System AB.</w:t>
      </w:r>
    </w:p>
    <w:p w14:paraId="6835E561" w14:textId="13DCCF71" w:rsidR="00F279E6" w:rsidRPr="00B65D57" w:rsidRDefault="00F279E6" w:rsidP="00E140E5"/>
    <w:p w14:paraId="6A472689" w14:textId="7635261C" w:rsidR="005E66CC" w:rsidRPr="00B65D57" w:rsidRDefault="001F5CF2" w:rsidP="00065CC0">
      <w:pPr>
        <w:pStyle w:val="Rubrik4"/>
      </w:pPr>
      <w:bookmarkStart w:id="1994" w:name="_Toc102161190"/>
      <w:bookmarkStart w:id="1995" w:name="_Toc129689618"/>
      <w:r w:rsidRPr="00B65D57">
        <w:t xml:space="preserve">3.4.1.1 </w:t>
      </w:r>
      <w:r w:rsidR="005E66CC" w:rsidRPr="00B65D57">
        <w:t>Overall use pattern</w:t>
      </w:r>
      <w:bookmarkEnd w:id="1994"/>
      <w:bookmarkEnd w:id="1995"/>
    </w:p>
    <w:p w14:paraId="469E45CA" w14:textId="77777777" w:rsidR="005E66CC" w:rsidRPr="00B65D57" w:rsidRDefault="005E66CC" w:rsidP="005E66CC">
      <w:pPr>
        <w:spacing w:after="120"/>
      </w:pPr>
      <w:r w:rsidRPr="00B65D57">
        <w:t xml:space="preserve">Remedial in-situ treatment of foundation wood against decay by wood rooting fungi. Use is restricted to trained professional staff according to the manual of Eurobor technique (Bandh, K-M. 2022).  </w:t>
      </w:r>
    </w:p>
    <w:p w14:paraId="40E81F10" w14:textId="77777777" w:rsidR="005E66CC" w:rsidRPr="00B65D57" w:rsidRDefault="005E66CC" w:rsidP="005E66CC">
      <w:pPr>
        <w:spacing w:after="40"/>
        <w:rPr>
          <w:u w:val="single"/>
        </w:rPr>
      </w:pPr>
      <w:r w:rsidRPr="00B65D57">
        <w:rPr>
          <w:u w:val="single"/>
        </w:rPr>
        <w:t xml:space="preserve">Overall use pattern </w:t>
      </w:r>
    </w:p>
    <w:p w14:paraId="23FC89FF" w14:textId="77777777" w:rsidR="005E66CC" w:rsidRPr="00B65D57" w:rsidRDefault="005E66CC" w:rsidP="005E66CC">
      <w:r w:rsidRPr="00B65D57">
        <w:t xml:space="preserve">The following main activities is mandatory: </w:t>
      </w:r>
    </w:p>
    <w:p w14:paraId="2A46C5AB" w14:textId="77777777" w:rsidR="005E66CC" w:rsidRPr="00B65D57" w:rsidRDefault="005E66CC" w:rsidP="005E66CC">
      <w:pPr>
        <w:ind w:left="851"/>
      </w:pPr>
      <w:r w:rsidRPr="00B65D57">
        <w:t xml:space="preserve">1.    Foundation investigation </w:t>
      </w:r>
    </w:p>
    <w:p w14:paraId="7819F647" w14:textId="77777777" w:rsidR="005E66CC" w:rsidRPr="00B65D57" w:rsidRDefault="005E66CC" w:rsidP="005E66CC">
      <w:pPr>
        <w:ind w:left="851"/>
      </w:pPr>
      <w:r w:rsidRPr="00B65D57">
        <w:t xml:space="preserve">2.    Preparations before treatment </w:t>
      </w:r>
    </w:p>
    <w:p w14:paraId="1709F4BC" w14:textId="77777777" w:rsidR="005E66CC" w:rsidRPr="00B65D57" w:rsidRDefault="005E66CC" w:rsidP="005E66CC">
      <w:pPr>
        <w:ind w:left="851"/>
      </w:pPr>
      <w:r w:rsidRPr="00B65D57">
        <w:t xml:space="preserve">3.    Treatment with measurements </w:t>
      </w:r>
    </w:p>
    <w:p w14:paraId="73FE9C59" w14:textId="77777777" w:rsidR="005E66CC" w:rsidRPr="00B65D57" w:rsidRDefault="005E66CC" w:rsidP="005E66CC">
      <w:pPr>
        <w:spacing w:after="120"/>
        <w:ind w:left="851"/>
      </w:pPr>
      <w:r w:rsidRPr="00B65D57">
        <w:t xml:space="preserve">4.    Follow-up of result </w:t>
      </w:r>
    </w:p>
    <w:p w14:paraId="09C0EA30" w14:textId="77777777" w:rsidR="005E66CC" w:rsidRPr="00B65D57" w:rsidRDefault="005E66CC" w:rsidP="005E66CC">
      <w:pPr>
        <w:spacing w:after="120"/>
      </w:pPr>
      <w:r w:rsidRPr="00B65D57">
        <w:t xml:space="preserve">For more specific requirements and details, see 2.2.1.4 below and the manual of Eurobor technique (Bandh, K-M. 2022). </w:t>
      </w:r>
    </w:p>
    <w:p w14:paraId="48E4DD9F" w14:textId="77777777" w:rsidR="005E66CC" w:rsidRPr="00B65D57" w:rsidRDefault="005E66CC" w:rsidP="005E66CC">
      <w:pPr>
        <w:spacing w:after="40"/>
        <w:rPr>
          <w:u w:val="single"/>
        </w:rPr>
      </w:pPr>
      <w:r w:rsidRPr="00B65D57">
        <w:rPr>
          <w:u w:val="single"/>
        </w:rPr>
        <w:t xml:space="preserve">Overall requirements </w:t>
      </w:r>
    </w:p>
    <w:p w14:paraId="0F1700B8" w14:textId="77777777" w:rsidR="005E66CC" w:rsidRPr="00B65D57" w:rsidRDefault="005E66CC" w:rsidP="005E66CC">
      <w:pPr>
        <w:spacing w:after="120"/>
      </w:pPr>
      <w:r w:rsidRPr="00B65D57">
        <w:t xml:space="preserve">An investigation of the surroundings, foundation and the foundation wood must always be performed before a curative treatment can be made. The state of the foundation wood quality must be documented in order to evaluate the need and possibility for curative treatment with biocide. Ground conditions required for treatment are dominated by dens clay (of marine origin) with low water turnover in the treatment zone (Bandh, K-M. 2022). </w:t>
      </w:r>
    </w:p>
    <w:p w14:paraId="0083522A" w14:textId="77777777" w:rsidR="005E66CC" w:rsidRPr="00B65D57" w:rsidRDefault="005E66CC" w:rsidP="005E66CC">
      <w:pPr>
        <w:spacing w:after="40"/>
        <w:rPr>
          <w:u w:val="single"/>
        </w:rPr>
      </w:pPr>
      <w:r w:rsidRPr="00B65D57">
        <w:rPr>
          <w:u w:val="single"/>
        </w:rPr>
        <w:t xml:space="preserve">Fungal decay zone and treatment zone </w:t>
      </w:r>
    </w:p>
    <w:p w14:paraId="48F3B507" w14:textId="77777777" w:rsidR="005E66CC" w:rsidRPr="00B65D57" w:rsidRDefault="005E66CC" w:rsidP="005E66CC">
      <w:r w:rsidRPr="00B65D57">
        <w:t xml:space="preserve">Wooden foundations were constructed deep down in soft clay to ensure coverage of water and thereby increase the durability. Natural deposited and undisturbed dense clay surrounds these deep foundations at bottom and along sides, well over level of upper </w:t>
      </w:r>
    </w:p>
    <w:p w14:paraId="4874A7FB" w14:textId="77777777" w:rsidR="005E66CC" w:rsidRPr="00B65D57" w:rsidRDefault="005E66CC" w:rsidP="005E66CC">
      <w:pPr>
        <w:spacing w:after="120"/>
        <w:rPr>
          <w:highlight w:val="red"/>
        </w:rPr>
      </w:pPr>
      <w:r w:rsidRPr="00B65D57">
        <w:t>foundation wood. Refilling around the foundation was often made with the soft clay from the trench to seal the foundation and also to avoid unnecessary transport of heavy spoil (Bergren, K., Fabricius, O. et al. 1990). The water surrounding these foundations is therefore often to be regarded as isolated from other groundwater. In most cases the overflow level from a foundation is the level of outgoing sewage pipe. The isolated nature of this water makes it anoxic over time which can be seen both in the clay with formation of FeS(s) deposits and in decayed wood with precipitation of Mn-deposits formed during degradation in lack of oxygen (Blanchette 1984, Schmidt et al. 1996)</w:t>
      </w:r>
    </w:p>
    <w:p w14:paraId="3E5D36B4" w14:textId="77777777" w:rsidR="005E66CC" w:rsidRPr="00B65D57" w:rsidRDefault="005E66CC" w:rsidP="005E66CC">
      <w:r w:rsidRPr="00B65D57">
        <w:t xml:space="preserve">Bacterial decay in anaerobic environment is normally a very slow process often over hundreds of years but when just measurable levels of oxygen is present fungi decay will be the problem (Gelbrich et al 2005). Damages in buildings due to lack of strength in wooden foundation can occur just in a few years after an incipient fungal attack (Brynjer, T. 2001). In most cases a lowered level of water table leads to air intrusion with increased levels of oxygen which enables fungal decay to start. There are many reasons for water level to drop but most common is urbanization with disposal of rainwater through storm drains and installation of sewage pipes and tunnelling with unwanted draining effects (Bergren, K., Fabricius, O. et al. 1990, Elam and Björdal 2020). Fungi decay in wooden foundations is aerobe and therefore always located in upper parts of the wooden foundation (top of piles and/or grillage). Fungal degradation is common in this environment despite the often very high moisture content in the wood, e.g., the white rot fungi </w:t>
      </w:r>
      <w:r w:rsidRPr="00B65D57">
        <w:rPr>
          <w:i/>
        </w:rPr>
        <w:t xml:space="preserve">Physisporinus vitreus </w:t>
      </w:r>
      <w:r w:rsidRPr="00B65D57">
        <w:t xml:space="preserve">is able to attack wood at moisture content up to 320%. Often there is a thin permeable layer that increases the risk of decay where the upper part of the supporting wooden structure meets </w:t>
      </w:r>
      <w:r w:rsidRPr="00B65D57">
        <w:lastRenderedPageBreak/>
        <w:t>the bottom of the dry wall or concrete fundament. This permeable layer is the treatment zone (Lundin, S-E 2000), (Schmidt et al, 1997).</w:t>
      </w:r>
    </w:p>
    <w:p w14:paraId="19086E29" w14:textId="77777777" w:rsidR="005E66CC" w:rsidRPr="00B65D57" w:rsidRDefault="005E66CC" w:rsidP="005E66CC">
      <w:pPr>
        <w:spacing w:before="120" w:after="40"/>
        <w:rPr>
          <w:u w:val="single"/>
        </w:rPr>
      </w:pPr>
      <w:r w:rsidRPr="00B65D57">
        <w:rPr>
          <w:u w:val="single"/>
        </w:rPr>
        <w:t xml:space="preserve">Treatment of wood </w:t>
      </w:r>
    </w:p>
    <w:p w14:paraId="7376DB68" w14:textId="77777777" w:rsidR="005E66CC" w:rsidRPr="00B65D57" w:rsidRDefault="005E66CC" w:rsidP="005E66CC">
      <w:r w:rsidRPr="00B65D57">
        <w:t xml:space="preserve">A treatment according to the Eurobor technique aims to fill the treatment zone with the Jerbor in a water bentonite mixture to create an external depot of borates in the decay area. The wet environment enables excellent diffusion of active substances into the wood, with high water content, and also it enables bentonite swelling (2,7 times original volume) (Theorin, M. 2011b) which seals the area from water circulation and thereby keeps active substances in the zone over time (Schoeman, M. W. et al. 1998; Brynjer, T. 2001; Askania 2005; Bandh, K-M. et al. 2011). </w:t>
      </w:r>
    </w:p>
    <w:p w14:paraId="31CC0DAF" w14:textId="77777777" w:rsidR="005E66CC" w:rsidRPr="00B65D57" w:rsidRDefault="005E66CC" w:rsidP="005E66CC">
      <w:pPr>
        <w:spacing w:after="120"/>
      </w:pPr>
      <w:r w:rsidRPr="00B65D57">
        <w:t xml:space="preserve">Planning and risk analysis is always made before a treatment to evaluate any needs of sealing measures.  </w:t>
      </w:r>
    </w:p>
    <w:p w14:paraId="7C35B170" w14:textId="77777777" w:rsidR="005E66CC" w:rsidRPr="00B65D57" w:rsidRDefault="005E66CC" w:rsidP="005E66CC">
      <w:pPr>
        <w:spacing w:after="120"/>
      </w:pPr>
      <w:r w:rsidRPr="00B65D57">
        <w:t>Measurements (function and environmental controls) is always carried out and documented before, during and after treatment according to the manual of Eurobor technique (Bandh, K-M. 2022). A treatment is always committed with a commercial warranty of 5 years that guarantees levels of active substances to control fungi in wood.</w:t>
      </w:r>
    </w:p>
    <w:p w14:paraId="32E4FEBD" w14:textId="77777777" w:rsidR="005E66CC" w:rsidRPr="00B65D57" w:rsidRDefault="005E66CC" w:rsidP="005E66CC">
      <w:pPr>
        <w:spacing w:after="40"/>
        <w:rPr>
          <w:u w:val="single"/>
        </w:rPr>
      </w:pPr>
      <w:r w:rsidRPr="00B65D57">
        <w:rPr>
          <w:u w:val="single"/>
        </w:rPr>
        <w:t xml:space="preserve">Release estimates </w:t>
      </w:r>
    </w:p>
    <w:p w14:paraId="160D659D" w14:textId="77777777" w:rsidR="005E66CC" w:rsidRPr="00B65D57" w:rsidRDefault="005E66CC" w:rsidP="005E66CC">
      <w:pPr>
        <w:spacing w:after="120"/>
      </w:pPr>
      <w:r w:rsidRPr="00B65D57">
        <w:t xml:space="preserve">No typical OECD use pattern scenario is available for curative treatment, with an external depot of the biocidal product, of upper part of foundation wood such as piles and grillages. A modified scenario according to use class 4 has been developed for the use of Jerbor with the Eurobor technique to preserve wooden foundations (Joodaki &amp; Vickman, 2020).  </w:t>
      </w:r>
    </w:p>
    <w:p w14:paraId="1B00006B" w14:textId="77777777" w:rsidR="005E66CC" w:rsidRPr="00B65D57" w:rsidRDefault="005E66CC" w:rsidP="005E66CC">
      <w:r w:rsidRPr="00B65D57">
        <w:t xml:space="preserve">In the risk assessment possible risk for soil and ground water exposure have been identified. Control measurements outside the treatment zone have not shown any increased boron concentrations in soil or ground water. Simulated data show a possible exposure of soil and groundwater below the treatment zone but the exposure is limited </w:t>
      </w:r>
    </w:p>
    <w:p w14:paraId="6A1CCE2D" w14:textId="77777777" w:rsidR="005E66CC" w:rsidRPr="00B65D57" w:rsidRDefault="005E66CC" w:rsidP="005E66CC">
      <w:pPr>
        <w:spacing w:after="120"/>
      </w:pPr>
      <w:r w:rsidRPr="00B65D57">
        <w:t xml:space="preserve">to the area closest to the treatment zone (6-12 cm in 30 years).  </w:t>
      </w:r>
    </w:p>
    <w:p w14:paraId="6E1E9539" w14:textId="77777777" w:rsidR="005E66CC" w:rsidRPr="00B65D57" w:rsidRDefault="005E66CC" w:rsidP="005E66CC">
      <w:r w:rsidRPr="00B65D57">
        <w:t>In addition, the material in the treatment zone is always of marine origin with substantial natural background concentration of borates. Other organisms than microbes are not present close to the treatments zone at these depths.</w:t>
      </w:r>
    </w:p>
    <w:p w14:paraId="264F95BC" w14:textId="255AB8D1" w:rsidR="005E66CC" w:rsidRPr="00B65D57" w:rsidRDefault="001F5CF2" w:rsidP="00065CC0">
      <w:pPr>
        <w:pStyle w:val="Rubrik4"/>
      </w:pPr>
      <w:bookmarkStart w:id="1996" w:name="_Toc102161191"/>
      <w:bookmarkStart w:id="1997" w:name="_Toc129689619"/>
      <w:r w:rsidRPr="00B65D57">
        <w:t xml:space="preserve">3.4.1.2 </w:t>
      </w:r>
      <w:r w:rsidR="005E66CC" w:rsidRPr="00B65D57">
        <w:t>Method of application including description of system used</w:t>
      </w:r>
      <w:bookmarkEnd w:id="1996"/>
      <w:bookmarkEnd w:id="1997"/>
    </w:p>
    <w:p w14:paraId="563001AC" w14:textId="77777777" w:rsidR="005E66CC" w:rsidRPr="00B65D57" w:rsidRDefault="005E66CC" w:rsidP="005E66CC">
      <w:pPr>
        <w:spacing w:after="120"/>
      </w:pPr>
      <w:r w:rsidRPr="00B65D57">
        <w:t xml:space="preserve">F.20, injection and F.60 diffusion  </w:t>
      </w:r>
    </w:p>
    <w:p w14:paraId="0ABCFC0E" w14:textId="77777777" w:rsidR="005E66CC" w:rsidRPr="00B65D57" w:rsidRDefault="005E66CC" w:rsidP="005E66CC">
      <w:pPr>
        <w:spacing w:after="120"/>
      </w:pPr>
      <w:r w:rsidRPr="00B65D57">
        <w:t>Remedial D.50, use class E.40, trained professional A.30, in-situ injection, indoor on-site mixing, water temp 50-70 °C, slightly modified according evaluated intended uses for active substances. (Assessment Report Boric acid, 2009, and Assessment Report Disodium tetraborate, 2009)</w:t>
      </w:r>
    </w:p>
    <w:p w14:paraId="0F1E4D07" w14:textId="77777777" w:rsidR="005E66CC" w:rsidRPr="00B65D57" w:rsidRDefault="005E66CC" w:rsidP="005E66CC">
      <w:pPr>
        <w:spacing w:after="40"/>
        <w:rPr>
          <w:u w:val="single"/>
        </w:rPr>
      </w:pPr>
      <w:r w:rsidRPr="00B65D57">
        <w:rPr>
          <w:u w:val="single"/>
        </w:rPr>
        <w:t xml:space="preserve">Concentrations of substances and function of sodium bentonite </w:t>
      </w:r>
    </w:p>
    <w:p w14:paraId="187DB1E7" w14:textId="745B60FC" w:rsidR="005E66CC" w:rsidRPr="00B65D57" w:rsidRDefault="005E66CC" w:rsidP="005E66CC">
      <w:r w:rsidRPr="00B65D57">
        <w:t>Jerbor (9,6% w/w) is diluted in hot water (70,4% w/w) and the solution is mixed with sodium bentonite (20% w/w) before injection. Two of the most important purposes of the addition of sodium bentonite is to increase viscosity and thereby significantly reduce risk of accidental leakage to surroundings (the slurry has pseudoplastic properties and will get increased viscosity with time)</w:t>
      </w:r>
      <w:r w:rsidR="00F73033" w:rsidRPr="00B65D57">
        <w:t xml:space="preserve"> </w:t>
      </w:r>
      <w:r w:rsidRPr="00B65D57">
        <w:t xml:space="preserve">(Theorin, M. 2011b) and secondly the bentonite will swell in volume (up to 2,7 times), decrease circulation even more and seal the treatment zone. This function will secure a long-time wooden protection (Bandh, K-M.  et al. 2011). </w:t>
      </w:r>
    </w:p>
    <w:p w14:paraId="291EB2C7" w14:textId="77777777" w:rsidR="005E66CC" w:rsidRPr="00B65D57" w:rsidRDefault="005E66CC" w:rsidP="005E66CC">
      <w:pPr>
        <w:spacing w:after="120"/>
      </w:pPr>
      <w:r w:rsidRPr="00B65D57">
        <w:t xml:space="preserve">Bentonite hydration and swelling starts on mixture and continuous after injection and the premise for swelling is water and available voids. Swelling is therefore not possible in a dry environment. The treatment zone (see 2.2.1.3 above), where the biocide product is injected, is located below the building inside the surrounding trench of the wooden foundation. This zone is a limited space, with floor and walls of the original trench borders </w:t>
      </w:r>
      <w:r w:rsidRPr="00B65D57">
        <w:lastRenderedPageBreak/>
        <w:t>forming a geological barrier that enclose the biocide inside. Often there is a permeable layer, with minor voids, within this area that will be sealed trough bentonite swelling (Bandh, K-M. 2022).</w:t>
      </w:r>
    </w:p>
    <w:p w14:paraId="19BD3730" w14:textId="5D657DCE" w:rsidR="005E66CC" w:rsidRPr="00B65D57" w:rsidRDefault="005E66CC" w:rsidP="005E66CC">
      <w:pPr>
        <w:rPr>
          <w:u w:val="single"/>
        </w:rPr>
      </w:pPr>
      <w:r w:rsidRPr="00B65D57">
        <w:rPr>
          <w:u w:val="single"/>
        </w:rPr>
        <w:t xml:space="preserve">Detailed use pattern </w:t>
      </w:r>
    </w:p>
    <w:p w14:paraId="0AFAFD70" w14:textId="77777777" w:rsidR="005E66CC" w:rsidRPr="00B65D57" w:rsidRDefault="005E66CC" w:rsidP="005E66CC">
      <w:pPr>
        <w:spacing w:after="120"/>
      </w:pPr>
      <w:r w:rsidRPr="00B65D57">
        <w:t>The use and application of Jerbor is strictly limited to wooden foundations, piles and grillage, in ground with dense soft soil and high clay content (of marine origin) and low water turnover according to the manual of Eurobor technique (Bandh, K-M. 2022).</w:t>
      </w:r>
    </w:p>
    <w:p w14:paraId="59D972B9" w14:textId="77777777" w:rsidR="005E66CC" w:rsidRPr="00B65D57" w:rsidRDefault="005E66CC" w:rsidP="001F5CF2">
      <w:pPr>
        <w:numPr>
          <w:ilvl w:val="0"/>
          <w:numId w:val="4"/>
        </w:numPr>
        <w:spacing w:after="40"/>
        <w:rPr>
          <w:u w:val="single"/>
        </w:rPr>
      </w:pPr>
      <w:r w:rsidRPr="00B65D57">
        <w:rPr>
          <w:u w:val="single"/>
        </w:rPr>
        <w:t xml:space="preserve">Foundation investigation </w:t>
      </w:r>
    </w:p>
    <w:p w14:paraId="06131687" w14:textId="77777777" w:rsidR="005E66CC" w:rsidRPr="00B65D57" w:rsidRDefault="005E66CC" w:rsidP="005E66CC">
      <w:pPr>
        <w:spacing w:after="120"/>
      </w:pPr>
      <w:r w:rsidRPr="00B65D57">
        <w:t xml:space="preserve">A foundation investigation aims to control foundation design, relevant conditions in surroundings (for any necessary measures) and set the state of foundation wood quality. The purpose with the inspection is to give appropriate recommendations of measures.  </w:t>
      </w:r>
    </w:p>
    <w:p w14:paraId="2553DB10" w14:textId="77777777" w:rsidR="005E66CC" w:rsidRPr="00B65D57" w:rsidRDefault="005E66CC" w:rsidP="005E66CC">
      <w:pPr>
        <w:spacing w:after="60"/>
      </w:pPr>
      <w:r w:rsidRPr="00B65D57">
        <w:t xml:space="preserve">An investigation mainly includes: </w:t>
      </w:r>
    </w:p>
    <w:p w14:paraId="1D07BA20" w14:textId="77777777" w:rsidR="005E66CC" w:rsidRPr="00B65D57" w:rsidRDefault="005E66CC" w:rsidP="001F5CF2">
      <w:pPr>
        <w:numPr>
          <w:ilvl w:val="0"/>
          <w:numId w:val="3"/>
        </w:numPr>
        <w:spacing w:after="40"/>
        <w:ind w:left="714" w:hanging="357"/>
      </w:pPr>
      <w:r w:rsidRPr="00B65D57">
        <w:t xml:space="preserve">Study of existing drawings of building, geological mapping and geotechnical information </w:t>
      </w:r>
    </w:p>
    <w:p w14:paraId="4C7C11C6" w14:textId="77777777" w:rsidR="005E66CC" w:rsidRPr="00B65D57" w:rsidRDefault="005E66CC" w:rsidP="001F5CF2">
      <w:pPr>
        <w:numPr>
          <w:ilvl w:val="0"/>
          <w:numId w:val="3"/>
        </w:numPr>
        <w:spacing w:after="40"/>
        <w:ind w:left="714" w:hanging="357"/>
      </w:pPr>
      <w:r w:rsidRPr="00B65D57">
        <w:t xml:space="preserve">Visual inspection of the property and surroundings </w:t>
      </w:r>
    </w:p>
    <w:p w14:paraId="4EC2C2F4" w14:textId="77777777" w:rsidR="005E66CC" w:rsidRPr="00B65D57" w:rsidRDefault="005E66CC" w:rsidP="001F5CF2">
      <w:pPr>
        <w:numPr>
          <w:ilvl w:val="0"/>
          <w:numId w:val="3"/>
        </w:numPr>
        <w:spacing w:after="40"/>
        <w:ind w:left="714" w:hanging="357"/>
      </w:pPr>
      <w:r w:rsidRPr="00B65D57">
        <w:t xml:space="preserve">Installation of groundwater tubes </w:t>
      </w:r>
    </w:p>
    <w:p w14:paraId="20BDE54E" w14:textId="77777777" w:rsidR="005E66CC" w:rsidRPr="00B65D57" w:rsidRDefault="005E66CC" w:rsidP="001F5CF2">
      <w:pPr>
        <w:numPr>
          <w:ilvl w:val="0"/>
          <w:numId w:val="3"/>
        </w:numPr>
        <w:spacing w:after="40"/>
        <w:ind w:left="714" w:hanging="357"/>
      </w:pPr>
      <w:r w:rsidRPr="00B65D57">
        <w:t xml:space="preserve">Measurements of groundwater levels and levels of upper part of foundation wood to determine if there is lack of water coverage. Important is also to study water table gradient and the overflow level from the foundation.  </w:t>
      </w:r>
    </w:p>
    <w:p w14:paraId="3012B2EF" w14:textId="77777777" w:rsidR="005E66CC" w:rsidRPr="00B65D57" w:rsidRDefault="005E66CC" w:rsidP="001F5CF2">
      <w:pPr>
        <w:numPr>
          <w:ilvl w:val="0"/>
          <w:numId w:val="3"/>
        </w:numPr>
        <w:spacing w:after="40"/>
        <w:ind w:left="714" w:hanging="357"/>
      </w:pPr>
      <w:r w:rsidRPr="00B65D57">
        <w:t xml:space="preserve">Sampling of water for laboratory analysis </w:t>
      </w:r>
    </w:p>
    <w:p w14:paraId="58674D3F" w14:textId="77777777" w:rsidR="005E66CC" w:rsidRPr="00B65D57" w:rsidRDefault="005E66CC" w:rsidP="001F5CF2">
      <w:pPr>
        <w:numPr>
          <w:ilvl w:val="0"/>
          <w:numId w:val="3"/>
        </w:numPr>
        <w:spacing w:after="40"/>
        <w:ind w:left="714" w:hanging="357"/>
      </w:pPr>
      <w:r w:rsidRPr="00B65D57">
        <w:t xml:space="preserve">Making inspection pits for wood sampling and inspection of surrounding soil, voids, construction design and water inflow etc. </w:t>
      </w:r>
    </w:p>
    <w:p w14:paraId="0E0B3C3C" w14:textId="77777777" w:rsidR="005E66CC" w:rsidRPr="00B65D57" w:rsidRDefault="005E66CC" w:rsidP="001F5CF2">
      <w:pPr>
        <w:numPr>
          <w:ilvl w:val="0"/>
          <w:numId w:val="3"/>
        </w:numPr>
        <w:spacing w:after="40"/>
        <w:ind w:left="714" w:hanging="357"/>
      </w:pPr>
      <w:r w:rsidRPr="00B65D57">
        <w:t xml:space="preserve">A full laboratory analysis of wood samples including several physical and microbiological properties in order to set the state of wood quality </w:t>
      </w:r>
    </w:p>
    <w:p w14:paraId="6012952C" w14:textId="77777777" w:rsidR="005E66CC" w:rsidRPr="00B65D57" w:rsidRDefault="005E66CC" w:rsidP="001F5CF2">
      <w:pPr>
        <w:numPr>
          <w:ilvl w:val="0"/>
          <w:numId w:val="3"/>
        </w:numPr>
        <w:spacing w:after="40"/>
        <w:ind w:left="714" w:hanging="357"/>
      </w:pPr>
      <w:r w:rsidRPr="00B65D57">
        <w:t xml:space="preserve">Control of sewage pipes beneath the building </w:t>
      </w:r>
    </w:p>
    <w:p w14:paraId="43F1AED9" w14:textId="77777777" w:rsidR="005E66CC" w:rsidRPr="00B65D57" w:rsidRDefault="005E66CC" w:rsidP="001F5CF2">
      <w:pPr>
        <w:numPr>
          <w:ilvl w:val="0"/>
          <w:numId w:val="3"/>
        </w:numPr>
        <w:spacing w:after="120"/>
        <w:ind w:left="714" w:hanging="357"/>
      </w:pPr>
      <w:r w:rsidRPr="00B65D57">
        <w:t xml:space="preserve">Subsidence levelling </w:t>
      </w:r>
    </w:p>
    <w:p w14:paraId="29CD89F5" w14:textId="77777777" w:rsidR="005E66CC" w:rsidRPr="00B65D57" w:rsidRDefault="005E66CC" w:rsidP="005E66CC">
      <w:pPr>
        <w:spacing w:after="120"/>
      </w:pPr>
      <w:r w:rsidRPr="00B65D57">
        <w:t>Recommendation of a treatment according to the Eurobor technique is only submitted if conditions are suitable and risk analysis is executed regarding environmental impact.</w:t>
      </w:r>
    </w:p>
    <w:p w14:paraId="4D324EA6" w14:textId="77777777" w:rsidR="005E66CC" w:rsidRPr="00B65D57" w:rsidRDefault="005E66CC" w:rsidP="001F5CF2">
      <w:pPr>
        <w:numPr>
          <w:ilvl w:val="0"/>
          <w:numId w:val="4"/>
        </w:numPr>
        <w:spacing w:after="40"/>
        <w:ind w:left="714" w:hanging="357"/>
        <w:rPr>
          <w:u w:val="single"/>
        </w:rPr>
      </w:pPr>
      <w:r w:rsidRPr="00B65D57">
        <w:rPr>
          <w:u w:val="single"/>
        </w:rPr>
        <w:t xml:space="preserve">Preparations before treatment </w:t>
      </w:r>
    </w:p>
    <w:p w14:paraId="1E001D8F" w14:textId="77777777" w:rsidR="005E66CC" w:rsidRPr="00B65D57" w:rsidRDefault="005E66CC" w:rsidP="005E66CC">
      <w:pPr>
        <w:spacing w:after="120"/>
      </w:pPr>
      <w:r w:rsidRPr="00B65D57">
        <w:t xml:space="preserve">Preparations before a treatment are based on report and documentation from the foundation inspection. The purpose with the preparations is to get necessary documents and conditions for a successful implementation of the treatment. </w:t>
      </w:r>
    </w:p>
    <w:p w14:paraId="057AB5F8" w14:textId="77777777" w:rsidR="005E66CC" w:rsidRPr="00B65D57" w:rsidRDefault="005E66CC" w:rsidP="001F5CF2">
      <w:pPr>
        <w:numPr>
          <w:ilvl w:val="0"/>
          <w:numId w:val="5"/>
        </w:numPr>
        <w:spacing w:after="40"/>
        <w:ind w:left="714" w:hanging="357"/>
      </w:pPr>
      <w:r w:rsidRPr="00B65D57">
        <w:t xml:space="preserve">If necessary, additional investigation </w:t>
      </w:r>
    </w:p>
    <w:p w14:paraId="4FA3955A" w14:textId="77777777" w:rsidR="005E66CC" w:rsidRPr="00B65D57" w:rsidRDefault="005E66CC" w:rsidP="001F5CF2">
      <w:pPr>
        <w:numPr>
          <w:ilvl w:val="0"/>
          <w:numId w:val="5"/>
        </w:numPr>
        <w:spacing w:after="40"/>
        <w:ind w:left="714" w:hanging="357"/>
      </w:pPr>
      <w:r w:rsidRPr="00B65D57">
        <w:t xml:space="preserve">Repair any sewage pipes beneath the building with leakage and pump out groundwater contaminated with wastewater  </w:t>
      </w:r>
    </w:p>
    <w:p w14:paraId="51A5889E" w14:textId="77777777" w:rsidR="005E66CC" w:rsidRPr="00B65D57" w:rsidRDefault="005E66CC" w:rsidP="001F5CF2">
      <w:pPr>
        <w:numPr>
          <w:ilvl w:val="0"/>
          <w:numId w:val="5"/>
        </w:numPr>
        <w:spacing w:after="40"/>
        <w:ind w:left="714" w:hanging="357"/>
      </w:pPr>
      <w:r w:rsidRPr="00B65D57">
        <w:t xml:space="preserve">Approved working documents </w:t>
      </w:r>
    </w:p>
    <w:p w14:paraId="5676F6F4" w14:textId="77777777" w:rsidR="005E66CC" w:rsidRPr="00B65D57" w:rsidRDefault="005E66CC" w:rsidP="001F5CF2">
      <w:pPr>
        <w:numPr>
          <w:ilvl w:val="0"/>
          <w:numId w:val="5"/>
        </w:numPr>
        <w:spacing w:after="40"/>
        <w:ind w:left="714" w:hanging="357"/>
      </w:pPr>
      <w:r w:rsidRPr="00B65D57">
        <w:t xml:space="preserve">Approved quality-, environment- also health and safety plans </w:t>
      </w:r>
    </w:p>
    <w:p w14:paraId="2CECDB83" w14:textId="77777777" w:rsidR="005E66CC" w:rsidRPr="00B65D57" w:rsidRDefault="005E66CC" w:rsidP="001F5CF2">
      <w:pPr>
        <w:numPr>
          <w:ilvl w:val="0"/>
          <w:numId w:val="5"/>
        </w:numPr>
        <w:spacing w:after="40"/>
        <w:ind w:left="714" w:hanging="357"/>
      </w:pPr>
      <w:r w:rsidRPr="00B65D57">
        <w:t xml:space="preserve">Necessary control document </w:t>
      </w:r>
    </w:p>
    <w:p w14:paraId="15AE0782" w14:textId="77777777" w:rsidR="005E66CC" w:rsidRPr="00B65D57" w:rsidRDefault="005E66CC" w:rsidP="001F5CF2">
      <w:pPr>
        <w:numPr>
          <w:ilvl w:val="0"/>
          <w:numId w:val="5"/>
        </w:numPr>
        <w:spacing w:after="40"/>
        <w:ind w:left="714" w:hanging="357"/>
      </w:pPr>
      <w:r w:rsidRPr="00B65D57">
        <w:t xml:space="preserve">Information to third parties </w:t>
      </w:r>
    </w:p>
    <w:p w14:paraId="5062D4AD" w14:textId="77777777" w:rsidR="005E66CC" w:rsidRPr="00B65D57" w:rsidRDefault="005E66CC" w:rsidP="001F5CF2">
      <w:pPr>
        <w:numPr>
          <w:ilvl w:val="0"/>
          <w:numId w:val="5"/>
        </w:numPr>
        <w:spacing w:after="40"/>
        <w:ind w:left="714" w:hanging="357"/>
      </w:pPr>
      <w:r w:rsidRPr="00B65D57">
        <w:t xml:space="preserve">Agreement with subcontractor for drilling </w:t>
      </w:r>
    </w:p>
    <w:p w14:paraId="7A85D180" w14:textId="77777777" w:rsidR="005E66CC" w:rsidRPr="00B65D57" w:rsidRDefault="005E66CC" w:rsidP="001F5CF2">
      <w:pPr>
        <w:numPr>
          <w:ilvl w:val="0"/>
          <w:numId w:val="5"/>
        </w:numPr>
        <w:spacing w:after="40"/>
        <w:ind w:left="714" w:hanging="357"/>
      </w:pPr>
      <w:r w:rsidRPr="00B65D57">
        <w:t xml:space="preserve">Schedule is prepared </w:t>
      </w:r>
    </w:p>
    <w:p w14:paraId="7AC327D6" w14:textId="77777777" w:rsidR="005E66CC" w:rsidRPr="00B65D57" w:rsidRDefault="005E66CC" w:rsidP="001F5CF2">
      <w:pPr>
        <w:numPr>
          <w:ilvl w:val="0"/>
          <w:numId w:val="5"/>
        </w:numPr>
        <w:spacing w:after="40"/>
        <w:ind w:left="714" w:hanging="357"/>
      </w:pPr>
      <w:r w:rsidRPr="00B65D57">
        <w:t xml:space="preserve">Inspection of site </w:t>
      </w:r>
    </w:p>
    <w:p w14:paraId="2BDC4530" w14:textId="77777777" w:rsidR="005E66CC" w:rsidRPr="00B65D57" w:rsidRDefault="005E66CC" w:rsidP="001F5CF2">
      <w:pPr>
        <w:numPr>
          <w:ilvl w:val="0"/>
          <w:numId w:val="5"/>
        </w:numPr>
        <w:spacing w:after="40"/>
        <w:ind w:left="714" w:hanging="357"/>
      </w:pPr>
      <w:r w:rsidRPr="00B65D57">
        <w:t xml:space="preserve">Surveying of installations in ground </w:t>
      </w:r>
    </w:p>
    <w:p w14:paraId="3C57136F" w14:textId="77777777" w:rsidR="005E66CC" w:rsidRPr="00B65D57" w:rsidRDefault="005E66CC" w:rsidP="001F5CF2">
      <w:pPr>
        <w:numPr>
          <w:ilvl w:val="0"/>
          <w:numId w:val="5"/>
        </w:numPr>
        <w:spacing w:after="40"/>
        <w:ind w:left="714" w:hanging="357"/>
      </w:pPr>
      <w:r w:rsidRPr="00B65D57">
        <w:t xml:space="preserve">Mark out injection holes with the identity of each hole on site according to drilling drawing </w:t>
      </w:r>
    </w:p>
    <w:p w14:paraId="739170B9" w14:textId="77777777" w:rsidR="005E66CC" w:rsidRPr="00B65D57" w:rsidRDefault="005E66CC" w:rsidP="001F5CF2">
      <w:pPr>
        <w:numPr>
          <w:ilvl w:val="0"/>
          <w:numId w:val="5"/>
        </w:numPr>
        <w:spacing w:after="40"/>
        <w:ind w:left="714" w:hanging="357"/>
      </w:pPr>
      <w:r w:rsidRPr="00B65D57">
        <w:t xml:space="preserve">Installation of ground water tubes for environmental control </w:t>
      </w:r>
    </w:p>
    <w:p w14:paraId="2D9E5C86" w14:textId="77777777" w:rsidR="005E66CC" w:rsidRPr="00B65D57" w:rsidRDefault="005E66CC" w:rsidP="001F5CF2">
      <w:pPr>
        <w:numPr>
          <w:ilvl w:val="0"/>
          <w:numId w:val="5"/>
        </w:numPr>
        <w:spacing w:after="40"/>
        <w:ind w:left="714" w:hanging="357"/>
      </w:pPr>
      <w:r w:rsidRPr="00B65D57">
        <w:t xml:space="preserve">Water sampling for analysis of background levels of boric acid before treatment </w:t>
      </w:r>
    </w:p>
    <w:p w14:paraId="2F504923" w14:textId="77777777" w:rsidR="005E66CC" w:rsidRPr="00B65D57" w:rsidRDefault="005E66CC" w:rsidP="001F5CF2">
      <w:pPr>
        <w:numPr>
          <w:ilvl w:val="0"/>
          <w:numId w:val="5"/>
        </w:numPr>
        <w:spacing w:after="40"/>
        <w:ind w:left="714" w:hanging="357"/>
      </w:pPr>
      <w:r w:rsidRPr="00B65D57">
        <w:lastRenderedPageBreak/>
        <w:t xml:space="preserve">If necessary, performance of sealing measures </w:t>
      </w:r>
    </w:p>
    <w:p w14:paraId="36128FFE" w14:textId="77777777" w:rsidR="005E66CC" w:rsidRPr="00B65D57" w:rsidRDefault="005E66CC" w:rsidP="001F5CF2">
      <w:pPr>
        <w:numPr>
          <w:ilvl w:val="0"/>
          <w:numId w:val="5"/>
        </w:numPr>
        <w:spacing w:after="120"/>
      </w:pPr>
      <w:r w:rsidRPr="00B65D57">
        <w:t>First meeting to inform client, staff and subcontractor</w:t>
      </w:r>
    </w:p>
    <w:p w14:paraId="63ED3927" w14:textId="77777777" w:rsidR="005E66CC" w:rsidRPr="00B65D57" w:rsidRDefault="005E66CC" w:rsidP="005E66CC"/>
    <w:p w14:paraId="1EB68AAD" w14:textId="77777777" w:rsidR="005E66CC" w:rsidRPr="00B65D57" w:rsidRDefault="005E66CC" w:rsidP="001F5CF2">
      <w:pPr>
        <w:numPr>
          <w:ilvl w:val="0"/>
          <w:numId w:val="4"/>
        </w:numPr>
        <w:spacing w:after="40"/>
        <w:ind w:left="714" w:hanging="357"/>
        <w:rPr>
          <w:u w:val="single"/>
        </w:rPr>
      </w:pPr>
      <w:r w:rsidRPr="00B65D57">
        <w:rPr>
          <w:u w:val="single"/>
        </w:rPr>
        <w:t xml:space="preserve">Treatment with measurements </w:t>
      </w:r>
    </w:p>
    <w:p w14:paraId="5BF2D74D" w14:textId="77777777" w:rsidR="005E66CC" w:rsidRPr="00B65D57" w:rsidRDefault="005E66CC" w:rsidP="005E66CC">
      <w:r w:rsidRPr="00B65D57">
        <w:t xml:space="preserve">Treatment begins when preparations are done and it is important that the work is performed according to prepared plans, working documents and the manual of Eurobor technique. Only trained professional users are allowed to perform a treatment and responsible management at site always have good knowledge of results from the </w:t>
      </w:r>
    </w:p>
    <w:p w14:paraId="0E3A979E" w14:textId="77777777" w:rsidR="005E66CC" w:rsidRPr="00B65D57" w:rsidRDefault="005E66CC" w:rsidP="005E66CC">
      <w:pPr>
        <w:spacing w:after="120"/>
      </w:pPr>
      <w:r w:rsidRPr="00B65D57">
        <w:t xml:space="preserve">foundation investigation and all preparations. </w:t>
      </w:r>
    </w:p>
    <w:p w14:paraId="78D7386D" w14:textId="77777777" w:rsidR="005E66CC" w:rsidRPr="00B65D57" w:rsidRDefault="005E66CC" w:rsidP="001F5CF2">
      <w:pPr>
        <w:numPr>
          <w:ilvl w:val="0"/>
          <w:numId w:val="6"/>
        </w:numPr>
      </w:pPr>
      <w:r w:rsidRPr="00B65D57">
        <w:t>Drilling of injection holes are made with concrete drilling equipment. The diameter of the holes is 50 mm and normally the distance between holes are 0,8 – 1,2 m. Normally drilling is made from the basement trough the dry wall or the concrete fundament to the upper part of the wooden foundation. Drilling can be done from outside of building if necessary. The accuracy in placement of holes is important because injection has to be made with precision. The drilling is documented in protocols and all holes have to be drilled before other work can start.</w:t>
      </w:r>
    </w:p>
    <w:p w14:paraId="739C97FE" w14:textId="77777777" w:rsidR="005E66CC" w:rsidRPr="00B65D57" w:rsidRDefault="005E66CC" w:rsidP="001F5CF2">
      <w:pPr>
        <w:numPr>
          <w:ilvl w:val="0"/>
          <w:numId w:val="6"/>
        </w:numPr>
      </w:pPr>
      <w:r w:rsidRPr="00B65D57">
        <w:t>Before treatment measurements are performed in the injection holes regarding water level, electric conductivity and pH value. All values are documented in protocols.</w:t>
      </w:r>
    </w:p>
    <w:p w14:paraId="597FE8C7" w14:textId="77777777" w:rsidR="005E66CC" w:rsidRPr="00B65D57" w:rsidRDefault="005E66CC" w:rsidP="001F5CF2">
      <w:pPr>
        <w:numPr>
          <w:ilvl w:val="0"/>
          <w:numId w:val="6"/>
        </w:numPr>
      </w:pPr>
      <w:r w:rsidRPr="00B65D57">
        <w:t xml:space="preserve">Mixing of granular active substances to granular Jerbor is always made at special production and storage site. A fix mixing station has been set up with a weighing scale and local exhaust ventilation and a filling device adapted to the UN-proved containers used. Personal protection according to safety data sheet is mandatory to use in all handling with active substances and Jerbor   </w:t>
      </w:r>
    </w:p>
    <w:p w14:paraId="1B11FDBA" w14:textId="77777777" w:rsidR="005E66CC" w:rsidRPr="00B65D57" w:rsidRDefault="005E66CC" w:rsidP="001F5CF2">
      <w:pPr>
        <w:numPr>
          <w:ilvl w:val="0"/>
          <w:numId w:val="6"/>
        </w:numPr>
      </w:pPr>
      <w:r w:rsidRPr="00B65D57">
        <w:t xml:space="preserve">The Jerbor concentrate is transported and stored in labelled UN-proved containers. The storage room is always locked when it is not supervised. The safety data sheet and the health and safety plan are posted at site. </w:t>
      </w:r>
    </w:p>
    <w:p w14:paraId="1C3F7D79" w14:textId="77777777" w:rsidR="005E66CC" w:rsidRPr="00B65D57" w:rsidRDefault="005E66CC" w:rsidP="001F5CF2">
      <w:pPr>
        <w:numPr>
          <w:ilvl w:val="0"/>
          <w:numId w:val="6"/>
        </w:numPr>
      </w:pPr>
      <w:r w:rsidRPr="00B65D57">
        <w:t xml:space="preserve">Set up of mixing station is done indoors and a spill tray is placed on the floor. Any floor drain will be temporary sealed and equipment for spill handling is always at site. The equipment for mixing and injection is: </w:t>
      </w:r>
    </w:p>
    <w:p w14:paraId="4ABD4793" w14:textId="77777777" w:rsidR="005E66CC" w:rsidRPr="00B65D57" w:rsidRDefault="005E66CC" w:rsidP="001F5CF2">
      <w:pPr>
        <w:numPr>
          <w:ilvl w:val="1"/>
          <w:numId w:val="6"/>
        </w:numPr>
      </w:pPr>
      <w:r w:rsidRPr="00B65D57">
        <w:t>Mixing tank for Jerbor and water (stainless steel, conical bottom, with circulation pump and removable lid), 250 l</w:t>
      </w:r>
    </w:p>
    <w:p w14:paraId="5A6FAA38" w14:textId="77777777" w:rsidR="005E66CC" w:rsidRPr="00B65D57" w:rsidRDefault="005E66CC" w:rsidP="001F5CF2">
      <w:pPr>
        <w:numPr>
          <w:ilvl w:val="1"/>
          <w:numId w:val="6"/>
        </w:numPr>
      </w:pPr>
      <w:r w:rsidRPr="00B65D57">
        <w:t xml:space="preserve">Mounted plaster and mortar mixer (50 l vessel with tilt function) which is connected with hose and valves to the mixing tank. </w:t>
      </w:r>
    </w:p>
    <w:p w14:paraId="08E1FBB1" w14:textId="77777777" w:rsidR="005E66CC" w:rsidRPr="00B65D57" w:rsidRDefault="005E66CC" w:rsidP="001F5CF2">
      <w:pPr>
        <w:numPr>
          <w:ilvl w:val="1"/>
          <w:numId w:val="6"/>
        </w:numPr>
        <w:rPr>
          <w:rFonts w:eastAsia="Verdana" w:cs="Verdana"/>
        </w:rPr>
      </w:pPr>
      <w:r w:rsidRPr="00B65D57">
        <w:t xml:space="preserve">Remote controlled plaster and mortar pump </w:t>
      </w:r>
    </w:p>
    <w:p w14:paraId="60816481" w14:textId="77777777" w:rsidR="005E66CC" w:rsidRPr="00B65D57" w:rsidRDefault="005E66CC" w:rsidP="001F5CF2">
      <w:pPr>
        <w:numPr>
          <w:ilvl w:val="1"/>
          <w:numId w:val="6"/>
        </w:numPr>
      </w:pPr>
      <w:r w:rsidRPr="00B65D57">
        <w:t xml:space="preserve">Hoses, valves and manometer </w:t>
      </w:r>
    </w:p>
    <w:p w14:paraId="5EF99356" w14:textId="77777777" w:rsidR="005E66CC" w:rsidRPr="00B65D57" w:rsidRDefault="005E66CC" w:rsidP="001F5CF2">
      <w:pPr>
        <w:numPr>
          <w:ilvl w:val="1"/>
          <w:numId w:val="6"/>
        </w:numPr>
      </w:pPr>
      <w:r w:rsidRPr="00B65D57">
        <w:t>Injection packer</w:t>
      </w:r>
    </w:p>
    <w:p w14:paraId="2796285B" w14:textId="77777777" w:rsidR="005E66CC" w:rsidRPr="00B65D57" w:rsidRDefault="005E66CC" w:rsidP="001F5CF2">
      <w:pPr>
        <w:numPr>
          <w:ilvl w:val="0"/>
          <w:numId w:val="6"/>
        </w:numPr>
      </w:pPr>
      <w:r w:rsidRPr="00B65D57">
        <w:t xml:space="preserve">Mixing of Jerbor to the treatment solution with water and bentonite (colloquially called Eurobor slurry) is made in the following steps: </w:t>
      </w:r>
    </w:p>
    <w:p w14:paraId="4696E3EE" w14:textId="77777777" w:rsidR="005E66CC" w:rsidRPr="00B65D57" w:rsidRDefault="005E66CC" w:rsidP="001F5CF2">
      <w:pPr>
        <w:numPr>
          <w:ilvl w:val="1"/>
          <w:numId w:val="6"/>
        </w:numPr>
      </w:pPr>
      <w:r w:rsidRPr="00B65D57">
        <w:t xml:space="preserve">151 l of hot water (50-70°C) is filled in mixing tank and circulation pump is started </w:t>
      </w:r>
    </w:p>
    <w:p w14:paraId="25B2F622" w14:textId="77777777" w:rsidR="005E66CC" w:rsidRPr="00B65D57" w:rsidRDefault="005E66CC" w:rsidP="001F5CF2">
      <w:pPr>
        <w:numPr>
          <w:ilvl w:val="1"/>
          <w:numId w:val="6"/>
        </w:numPr>
      </w:pPr>
      <w:r w:rsidRPr="00B65D57">
        <w:t xml:space="preserve">20,6 kg of Jerbor is portioned in mixing tank under carefully stirring </w:t>
      </w:r>
    </w:p>
    <w:p w14:paraId="5D993391" w14:textId="77777777" w:rsidR="005E66CC" w:rsidRPr="00B65D57" w:rsidRDefault="005E66CC" w:rsidP="001F5CF2">
      <w:pPr>
        <w:numPr>
          <w:ilvl w:val="1"/>
          <w:numId w:val="6"/>
        </w:numPr>
      </w:pPr>
      <w:r w:rsidRPr="00B65D57">
        <w:t xml:space="preserve">18 l of the Jerbor water solution is filled (through a connected hose with a ball valve) in to the mixing vessel and 4,8 kg of sodium bentonite is portioned during mixing with the plaster and mortar mixer. </w:t>
      </w:r>
    </w:p>
    <w:p w14:paraId="595C2AE0" w14:textId="77777777" w:rsidR="005E66CC" w:rsidRPr="00B65D57" w:rsidRDefault="005E66CC" w:rsidP="001F5CF2">
      <w:pPr>
        <w:numPr>
          <w:ilvl w:val="1"/>
          <w:numId w:val="6"/>
        </w:numPr>
      </w:pPr>
      <w:r w:rsidRPr="00B65D57">
        <w:t xml:space="preserve">Mixing is done until all bentonite is in the mixing vessel and then mixing will stop for a minute and the mixing starts again until the slurry is smooth and the viscosity is correct. </w:t>
      </w:r>
    </w:p>
    <w:p w14:paraId="3FE5AE1D" w14:textId="77777777" w:rsidR="005E66CC" w:rsidRPr="00B65D57" w:rsidRDefault="005E66CC" w:rsidP="001F5CF2">
      <w:pPr>
        <w:numPr>
          <w:ilvl w:val="1"/>
          <w:numId w:val="6"/>
        </w:numPr>
      </w:pPr>
      <w:r w:rsidRPr="00B65D57">
        <w:t xml:space="preserve">The 20 l of slurry is poured by tilting the mixing vessel into the plaster and mortar pump, ready for injection. </w:t>
      </w:r>
    </w:p>
    <w:p w14:paraId="69556719" w14:textId="77777777" w:rsidR="005E66CC" w:rsidRPr="00B65D57" w:rsidRDefault="005E66CC" w:rsidP="001F5CF2">
      <w:pPr>
        <w:numPr>
          <w:ilvl w:val="0"/>
          <w:numId w:val="6"/>
        </w:numPr>
      </w:pPr>
      <w:r w:rsidRPr="00B65D57">
        <w:t xml:space="preserve">A team for a treatment shall at least consist of 3 trained professional users and communication is continuous with Walkie-talkie between mixing station and injection place. </w:t>
      </w:r>
    </w:p>
    <w:p w14:paraId="0C611EC0" w14:textId="77777777" w:rsidR="005E66CC" w:rsidRPr="00B65D57" w:rsidRDefault="005E66CC" w:rsidP="001F5CF2">
      <w:pPr>
        <w:numPr>
          <w:ilvl w:val="0"/>
          <w:numId w:val="6"/>
        </w:numPr>
      </w:pPr>
      <w:r w:rsidRPr="00B65D57">
        <w:lastRenderedPageBreak/>
        <w:t>Any spill containing Jerbor is always collected and disposed in the injection holes.</w:t>
      </w:r>
    </w:p>
    <w:p w14:paraId="04E5581D" w14:textId="77777777" w:rsidR="005E66CC" w:rsidRPr="00B65D57" w:rsidRDefault="005E66CC" w:rsidP="001F5CF2">
      <w:pPr>
        <w:numPr>
          <w:ilvl w:val="0"/>
          <w:numId w:val="6"/>
        </w:numPr>
      </w:pPr>
      <w:r w:rsidRPr="00B65D57">
        <w:t xml:space="preserve">Injection to treatment zone and control of spread is made in the following steps: </w:t>
      </w:r>
    </w:p>
    <w:p w14:paraId="6D71F207" w14:textId="77777777" w:rsidR="005E66CC" w:rsidRPr="00B65D57" w:rsidRDefault="005E66CC" w:rsidP="001F5CF2">
      <w:pPr>
        <w:numPr>
          <w:ilvl w:val="1"/>
          <w:numId w:val="6"/>
        </w:numPr>
      </w:pPr>
      <w:r w:rsidRPr="00B65D57">
        <w:t xml:space="preserve">Two copies of the injection plan must be at site, one at the mixing station and one at the injection place. </w:t>
      </w:r>
    </w:p>
    <w:p w14:paraId="475ED7CD" w14:textId="77777777" w:rsidR="005E66CC" w:rsidRPr="00B65D57" w:rsidRDefault="005E66CC" w:rsidP="001F5CF2">
      <w:pPr>
        <w:numPr>
          <w:ilvl w:val="1"/>
          <w:numId w:val="6"/>
        </w:numPr>
      </w:pPr>
      <w:r w:rsidRPr="00B65D57">
        <w:t>An injection packer (with expanding rubber) is installed into the injection hole and green light is given to the mixing station to start injection.</w:t>
      </w:r>
    </w:p>
    <w:p w14:paraId="1C89A49F" w14:textId="6497850B" w:rsidR="005E66CC" w:rsidRPr="00B65D57" w:rsidRDefault="005E66CC" w:rsidP="001F5CF2">
      <w:pPr>
        <w:numPr>
          <w:ilvl w:val="1"/>
          <w:numId w:val="6"/>
        </w:numPr>
        <w:spacing w:after="120"/>
        <w:ind w:left="1434" w:hanging="357"/>
      </w:pPr>
      <w:r w:rsidRPr="00B65D57">
        <w:t xml:space="preserve">Injection is always done with low pressure (normally less than 1 bar and never above 3 bar) and a 20 </w:t>
      </w:r>
      <w:r w:rsidR="00F73033" w:rsidRPr="00B65D57">
        <w:t>L</w:t>
      </w:r>
      <w:r w:rsidRPr="00B65D57">
        <w:t xml:space="preserve"> batch is injected at slow pace. A continuous control of the horizontal spread in the treatment zone is made through nearby injection holes. If necessary, another 20 </w:t>
      </w:r>
      <w:r w:rsidR="00EA4088" w:rsidRPr="00B65D57">
        <w:t>L</w:t>
      </w:r>
      <w:r w:rsidRPr="00B65D57">
        <w:t xml:space="preserve"> bath is started after order from injection place and injection can be stopped at any time from both ends. When the Eurobor slurry is clearly detected in the nearest hole(s) the injection is stopped and the hose with injection packer is moved to the next hole for injection. This routine, with maximum of 20 </w:t>
      </w:r>
      <w:r w:rsidR="00EA4088" w:rsidRPr="00B65D57">
        <w:t>L</w:t>
      </w:r>
      <w:r w:rsidRPr="00B65D57">
        <w:t xml:space="preserve"> slurry injected at one time enables excellent monitoring and documentation of the treatment. Also, each part of the foundation is only treated with the amount required since the injection stops when obvious spread is detected in the next hole(s) The advantage of working with small batches at the time is that risk of incorrect injection is reduced if a mistake would occur. Planned amount (estimated dose) of slurry shall be seen as a target but the spread control determines if more or less will be injected (within certain limits). In some cases, it can be justified return to a previous injected hole after a day or two (when viscosity and swelling has increased) to make a minor additional filling. The control of the spread in nearby holes is made through visual observations, measurement of conductivity or water level changes. All observations, measurements and the injected amount are documented in protocols. </w:t>
      </w:r>
    </w:p>
    <w:p w14:paraId="677D36BC" w14:textId="77777777" w:rsidR="005E66CC" w:rsidRPr="00B65D57" w:rsidRDefault="005E66CC" w:rsidP="001F5CF2">
      <w:pPr>
        <w:numPr>
          <w:ilvl w:val="0"/>
          <w:numId w:val="6"/>
        </w:numPr>
      </w:pPr>
      <w:r w:rsidRPr="00B65D57">
        <w:t xml:space="preserve">Environmental controls consist mainly of: </w:t>
      </w:r>
    </w:p>
    <w:p w14:paraId="49A9B55E" w14:textId="77777777" w:rsidR="005E66CC" w:rsidRPr="00B65D57" w:rsidRDefault="005E66CC" w:rsidP="001F5CF2">
      <w:pPr>
        <w:numPr>
          <w:ilvl w:val="1"/>
          <w:numId w:val="6"/>
        </w:numPr>
      </w:pPr>
      <w:r w:rsidRPr="00B65D57">
        <w:t>The continuous spread control during the injection, described above.</w:t>
      </w:r>
    </w:p>
    <w:p w14:paraId="0E9FC6A5" w14:textId="77777777" w:rsidR="005E66CC" w:rsidRPr="00B65D57" w:rsidRDefault="005E66CC" w:rsidP="001F5CF2">
      <w:pPr>
        <w:numPr>
          <w:ilvl w:val="1"/>
          <w:numId w:val="6"/>
        </w:numPr>
      </w:pPr>
      <w:r w:rsidRPr="00B65D57">
        <w:t xml:space="preserve">Controls in ground water tubes outside the treatment zone through conductivity measurements and water sampling for boric acid analysis. This is made during and after injection. </w:t>
      </w:r>
    </w:p>
    <w:p w14:paraId="22946635" w14:textId="77777777" w:rsidR="005E66CC" w:rsidRPr="00B65D57" w:rsidRDefault="005E66CC" w:rsidP="001F5CF2">
      <w:pPr>
        <w:numPr>
          <w:ilvl w:val="1"/>
          <w:numId w:val="6"/>
        </w:numPr>
        <w:spacing w:after="120"/>
        <w:ind w:left="1434" w:hanging="357"/>
      </w:pPr>
      <w:r w:rsidRPr="00B65D57">
        <w:t xml:space="preserve">Follow-up action and warranty inspections are also a part of the environmental controls. </w:t>
      </w:r>
    </w:p>
    <w:p w14:paraId="3221D6EC" w14:textId="77777777" w:rsidR="005E66CC" w:rsidRPr="00B65D57" w:rsidRDefault="005E66CC" w:rsidP="001F5CF2">
      <w:pPr>
        <w:numPr>
          <w:ilvl w:val="0"/>
          <w:numId w:val="6"/>
        </w:numPr>
      </w:pPr>
      <w:r w:rsidRPr="00B65D57">
        <w:t xml:space="preserve">The restoring and finishing of the works include sealing the injection holes with concrete and cleaning the site. </w:t>
      </w:r>
    </w:p>
    <w:p w14:paraId="573EE324" w14:textId="77777777" w:rsidR="005E66CC" w:rsidRPr="00B65D57" w:rsidRDefault="005E66CC" w:rsidP="001F5CF2">
      <w:pPr>
        <w:numPr>
          <w:ilvl w:val="0"/>
          <w:numId w:val="6"/>
        </w:numPr>
      </w:pPr>
      <w:r w:rsidRPr="00B65D57">
        <w:t>All protocols and lab results are attached to final report of the works that also includes instructions to the client.</w:t>
      </w:r>
    </w:p>
    <w:p w14:paraId="229CB9E4" w14:textId="77777777" w:rsidR="005E66CC" w:rsidRPr="00B65D57" w:rsidRDefault="005E66CC" w:rsidP="005E66CC"/>
    <w:p w14:paraId="71942330" w14:textId="77777777" w:rsidR="005E66CC" w:rsidRPr="00B65D57" w:rsidRDefault="005E66CC" w:rsidP="005E66CC">
      <w:pPr>
        <w:rPr>
          <w:u w:val="single"/>
        </w:rPr>
      </w:pPr>
      <w:r w:rsidRPr="00B65D57">
        <w:rPr>
          <w:u w:val="single"/>
        </w:rPr>
        <w:t>Function of treatment:</w:t>
      </w:r>
    </w:p>
    <w:p w14:paraId="5B16CD97" w14:textId="77777777" w:rsidR="005E66CC" w:rsidRPr="00B65D57" w:rsidRDefault="005E66CC" w:rsidP="005E66CC">
      <w:r w:rsidRPr="00B65D57">
        <w:t xml:space="preserve">Applied Eurobor slurry (in treatment zone) constitutes a depot of active substances which penetrates into foundation wood by diffusion (due to high water content in wood) to reach toxic retention levels against decay by fungi. Available active substances left in the injected slurry in the treatment zone act as outer depot available for future need in-situ. Over time the concentration of active substances strives for equilibrium between depot and wood. Five years after treatment analysis and estimation show that approximately </w:t>
      </w:r>
      <w:r w:rsidRPr="00B65D57">
        <w:br/>
        <w:t>10 – 25 % of the active substances penetrate and adsorb in foundation wood while the rest is available in the outer depot (Bandh, K-M 2011).</w:t>
      </w:r>
    </w:p>
    <w:p w14:paraId="14D9FC17" w14:textId="77777777" w:rsidR="005E66CC" w:rsidRPr="00B65D57" w:rsidRDefault="005E66CC" w:rsidP="005E66CC">
      <w:r w:rsidRPr="00B65D57">
        <w:t xml:space="preserve">Bentonite swelling will reduce (the already low water turnover) the risk of leakage from treatment zone. Upon swelling borates is released (Theorin, M. 2011b), which lead to reduced cohesive forces between bentonite particles in the swelling front. This will give </w:t>
      </w:r>
    </w:p>
    <w:p w14:paraId="09A8B6DB" w14:textId="77777777" w:rsidR="005E66CC" w:rsidRPr="00B65D57" w:rsidRDefault="005E66CC" w:rsidP="005E66CC">
      <w:r w:rsidRPr="00B65D57">
        <w:lastRenderedPageBreak/>
        <w:t xml:space="preserve">increased swelling and with time sealing of the void. Application is made by injection through bore holes to voids in the upper part of wooden foundation, creating external depots of borates in direct contact with the foundation wood. The amounts of voids is </w:t>
      </w:r>
    </w:p>
    <w:p w14:paraId="287BA163" w14:textId="77777777" w:rsidR="005E66CC" w:rsidRPr="00B65D57" w:rsidRDefault="005E66CC" w:rsidP="005E66CC">
      <w:r w:rsidRPr="00B65D57">
        <w:t xml:space="preserve">highest near the upper part of the foundation (Lundin, S-E 2000). The purpose is to reach toxic retention levels against fungal decay in the wood and seal the foundation from air and water circulation. The fungi demand for oxygen will thereby also be minimized as a </w:t>
      </w:r>
    </w:p>
    <w:p w14:paraId="29EB24CA" w14:textId="77777777" w:rsidR="005E66CC" w:rsidRPr="00B65D57" w:rsidRDefault="005E66CC" w:rsidP="005E66CC">
      <w:pPr>
        <w:spacing w:after="120"/>
      </w:pPr>
      <w:r w:rsidRPr="00B65D57">
        <w:t>consequence of the treatment. Decay will be prevented by both biocide effect and decrease of oxygen levels close to the wood (Schubert, M. et al. 2009).</w:t>
      </w:r>
    </w:p>
    <w:p w14:paraId="3CEF1A59" w14:textId="77777777" w:rsidR="005E66CC" w:rsidRPr="00B65D57" w:rsidRDefault="005E66CC" w:rsidP="001F5CF2">
      <w:pPr>
        <w:numPr>
          <w:ilvl w:val="0"/>
          <w:numId w:val="4"/>
        </w:numPr>
        <w:rPr>
          <w:u w:val="single"/>
        </w:rPr>
      </w:pPr>
      <w:r w:rsidRPr="00B65D57">
        <w:rPr>
          <w:u w:val="single"/>
        </w:rPr>
        <w:t xml:space="preserve">Follow-up of results </w:t>
      </w:r>
    </w:p>
    <w:p w14:paraId="3BD28E51" w14:textId="77777777" w:rsidR="005E66CC" w:rsidRPr="00B65D57" w:rsidRDefault="005E66CC" w:rsidP="005E66CC">
      <w:pPr>
        <w:spacing w:after="120"/>
      </w:pPr>
      <w:r w:rsidRPr="00B65D57">
        <w:t xml:space="preserve">First and most important control of result is the spread control during injection. Another control of results is the environmental control of water sampling in water tubes outside the building during and a few weeks after injection. A leakage outside the building is a failure to the environment and if severe also to function as wood protection. </w:t>
      </w:r>
    </w:p>
    <w:p w14:paraId="17AA85EE" w14:textId="77777777" w:rsidR="005E66CC" w:rsidRPr="00B65D57" w:rsidRDefault="005E66CC" w:rsidP="005E66CC">
      <w:pPr>
        <w:spacing w:after="120"/>
      </w:pPr>
      <w:r w:rsidRPr="00B65D57">
        <w:t xml:space="preserve">A treatment is always committed with a commercial warranty of 5 years that guarantees levels of active substances to control fungi in wood located in the treatment zone. Client receives terms, conditions and instructions to take no action concerning the foundation without contacting the responsible for carrying out the treatment (furthermore, any measures at this depth under the building are very unusual). </w:t>
      </w:r>
    </w:p>
    <w:p w14:paraId="03E0C066" w14:textId="77777777" w:rsidR="005E66CC" w:rsidRPr="00B65D57" w:rsidRDefault="005E66CC" w:rsidP="005E66CC">
      <w:pPr>
        <w:spacing w:after="60"/>
      </w:pPr>
      <w:r w:rsidRPr="00B65D57">
        <w:t xml:space="preserve">Follow-up controls after treatment: </w:t>
      </w:r>
    </w:p>
    <w:p w14:paraId="6041C0BA" w14:textId="77777777" w:rsidR="005E66CC" w:rsidRPr="00B65D57" w:rsidRDefault="005E66CC" w:rsidP="001F5CF2">
      <w:pPr>
        <w:numPr>
          <w:ilvl w:val="0"/>
          <w:numId w:val="7"/>
        </w:numPr>
        <w:spacing w:after="40"/>
        <w:ind w:left="714" w:hanging="357"/>
      </w:pPr>
      <w:r w:rsidRPr="00B65D57">
        <w:t xml:space="preserve">Most of the buildings with wooden foundation are continuously monitored with subsidence levelling. This measurement aims to detect any vertical movements in the building before cracks appear. Typical for decay related movements are differential subsidence within the building. Indications of how the treatment has succeeded can be obtained by analyzing new data with settlement history. </w:t>
      </w:r>
    </w:p>
    <w:p w14:paraId="558B77D6" w14:textId="77777777" w:rsidR="005E66CC" w:rsidRPr="00B65D57" w:rsidRDefault="005E66CC" w:rsidP="001F5CF2">
      <w:pPr>
        <w:numPr>
          <w:ilvl w:val="0"/>
          <w:numId w:val="7"/>
        </w:numPr>
        <w:spacing w:after="40"/>
      </w:pPr>
      <w:r w:rsidRPr="00B65D57">
        <w:t>Wood sampling and analyzing of active substances is the safest way to evaluate the function of a treatment. In some cases, wood sampling is done as a function control in the beginning of warranty time. A routine sampling of wood is always made after five years before warranty expires. Sampling can be done by coring or by digging test pits.</w:t>
      </w:r>
    </w:p>
    <w:p w14:paraId="62812588" w14:textId="77777777" w:rsidR="005E66CC" w:rsidRPr="00B65D57" w:rsidRDefault="005E66CC" w:rsidP="001F5CF2">
      <w:pPr>
        <w:numPr>
          <w:ilvl w:val="0"/>
          <w:numId w:val="7"/>
        </w:numPr>
        <w:spacing w:after="120"/>
        <w:ind w:left="714" w:hanging="357"/>
      </w:pPr>
      <w:r w:rsidRPr="00B65D57">
        <w:t>Other ways to try controlling the function is to sample water or Eurobor slurry in the treatment zone. This sampling is often difficult to evaluate and only used in some cases as complement.</w:t>
      </w:r>
    </w:p>
    <w:p w14:paraId="0F89B59D" w14:textId="4897CA52" w:rsidR="005E66CC" w:rsidRPr="00B65D57" w:rsidRDefault="001F5CF2" w:rsidP="00065CC0">
      <w:pPr>
        <w:pStyle w:val="Rubrik4"/>
      </w:pPr>
      <w:bookmarkStart w:id="1998" w:name="_Toc102161192"/>
      <w:bookmarkStart w:id="1999" w:name="_Toc129689620"/>
      <w:r w:rsidRPr="00B65D57">
        <w:t xml:space="preserve">3.4.1.3 </w:t>
      </w:r>
      <w:r w:rsidR="005E66CC" w:rsidRPr="00B65D57">
        <w:t>Application rate and the final concentration of the biocidal product and active substance in the system in which the preparation is to be used</w:t>
      </w:r>
      <w:bookmarkEnd w:id="1998"/>
      <w:bookmarkEnd w:id="1999"/>
    </w:p>
    <w:p w14:paraId="31090E65" w14:textId="77777777" w:rsidR="005E66CC" w:rsidRPr="00B65D57" w:rsidRDefault="005E66CC" w:rsidP="005E66CC">
      <w:pPr>
        <w:spacing w:after="60"/>
        <w:rPr>
          <w:u w:val="single"/>
        </w:rPr>
      </w:pPr>
      <w:r w:rsidRPr="00B65D57">
        <w:rPr>
          <w:u w:val="single"/>
        </w:rPr>
        <w:t xml:space="preserve">Required concentration of active substances in preservative treated wood </w:t>
      </w:r>
    </w:p>
    <w:p w14:paraId="437A01AC" w14:textId="18225498" w:rsidR="005E66CC" w:rsidRPr="00B65D57" w:rsidRDefault="005E66CC" w:rsidP="005E66CC">
      <w:r w:rsidRPr="00B65D57">
        <w:t>Retention of toxic concentration levels (of BA</w:t>
      </w:r>
      <w:r w:rsidR="00725103" w:rsidRPr="00B65D57">
        <w:t>E</w:t>
      </w:r>
      <w:r w:rsidRPr="00B65D57">
        <w:t xml:space="preserve"> according to EN 113 standard protocol) is set as lower concentration limit for effective treatment with the system used. Borates have been used as preservatives since the early 20</w:t>
      </w:r>
      <w:r w:rsidRPr="00B65D57">
        <w:rPr>
          <w:vertAlign w:val="superscript"/>
        </w:rPr>
        <w:t>th</w:t>
      </w:r>
      <w:r w:rsidRPr="00B65D57">
        <w:t xml:space="preserve"> century and are well documented (McCullen, J M 1953; Cockcroft, R. et al. 1978; Lloyd, J D 1998). </w:t>
      </w:r>
    </w:p>
    <w:p w14:paraId="3A9EFA2D" w14:textId="77777777" w:rsidR="005E66CC" w:rsidRPr="00B65D57" w:rsidRDefault="005E66CC" w:rsidP="005E66CC">
      <w:pPr>
        <w:spacing w:after="120"/>
      </w:pPr>
      <w:r w:rsidRPr="00B65D57">
        <w:t>Toxicity of borates for decay fungi degradation of wood have been evaluated during decades and the established limit of 1 kg BAE/m</w:t>
      </w:r>
      <w:r w:rsidRPr="00B65D57">
        <w:rPr>
          <w:vertAlign w:val="superscript"/>
        </w:rPr>
        <w:t>3</w:t>
      </w:r>
      <w:r w:rsidRPr="00B65D57">
        <w:t xml:space="preserve"> of wood is still accepted (Drysdale, J. A. 1984; Lloyd, J. D., Schoeman, M. W. et al. 1998; Peylo, A. and Bechgaard, C. G. 2001). European standard, EN113, for boron retention, in non-termite areas, are set to 0.89 for Coriolus versicolor, 0.69 for Gloeophyllum trabeum, 0.38 for Coniophora puteana and 0.35 Poria placenta as kg BAE/m</w:t>
      </w:r>
      <w:r w:rsidRPr="00B65D57">
        <w:rPr>
          <w:vertAlign w:val="superscript"/>
        </w:rPr>
        <w:t>3</w:t>
      </w:r>
      <w:r w:rsidRPr="00B65D57">
        <w:t xml:space="preserve"> wood (Lloyd, J. D., Schoeman, M. W. et al. 1998). More recent studies (Freitag, C. and Morrell, J. J. 2005) showed toxicity of 0.4-0.44 kg BAE/m</w:t>
      </w:r>
      <w:r w:rsidRPr="00B65D57">
        <w:rPr>
          <w:vertAlign w:val="superscript"/>
        </w:rPr>
        <w:t>3</w:t>
      </w:r>
      <w:r w:rsidRPr="00B65D57">
        <w:t xml:space="preserve"> of wood against decay by fungi, for more details se section 2.2.5.6.</w:t>
      </w:r>
    </w:p>
    <w:p w14:paraId="7FF07041" w14:textId="77777777" w:rsidR="005E66CC" w:rsidRPr="00B65D57" w:rsidRDefault="005E66CC" w:rsidP="005E66CC">
      <w:pPr>
        <w:spacing w:after="60"/>
        <w:rPr>
          <w:u w:val="single"/>
        </w:rPr>
      </w:pPr>
      <w:r w:rsidRPr="00B65D57">
        <w:rPr>
          <w:u w:val="single"/>
        </w:rPr>
        <w:t xml:space="preserve">Target concentration in treatable wood over 5 years </w:t>
      </w:r>
    </w:p>
    <w:p w14:paraId="460F5AA2" w14:textId="77777777" w:rsidR="005E66CC" w:rsidRPr="00B65D57" w:rsidRDefault="005E66CC" w:rsidP="005E66CC">
      <w:pPr>
        <w:spacing w:after="120"/>
      </w:pPr>
      <w:r w:rsidRPr="00B65D57">
        <w:lastRenderedPageBreak/>
        <w:t>The target for a treatment with Jerbor according to the Eurobor technique is to maintain a concentration above 1 kg BAE/m</w:t>
      </w:r>
      <w:r w:rsidRPr="00B65D57">
        <w:rPr>
          <w:vertAlign w:val="superscript"/>
        </w:rPr>
        <w:t>3</w:t>
      </w:r>
      <w:r w:rsidRPr="00B65D57">
        <w:t xml:space="preserve"> for at least 5 years in treatable wood. Treatable wood is roughly the sapwood located in the ½ - 1 m of upper part of wooden foundation, (see also 2.2.1.3 above, Fungi decay zone and treatment zone).  </w:t>
      </w:r>
    </w:p>
    <w:p w14:paraId="5614DDC7" w14:textId="77777777" w:rsidR="005E66CC" w:rsidRPr="00B65D57" w:rsidRDefault="005E66CC" w:rsidP="005E66CC">
      <w:r w:rsidRPr="00B65D57">
        <w:t xml:space="preserve">Foundation wood is of timber from soft wood species such as Pinus sylvestris and Picea abies. All foundation wood have a high-water content which enables radial diffusion of the water-soluble borates (Brynjer, T. 2001; Bandh, K-M., Fimmerstad, K. et al. 2011). </w:t>
      </w:r>
    </w:p>
    <w:p w14:paraId="798D0ED4" w14:textId="77777777" w:rsidR="005E66CC" w:rsidRPr="00B65D57" w:rsidRDefault="005E66CC" w:rsidP="005E66CC">
      <w:r w:rsidRPr="00B65D57">
        <w:t>Often the applied depot of the Eurobor slurry is in contact with the end grain which results in a quick and longitudinal spread in the wood. Intact heartwood has normally low permeability for the biocide compared to intact sapwood. Commenced decay increases the permeability (and the water content) and thereby also increases the spread of borates in wood (Lehringer, C. 2011). Approximately ½ - 1 m of the upmost part of the piles and grillage are available for biocide treatment. The dense clay beneath (and at the sides of) the upper part of the wooden foundation means that water turnover in the pile is negligible at depths over 1 m. Fungi decay requires oxygen and foundations with a lack of stable water coverage always risk decay in upper parts. Part of foundation intended for biocide treatment is therefore consistent with upper part of foundation where fungi decay appears.</w:t>
      </w:r>
    </w:p>
    <w:p w14:paraId="337EDEAA" w14:textId="77777777" w:rsidR="005E66CC" w:rsidRPr="00B65D57" w:rsidRDefault="005E66CC" w:rsidP="005E66CC">
      <w:pPr>
        <w:spacing w:after="120"/>
      </w:pPr>
      <w:r w:rsidRPr="00B65D57">
        <w:t>It is particularly important that the target concentration (maintained for at least 5 years) in treatable wood is sufficient (above 1 kg BAE/m</w:t>
      </w:r>
      <w:r w:rsidRPr="00B65D57">
        <w:rPr>
          <w:vertAlign w:val="superscript"/>
        </w:rPr>
        <w:t>3</w:t>
      </w:r>
      <w:r w:rsidRPr="00B65D57">
        <w:t xml:space="preserve">) in the boundary between decayed and healthy wood.  </w:t>
      </w:r>
    </w:p>
    <w:p w14:paraId="2530FF25" w14:textId="77777777" w:rsidR="005E66CC" w:rsidRPr="00B65D57" w:rsidRDefault="005E66CC" w:rsidP="005E66CC">
      <w:pPr>
        <w:spacing w:after="160"/>
      </w:pPr>
      <w:r w:rsidRPr="00B65D57">
        <w:t>A successful treatment according to the Eurobor technique normally gives a protection well beyond 5 years (Bandh, K. and Theorin, M. 2011).</w:t>
      </w:r>
    </w:p>
    <w:p w14:paraId="63B8EAAF" w14:textId="77777777" w:rsidR="005E66CC" w:rsidRPr="00B65D57" w:rsidRDefault="005E66CC" w:rsidP="005E66CC">
      <w:pPr>
        <w:spacing w:after="60"/>
        <w:rPr>
          <w:u w:val="single"/>
        </w:rPr>
      </w:pPr>
      <w:r w:rsidRPr="00B65D57">
        <w:rPr>
          <w:u w:val="single"/>
        </w:rPr>
        <w:t>Concentration of active substances in Eurobor slurry</w:t>
      </w:r>
    </w:p>
    <w:p w14:paraId="481016E9" w14:textId="77777777" w:rsidR="005E66CC" w:rsidRPr="00B65D57" w:rsidRDefault="005E66CC" w:rsidP="005E66CC">
      <w:pPr>
        <w:spacing w:after="120"/>
      </w:pPr>
      <w:r w:rsidRPr="00B65D57">
        <w:t>Concentration of active substances in final solution of Eurobor slurry is 9,0 % BAE w/w (about 10,6 % BAE w/v) with a mixing temp of 50-70°C, (compared to 6 – 12 % w/v BAE in evaluation of active substances listed in annex II) (European Union, Standing Committee on Biocidal Products 2009b; a).</w:t>
      </w:r>
    </w:p>
    <w:p w14:paraId="2C4BD298" w14:textId="77777777" w:rsidR="005E66CC" w:rsidRPr="00B65D57" w:rsidRDefault="005E66CC" w:rsidP="005E66CC">
      <w:pPr>
        <w:spacing w:after="60"/>
        <w:rPr>
          <w:u w:val="single"/>
        </w:rPr>
      </w:pPr>
      <w:r w:rsidRPr="00B65D57">
        <w:rPr>
          <w:u w:val="single"/>
        </w:rPr>
        <w:t xml:space="preserve">The target dose for treatable wood   </w:t>
      </w:r>
    </w:p>
    <w:p w14:paraId="73DAE4E9" w14:textId="77777777" w:rsidR="005E66CC" w:rsidRPr="00B65D57" w:rsidRDefault="005E66CC" w:rsidP="005E66CC">
      <w:pPr>
        <w:spacing w:after="160"/>
      </w:pPr>
      <w:r w:rsidRPr="00B65D57">
        <w:t>The target dose for treatable wood is set to 2 kg BAE/m</w:t>
      </w:r>
      <w:r w:rsidRPr="00B65D57">
        <w:rPr>
          <w:vertAlign w:val="superscript"/>
        </w:rPr>
        <w:t>3</w:t>
      </w:r>
      <w:r w:rsidRPr="00B65D57">
        <w:t xml:space="preserve"> (Assessment Report Boric acid, 2009, and Assessment Report Disodium tetraborate, 2009)</w:t>
      </w:r>
    </w:p>
    <w:p w14:paraId="2F8CBABA" w14:textId="77777777" w:rsidR="005E66CC" w:rsidRPr="00B65D57" w:rsidRDefault="005E66CC" w:rsidP="005E66CC">
      <w:pPr>
        <w:pStyle w:val="Absatz"/>
        <w:spacing w:after="60"/>
        <w:ind w:left="0"/>
        <w:rPr>
          <w:rFonts w:ascii="Verdana" w:hAnsi="Verdana"/>
          <w:u w:val="single"/>
        </w:rPr>
      </w:pPr>
      <w:r w:rsidRPr="00B65D57">
        <w:rPr>
          <w:rFonts w:ascii="Verdana" w:hAnsi="Verdana"/>
          <w:u w:val="single"/>
        </w:rPr>
        <w:t xml:space="preserve">Estimated dose of active substance </w:t>
      </w:r>
    </w:p>
    <w:p w14:paraId="44E4439E" w14:textId="77777777" w:rsidR="005E66CC" w:rsidRPr="00B65D57" w:rsidRDefault="005E66CC" w:rsidP="005E66CC">
      <w:pPr>
        <w:pStyle w:val="Absatz"/>
        <w:ind w:left="0"/>
        <w:rPr>
          <w:rFonts w:ascii="Verdana" w:hAnsi="Verdana"/>
        </w:rPr>
      </w:pPr>
      <w:r w:rsidRPr="00B65D57">
        <w:rPr>
          <w:rFonts w:ascii="Verdana" w:hAnsi="Verdana"/>
        </w:rPr>
        <w:t>The foundation inspection is the basis for the estimation of the dose for application. When estimating the dose for application there are several factors to consider, first is to estimate the volume of treatable of wood. Applied dose have to be at least twice the target dose of 2 kg BAE/m</w:t>
      </w:r>
      <w:r w:rsidRPr="00B65D57">
        <w:rPr>
          <w:rFonts w:ascii="Verdana" w:hAnsi="Verdana"/>
          <w:vertAlign w:val="superscript"/>
        </w:rPr>
        <w:t>3</w:t>
      </w:r>
      <w:r w:rsidRPr="00B65D57">
        <w:rPr>
          <w:rFonts w:ascii="Verdana" w:hAnsi="Verdana"/>
        </w:rPr>
        <w:t xml:space="preserve"> because the external depot will strive towards equilibrium with foundation wood. However 4 kg BAE/m</w:t>
      </w:r>
      <w:r w:rsidRPr="00B65D57">
        <w:rPr>
          <w:rFonts w:ascii="Verdana" w:hAnsi="Verdana"/>
          <w:vertAlign w:val="superscript"/>
        </w:rPr>
        <w:t>3</w:t>
      </w:r>
      <w:r w:rsidRPr="00B65D57">
        <w:rPr>
          <w:rFonts w:ascii="Verdana" w:hAnsi="Verdana"/>
        </w:rPr>
        <w:t xml:space="preserve"> is just enough for an ideal state without any losses and full equilibrium between depot and wood. Considering adsorption to concrete, clay surfaces, some dilution in present water of treatment zone and uneven distribution the </w:t>
      </w:r>
      <w:r w:rsidRPr="00B65D57">
        <w:rPr>
          <w:rFonts w:ascii="Verdana" w:hAnsi="Verdana"/>
          <w:b/>
        </w:rPr>
        <w:t>needed dose</w:t>
      </w:r>
      <w:r w:rsidRPr="00B65D57">
        <w:rPr>
          <w:rFonts w:ascii="Verdana" w:hAnsi="Verdana"/>
        </w:rPr>
        <w:t xml:space="preserve"> usually is estimated to 6 – 9 kg BAE/m</w:t>
      </w:r>
      <w:r w:rsidRPr="00B65D57">
        <w:rPr>
          <w:rFonts w:ascii="Verdana" w:hAnsi="Verdana"/>
          <w:vertAlign w:val="superscript"/>
        </w:rPr>
        <w:t>3</w:t>
      </w:r>
      <w:r w:rsidRPr="00B65D57">
        <w:rPr>
          <w:rFonts w:ascii="Verdana" w:hAnsi="Verdana"/>
        </w:rPr>
        <w:t xml:space="preserve">. </w:t>
      </w:r>
    </w:p>
    <w:p w14:paraId="0402DA45" w14:textId="77777777" w:rsidR="005E66CC" w:rsidRPr="00B65D57" w:rsidRDefault="005E66CC" w:rsidP="005E66CC">
      <w:pPr>
        <w:pStyle w:val="Absatz"/>
        <w:spacing w:after="40"/>
        <w:ind w:left="0"/>
        <w:rPr>
          <w:rFonts w:ascii="Verdana" w:hAnsi="Verdana"/>
        </w:rPr>
      </w:pPr>
      <w:r w:rsidRPr="00B65D57">
        <w:rPr>
          <w:rFonts w:ascii="Verdana" w:hAnsi="Verdana"/>
        </w:rPr>
        <w:t>Another estimation that has to be in consideration is the amount of voids in the treatment zone. This is important to get an accurate horizontal spread between injection holes and to get a sealing effect of the bentonite swelling. This estimation of voids requires experience and is used as final adjustment factor for the estimated of needed dose (6 – 9 kg BAE/m</w:t>
      </w:r>
      <w:r w:rsidRPr="00B65D57">
        <w:rPr>
          <w:rFonts w:ascii="Verdana" w:hAnsi="Verdana"/>
          <w:vertAlign w:val="superscript"/>
        </w:rPr>
        <w:t>3</w:t>
      </w:r>
      <w:r w:rsidRPr="00B65D57">
        <w:rPr>
          <w:rFonts w:ascii="Verdana" w:hAnsi="Verdana"/>
        </w:rPr>
        <w:t xml:space="preserve">). If amount of voids is high the adjustment results in an increase of needed dose and in some cases when amount of void is low the adjustment can be a minor reduction. </w:t>
      </w:r>
    </w:p>
    <w:p w14:paraId="7C7C42AF" w14:textId="77777777" w:rsidR="005E66CC" w:rsidRPr="00B65D57" w:rsidRDefault="005E66CC" w:rsidP="005E66CC">
      <w:pPr>
        <w:pStyle w:val="Absatz"/>
        <w:spacing w:after="120"/>
        <w:ind w:left="0"/>
        <w:rPr>
          <w:rFonts w:ascii="Verdana" w:hAnsi="Verdana"/>
        </w:rPr>
      </w:pPr>
      <w:r w:rsidRPr="00B65D57">
        <w:rPr>
          <w:rFonts w:ascii="Verdana" w:hAnsi="Verdana"/>
          <w:b/>
        </w:rPr>
        <w:t>Estimated dose</w:t>
      </w:r>
      <w:r w:rsidRPr="00B65D57">
        <w:rPr>
          <w:rFonts w:ascii="Verdana" w:hAnsi="Verdana"/>
        </w:rPr>
        <w:t xml:space="preserve"> is thereby often between 5 -12 kg BAE/m</w:t>
      </w:r>
      <w:r w:rsidRPr="00B65D57">
        <w:rPr>
          <w:rFonts w:ascii="Verdana" w:hAnsi="Verdana"/>
          <w:vertAlign w:val="superscript"/>
        </w:rPr>
        <w:t>3</w:t>
      </w:r>
      <w:r w:rsidRPr="00B65D57">
        <w:rPr>
          <w:rFonts w:ascii="Verdana" w:hAnsi="Verdana"/>
        </w:rPr>
        <w:t xml:space="preserve">. </w:t>
      </w:r>
    </w:p>
    <w:p w14:paraId="46172790" w14:textId="77777777" w:rsidR="005E66CC" w:rsidRPr="00B65D57" w:rsidRDefault="005E66CC" w:rsidP="005E66CC">
      <w:pPr>
        <w:pStyle w:val="Absatz"/>
        <w:spacing w:after="120"/>
        <w:ind w:left="0"/>
        <w:rPr>
          <w:rFonts w:ascii="Verdana" w:hAnsi="Verdana"/>
        </w:rPr>
      </w:pPr>
      <w:r w:rsidRPr="00B65D57">
        <w:rPr>
          <w:rFonts w:ascii="Verdana" w:hAnsi="Verdana"/>
        </w:rPr>
        <w:t xml:space="preserve">Needed dose = target dose for treatable wood (2 kg BAE/m3) × 2(for equilibrium between depot and wood) × 1,5 to 2,25 (for adsorption and dilution etc.) </w:t>
      </w:r>
      <w:r w:rsidRPr="00B65D57">
        <w:rPr>
          <w:rFonts w:ascii="Symbol" w:eastAsia="Symbol" w:hAnsi="Symbol" w:cs="Symbol"/>
        </w:rPr>
        <w:t>Þ</w:t>
      </w:r>
      <w:r w:rsidRPr="00B65D57">
        <w:rPr>
          <w:rFonts w:ascii="Verdana" w:hAnsi="Verdana"/>
        </w:rPr>
        <w:t xml:space="preserve"> 6 </w:t>
      </w:r>
      <w:r w:rsidRPr="00B65D57">
        <w:rPr>
          <w:rFonts w:ascii="Verdana" w:hAnsi="Verdana" w:cs="Verdana"/>
        </w:rPr>
        <w:t>–</w:t>
      </w:r>
      <w:r w:rsidRPr="00B65D57">
        <w:rPr>
          <w:rFonts w:ascii="Verdana" w:hAnsi="Verdana"/>
        </w:rPr>
        <w:t xml:space="preserve"> 9 kg BAE/m3 treatable wood. </w:t>
      </w:r>
    </w:p>
    <w:p w14:paraId="0155A00D" w14:textId="77777777" w:rsidR="005E66CC" w:rsidRPr="00B65D57" w:rsidRDefault="005E66CC" w:rsidP="005E66CC">
      <w:pPr>
        <w:pStyle w:val="Absatz"/>
        <w:ind w:left="0"/>
        <w:rPr>
          <w:rFonts w:ascii="Verdana" w:hAnsi="Verdana"/>
        </w:rPr>
      </w:pPr>
      <w:r w:rsidRPr="00B65D57">
        <w:rPr>
          <w:rFonts w:ascii="Verdana" w:hAnsi="Verdana"/>
        </w:rPr>
        <w:t>Estimated dose = needed dose adjusted for amount of voids.</w:t>
      </w:r>
    </w:p>
    <w:p w14:paraId="4CE9B2F1" w14:textId="77777777" w:rsidR="005E66CC" w:rsidRPr="00B65D57" w:rsidRDefault="005E66CC" w:rsidP="005E66CC">
      <w:pPr>
        <w:pStyle w:val="Absatz"/>
        <w:ind w:left="0"/>
        <w:rPr>
          <w:rFonts w:ascii="Verdana" w:hAnsi="Verdana"/>
        </w:rPr>
      </w:pPr>
    </w:p>
    <w:p w14:paraId="3C82A570" w14:textId="77777777" w:rsidR="005E66CC" w:rsidRPr="00B65D57" w:rsidRDefault="005E66CC" w:rsidP="005E66CC">
      <w:pPr>
        <w:pStyle w:val="Absatz"/>
        <w:spacing w:after="60"/>
        <w:ind w:left="0"/>
        <w:rPr>
          <w:rFonts w:ascii="Verdana" w:hAnsi="Verdana"/>
          <w:u w:val="single"/>
        </w:rPr>
      </w:pPr>
      <w:r w:rsidRPr="00B65D57">
        <w:rPr>
          <w:rFonts w:ascii="Verdana" w:hAnsi="Verdana"/>
          <w:u w:val="single"/>
        </w:rPr>
        <w:t xml:space="preserve">Applied dose </w:t>
      </w:r>
    </w:p>
    <w:p w14:paraId="7B118F7A" w14:textId="77777777" w:rsidR="005E66CC" w:rsidRPr="00B65D57" w:rsidRDefault="005E66CC" w:rsidP="005E66CC">
      <w:pPr>
        <w:pStyle w:val="Absatz"/>
        <w:spacing w:after="120"/>
        <w:ind w:left="0"/>
        <w:rPr>
          <w:rFonts w:ascii="Verdana" w:hAnsi="Verdana"/>
        </w:rPr>
      </w:pPr>
      <w:r w:rsidRPr="00B65D57">
        <w:rPr>
          <w:rFonts w:ascii="Verdana" w:hAnsi="Verdana"/>
          <w:b/>
        </w:rPr>
        <w:t>Applied dose</w:t>
      </w:r>
      <w:r w:rsidRPr="00B65D57">
        <w:rPr>
          <w:rFonts w:ascii="Verdana" w:hAnsi="Verdana"/>
        </w:rPr>
        <w:t xml:space="preserve"> is finally determined during injection; see 2.2.1.4 above (Injection to treatment zone and control of spread).  </w:t>
      </w:r>
    </w:p>
    <w:p w14:paraId="6BBA3AB2" w14:textId="4B86AD20" w:rsidR="005E66CC" w:rsidRPr="00B65D57" w:rsidRDefault="005E66CC" w:rsidP="005E66CC">
      <w:pPr>
        <w:pStyle w:val="Absatz"/>
        <w:spacing w:after="120"/>
        <w:ind w:left="0"/>
        <w:rPr>
          <w:rFonts w:ascii="Verdana" w:hAnsi="Verdana"/>
        </w:rPr>
      </w:pPr>
      <w:r w:rsidRPr="00B65D57">
        <w:rPr>
          <w:rFonts w:ascii="Verdana" w:hAnsi="Verdana"/>
        </w:rPr>
        <w:t xml:space="preserve">Normally applied dose </w:t>
      </w:r>
      <w:r w:rsidR="00EA4088" w:rsidRPr="00B65D57">
        <w:rPr>
          <w:rFonts w:ascii="Verdana" w:hAnsi="Verdana"/>
        </w:rPr>
        <w:t>is</w:t>
      </w:r>
      <w:r w:rsidRPr="00B65D57">
        <w:rPr>
          <w:rFonts w:ascii="Verdana" w:hAnsi="Verdana"/>
        </w:rPr>
        <w:t xml:space="preserve"> consistent with the estimated dose for a complete treatment but will differ some within different parts of the foundation. </w:t>
      </w:r>
    </w:p>
    <w:p w14:paraId="626AB6C6" w14:textId="77777777" w:rsidR="005E66CC" w:rsidRPr="00B65D57" w:rsidRDefault="005E66CC" w:rsidP="005E66CC">
      <w:pPr>
        <w:pStyle w:val="Absatz"/>
        <w:ind w:left="0"/>
        <w:rPr>
          <w:rFonts w:ascii="Verdana" w:hAnsi="Verdana"/>
        </w:rPr>
      </w:pPr>
      <w:r w:rsidRPr="00B65D57">
        <w:rPr>
          <w:rFonts w:ascii="Verdana" w:hAnsi="Verdana"/>
        </w:rPr>
        <w:t>Experiences have showed that estimated and applied amounts correlate well, the obtained concentrations in analyzed wood samples taken years after application show results of toxic retention levels 1 – 5 kg BAE/m</w:t>
      </w:r>
      <w:r w:rsidRPr="00B65D57">
        <w:rPr>
          <w:rFonts w:ascii="Verdana" w:hAnsi="Verdana"/>
          <w:vertAlign w:val="superscript"/>
        </w:rPr>
        <w:t>3</w:t>
      </w:r>
      <w:r w:rsidRPr="00B65D57">
        <w:rPr>
          <w:rFonts w:ascii="Verdana" w:hAnsi="Verdana"/>
        </w:rPr>
        <w:t xml:space="preserve"> wood (Bandh, K. and Theorin, M. 2011).</w:t>
      </w:r>
    </w:p>
    <w:p w14:paraId="32F2AA5D" w14:textId="77777777" w:rsidR="005E66CC" w:rsidRPr="00B65D57" w:rsidRDefault="005E66CC" w:rsidP="005E66CC">
      <w:pPr>
        <w:pStyle w:val="Absatz"/>
        <w:ind w:left="0"/>
        <w:rPr>
          <w:rFonts w:ascii="Verdana" w:hAnsi="Verdana"/>
        </w:rPr>
      </w:pPr>
    </w:p>
    <w:p w14:paraId="227E82DC" w14:textId="404EB4C7" w:rsidR="005E66CC" w:rsidRPr="00B65D57" w:rsidRDefault="001F5CF2" w:rsidP="00065CC0">
      <w:pPr>
        <w:pStyle w:val="Rubrik4"/>
      </w:pPr>
      <w:bookmarkStart w:id="2000" w:name="_Toc102161193"/>
      <w:bookmarkStart w:id="2001" w:name="_Toc129689621"/>
      <w:r w:rsidRPr="00B65D57">
        <w:t xml:space="preserve">3.4.1.4 </w:t>
      </w:r>
      <w:r w:rsidR="005E66CC" w:rsidRPr="00B65D57">
        <w:t>Number and timing of applications, and information relating to geographical variations</w:t>
      </w:r>
      <w:bookmarkEnd w:id="2000"/>
      <w:bookmarkEnd w:id="2001"/>
    </w:p>
    <w:p w14:paraId="6A6EF9ED" w14:textId="77777777" w:rsidR="005E66CC" w:rsidRPr="00B65D57" w:rsidRDefault="005E66CC" w:rsidP="005E66CC">
      <w:pPr>
        <w:spacing w:after="60"/>
        <w:rPr>
          <w:u w:val="single"/>
        </w:rPr>
      </w:pPr>
      <w:r w:rsidRPr="00B65D57">
        <w:rPr>
          <w:u w:val="single"/>
        </w:rPr>
        <w:t xml:space="preserve">Number of applications </w:t>
      </w:r>
    </w:p>
    <w:p w14:paraId="3E76E84B" w14:textId="77777777" w:rsidR="005E66CC" w:rsidRPr="00B65D57" w:rsidRDefault="005E66CC" w:rsidP="005E66CC">
      <w:r w:rsidRPr="00B65D57">
        <w:t xml:space="preserve">Application is made once regarding the fungicide treatment of the entire foundation. Determination of foundation wood BAE concentration is made 5 years post application to evaluate applied amount and obtained effectiveness of the biocide treatment. </w:t>
      </w:r>
    </w:p>
    <w:p w14:paraId="72BA4E00" w14:textId="77777777" w:rsidR="005E66CC" w:rsidRPr="00B65D57" w:rsidRDefault="005E66CC" w:rsidP="005E66CC">
      <w:pPr>
        <w:spacing w:after="120"/>
      </w:pPr>
      <w:r w:rsidRPr="00B65D57">
        <w:t>Evaluations of treatments with Jerbor: show that dosage and effect correlate and that application only have to be made one time (Bandh, K-M 2011). This is due to the enclosed environment with dense clays of marine origin, low water turnover and sealing effect of bentonite.</w:t>
      </w:r>
    </w:p>
    <w:p w14:paraId="704F3E26" w14:textId="77777777" w:rsidR="005E66CC" w:rsidRPr="00B65D57" w:rsidRDefault="005E66CC" w:rsidP="005E66CC">
      <w:pPr>
        <w:spacing w:after="120"/>
      </w:pPr>
      <w:r w:rsidRPr="00B65D57">
        <w:t xml:space="preserve">If a 5 year control of wood indicates low retention of borates in some part of the foundation the first step is to investigate possible causes. Next step is an extended sampling program to determine boundaries between sufficient and insufficient retention levels of borates from treatment. </w:t>
      </w:r>
    </w:p>
    <w:p w14:paraId="2B10243A" w14:textId="77777777" w:rsidR="005E66CC" w:rsidRPr="00B65D57" w:rsidRDefault="005E66CC" w:rsidP="005E66CC">
      <w:pPr>
        <w:spacing w:after="120"/>
      </w:pPr>
      <w:r w:rsidRPr="00B65D57">
        <w:t>A partial and additional treatment can then made, in addition to original, with a minor amount of Eurobor slurry. A renewed control with wood sampling is made 3-5 years after addition. The Eurobor technique was developed during the 1990s and commercial used since 2002. Until today there have just been a few additional minor treatments made and the technique have been used in about 130 buildings before 2015. The technique has been continuously developed on increased experience, which suggests that additional treatments will be exceptional in future.</w:t>
      </w:r>
    </w:p>
    <w:p w14:paraId="254A989E" w14:textId="77777777" w:rsidR="005E66CC" w:rsidRPr="00B65D57" w:rsidRDefault="005E66CC" w:rsidP="005E66CC">
      <w:pPr>
        <w:rPr>
          <w:u w:val="single"/>
        </w:rPr>
      </w:pPr>
      <w:r w:rsidRPr="00B65D57">
        <w:rPr>
          <w:u w:val="single"/>
        </w:rPr>
        <w:t xml:space="preserve">Timing </w:t>
      </w:r>
    </w:p>
    <w:p w14:paraId="39CDAD2E" w14:textId="77777777" w:rsidR="005E66CC" w:rsidRPr="00B65D57" w:rsidRDefault="005E66CC" w:rsidP="005E66CC">
      <w:pPr>
        <w:spacing w:after="120"/>
      </w:pPr>
      <w:r w:rsidRPr="00B65D57">
        <w:t>Period of time for treatment of an entire foundation depend on size and properties. After drilling of injection holes it usually takes 2-6 weeks to perform the injection of a building (included all measurements and controls). Prior injection measurements and documentation are made for each hole. This requires some hours. Each batch of 20 dm</w:t>
      </w:r>
      <w:r w:rsidRPr="00B65D57">
        <w:rPr>
          <w:vertAlign w:val="superscript"/>
        </w:rPr>
        <w:t>3</w:t>
      </w:r>
      <w:r w:rsidRPr="00B65D57">
        <w:t xml:space="preserve"> slurry requires 5 – 10 minutes for mixing and injection. The warm (50-70</w:t>
      </w:r>
      <w:r w:rsidRPr="00B65D57">
        <w:rPr>
          <w:rFonts w:ascii="Symbol" w:eastAsia="Symbol" w:hAnsi="Symbol" w:cs="Symbol"/>
        </w:rPr>
        <w:t>°</w:t>
      </w:r>
      <w:r w:rsidRPr="00B65D57">
        <w:t>C) water solution with Jerbor is mixed in batches of 163 dm</w:t>
      </w:r>
      <w:r w:rsidRPr="00B65D57">
        <w:rPr>
          <w:vertAlign w:val="superscript"/>
        </w:rPr>
        <w:t>3</w:t>
      </w:r>
      <w:r w:rsidRPr="00B65D57">
        <w:t xml:space="preserve"> and the time required for filling, mixing and dissolve Jerbor is about 20 minutes. During most of this period no injection is made why the time often is used for additional measurements and controls of spread.</w:t>
      </w:r>
    </w:p>
    <w:p w14:paraId="22799800" w14:textId="77777777" w:rsidR="005E66CC" w:rsidRPr="00B65D57" w:rsidRDefault="005E66CC" w:rsidP="005E66CC">
      <w:pPr>
        <w:rPr>
          <w:u w:val="single"/>
        </w:rPr>
      </w:pPr>
    </w:p>
    <w:p w14:paraId="4977D006" w14:textId="77777777" w:rsidR="005E66CC" w:rsidRPr="00B65D57" w:rsidRDefault="005E66CC" w:rsidP="005E66CC">
      <w:pPr>
        <w:rPr>
          <w:u w:val="single"/>
        </w:rPr>
      </w:pPr>
      <w:r w:rsidRPr="00B65D57">
        <w:rPr>
          <w:u w:val="single"/>
        </w:rPr>
        <w:t xml:space="preserve">Geographical/geological variations </w:t>
      </w:r>
    </w:p>
    <w:p w14:paraId="14745FFB" w14:textId="77777777" w:rsidR="005E66CC" w:rsidRPr="00B65D57" w:rsidRDefault="005E66CC" w:rsidP="005E66CC">
      <w:pPr>
        <w:spacing w:after="120"/>
      </w:pPr>
      <w:r w:rsidRPr="00B65D57">
        <w:t>Treatment is only made in foundations located in soft clay of marine origin. Areas that have been below saline sea after the last ice age can be studied at geological maps (Maxe, L. et al. 2007; Theorin, M. 2011c).</w:t>
      </w:r>
    </w:p>
    <w:p w14:paraId="4F92E5F1" w14:textId="77777777" w:rsidR="005E66CC" w:rsidRPr="00B65D57" w:rsidRDefault="005E66CC" w:rsidP="005E66CC">
      <w:pPr>
        <w:rPr>
          <w:u w:val="single"/>
        </w:rPr>
      </w:pPr>
      <w:r w:rsidRPr="00B65D57">
        <w:rPr>
          <w:u w:val="single"/>
        </w:rPr>
        <w:t xml:space="preserve">Risk assessment is always required </w:t>
      </w:r>
    </w:p>
    <w:p w14:paraId="518C2C83" w14:textId="77777777" w:rsidR="005E66CC" w:rsidRPr="00B65D57" w:rsidRDefault="005E66CC" w:rsidP="005E66CC">
      <w:pPr>
        <w:spacing w:after="120" w:line="259" w:lineRule="auto"/>
      </w:pPr>
      <w:r w:rsidRPr="00B65D57">
        <w:lastRenderedPageBreak/>
        <w:t>A risk assessment is always required before a treatment in order to determine if environments of concern (such as water supply areas etc.) are located nearby (Bandh, K-M. 2022).</w:t>
      </w:r>
    </w:p>
    <w:p w14:paraId="54074248" w14:textId="77777777" w:rsidR="00A96885" w:rsidRPr="00B65D57" w:rsidRDefault="00A96885" w:rsidP="00F279E6">
      <w:pPr>
        <w:pStyle w:val="Absatz"/>
        <w:spacing w:after="120"/>
        <w:ind w:left="0"/>
        <w:rPr>
          <w:rFonts w:ascii="Verdana" w:hAnsi="Verdana"/>
        </w:rPr>
      </w:pPr>
    </w:p>
    <w:p w14:paraId="7B2F7F14" w14:textId="4DE3CE46" w:rsidR="00635F3E" w:rsidRPr="00B65D57" w:rsidRDefault="001F5CF2" w:rsidP="00065CC0">
      <w:pPr>
        <w:pStyle w:val="Rubrik4"/>
      </w:pPr>
      <w:bookmarkStart w:id="2002" w:name="_Ref31370523"/>
      <w:bookmarkStart w:id="2003" w:name="_Toc129689622"/>
      <w:r w:rsidRPr="00B65D57">
        <w:t xml:space="preserve">3.4.1.5 </w:t>
      </w:r>
      <w:r w:rsidR="00635F3E" w:rsidRPr="00B65D57">
        <w:t>Analytical methods for monitoring</w:t>
      </w:r>
      <w:bookmarkEnd w:id="2002"/>
      <w:bookmarkEnd w:id="2003"/>
    </w:p>
    <w:p w14:paraId="682B107C" w14:textId="77777777" w:rsidR="00635F3E" w:rsidRPr="00B65D57" w:rsidRDefault="00635F3E" w:rsidP="00635F3E">
      <w:pPr>
        <w:rPr>
          <w:b/>
          <w:bCs/>
        </w:rPr>
      </w:pPr>
      <w:r w:rsidRPr="00B65D57">
        <w:rPr>
          <w:b/>
          <w:bCs/>
        </w:rPr>
        <w:t>Compartments identified as relevant for monitoring</w:t>
      </w:r>
    </w:p>
    <w:p w14:paraId="57244661" w14:textId="77777777" w:rsidR="00635F3E" w:rsidRPr="00B65D57" w:rsidRDefault="00635F3E" w:rsidP="00635F3E">
      <w:r w:rsidRPr="00B65D57">
        <w:t xml:space="preserve">Jerbor is restricted for use for in-situ application of a sodium bentonite slurry of borates into deep wooden foundations in dense clay soil. The foundations are always situated in a trench with very restricted groundwater circulation and low risk of emission of the active substances, as boric acid, in outflowing groundwater. Monitoring is made by sampling of groundwater in groundwater tubes. Injection holes within the treatment zone is sampled and measured regarding spread of Jerbor slurry for verification that the complete treatment zone is covered with the active substance. Foundation wood is sampled prior treatment for determination of material quality regarding load bearing capacity, level of deterioration and availability of the foundation wood for curative treatment with Jerbor.  </w:t>
      </w:r>
    </w:p>
    <w:p w14:paraId="25ACCF35" w14:textId="77777777" w:rsidR="00635F3E" w:rsidRPr="00B65D57" w:rsidRDefault="00635F3E" w:rsidP="00635F3E"/>
    <w:p w14:paraId="7195E12B" w14:textId="77777777" w:rsidR="00635F3E" w:rsidRPr="00B65D57" w:rsidRDefault="00635F3E" w:rsidP="00635F3E">
      <w:pPr>
        <w:rPr>
          <w:b/>
          <w:bCs/>
        </w:rPr>
      </w:pPr>
      <w:r w:rsidRPr="00B65D57">
        <w:rPr>
          <w:b/>
          <w:bCs/>
        </w:rPr>
        <w:t>Monitoring methods and time scale</w:t>
      </w:r>
    </w:p>
    <w:p w14:paraId="1DEC2250" w14:textId="77777777" w:rsidR="00635F3E" w:rsidRPr="00B65D57" w:rsidRDefault="00635F3E" w:rsidP="00635F3E">
      <w:r w:rsidRPr="00B65D57">
        <w:t xml:space="preserve">Groundwater tubes are sampled prior, during and post (30 days) use of Jerbor in a deep wooden foundation. Sampling of foundation wood is made prior and post treatment (5 years) with Jerbor. </w:t>
      </w:r>
    </w:p>
    <w:p w14:paraId="06ED1BED" w14:textId="77777777" w:rsidR="00635F3E" w:rsidRPr="00B65D57" w:rsidRDefault="00635F3E" w:rsidP="00635F3E"/>
    <w:p w14:paraId="515503CD" w14:textId="77777777" w:rsidR="00635F3E" w:rsidRPr="00B65D57" w:rsidRDefault="00635F3E" w:rsidP="00635F3E">
      <w:pPr>
        <w:rPr>
          <w:rFonts w:eastAsia="Calibri"/>
          <w:b/>
          <w:bCs/>
          <w:lang w:eastAsia="en-US"/>
        </w:rPr>
      </w:pPr>
      <w:r w:rsidRPr="00B65D57">
        <w:rPr>
          <w:rFonts w:eastAsia="Calibri"/>
          <w:b/>
          <w:bCs/>
          <w:lang w:eastAsia="en-US"/>
        </w:rPr>
        <w:t>Monitoring in the environment</w:t>
      </w:r>
    </w:p>
    <w:p w14:paraId="457FABDC" w14:textId="77777777" w:rsidR="00635F3E" w:rsidRPr="00B65D57" w:rsidRDefault="00635F3E" w:rsidP="00635F3E">
      <w:pPr>
        <w:rPr>
          <w:rFonts w:eastAsia="Calibri"/>
          <w:lang w:eastAsia="en-US"/>
        </w:rPr>
      </w:pPr>
      <w:r w:rsidRPr="00B65D57">
        <w:rPr>
          <w:rFonts w:eastAsia="Calibri"/>
          <w:lang w:eastAsia="en-US"/>
        </w:rPr>
        <w:t>The active substances in Jerbor are not classified as dangerous to the environment and do not meet the criteria for ecotoxicologically relevant components (see section 2.6.11 in the BPR Guidance). Use conditions for Jerbor is considered niche with a specific labled use and use description. Boric acid and the corresponding borate anion are the identified chemical species that can be monitored by sampling and chemical analysis. The only relevant identified pathway of monitoring is groundwater. Monitoring is made by installation of groundwater tubes in the adjacent area of the treatment zone. Samples of groundwater are collected in a time series before, during and after application is made with the in-situ method for Jerbor. Analysis of the water samples are made qualitative and quantitative of total boric acid equivalent as mg/dm</w:t>
      </w:r>
      <w:r w:rsidRPr="00B65D57">
        <w:rPr>
          <w:rFonts w:eastAsia="Calibri"/>
          <w:vertAlign w:val="superscript"/>
          <w:lang w:eastAsia="en-US"/>
        </w:rPr>
        <w:t>3</w:t>
      </w:r>
      <w:r w:rsidRPr="00B65D57">
        <w:rPr>
          <w:rFonts w:eastAsia="Calibri"/>
          <w:lang w:eastAsia="en-US"/>
        </w:rPr>
        <w:t xml:space="preserve"> by the accredited (Swedac Accreditation no 1790 for testing ISO/IEC 17025) chemical analysis laboratory AK Lab AB located in Borås, Sweden. The method is based on Ion chromatography with conductivity detection (column IonPac ICE-AS1, no 031181-07) with a limit of detection for boric acid &lt;1,0 mg/dm</w:t>
      </w:r>
      <w:r w:rsidRPr="00B65D57">
        <w:rPr>
          <w:rFonts w:eastAsia="Calibri"/>
          <w:vertAlign w:val="superscript"/>
          <w:lang w:eastAsia="en-US"/>
        </w:rPr>
        <w:t>3</w:t>
      </w:r>
      <w:r w:rsidRPr="00B65D57">
        <w:rPr>
          <w:rFonts w:eastAsia="Calibri"/>
          <w:lang w:eastAsia="en-US"/>
        </w:rPr>
        <w:t xml:space="preserve"> (1 ppm). Also, determination of temperature (method SS-EN ISO 10523:2012) and level of pH (SS-EN ISO 10523:2012 @ 25°C) is made. Analysis accuracy have been evaluated by the method “Evaluation of measurement data - Guide to the expression of uncertainty in measurement", JCGM 100:2008 Corrected version 2010” with a factor of cover of 2 and level of confidence of 95 % (AK Lab AB, 2019).</w:t>
      </w:r>
    </w:p>
    <w:p w14:paraId="4DF0EF56" w14:textId="77777777" w:rsidR="00635F3E" w:rsidRPr="00B65D57" w:rsidRDefault="00635F3E" w:rsidP="00635F3E">
      <w:pPr>
        <w:rPr>
          <w:rFonts w:eastAsia="Calibri"/>
          <w:lang w:eastAsia="en-US"/>
        </w:rPr>
      </w:pPr>
    </w:p>
    <w:p w14:paraId="2F1A9CF8" w14:textId="77777777" w:rsidR="00635F3E" w:rsidRPr="00B65D57" w:rsidRDefault="00635F3E" w:rsidP="00635F3E">
      <w:pPr>
        <w:rPr>
          <w:rFonts w:eastAsia="Calibri"/>
          <w:b/>
          <w:bCs/>
          <w:lang w:eastAsia="en-US"/>
        </w:rPr>
      </w:pPr>
      <w:r w:rsidRPr="00B65D57">
        <w:rPr>
          <w:rFonts w:eastAsia="Calibri"/>
          <w:b/>
          <w:bCs/>
          <w:lang w:eastAsia="en-US"/>
        </w:rPr>
        <w:t>Monitoring during application</w:t>
      </w:r>
    </w:p>
    <w:p w14:paraId="2B04B10F" w14:textId="77777777" w:rsidR="00635F3E" w:rsidRPr="00B65D57" w:rsidRDefault="00635F3E" w:rsidP="00635F3E">
      <w:pPr>
        <w:rPr>
          <w:rFonts w:eastAsia="Calibri"/>
          <w:lang w:eastAsia="en-US"/>
        </w:rPr>
      </w:pPr>
      <w:r w:rsidRPr="00B65D57">
        <w:rPr>
          <w:rFonts w:eastAsia="Calibri"/>
          <w:lang w:eastAsia="en-US"/>
        </w:rPr>
        <w:t xml:space="preserve">During application of the Jerbor mixture monitoring of the treatment zone spread of Jerbor is made by in-situ measuring of electrical conductivity. When the borates spread out in the treatment zone the content of ions, from borates and sodium, increase dramatically. Injection is made through bore holes into the foundation every 1-1.2 meters. Measurements are made in adjacent bore holes in order to detect and confirm spread of the active substances and as complete spread as possible throughout the hole treatment zone. Documentation is made of every injection hole with data on electrical conductivity, volume of Jerbor solution applied and when possible if ocular identification of the spread has been observed. The application monitoring procedure is well described in the manual of Eurobor (ver 2.0, Bandh 2022). </w:t>
      </w:r>
    </w:p>
    <w:p w14:paraId="6E09538E" w14:textId="77777777" w:rsidR="00635F3E" w:rsidRPr="00B65D57" w:rsidRDefault="00635F3E" w:rsidP="00635F3E">
      <w:pPr>
        <w:rPr>
          <w:rFonts w:eastAsia="Calibri"/>
          <w:lang w:eastAsia="en-US"/>
        </w:rPr>
      </w:pPr>
    </w:p>
    <w:p w14:paraId="76D756E2" w14:textId="77777777" w:rsidR="00635F3E" w:rsidRPr="00B65D57" w:rsidRDefault="00635F3E" w:rsidP="00635F3E">
      <w:pPr>
        <w:rPr>
          <w:rFonts w:eastAsia="Calibri"/>
          <w:lang w:eastAsia="en-US"/>
        </w:rPr>
      </w:pPr>
      <w:r w:rsidRPr="00B65D57">
        <w:rPr>
          <w:rFonts w:eastAsia="Calibri"/>
          <w:b/>
          <w:bCs/>
          <w:lang w:eastAsia="en-US"/>
        </w:rPr>
        <w:t>Monitoring in of wood in treatment zone, post-application</w:t>
      </w:r>
    </w:p>
    <w:p w14:paraId="3E2D164F" w14:textId="77777777" w:rsidR="00635F3E" w:rsidRPr="00B65D57" w:rsidRDefault="00635F3E" w:rsidP="00635F3E">
      <w:pPr>
        <w:rPr>
          <w:rFonts w:eastAsia="Calibri"/>
          <w:lang w:eastAsia="en-US"/>
        </w:rPr>
      </w:pPr>
      <w:r w:rsidRPr="00B65D57">
        <w:rPr>
          <w:rFonts w:eastAsia="Calibri"/>
          <w:lang w:eastAsia="en-US"/>
        </w:rPr>
        <w:t>After 5-10 years post application with Jerbor samples of wood is taken from the foundation wood by coring. Depending on the conditions for each building foundation a number of samples (approximately n = 3-5) are collected for determination of the content of moisture (% H</w:t>
      </w:r>
      <w:r w:rsidRPr="00B65D57">
        <w:rPr>
          <w:rFonts w:eastAsia="Calibri"/>
          <w:vertAlign w:val="subscript"/>
          <w:lang w:eastAsia="en-US"/>
        </w:rPr>
        <w:t>2</w:t>
      </w:r>
      <w:r w:rsidRPr="00B65D57">
        <w:rPr>
          <w:rFonts w:eastAsia="Calibri"/>
          <w:lang w:eastAsia="en-US"/>
        </w:rPr>
        <w:t>O w/w) and boric acid (mg boric acid/dm</w:t>
      </w:r>
      <w:r w:rsidRPr="00B65D57">
        <w:rPr>
          <w:rFonts w:eastAsia="Calibri"/>
          <w:vertAlign w:val="superscript"/>
          <w:lang w:eastAsia="en-US"/>
        </w:rPr>
        <w:t>3</w:t>
      </w:r>
      <w:r w:rsidRPr="00B65D57">
        <w:rPr>
          <w:rFonts w:eastAsia="Calibri"/>
          <w:lang w:eastAsia="en-US"/>
        </w:rPr>
        <w:t xml:space="preserve"> wood). With an indicative colorimetric method Curcumin staining method, the distribution of borates in the wood is also determined. </w:t>
      </w:r>
    </w:p>
    <w:p w14:paraId="62BDB86D" w14:textId="77777777" w:rsidR="00635F3E" w:rsidRPr="00B65D57" w:rsidRDefault="00635F3E" w:rsidP="00635F3E">
      <w:pPr>
        <w:rPr>
          <w:rFonts w:eastAsia="Calibri"/>
          <w:lang w:eastAsia="en-US"/>
        </w:rPr>
      </w:pPr>
    </w:p>
    <w:p w14:paraId="235924BC" w14:textId="53ABA7A7" w:rsidR="00635F3E" w:rsidRPr="00B65D57" w:rsidRDefault="00635F3E" w:rsidP="00635F3E">
      <w:pPr>
        <w:rPr>
          <w:rFonts w:eastAsia="Calibri"/>
          <w:lang w:eastAsia="en-US"/>
        </w:rPr>
      </w:pPr>
      <w:r w:rsidRPr="00B65D57">
        <w:rPr>
          <w:rFonts w:eastAsia="Calibri"/>
          <w:lang w:eastAsia="en-US"/>
        </w:rPr>
        <w:t xml:space="preserve">Quantitative </w:t>
      </w:r>
      <w:r w:rsidR="00EA4088" w:rsidRPr="00B65D57">
        <w:rPr>
          <w:rFonts w:eastAsia="Calibri"/>
          <w:lang w:eastAsia="en-US"/>
        </w:rPr>
        <w:t>chemical</w:t>
      </w:r>
      <w:r w:rsidRPr="00B65D57">
        <w:rPr>
          <w:rFonts w:eastAsia="Calibri"/>
          <w:lang w:eastAsia="en-US"/>
        </w:rPr>
        <w:t xml:space="preserve"> analysis of borates is made by the accredited (Swedac Accreditation no 1790 for testing ISO/IEC 17025) chemical analysis laboratory Analys- &amp; Konsultlaboratoriet AB located in Borås, Sweden. The method used for preparation of the wooden samples is CDS Pyroprobe and analysis of boric acid is based on Ion chromatography with conductivity detection (column IonPac ICE-AS1, no 031181-07). Analysis accuracy have been evaluated by the method “Evaluation of measurement data - Guide to the expression of uncertainty in measurement", JCGM 100:2008 Corrected version 2010” with a factor of cover of 2 and level of confidence of 95 % (AK Lab AB, 2019).</w:t>
      </w:r>
    </w:p>
    <w:p w14:paraId="40D6600C" w14:textId="77777777" w:rsidR="00635F3E" w:rsidRPr="00B65D57" w:rsidRDefault="00635F3E" w:rsidP="00F279E6">
      <w:pPr>
        <w:rPr>
          <w:rFonts w:eastAsia="Calibri"/>
          <w:lang w:eastAsia="en-US"/>
        </w:rPr>
      </w:pPr>
    </w:p>
    <w:sectPr w:rsidR="00635F3E" w:rsidRPr="00B65D57" w:rsidSect="001338DA">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434CA" w14:textId="77777777" w:rsidR="0011635E" w:rsidRDefault="0011635E">
      <w:pPr>
        <w:spacing w:before="510"/>
        <w:rPr>
          <w:color w:val="FFFFFF"/>
        </w:rPr>
      </w:pPr>
      <w:r>
        <w:rPr>
          <w:color w:val="FFFFFF"/>
        </w:rPr>
        <w:separator/>
      </w:r>
    </w:p>
  </w:endnote>
  <w:endnote w:type="continuationSeparator" w:id="0">
    <w:p w14:paraId="4355C31A" w14:textId="77777777" w:rsidR="0011635E" w:rsidRDefault="0011635E">
      <w:pPr>
        <w:spacing w:before="510"/>
        <w:rPr>
          <w:color w:val="FFFFFF"/>
        </w:rPr>
      </w:pPr>
      <w:r>
        <w:rPr>
          <w:color w:val="FFFFFF"/>
        </w:rPr>
        <w:separator/>
      </w:r>
    </w:p>
  </w:endnote>
  <w:endnote w:type="continuationNotice" w:id="1">
    <w:p w14:paraId="16B218C4" w14:textId="77777777" w:rsidR="0011635E" w:rsidRDefault="00116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NewRoman">
    <w:altName w:val="MS Goth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15FB" w14:textId="77777777" w:rsidR="002556C6" w:rsidRDefault="002556C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47FCC" w14:textId="77777777" w:rsidR="0011635E" w:rsidRDefault="0011635E">
      <w:pPr>
        <w:spacing w:before="510"/>
        <w:rPr>
          <w:color w:val="FFFFFF"/>
        </w:rPr>
      </w:pPr>
      <w:r>
        <w:separator/>
      </w:r>
    </w:p>
  </w:footnote>
  <w:footnote w:type="continuationSeparator" w:id="0">
    <w:p w14:paraId="79262F49" w14:textId="77777777" w:rsidR="0011635E" w:rsidRDefault="0011635E">
      <w:pPr>
        <w:spacing w:before="510"/>
        <w:rPr>
          <w:color w:val="FFFFFF"/>
        </w:rPr>
      </w:pPr>
      <w:r>
        <w:rPr>
          <w:color w:val="FFFFFF"/>
        </w:rPr>
        <w:separator/>
      </w:r>
    </w:p>
  </w:footnote>
  <w:footnote w:type="continuationNotice" w:id="1">
    <w:p w14:paraId="624DD4C3" w14:textId="77777777" w:rsidR="0011635E" w:rsidRDefault="0011635E"/>
  </w:footnote>
  <w:footnote w:id="2">
    <w:p w14:paraId="3392583C" w14:textId="77777777" w:rsidR="009E404F" w:rsidRPr="00C31754" w:rsidRDefault="009E404F" w:rsidP="009E404F">
      <w:pPr>
        <w:pStyle w:val="Fotnotstext"/>
        <w:rPr>
          <w:rFonts w:ascii="Garamond" w:hAnsi="Garamond"/>
          <w:lang w:val="en-US"/>
        </w:rPr>
      </w:pPr>
      <w:r w:rsidRPr="00C31754">
        <w:rPr>
          <w:rStyle w:val="Fotnotsreferens"/>
          <w:rFonts w:ascii="Garamond" w:hAnsi="Garamond"/>
        </w:rPr>
        <w:footnoteRef/>
      </w:r>
      <w:r w:rsidRPr="00C31754">
        <w:rPr>
          <w:rFonts w:ascii="Garamond" w:hAnsi="Garamond"/>
          <w:lang w:val="en-US"/>
        </w:rPr>
        <w:t xml:space="preserve"> Highest shoreline in an area formed during a marine period after last glacial period.</w:t>
      </w:r>
    </w:p>
  </w:footnote>
  <w:footnote w:id="3">
    <w:p w14:paraId="104FC30D" w14:textId="77777777" w:rsidR="009E404F" w:rsidRPr="002F2C1E" w:rsidRDefault="009E404F" w:rsidP="009E404F">
      <w:pPr>
        <w:pStyle w:val="Fotnotstext"/>
        <w:rPr>
          <w:rFonts w:ascii="Garamond" w:hAnsi="Garamond"/>
          <w:lang w:val="en-US"/>
        </w:rPr>
      </w:pPr>
      <w:r>
        <w:rPr>
          <w:rStyle w:val="Fotnotsreferens"/>
        </w:rPr>
        <w:footnoteRef/>
      </w:r>
      <w:r w:rsidRPr="003E624F">
        <w:rPr>
          <w:lang w:val="en-US"/>
        </w:rPr>
        <w:t xml:space="preserve"> </w:t>
      </w:r>
      <w:r w:rsidRPr="002F2C1E">
        <w:rPr>
          <w:rFonts w:ascii="Garamond" w:hAnsi="Garamond"/>
          <w:lang w:val="en-US"/>
        </w:rPr>
        <w:t>The limit value according to Directive 98/83/EC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5C15F3" w:rsidRPr="00A53BD0" w14:paraId="48D428AC" w14:textId="77777777" w:rsidTr="0014073C">
      <w:tc>
        <w:tcPr>
          <w:tcW w:w="1276" w:type="dxa"/>
          <w:tcBorders>
            <w:top w:val="nil"/>
            <w:left w:val="nil"/>
            <w:bottom w:val="single" w:sz="4" w:space="0" w:color="000000"/>
            <w:right w:val="nil"/>
          </w:tcBorders>
          <w:vAlign w:val="center"/>
        </w:tcPr>
        <w:p w14:paraId="09693464" w14:textId="77777777" w:rsidR="005C15F3" w:rsidRPr="00A53BD0" w:rsidRDefault="005C15F3" w:rsidP="005C15F3">
          <w:pPr>
            <w:widowControl w:val="0"/>
            <w:autoSpaceDE w:val="0"/>
            <w:autoSpaceDN w:val="0"/>
            <w:adjustRightInd w:val="0"/>
            <w:rPr>
              <w:rFonts w:cs="Times"/>
              <w:sz w:val="18"/>
              <w:szCs w:val="18"/>
            </w:rPr>
          </w:pPr>
          <w:r>
            <w:rPr>
              <w:rFonts w:cs="Times"/>
              <w:color w:val="000000"/>
              <w:sz w:val="18"/>
              <w:szCs w:val="18"/>
            </w:rPr>
            <w:t>RefMS SE</w:t>
          </w:r>
        </w:p>
      </w:tc>
      <w:tc>
        <w:tcPr>
          <w:tcW w:w="5528" w:type="dxa"/>
          <w:tcBorders>
            <w:top w:val="nil"/>
            <w:left w:val="nil"/>
            <w:bottom w:val="single" w:sz="4" w:space="0" w:color="000000"/>
            <w:right w:val="nil"/>
          </w:tcBorders>
          <w:vAlign w:val="center"/>
        </w:tcPr>
        <w:p w14:paraId="240B881E" w14:textId="77777777" w:rsidR="005C15F3" w:rsidRPr="00A53BD0" w:rsidRDefault="005C15F3" w:rsidP="005C15F3">
          <w:pPr>
            <w:widowControl w:val="0"/>
            <w:autoSpaceDE w:val="0"/>
            <w:autoSpaceDN w:val="0"/>
            <w:adjustRightInd w:val="0"/>
            <w:jc w:val="center"/>
            <w:rPr>
              <w:rFonts w:cs="Times"/>
              <w:sz w:val="18"/>
              <w:szCs w:val="18"/>
            </w:rPr>
          </w:pPr>
          <w:r>
            <w:rPr>
              <w:rFonts w:cs="Times"/>
              <w:color w:val="000000"/>
              <w:sz w:val="18"/>
              <w:szCs w:val="18"/>
            </w:rPr>
            <w:t>Jerbor</w:t>
          </w:r>
        </w:p>
      </w:tc>
      <w:tc>
        <w:tcPr>
          <w:tcW w:w="2552" w:type="dxa"/>
          <w:tcBorders>
            <w:top w:val="nil"/>
            <w:left w:val="nil"/>
            <w:bottom w:val="single" w:sz="4" w:space="0" w:color="000000"/>
            <w:right w:val="nil"/>
          </w:tcBorders>
          <w:vAlign w:val="center"/>
        </w:tcPr>
        <w:p w14:paraId="6971ABAE" w14:textId="65C14FF3" w:rsidR="005C15F3" w:rsidRPr="00A53BD0" w:rsidRDefault="005C15F3" w:rsidP="005C15F3">
          <w:pPr>
            <w:widowControl w:val="0"/>
            <w:autoSpaceDE w:val="0"/>
            <w:autoSpaceDN w:val="0"/>
            <w:adjustRightInd w:val="0"/>
            <w:jc w:val="right"/>
            <w:rPr>
              <w:rFonts w:cs="Times"/>
              <w:sz w:val="18"/>
              <w:szCs w:val="18"/>
            </w:rPr>
          </w:pPr>
          <w:r w:rsidRPr="00A53BD0">
            <w:rPr>
              <w:rFonts w:cs="Times"/>
              <w:color w:val="000000"/>
              <w:sz w:val="18"/>
              <w:szCs w:val="18"/>
            </w:rPr>
            <w:t>PT</w:t>
          </w:r>
          <w:r>
            <w:rPr>
              <w:rFonts w:cs="Times"/>
              <w:color w:val="000000"/>
              <w:sz w:val="18"/>
              <w:szCs w:val="18"/>
            </w:rPr>
            <w:t>8</w:t>
          </w:r>
        </w:p>
      </w:tc>
    </w:tr>
  </w:tbl>
  <w:p w14:paraId="4CBFE3C5" w14:textId="2278CA8A" w:rsidR="003627B2" w:rsidRDefault="003627B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1256"/>
      <w:gridCol w:w="5444"/>
      <w:gridCol w:w="2514"/>
    </w:tblGrid>
    <w:tr w:rsidR="00635F3E" w14:paraId="6A217A22" w14:textId="77777777" w:rsidTr="005F65E6">
      <w:trPr>
        <w:trHeight w:val="329"/>
      </w:trPr>
      <w:tc>
        <w:tcPr>
          <w:tcW w:w="682" w:type="pct"/>
          <w:tcBorders>
            <w:bottom w:val="single" w:sz="4" w:space="0" w:color="000000"/>
          </w:tcBorders>
          <w:shd w:val="clear" w:color="auto" w:fill="auto"/>
          <w:vAlign w:val="center"/>
        </w:tcPr>
        <w:p w14:paraId="58D3C911" w14:textId="0621C0E1" w:rsidR="00635F3E" w:rsidRDefault="005C15F3" w:rsidP="005C15F3">
          <w:pPr>
            <w:autoSpaceDE w:val="0"/>
            <w:rPr>
              <w:rFonts w:cs="Times"/>
              <w:color w:val="000000"/>
              <w:sz w:val="18"/>
              <w:szCs w:val="18"/>
            </w:rPr>
          </w:pPr>
          <w:r>
            <w:rPr>
              <w:rFonts w:cs="Times"/>
              <w:color w:val="000000"/>
              <w:sz w:val="18"/>
              <w:szCs w:val="18"/>
            </w:rPr>
            <w:t>RefMS</w:t>
          </w:r>
        </w:p>
      </w:tc>
      <w:tc>
        <w:tcPr>
          <w:tcW w:w="2954" w:type="pct"/>
          <w:tcBorders>
            <w:bottom w:val="single" w:sz="4" w:space="0" w:color="000000"/>
          </w:tcBorders>
          <w:shd w:val="clear" w:color="auto" w:fill="auto"/>
          <w:vAlign w:val="center"/>
        </w:tcPr>
        <w:p w14:paraId="4FD582EB" w14:textId="2EA796B8" w:rsidR="00635F3E" w:rsidRDefault="005C15F3">
          <w:pPr>
            <w:autoSpaceDE w:val="0"/>
            <w:jc w:val="center"/>
            <w:rPr>
              <w:rFonts w:cs="Times"/>
              <w:color w:val="000000"/>
              <w:sz w:val="18"/>
              <w:szCs w:val="18"/>
            </w:rPr>
          </w:pPr>
          <w:r>
            <w:rPr>
              <w:rFonts w:cs="Times"/>
              <w:color w:val="000000"/>
              <w:sz w:val="18"/>
              <w:szCs w:val="18"/>
            </w:rPr>
            <w:t>Jerbor</w:t>
          </w:r>
        </w:p>
      </w:tc>
      <w:tc>
        <w:tcPr>
          <w:tcW w:w="1364" w:type="pct"/>
          <w:tcBorders>
            <w:bottom w:val="single" w:sz="4" w:space="0" w:color="000000"/>
          </w:tcBorders>
          <w:shd w:val="clear" w:color="auto" w:fill="auto"/>
          <w:vAlign w:val="center"/>
        </w:tcPr>
        <w:p w14:paraId="4D0C40DF" w14:textId="336AC53F" w:rsidR="00635F3E" w:rsidRDefault="00635F3E" w:rsidP="005C15F3">
          <w:pPr>
            <w:autoSpaceDE w:val="0"/>
            <w:jc w:val="right"/>
          </w:pPr>
          <w:r>
            <w:rPr>
              <w:rFonts w:cs="Times"/>
              <w:color w:val="000000"/>
              <w:sz w:val="18"/>
              <w:szCs w:val="18"/>
            </w:rPr>
            <w:t>PT</w:t>
          </w:r>
          <w:r w:rsidR="005C15F3">
            <w:rPr>
              <w:rFonts w:cs="Times"/>
              <w:color w:val="000000"/>
              <w:sz w:val="18"/>
              <w:szCs w:val="18"/>
            </w:rPr>
            <w:t>8</w:t>
          </w:r>
        </w:p>
      </w:tc>
    </w:tr>
  </w:tbl>
  <w:p w14:paraId="2157635D" w14:textId="77777777" w:rsidR="00635F3E" w:rsidRDefault="00635F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1257"/>
      <w:gridCol w:w="5445"/>
      <w:gridCol w:w="2512"/>
    </w:tblGrid>
    <w:tr w:rsidR="00635F3E" w14:paraId="41B4CB73" w14:textId="77777777" w:rsidTr="005F65E6">
      <w:trPr>
        <w:trHeight w:val="329"/>
      </w:trPr>
      <w:tc>
        <w:tcPr>
          <w:tcW w:w="682" w:type="pct"/>
          <w:tcBorders>
            <w:bottom w:val="single" w:sz="4" w:space="0" w:color="000000"/>
          </w:tcBorders>
          <w:shd w:val="clear" w:color="auto" w:fill="auto"/>
          <w:vAlign w:val="center"/>
        </w:tcPr>
        <w:p w14:paraId="78AC56DC" w14:textId="720BA8D5" w:rsidR="00635F3E" w:rsidRDefault="00635F3E">
          <w:pPr>
            <w:autoSpaceDE w:val="0"/>
            <w:jc w:val="center"/>
            <w:rPr>
              <w:rFonts w:cs="Times"/>
              <w:color w:val="000000"/>
              <w:sz w:val="18"/>
              <w:szCs w:val="18"/>
            </w:rPr>
          </w:pPr>
          <w:r>
            <w:rPr>
              <w:rFonts w:cs="Times"/>
              <w:color w:val="000000"/>
              <w:sz w:val="18"/>
              <w:szCs w:val="18"/>
            </w:rPr>
            <w:t>[CA]</w:t>
          </w:r>
        </w:p>
      </w:tc>
      <w:tc>
        <w:tcPr>
          <w:tcW w:w="2955" w:type="pct"/>
          <w:tcBorders>
            <w:bottom w:val="single" w:sz="4" w:space="0" w:color="000000"/>
          </w:tcBorders>
          <w:shd w:val="clear" w:color="auto" w:fill="auto"/>
          <w:vAlign w:val="center"/>
        </w:tcPr>
        <w:p w14:paraId="068D2CE9" w14:textId="77777777" w:rsidR="00635F3E" w:rsidRDefault="00635F3E">
          <w:pPr>
            <w:autoSpaceDE w:val="0"/>
            <w:jc w:val="center"/>
            <w:rPr>
              <w:rFonts w:cs="Times"/>
              <w:color w:val="000000"/>
              <w:sz w:val="18"/>
              <w:szCs w:val="18"/>
            </w:rPr>
          </w:pPr>
          <w:r>
            <w:rPr>
              <w:rFonts w:cs="Times"/>
              <w:color w:val="000000"/>
              <w:sz w:val="18"/>
              <w:szCs w:val="18"/>
            </w:rPr>
            <w:t>[Product name]</w:t>
          </w:r>
        </w:p>
      </w:tc>
      <w:tc>
        <w:tcPr>
          <w:tcW w:w="1364" w:type="pct"/>
          <w:tcBorders>
            <w:bottom w:val="single" w:sz="4" w:space="0" w:color="000000"/>
          </w:tcBorders>
          <w:shd w:val="clear" w:color="auto" w:fill="auto"/>
          <w:vAlign w:val="center"/>
        </w:tcPr>
        <w:p w14:paraId="7100AB34" w14:textId="77777777" w:rsidR="00635F3E" w:rsidRDefault="00635F3E">
          <w:pPr>
            <w:autoSpaceDE w:val="0"/>
            <w:jc w:val="center"/>
          </w:pPr>
          <w:r>
            <w:rPr>
              <w:rFonts w:cs="Times"/>
              <w:color w:val="000000"/>
              <w:sz w:val="18"/>
              <w:szCs w:val="18"/>
            </w:rPr>
            <w:t>[PTXX]</w:t>
          </w:r>
        </w:p>
      </w:tc>
    </w:tr>
  </w:tbl>
  <w:p w14:paraId="4FEDC16F" w14:textId="70406911" w:rsidR="00635F3E" w:rsidRDefault="00635F3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1257"/>
      <w:gridCol w:w="5445"/>
      <w:gridCol w:w="2512"/>
    </w:tblGrid>
    <w:tr w:rsidR="00635F3E" w14:paraId="2E15551F" w14:textId="77777777" w:rsidTr="00A00ECE">
      <w:trPr>
        <w:trHeight w:val="329"/>
      </w:trPr>
      <w:tc>
        <w:tcPr>
          <w:tcW w:w="682" w:type="pct"/>
          <w:tcBorders>
            <w:bottom w:val="single" w:sz="4" w:space="0" w:color="000000"/>
          </w:tcBorders>
          <w:shd w:val="clear" w:color="auto" w:fill="auto"/>
          <w:vAlign w:val="center"/>
        </w:tcPr>
        <w:p w14:paraId="1F013EEC" w14:textId="7CE6CA92" w:rsidR="00635F3E" w:rsidRDefault="005C15F3" w:rsidP="005C15F3">
          <w:pPr>
            <w:autoSpaceDE w:val="0"/>
            <w:rPr>
              <w:rFonts w:cs="Times"/>
              <w:color w:val="000000"/>
              <w:sz w:val="18"/>
              <w:szCs w:val="18"/>
            </w:rPr>
          </w:pPr>
          <w:r>
            <w:rPr>
              <w:rFonts w:cs="Times"/>
              <w:color w:val="000000"/>
              <w:sz w:val="18"/>
              <w:szCs w:val="18"/>
            </w:rPr>
            <w:t>RefMS SE</w:t>
          </w:r>
        </w:p>
      </w:tc>
      <w:tc>
        <w:tcPr>
          <w:tcW w:w="2955" w:type="pct"/>
          <w:tcBorders>
            <w:bottom w:val="single" w:sz="4" w:space="0" w:color="000000"/>
          </w:tcBorders>
          <w:shd w:val="clear" w:color="auto" w:fill="auto"/>
          <w:vAlign w:val="center"/>
        </w:tcPr>
        <w:p w14:paraId="0DD79EDB" w14:textId="3CB8DD4E" w:rsidR="00635F3E" w:rsidRDefault="005C15F3">
          <w:pPr>
            <w:autoSpaceDE w:val="0"/>
            <w:jc w:val="center"/>
            <w:rPr>
              <w:rFonts w:cs="Times"/>
              <w:color w:val="000000"/>
              <w:sz w:val="18"/>
              <w:szCs w:val="18"/>
            </w:rPr>
          </w:pPr>
          <w:r>
            <w:rPr>
              <w:rFonts w:cs="Times"/>
              <w:color w:val="000000"/>
              <w:sz w:val="18"/>
              <w:szCs w:val="18"/>
            </w:rPr>
            <w:t>Jerbor</w:t>
          </w:r>
        </w:p>
      </w:tc>
      <w:tc>
        <w:tcPr>
          <w:tcW w:w="1363" w:type="pct"/>
          <w:tcBorders>
            <w:bottom w:val="single" w:sz="4" w:space="0" w:color="000000"/>
          </w:tcBorders>
          <w:shd w:val="clear" w:color="auto" w:fill="auto"/>
          <w:vAlign w:val="center"/>
        </w:tcPr>
        <w:p w14:paraId="23F5F71A" w14:textId="1235277E" w:rsidR="00635F3E" w:rsidRDefault="00635F3E" w:rsidP="005C15F3">
          <w:pPr>
            <w:autoSpaceDE w:val="0"/>
            <w:jc w:val="right"/>
          </w:pPr>
          <w:r>
            <w:rPr>
              <w:rFonts w:cs="Times"/>
              <w:color w:val="000000"/>
              <w:sz w:val="18"/>
              <w:szCs w:val="18"/>
            </w:rPr>
            <w:t>PT</w:t>
          </w:r>
          <w:r w:rsidR="005C15F3">
            <w:rPr>
              <w:rFonts w:cs="Times"/>
              <w:color w:val="000000"/>
              <w:sz w:val="18"/>
              <w:szCs w:val="18"/>
            </w:rPr>
            <w:t>8</w:t>
          </w:r>
        </w:p>
      </w:tc>
    </w:tr>
  </w:tbl>
  <w:p w14:paraId="036F5457" w14:textId="77777777" w:rsidR="00635F3E" w:rsidRDefault="00635F3E"/>
</w:hdr>
</file>

<file path=word/intelligence.xml><?xml version="1.0" encoding="utf-8"?>
<int:Intelligence xmlns:int="http://schemas.microsoft.com/office/intelligence/2019/intelligence">
  <int:IntelligenceSettings/>
  <int:Manifest>
    <int:WordHash hashCode="2CCqX4dQ/d4zIA" id="gozIvt8s"/>
    <int:WordHash hashCode="/D/eGZN0KFiSJJ" id="GtwlA6vf"/>
    <int:WordHash hashCode="MC/WAXWlV0cL5s" id="p5cplVwn"/>
    <int:ParagraphRange paragraphId="1139252480" textId="2004318071" start="488" length="19" invalidationStart="488" invalidationLength="19" id="1rNPhw3P"/>
    <int:WordHash hashCode="BC3EUS+j05HFFw" id="1IAQ407Q"/>
    <int:WordHash hashCode="Rhbk5chf22amWv" id="bCYH62sv"/>
    <int:WordHash hashCode="siEx/0fGSV7AJH" id="hecjKrIN"/>
    <int:WordHash hashCode="ioXAbE66irpzOk" id="X0SY7jd3"/>
    <int:WordHash hashCode="HAGmXHpBJegpPc" id="8W5ZkU7r"/>
    <int:ParagraphRange paragraphId="1203113364" textId="1514681384" start="224" length="11" invalidationStart="224" invalidationLength="11" id="YyAHzZZ2"/>
    <int:ParagraphRange paragraphId="1203113364" textId="1514681384" start="516" length="7" invalidationStart="516" invalidationLength="7" id="yRxYBBh1"/>
    <int:ParagraphRange paragraphId="1439748963" textId="2004318071" start="40" length="36" invalidationStart="40" invalidationLength="36" id="eYz5PTv3"/>
    <int:ParagraphRange paragraphId="655604037" textId="1156654881" start="133" length="12" invalidationStart="133" invalidationLength="12" id="WjnJu4kY"/>
    <int:ParagraphRange paragraphId="575747247" textId="2004318071" start="34" length="7" invalidationStart="34" invalidationLength="7" id="6551Dytc"/>
    <int:WordHash hashCode="JpDqYYRPMoAiGs" id="fGgwWf9t"/>
    <int:WordHash hashCode="OKAHFRq+h8wBpb" id="02eMDfk2"/>
    <int:WordHash hashCode="6TYAuC1wz0qR2Q" id="AAC5oGjw"/>
    <int:WordHash hashCode="3gT6Din5s14kkF" id="dyqOQ7pA"/>
    <int:WordHash hashCode="89uZLrH5awzh5e" id="51u98dAK"/>
    <int:ParagraphRange paragraphId="186697735" textId="524977331" start="126" length="3" invalidationStart="126" invalidationLength="3" id="caS9L1rI"/>
    <int:WordHash hashCode="c5HhFoHn82wrJU" id="FgEKyZNy"/>
    <int:ParagraphRange paragraphId="118256445" textId="1735127695" start="47" length="3" invalidationStart="47" invalidationLength="3" id="V2r7QPYA"/>
  </int:Manifest>
  <int:Observations>
    <int:Content id="gozIvt8s">
      <int:Rejection type="LegacyProofing"/>
    </int:Content>
    <int:Content id="GtwlA6vf">
      <int:Rejection type="LegacyProofing"/>
    </int:Content>
    <int:Content id="p5cplVwn">
      <int:Rejection type="LegacyProofing"/>
    </int:Content>
    <int:Content id="1rNPhw3P">
      <int:Rejection type="LegacyProofing"/>
    </int:Content>
    <int:Content id="1IAQ407Q">
      <int:Rejection type="LegacyProofing"/>
    </int:Content>
    <int:Content id="bCYH62sv">
      <int:Rejection type="LegacyProofing"/>
    </int:Content>
    <int:Content id="hecjKrIN">
      <int:Rejection type="LegacyProofing"/>
    </int:Content>
    <int:Content id="X0SY7jd3">
      <int:Rejection type="LegacyProofing"/>
    </int:Content>
    <int:Content id="8W5ZkU7r">
      <int:Rejection type="LegacyProofing"/>
    </int:Content>
    <int:Content id="YyAHzZZ2">
      <int:Rejection type="LegacyProofing"/>
    </int:Content>
    <int:Content id="yRxYBBh1">
      <int:Rejection type="LegacyProofing"/>
    </int:Content>
    <int:Content id="eYz5PTv3">
      <int:Rejection type="LegacyProofing"/>
    </int:Content>
    <int:Content id="WjnJu4kY">
      <int:Rejection type="LegacyProofing"/>
    </int:Content>
    <int:Content id="6551Dytc">
      <int:Rejection type="LegacyProofing"/>
    </int:Content>
    <int:Content id="fGgwWf9t">
      <int:Rejection type="LegacyProofing"/>
    </int:Content>
    <int:Content id="02eMDfk2">
      <int:Rejection type="LegacyProofing"/>
    </int:Content>
    <int:Content id="AAC5oGjw">
      <int:Rejection type="LegacyProofing"/>
    </int:Content>
    <int:Content id="dyqOQ7pA">
      <int:Rejection type="LegacyProofing"/>
    </int:Content>
    <int:Content id="51u98dAK">
      <int:Rejection type="LegacyProofing"/>
    </int:Content>
    <int:Content id="caS9L1rI">
      <int:Rejection type="LegacyProofing"/>
    </int:Content>
    <int:Content id="FgEKyZNy">
      <int:Rejection type="LegacyProofing"/>
    </int:Content>
    <int:Content id="V2r7QPY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577"/>
    <w:multiLevelType w:val="hybridMultilevel"/>
    <w:tmpl w:val="50B0F8D4"/>
    <w:lvl w:ilvl="0" w:tplc="08090001">
      <w:start w:val="1"/>
      <w:numFmt w:val="bullet"/>
      <w:lvlText w:val=""/>
      <w:lvlJc w:val="left"/>
      <w:pPr>
        <w:ind w:left="720" w:hanging="360"/>
      </w:pPr>
      <w:rPr>
        <w:rFonts w:ascii="Symbol" w:hAnsi="Symbol" w:hint="default"/>
        <w:b/>
        <w:i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682AC8"/>
    <w:multiLevelType w:val="multilevel"/>
    <w:tmpl w:val="29EC8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3" w15:restartNumberingAfterBreak="0">
    <w:nsid w:val="0E7425AE"/>
    <w:multiLevelType w:val="hybridMultilevel"/>
    <w:tmpl w:val="9D28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2468F"/>
    <w:multiLevelType w:val="hybridMultilevel"/>
    <w:tmpl w:val="13A4BA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6CE07B1"/>
    <w:multiLevelType w:val="hybridMultilevel"/>
    <w:tmpl w:val="007ACA2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398364A"/>
    <w:multiLevelType w:val="hybridMultilevel"/>
    <w:tmpl w:val="A1C6C28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5A85168"/>
    <w:multiLevelType w:val="hybridMultilevel"/>
    <w:tmpl w:val="7B7CB80A"/>
    <w:lvl w:ilvl="0" w:tplc="041D0001">
      <w:start w:val="1"/>
      <w:numFmt w:val="bullet"/>
      <w:lvlText w:val=""/>
      <w:lvlJc w:val="left"/>
      <w:pPr>
        <w:ind w:left="720" w:hanging="360"/>
      </w:pPr>
      <w:rPr>
        <w:rFonts w:ascii="Symbol" w:hAnsi="Symbol" w:hint="default"/>
      </w:rPr>
    </w:lvl>
    <w:lvl w:ilvl="1" w:tplc="8DB00BCC">
      <w:numFmt w:val="bullet"/>
      <w:lvlText w:val="-"/>
      <w:lvlJc w:val="left"/>
      <w:pPr>
        <w:ind w:left="1440" w:hanging="360"/>
      </w:pPr>
      <w:rPr>
        <w:rFonts w:ascii="Times New Roman" w:eastAsia="Calibri"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B296D94"/>
    <w:multiLevelType w:val="hybridMultilevel"/>
    <w:tmpl w:val="0DEA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7021F3"/>
    <w:multiLevelType w:val="hybridMultilevel"/>
    <w:tmpl w:val="8236E3B6"/>
    <w:lvl w:ilvl="0" w:tplc="4178EC0C">
      <w:start w:val="1"/>
      <w:numFmt w:val="decimal"/>
      <w:pStyle w:val="Numbering"/>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23C2874"/>
    <w:multiLevelType w:val="multilevel"/>
    <w:tmpl w:val="2FC03870"/>
    <w:lvl w:ilvl="0">
      <w:start w:val="3"/>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11" w15:restartNumberingAfterBreak="0">
    <w:nsid w:val="4E1952F3"/>
    <w:multiLevelType w:val="hybridMultilevel"/>
    <w:tmpl w:val="825EEAD6"/>
    <w:lvl w:ilvl="0" w:tplc="B6AA3570">
      <w:start w:val="1"/>
      <w:numFmt w:val="decimal"/>
      <w:pStyle w:val="Rubrik2"/>
      <w:lvlText w:val="2.%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2" w15:restartNumberingAfterBreak="0">
    <w:nsid w:val="51346C58"/>
    <w:multiLevelType w:val="hybridMultilevel"/>
    <w:tmpl w:val="461607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6926A6B"/>
    <w:multiLevelType w:val="hybridMultilevel"/>
    <w:tmpl w:val="A32692BA"/>
    <w:lvl w:ilvl="0" w:tplc="8DB00BCC">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9060FB"/>
    <w:multiLevelType w:val="hybridMultilevel"/>
    <w:tmpl w:val="7FB26A44"/>
    <w:lvl w:ilvl="0" w:tplc="8DB00BCC">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DAB3BC3"/>
    <w:multiLevelType w:val="hybridMultilevel"/>
    <w:tmpl w:val="AD589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E5D7335"/>
    <w:multiLevelType w:val="multilevel"/>
    <w:tmpl w:val="72B2B4AE"/>
    <w:lvl w:ilvl="0">
      <w:start w:val="1"/>
      <w:numFmt w:val="decimal"/>
      <w:pStyle w:val="Rubrik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2.6.2.%5"/>
      <w:lvlJc w:val="left"/>
      <w:pPr>
        <w:ind w:left="360" w:hanging="360"/>
      </w:pPr>
      <w:rPr>
        <w:rFonts w:hint="default"/>
        <w:b/>
        <w:bCs/>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7" w15:restartNumberingAfterBreak="0">
    <w:nsid w:val="6557758B"/>
    <w:multiLevelType w:val="hybridMultilevel"/>
    <w:tmpl w:val="16C61A82"/>
    <w:lvl w:ilvl="0" w:tplc="2A06934A">
      <w:start w:val="2"/>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BC372A8"/>
    <w:multiLevelType w:val="hybridMultilevel"/>
    <w:tmpl w:val="40C682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D1A4D16"/>
    <w:multiLevelType w:val="hybridMultilevel"/>
    <w:tmpl w:val="2A706768"/>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A44898"/>
    <w:multiLevelType w:val="hybridMultilevel"/>
    <w:tmpl w:val="5CF0EF3A"/>
    <w:lvl w:ilvl="0" w:tplc="08090001">
      <w:start w:val="1"/>
      <w:numFmt w:val="bullet"/>
      <w:lvlText w:val=""/>
      <w:lvlJc w:val="left"/>
      <w:pPr>
        <w:ind w:left="720" w:hanging="360"/>
      </w:pPr>
      <w:rPr>
        <w:rFonts w:ascii="Symbol" w:hAnsi="Symbol" w:hint="default"/>
        <w:b/>
        <w:i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num w:numId="1" w16cid:durableId="1635329764">
    <w:abstractNumId w:val="21"/>
  </w:num>
  <w:num w:numId="2" w16cid:durableId="869100113">
    <w:abstractNumId w:val="2"/>
  </w:num>
  <w:num w:numId="3" w16cid:durableId="891576752">
    <w:abstractNumId w:val="4"/>
  </w:num>
  <w:num w:numId="4" w16cid:durableId="596443685">
    <w:abstractNumId w:val="12"/>
  </w:num>
  <w:num w:numId="5" w16cid:durableId="113450049">
    <w:abstractNumId w:val="5"/>
  </w:num>
  <w:num w:numId="6" w16cid:durableId="823592941">
    <w:abstractNumId w:val="6"/>
  </w:num>
  <w:num w:numId="7" w16cid:durableId="247741143">
    <w:abstractNumId w:val="18"/>
  </w:num>
  <w:num w:numId="8" w16cid:durableId="286741772">
    <w:abstractNumId w:val="15"/>
  </w:num>
  <w:num w:numId="9" w16cid:durableId="1455173828">
    <w:abstractNumId w:val="13"/>
  </w:num>
  <w:num w:numId="10" w16cid:durableId="153421429">
    <w:abstractNumId w:val="14"/>
  </w:num>
  <w:num w:numId="11" w16cid:durableId="1192106378">
    <w:abstractNumId w:val="7"/>
  </w:num>
  <w:num w:numId="12" w16cid:durableId="1398100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291194">
    <w:abstractNumId w:val="16"/>
  </w:num>
  <w:num w:numId="14" w16cid:durableId="1107575904">
    <w:abstractNumId w:val="20"/>
  </w:num>
  <w:num w:numId="15" w16cid:durableId="499007811">
    <w:abstractNumId w:val="0"/>
  </w:num>
  <w:num w:numId="16" w16cid:durableId="954562442">
    <w:abstractNumId w:val="19"/>
  </w:num>
  <w:num w:numId="17" w16cid:durableId="1747533200">
    <w:abstractNumId w:val="3"/>
  </w:num>
  <w:num w:numId="18" w16cid:durableId="1789010063">
    <w:abstractNumId w:val="8"/>
  </w:num>
  <w:num w:numId="19" w16cid:durableId="335807217">
    <w:abstractNumId w:val="17"/>
  </w:num>
  <w:num w:numId="20" w16cid:durableId="1925526899">
    <w:abstractNumId w:val="1"/>
  </w:num>
  <w:num w:numId="21" w16cid:durableId="140466106">
    <w:abstractNumId w:val="11"/>
  </w:num>
  <w:num w:numId="22" w16cid:durableId="1354842534">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intFractionalCharacterWidth/>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52">
      <o:colormru v:ext="edit" colors="#eaeaea,#f8f8f8"/>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148"/>
    <w:rsid w:val="000001B2"/>
    <w:rsid w:val="00000258"/>
    <w:rsid w:val="00001699"/>
    <w:rsid w:val="00001E2E"/>
    <w:rsid w:val="00001FDF"/>
    <w:rsid w:val="00002A21"/>
    <w:rsid w:val="00002D4A"/>
    <w:rsid w:val="00002D84"/>
    <w:rsid w:val="000040C9"/>
    <w:rsid w:val="0000466F"/>
    <w:rsid w:val="000049F7"/>
    <w:rsid w:val="00004AA5"/>
    <w:rsid w:val="00004B4D"/>
    <w:rsid w:val="00004E3B"/>
    <w:rsid w:val="000050B4"/>
    <w:rsid w:val="0000535F"/>
    <w:rsid w:val="000057C5"/>
    <w:rsid w:val="0000587C"/>
    <w:rsid w:val="0000588E"/>
    <w:rsid w:val="00005FE9"/>
    <w:rsid w:val="00006135"/>
    <w:rsid w:val="00006E33"/>
    <w:rsid w:val="00007554"/>
    <w:rsid w:val="00007744"/>
    <w:rsid w:val="00007C0A"/>
    <w:rsid w:val="00010614"/>
    <w:rsid w:val="00010B71"/>
    <w:rsid w:val="00010F46"/>
    <w:rsid w:val="0001110A"/>
    <w:rsid w:val="00011235"/>
    <w:rsid w:val="00011B87"/>
    <w:rsid w:val="00012442"/>
    <w:rsid w:val="00012668"/>
    <w:rsid w:val="00012815"/>
    <w:rsid w:val="00012CFC"/>
    <w:rsid w:val="000130C0"/>
    <w:rsid w:val="000135AC"/>
    <w:rsid w:val="00013935"/>
    <w:rsid w:val="00013B07"/>
    <w:rsid w:val="00013EA0"/>
    <w:rsid w:val="00013F20"/>
    <w:rsid w:val="000142AD"/>
    <w:rsid w:val="00014580"/>
    <w:rsid w:val="00014776"/>
    <w:rsid w:val="000147E1"/>
    <w:rsid w:val="000148EF"/>
    <w:rsid w:val="00014913"/>
    <w:rsid w:val="00014EAE"/>
    <w:rsid w:val="00015BB6"/>
    <w:rsid w:val="00016241"/>
    <w:rsid w:val="00016C32"/>
    <w:rsid w:val="00017CF8"/>
    <w:rsid w:val="00020375"/>
    <w:rsid w:val="00021867"/>
    <w:rsid w:val="00021E51"/>
    <w:rsid w:val="00021FDD"/>
    <w:rsid w:val="00022044"/>
    <w:rsid w:val="0002218C"/>
    <w:rsid w:val="00022A48"/>
    <w:rsid w:val="00022B34"/>
    <w:rsid w:val="0002312E"/>
    <w:rsid w:val="000233D1"/>
    <w:rsid w:val="0002388D"/>
    <w:rsid w:val="000238AB"/>
    <w:rsid w:val="00023BEB"/>
    <w:rsid w:val="00023C5C"/>
    <w:rsid w:val="00023F75"/>
    <w:rsid w:val="0002435C"/>
    <w:rsid w:val="000251D7"/>
    <w:rsid w:val="00025E11"/>
    <w:rsid w:val="00026263"/>
    <w:rsid w:val="00026BE5"/>
    <w:rsid w:val="00027245"/>
    <w:rsid w:val="00027A38"/>
    <w:rsid w:val="00027CB4"/>
    <w:rsid w:val="000304A3"/>
    <w:rsid w:val="00030B81"/>
    <w:rsid w:val="00031562"/>
    <w:rsid w:val="00032333"/>
    <w:rsid w:val="000325D4"/>
    <w:rsid w:val="00032B57"/>
    <w:rsid w:val="00032B9D"/>
    <w:rsid w:val="00032CCC"/>
    <w:rsid w:val="00033510"/>
    <w:rsid w:val="00033D49"/>
    <w:rsid w:val="0003466D"/>
    <w:rsid w:val="000348DD"/>
    <w:rsid w:val="00035243"/>
    <w:rsid w:val="0003571B"/>
    <w:rsid w:val="000357AF"/>
    <w:rsid w:val="00035DB8"/>
    <w:rsid w:val="00036961"/>
    <w:rsid w:val="000369E6"/>
    <w:rsid w:val="00036AF1"/>
    <w:rsid w:val="0003718C"/>
    <w:rsid w:val="00040AA8"/>
    <w:rsid w:val="00040E90"/>
    <w:rsid w:val="000413C6"/>
    <w:rsid w:val="00042E61"/>
    <w:rsid w:val="000436BC"/>
    <w:rsid w:val="00043B93"/>
    <w:rsid w:val="00043C11"/>
    <w:rsid w:val="00043FD6"/>
    <w:rsid w:val="0004440A"/>
    <w:rsid w:val="00044CE8"/>
    <w:rsid w:val="00044D25"/>
    <w:rsid w:val="00044DE3"/>
    <w:rsid w:val="00045DB2"/>
    <w:rsid w:val="0004638B"/>
    <w:rsid w:val="00046AC6"/>
    <w:rsid w:val="00046D43"/>
    <w:rsid w:val="000479FD"/>
    <w:rsid w:val="00047A87"/>
    <w:rsid w:val="0005073A"/>
    <w:rsid w:val="00050B11"/>
    <w:rsid w:val="00050C5E"/>
    <w:rsid w:val="00050D88"/>
    <w:rsid w:val="00050D8E"/>
    <w:rsid w:val="000512C8"/>
    <w:rsid w:val="000521CE"/>
    <w:rsid w:val="00052BEF"/>
    <w:rsid w:val="00052DA2"/>
    <w:rsid w:val="00052E4E"/>
    <w:rsid w:val="000538EE"/>
    <w:rsid w:val="000539AB"/>
    <w:rsid w:val="00053ECE"/>
    <w:rsid w:val="00053FDD"/>
    <w:rsid w:val="00054B10"/>
    <w:rsid w:val="0005522A"/>
    <w:rsid w:val="000553E1"/>
    <w:rsid w:val="00055687"/>
    <w:rsid w:val="000560D9"/>
    <w:rsid w:val="00056664"/>
    <w:rsid w:val="000576EE"/>
    <w:rsid w:val="0006180A"/>
    <w:rsid w:val="000618A4"/>
    <w:rsid w:val="00062B38"/>
    <w:rsid w:val="00062E5D"/>
    <w:rsid w:val="000630A6"/>
    <w:rsid w:val="00063830"/>
    <w:rsid w:val="00064B4F"/>
    <w:rsid w:val="00065CC0"/>
    <w:rsid w:val="00065D6E"/>
    <w:rsid w:val="00066449"/>
    <w:rsid w:val="000668D5"/>
    <w:rsid w:val="00066A5D"/>
    <w:rsid w:val="00066BE6"/>
    <w:rsid w:val="000677B7"/>
    <w:rsid w:val="00067BD7"/>
    <w:rsid w:val="00067CD2"/>
    <w:rsid w:val="0007026C"/>
    <w:rsid w:val="000705F3"/>
    <w:rsid w:val="00070694"/>
    <w:rsid w:val="00070715"/>
    <w:rsid w:val="00070D59"/>
    <w:rsid w:val="000711DC"/>
    <w:rsid w:val="0007141B"/>
    <w:rsid w:val="000726B1"/>
    <w:rsid w:val="00072E62"/>
    <w:rsid w:val="00073274"/>
    <w:rsid w:val="00073845"/>
    <w:rsid w:val="00073B7C"/>
    <w:rsid w:val="00074D96"/>
    <w:rsid w:val="0007510A"/>
    <w:rsid w:val="000754EB"/>
    <w:rsid w:val="00075AAB"/>
    <w:rsid w:val="00075CBB"/>
    <w:rsid w:val="00075F72"/>
    <w:rsid w:val="00076312"/>
    <w:rsid w:val="0007644D"/>
    <w:rsid w:val="00076A76"/>
    <w:rsid w:val="000776F1"/>
    <w:rsid w:val="00080D3A"/>
    <w:rsid w:val="00081BA4"/>
    <w:rsid w:val="00082E5B"/>
    <w:rsid w:val="00082FB2"/>
    <w:rsid w:val="000838A7"/>
    <w:rsid w:val="0008399F"/>
    <w:rsid w:val="00083C35"/>
    <w:rsid w:val="0008404F"/>
    <w:rsid w:val="000841C3"/>
    <w:rsid w:val="000846EA"/>
    <w:rsid w:val="00084ACC"/>
    <w:rsid w:val="000853B6"/>
    <w:rsid w:val="00085D5C"/>
    <w:rsid w:val="00087681"/>
    <w:rsid w:val="00087893"/>
    <w:rsid w:val="00087BCA"/>
    <w:rsid w:val="00087DC2"/>
    <w:rsid w:val="0009070A"/>
    <w:rsid w:val="00092949"/>
    <w:rsid w:val="00093148"/>
    <w:rsid w:val="00094255"/>
    <w:rsid w:val="00094514"/>
    <w:rsid w:val="0009462A"/>
    <w:rsid w:val="00094769"/>
    <w:rsid w:val="00094EF5"/>
    <w:rsid w:val="00095744"/>
    <w:rsid w:val="00095BD9"/>
    <w:rsid w:val="0009673D"/>
    <w:rsid w:val="00096AE6"/>
    <w:rsid w:val="00096E89"/>
    <w:rsid w:val="00097977"/>
    <w:rsid w:val="00097987"/>
    <w:rsid w:val="000979A8"/>
    <w:rsid w:val="000A02C2"/>
    <w:rsid w:val="000A11FA"/>
    <w:rsid w:val="000A16AC"/>
    <w:rsid w:val="000A1883"/>
    <w:rsid w:val="000A202E"/>
    <w:rsid w:val="000A21F7"/>
    <w:rsid w:val="000A28A3"/>
    <w:rsid w:val="000A2AFB"/>
    <w:rsid w:val="000A3410"/>
    <w:rsid w:val="000A3E27"/>
    <w:rsid w:val="000A42B2"/>
    <w:rsid w:val="000A468A"/>
    <w:rsid w:val="000A4C4B"/>
    <w:rsid w:val="000A53C6"/>
    <w:rsid w:val="000A54E6"/>
    <w:rsid w:val="000A66FB"/>
    <w:rsid w:val="000A6957"/>
    <w:rsid w:val="000A75A6"/>
    <w:rsid w:val="000A7A90"/>
    <w:rsid w:val="000A7C63"/>
    <w:rsid w:val="000B0521"/>
    <w:rsid w:val="000B0719"/>
    <w:rsid w:val="000B0EDF"/>
    <w:rsid w:val="000B1A20"/>
    <w:rsid w:val="000B245A"/>
    <w:rsid w:val="000B3594"/>
    <w:rsid w:val="000B3960"/>
    <w:rsid w:val="000B3BEF"/>
    <w:rsid w:val="000B3DED"/>
    <w:rsid w:val="000B4014"/>
    <w:rsid w:val="000B44C8"/>
    <w:rsid w:val="000B4D4D"/>
    <w:rsid w:val="000B5328"/>
    <w:rsid w:val="000B53DB"/>
    <w:rsid w:val="000B59CA"/>
    <w:rsid w:val="000B5D63"/>
    <w:rsid w:val="000B6132"/>
    <w:rsid w:val="000B6507"/>
    <w:rsid w:val="000B6753"/>
    <w:rsid w:val="000B6F1D"/>
    <w:rsid w:val="000B7C35"/>
    <w:rsid w:val="000B7EC5"/>
    <w:rsid w:val="000C05C7"/>
    <w:rsid w:val="000C08FA"/>
    <w:rsid w:val="000C0EDA"/>
    <w:rsid w:val="000C1638"/>
    <w:rsid w:val="000C17BE"/>
    <w:rsid w:val="000C19C9"/>
    <w:rsid w:val="000C1AFA"/>
    <w:rsid w:val="000C1E40"/>
    <w:rsid w:val="000C1EE1"/>
    <w:rsid w:val="000C1FFA"/>
    <w:rsid w:val="000C294D"/>
    <w:rsid w:val="000C304A"/>
    <w:rsid w:val="000C3056"/>
    <w:rsid w:val="000C350A"/>
    <w:rsid w:val="000C3B9B"/>
    <w:rsid w:val="000C4CE8"/>
    <w:rsid w:val="000C4FE4"/>
    <w:rsid w:val="000C581D"/>
    <w:rsid w:val="000C5A42"/>
    <w:rsid w:val="000C6DF7"/>
    <w:rsid w:val="000C7118"/>
    <w:rsid w:val="000D0785"/>
    <w:rsid w:val="000D0F59"/>
    <w:rsid w:val="000D121E"/>
    <w:rsid w:val="000D2B0C"/>
    <w:rsid w:val="000D3429"/>
    <w:rsid w:val="000D3C9C"/>
    <w:rsid w:val="000D3DBF"/>
    <w:rsid w:val="000D4149"/>
    <w:rsid w:val="000D421A"/>
    <w:rsid w:val="000D4499"/>
    <w:rsid w:val="000D453E"/>
    <w:rsid w:val="000D4863"/>
    <w:rsid w:val="000D4CA5"/>
    <w:rsid w:val="000D53D7"/>
    <w:rsid w:val="000D58B4"/>
    <w:rsid w:val="000D592B"/>
    <w:rsid w:val="000D6299"/>
    <w:rsid w:val="000D6B02"/>
    <w:rsid w:val="000D6F6D"/>
    <w:rsid w:val="000D7C01"/>
    <w:rsid w:val="000E0567"/>
    <w:rsid w:val="000E0D43"/>
    <w:rsid w:val="000E1356"/>
    <w:rsid w:val="000E2119"/>
    <w:rsid w:val="000E2C75"/>
    <w:rsid w:val="000E34E6"/>
    <w:rsid w:val="000E35C8"/>
    <w:rsid w:val="000E3CF6"/>
    <w:rsid w:val="000E45AA"/>
    <w:rsid w:val="000E462F"/>
    <w:rsid w:val="000E4BFD"/>
    <w:rsid w:val="000E5209"/>
    <w:rsid w:val="000E5271"/>
    <w:rsid w:val="000E59B8"/>
    <w:rsid w:val="000E5E0F"/>
    <w:rsid w:val="000E5E66"/>
    <w:rsid w:val="000E6426"/>
    <w:rsid w:val="000E68FA"/>
    <w:rsid w:val="000E7586"/>
    <w:rsid w:val="000E7769"/>
    <w:rsid w:val="000E7C92"/>
    <w:rsid w:val="000F09C8"/>
    <w:rsid w:val="000F0A44"/>
    <w:rsid w:val="000F1E63"/>
    <w:rsid w:val="000F265E"/>
    <w:rsid w:val="000F276A"/>
    <w:rsid w:val="000F2DA7"/>
    <w:rsid w:val="000F324B"/>
    <w:rsid w:val="000F3F14"/>
    <w:rsid w:val="000F4159"/>
    <w:rsid w:val="000F4206"/>
    <w:rsid w:val="000F59FD"/>
    <w:rsid w:val="000F5B29"/>
    <w:rsid w:val="000F60D1"/>
    <w:rsid w:val="000F6465"/>
    <w:rsid w:val="000F673C"/>
    <w:rsid w:val="000F73CB"/>
    <w:rsid w:val="000F7798"/>
    <w:rsid w:val="00101611"/>
    <w:rsid w:val="001020A4"/>
    <w:rsid w:val="00102B56"/>
    <w:rsid w:val="00102E0F"/>
    <w:rsid w:val="00103606"/>
    <w:rsid w:val="00103633"/>
    <w:rsid w:val="00104782"/>
    <w:rsid w:val="001049A8"/>
    <w:rsid w:val="00104C70"/>
    <w:rsid w:val="00104F10"/>
    <w:rsid w:val="0010556E"/>
    <w:rsid w:val="001059FB"/>
    <w:rsid w:val="00105C4A"/>
    <w:rsid w:val="0010600A"/>
    <w:rsid w:val="001061FF"/>
    <w:rsid w:val="001068F5"/>
    <w:rsid w:val="00107FE2"/>
    <w:rsid w:val="0011017C"/>
    <w:rsid w:val="00110A05"/>
    <w:rsid w:val="00110D08"/>
    <w:rsid w:val="00110ECE"/>
    <w:rsid w:val="00110F51"/>
    <w:rsid w:val="001110B3"/>
    <w:rsid w:val="001112EB"/>
    <w:rsid w:val="001116BD"/>
    <w:rsid w:val="00111DDF"/>
    <w:rsid w:val="0011233C"/>
    <w:rsid w:val="00112776"/>
    <w:rsid w:val="00113581"/>
    <w:rsid w:val="001138EC"/>
    <w:rsid w:val="00113DC8"/>
    <w:rsid w:val="00115805"/>
    <w:rsid w:val="00115C99"/>
    <w:rsid w:val="00116309"/>
    <w:rsid w:val="0011635E"/>
    <w:rsid w:val="00116374"/>
    <w:rsid w:val="001168AF"/>
    <w:rsid w:val="00116A19"/>
    <w:rsid w:val="00116BF9"/>
    <w:rsid w:val="00117671"/>
    <w:rsid w:val="00117787"/>
    <w:rsid w:val="00117921"/>
    <w:rsid w:val="00121B6C"/>
    <w:rsid w:val="00122533"/>
    <w:rsid w:val="00122E0F"/>
    <w:rsid w:val="00123035"/>
    <w:rsid w:val="00123874"/>
    <w:rsid w:val="00123E1C"/>
    <w:rsid w:val="0012437B"/>
    <w:rsid w:val="001255D0"/>
    <w:rsid w:val="001260CD"/>
    <w:rsid w:val="00126150"/>
    <w:rsid w:val="0012617A"/>
    <w:rsid w:val="00127191"/>
    <w:rsid w:val="001272D6"/>
    <w:rsid w:val="001278F0"/>
    <w:rsid w:val="00127C29"/>
    <w:rsid w:val="00127D43"/>
    <w:rsid w:val="00130359"/>
    <w:rsid w:val="0013091F"/>
    <w:rsid w:val="00130D87"/>
    <w:rsid w:val="001327BF"/>
    <w:rsid w:val="00133767"/>
    <w:rsid w:val="001338DA"/>
    <w:rsid w:val="00133B2F"/>
    <w:rsid w:val="00133E69"/>
    <w:rsid w:val="001343CA"/>
    <w:rsid w:val="001344A8"/>
    <w:rsid w:val="00134526"/>
    <w:rsid w:val="00134E83"/>
    <w:rsid w:val="00134F21"/>
    <w:rsid w:val="00135DC3"/>
    <w:rsid w:val="001362BE"/>
    <w:rsid w:val="00137398"/>
    <w:rsid w:val="001404EB"/>
    <w:rsid w:val="00140857"/>
    <w:rsid w:val="0014094B"/>
    <w:rsid w:val="00140E8D"/>
    <w:rsid w:val="001411CF"/>
    <w:rsid w:val="001422E1"/>
    <w:rsid w:val="001433CF"/>
    <w:rsid w:val="00143624"/>
    <w:rsid w:val="001439D7"/>
    <w:rsid w:val="001439DA"/>
    <w:rsid w:val="00144408"/>
    <w:rsid w:val="001449CE"/>
    <w:rsid w:val="00144A60"/>
    <w:rsid w:val="00144CE6"/>
    <w:rsid w:val="0014559D"/>
    <w:rsid w:val="00145E75"/>
    <w:rsid w:val="0014683A"/>
    <w:rsid w:val="00146F61"/>
    <w:rsid w:val="001501FC"/>
    <w:rsid w:val="001513C6"/>
    <w:rsid w:val="00151FA4"/>
    <w:rsid w:val="0015283A"/>
    <w:rsid w:val="0015294B"/>
    <w:rsid w:val="00152E12"/>
    <w:rsid w:val="001541A4"/>
    <w:rsid w:val="001549FD"/>
    <w:rsid w:val="00155380"/>
    <w:rsid w:val="0015549B"/>
    <w:rsid w:val="00155537"/>
    <w:rsid w:val="00155A33"/>
    <w:rsid w:val="00156377"/>
    <w:rsid w:val="0015689F"/>
    <w:rsid w:val="001568E5"/>
    <w:rsid w:val="00156ED9"/>
    <w:rsid w:val="00156F4A"/>
    <w:rsid w:val="00156FA4"/>
    <w:rsid w:val="00157A25"/>
    <w:rsid w:val="00157DC9"/>
    <w:rsid w:val="00160F9A"/>
    <w:rsid w:val="00161168"/>
    <w:rsid w:val="001614EC"/>
    <w:rsid w:val="00161DD6"/>
    <w:rsid w:val="00162994"/>
    <w:rsid w:val="00162F23"/>
    <w:rsid w:val="00163668"/>
    <w:rsid w:val="00163903"/>
    <w:rsid w:val="00163EDD"/>
    <w:rsid w:val="00164419"/>
    <w:rsid w:val="00164826"/>
    <w:rsid w:val="001648E9"/>
    <w:rsid w:val="001649DD"/>
    <w:rsid w:val="00164A54"/>
    <w:rsid w:val="0016571D"/>
    <w:rsid w:val="00166AF4"/>
    <w:rsid w:val="00166CF4"/>
    <w:rsid w:val="00166E37"/>
    <w:rsid w:val="001674C9"/>
    <w:rsid w:val="001701FC"/>
    <w:rsid w:val="00170211"/>
    <w:rsid w:val="00170A34"/>
    <w:rsid w:val="00171061"/>
    <w:rsid w:val="001714C2"/>
    <w:rsid w:val="00171B20"/>
    <w:rsid w:val="00172577"/>
    <w:rsid w:val="001725B7"/>
    <w:rsid w:val="00172BCA"/>
    <w:rsid w:val="00172E9F"/>
    <w:rsid w:val="00173866"/>
    <w:rsid w:val="001738A3"/>
    <w:rsid w:val="00173BE5"/>
    <w:rsid w:val="001761C1"/>
    <w:rsid w:val="001767CF"/>
    <w:rsid w:val="0017698B"/>
    <w:rsid w:val="00176A6C"/>
    <w:rsid w:val="00176EE0"/>
    <w:rsid w:val="001770CA"/>
    <w:rsid w:val="001775B4"/>
    <w:rsid w:val="001777AE"/>
    <w:rsid w:val="001777F7"/>
    <w:rsid w:val="00177B7F"/>
    <w:rsid w:val="0018003A"/>
    <w:rsid w:val="0018045E"/>
    <w:rsid w:val="00180A31"/>
    <w:rsid w:val="00181E96"/>
    <w:rsid w:val="00182389"/>
    <w:rsid w:val="00182863"/>
    <w:rsid w:val="00182AB2"/>
    <w:rsid w:val="001833C9"/>
    <w:rsid w:val="0018384C"/>
    <w:rsid w:val="00183984"/>
    <w:rsid w:val="00183CA7"/>
    <w:rsid w:val="00183F17"/>
    <w:rsid w:val="00183FAA"/>
    <w:rsid w:val="0018456A"/>
    <w:rsid w:val="0018493E"/>
    <w:rsid w:val="00185134"/>
    <w:rsid w:val="0018542B"/>
    <w:rsid w:val="00185509"/>
    <w:rsid w:val="001857B0"/>
    <w:rsid w:val="00185F9B"/>
    <w:rsid w:val="00186962"/>
    <w:rsid w:val="00186BA0"/>
    <w:rsid w:val="00186C4C"/>
    <w:rsid w:val="00187BE3"/>
    <w:rsid w:val="00187C0A"/>
    <w:rsid w:val="00190331"/>
    <w:rsid w:val="00190532"/>
    <w:rsid w:val="001913B9"/>
    <w:rsid w:val="001917B8"/>
    <w:rsid w:val="0019226D"/>
    <w:rsid w:val="001927AC"/>
    <w:rsid w:val="00192BF0"/>
    <w:rsid w:val="0019304A"/>
    <w:rsid w:val="0019375A"/>
    <w:rsid w:val="001949BF"/>
    <w:rsid w:val="00194BD1"/>
    <w:rsid w:val="00194C7F"/>
    <w:rsid w:val="00195317"/>
    <w:rsid w:val="0019563F"/>
    <w:rsid w:val="00195E5D"/>
    <w:rsid w:val="00195F45"/>
    <w:rsid w:val="00195FA8"/>
    <w:rsid w:val="00196B34"/>
    <w:rsid w:val="00196BB8"/>
    <w:rsid w:val="00197180"/>
    <w:rsid w:val="00197C43"/>
    <w:rsid w:val="001A059B"/>
    <w:rsid w:val="001A0672"/>
    <w:rsid w:val="001A1005"/>
    <w:rsid w:val="001A19B8"/>
    <w:rsid w:val="001A21BC"/>
    <w:rsid w:val="001A40B0"/>
    <w:rsid w:val="001A48F4"/>
    <w:rsid w:val="001A49AC"/>
    <w:rsid w:val="001A5B29"/>
    <w:rsid w:val="001A6EF7"/>
    <w:rsid w:val="001A73A8"/>
    <w:rsid w:val="001A7856"/>
    <w:rsid w:val="001A7AF9"/>
    <w:rsid w:val="001A7DA7"/>
    <w:rsid w:val="001A7F35"/>
    <w:rsid w:val="001B0244"/>
    <w:rsid w:val="001B0412"/>
    <w:rsid w:val="001B04AF"/>
    <w:rsid w:val="001B04B7"/>
    <w:rsid w:val="001B0552"/>
    <w:rsid w:val="001B0FA4"/>
    <w:rsid w:val="001B216C"/>
    <w:rsid w:val="001B253C"/>
    <w:rsid w:val="001B3311"/>
    <w:rsid w:val="001B4208"/>
    <w:rsid w:val="001B4324"/>
    <w:rsid w:val="001B445A"/>
    <w:rsid w:val="001B6121"/>
    <w:rsid w:val="001B65F0"/>
    <w:rsid w:val="001B6905"/>
    <w:rsid w:val="001B6EE1"/>
    <w:rsid w:val="001B705C"/>
    <w:rsid w:val="001B7414"/>
    <w:rsid w:val="001B760F"/>
    <w:rsid w:val="001B771A"/>
    <w:rsid w:val="001B790A"/>
    <w:rsid w:val="001B7B07"/>
    <w:rsid w:val="001B7C81"/>
    <w:rsid w:val="001C05C9"/>
    <w:rsid w:val="001C06F4"/>
    <w:rsid w:val="001C1269"/>
    <w:rsid w:val="001C17D4"/>
    <w:rsid w:val="001C18BB"/>
    <w:rsid w:val="001C1939"/>
    <w:rsid w:val="001C1E2C"/>
    <w:rsid w:val="001C209B"/>
    <w:rsid w:val="001C393A"/>
    <w:rsid w:val="001C4137"/>
    <w:rsid w:val="001C49FF"/>
    <w:rsid w:val="001C4A7F"/>
    <w:rsid w:val="001C4DF1"/>
    <w:rsid w:val="001C52A9"/>
    <w:rsid w:val="001C56F9"/>
    <w:rsid w:val="001C5A4A"/>
    <w:rsid w:val="001C5CB6"/>
    <w:rsid w:val="001C5FE8"/>
    <w:rsid w:val="001C6A15"/>
    <w:rsid w:val="001C6DC4"/>
    <w:rsid w:val="001C6DF8"/>
    <w:rsid w:val="001C776E"/>
    <w:rsid w:val="001C7903"/>
    <w:rsid w:val="001C7F59"/>
    <w:rsid w:val="001D020A"/>
    <w:rsid w:val="001D0307"/>
    <w:rsid w:val="001D144D"/>
    <w:rsid w:val="001D18B3"/>
    <w:rsid w:val="001D1BB0"/>
    <w:rsid w:val="001D2981"/>
    <w:rsid w:val="001D312F"/>
    <w:rsid w:val="001D3AF2"/>
    <w:rsid w:val="001D3CF1"/>
    <w:rsid w:val="001D537C"/>
    <w:rsid w:val="001D642B"/>
    <w:rsid w:val="001D654A"/>
    <w:rsid w:val="001D65CC"/>
    <w:rsid w:val="001D65D8"/>
    <w:rsid w:val="001D681D"/>
    <w:rsid w:val="001D7705"/>
    <w:rsid w:val="001D7A24"/>
    <w:rsid w:val="001D7CDB"/>
    <w:rsid w:val="001D7D8F"/>
    <w:rsid w:val="001E06C1"/>
    <w:rsid w:val="001E06CC"/>
    <w:rsid w:val="001E0A2D"/>
    <w:rsid w:val="001E0D78"/>
    <w:rsid w:val="001E110A"/>
    <w:rsid w:val="001E1CA9"/>
    <w:rsid w:val="001E25C3"/>
    <w:rsid w:val="001E26B1"/>
    <w:rsid w:val="001E34B6"/>
    <w:rsid w:val="001E3532"/>
    <w:rsid w:val="001E3AAF"/>
    <w:rsid w:val="001E4175"/>
    <w:rsid w:val="001E421C"/>
    <w:rsid w:val="001E49ED"/>
    <w:rsid w:val="001E4C4F"/>
    <w:rsid w:val="001E5404"/>
    <w:rsid w:val="001E5610"/>
    <w:rsid w:val="001E6B16"/>
    <w:rsid w:val="001E78C5"/>
    <w:rsid w:val="001E7AA5"/>
    <w:rsid w:val="001E7D9A"/>
    <w:rsid w:val="001F02C4"/>
    <w:rsid w:val="001F03D3"/>
    <w:rsid w:val="001F0EC2"/>
    <w:rsid w:val="001F261C"/>
    <w:rsid w:val="001F26C7"/>
    <w:rsid w:val="001F2DF3"/>
    <w:rsid w:val="001F317E"/>
    <w:rsid w:val="001F39F5"/>
    <w:rsid w:val="001F3E7D"/>
    <w:rsid w:val="001F478B"/>
    <w:rsid w:val="001F5674"/>
    <w:rsid w:val="001F5CF2"/>
    <w:rsid w:val="001F6132"/>
    <w:rsid w:val="001F6735"/>
    <w:rsid w:val="001F767B"/>
    <w:rsid w:val="001F76A4"/>
    <w:rsid w:val="001F795D"/>
    <w:rsid w:val="00200140"/>
    <w:rsid w:val="00200987"/>
    <w:rsid w:val="002016C1"/>
    <w:rsid w:val="00201F41"/>
    <w:rsid w:val="0020221D"/>
    <w:rsid w:val="00202BF2"/>
    <w:rsid w:val="00202D96"/>
    <w:rsid w:val="002031BB"/>
    <w:rsid w:val="00203978"/>
    <w:rsid w:val="00203CC8"/>
    <w:rsid w:val="00203EF0"/>
    <w:rsid w:val="002048DD"/>
    <w:rsid w:val="002049A2"/>
    <w:rsid w:val="002050C3"/>
    <w:rsid w:val="002051B5"/>
    <w:rsid w:val="0020562E"/>
    <w:rsid w:val="00207A78"/>
    <w:rsid w:val="00210651"/>
    <w:rsid w:val="002107C9"/>
    <w:rsid w:val="00211055"/>
    <w:rsid w:val="00211098"/>
    <w:rsid w:val="002115AA"/>
    <w:rsid w:val="00211D35"/>
    <w:rsid w:val="00212405"/>
    <w:rsid w:val="00212949"/>
    <w:rsid w:val="00212A30"/>
    <w:rsid w:val="00212A3A"/>
    <w:rsid w:val="00212E02"/>
    <w:rsid w:val="00212F5A"/>
    <w:rsid w:val="00213C56"/>
    <w:rsid w:val="002142A6"/>
    <w:rsid w:val="0021459D"/>
    <w:rsid w:val="002152F9"/>
    <w:rsid w:val="00215464"/>
    <w:rsid w:val="00215808"/>
    <w:rsid w:val="00215C61"/>
    <w:rsid w:val="0021725A"/>
    <w:rsid w:val="00217978"/>
    <w:rsid w:val="00220165"/>
    <w:rsid w:val="00220C3E"/>
    <w:rsid w:val="00222152"/>
    <w:rsid w:val="0022233C"/>
    <w:rsid w:val="002224D9"/>
    <w:rsid w:val="0022274D"/>
    <w:rsid w:val="00222AA6"/>
    <w:rsid w:val="00222B5C"/>
    <w:rsid w:val="00222D95"/>
    <w:rsid w:val="00223349"/>
    <w:rsid w:val="00223490"/>
    <w:rsid w:val="002235B2"/>
    <w:rsid w:val="00223981"/>
    <w:rsid w:val="00223F75"/>
    <w:rsid w:val="0022436C"/>
    <w:rsid w:val="002245E3"/>
    <w:rsid w:val="00224DB9"/>
    <w:rsid w:val="00225474"/>
    <w:rsid w:val="00225C87"/>
    <w:rsid w:val="00225E67"/>
    <w:rsid w:val="00226218"/>
    <w:rsid w:val="00226C5F"/>
    <w:rsid w:val="00227160"/>
    <w:rsid w:val="002273F1"/>
    <w:rsid w:val="00227948"/>
    <w:rsid w:val="00227BDF"/>
    <w:rsid w:val="002304C7"/>
    <w:rsid w:val="00230578"/>
    <w:rsid w:val="00230C45"/>
    <w:rsid w:val="00230CE1"/>
    <w:rsid w:val="00231C1B"/>
    <w:rsid w:val="002333B2"/>
    <w:rsid w:val="002339D8"/>
    <w:rsid w:val="0023496D"/>
    <w:rsid w:val="00234BD1"/>
    <w:rsid w:val="00234C10"/>
    <w:rsid w:val="0023555A"/>
    <w:rsid w:val="002356A5"/>
    <w:rsid w:val="00235CE4"/>
    <w:rsid w:val="0023732D"/>
    <w:rsid w:val="0023758B"/>
    <w:rsid w:val="00237933"/>
    <w:rsid w:val="0024067F"/>
    <w:rsid w:val="00240768"/>
    <w:rsid w:val="00240966"/>
    <w:rsid w:val="002409F0"/>
    <w:rsid w:val="0024103A"/>
    <w:rsid w:val="00241315"/>
    <w:rsid w:val="0024133C"/>
    <w:rsid w:val="00241701"/>
    <w:rsid w:val="00241745"/>
    <w:rsid w:val="002421C2"/>
    <w:rsid w:val="00242357"/>
    <w:rsid w:val="0024279A"/>
    <w:rsid w:val="00242845"/>
    <w:rsid w:val="00243082"/>
    <w:rsid w:val="00243700"/>
    <w:rsid w:val="00243BD1"/>
    <w:rsid w:val="00243E56"/>
    <w:rsid w:val="0024420C"/>
    <w:rsid w:val="0024474A"/>
    <w:rsid w:val="0024552F"/>
    <w:rsid w:val="002456DC"/>
    <w:rsid w:val="00245969"/>
    <w:rsid w:val="00245D3D"/>
    <w:rsid w:val="00246120"/>
    <w:rsid w:val="00246488"/>
    <w:rsid w:val="0024756C"/>
    <w:rsid w:val="00247DD6"/>
    <w:rsid w:val="00247E36"/>
    <w:rsid w:val="00250319"/>
    <w:rsid w:val="0025038F"/>
    <w:rsid w:val="00250475"/>
    <w:rsid w:val="002505AB"/>
    <w:rsid w:val="00251079"/>
    <w:rsid w:val="00251193"/>
    <w:rsid w:val="002512CC"/>
    <w:rsid w:val="002526DE"/>
    <w:rsid w:val="0025275E"/>
    <w:rsid w:val="00252D18"/>
    <w:rsid w:val="00253094"/>
    <w:rsid w:val="00253659"/>
    <w:rsid w:val="00253791"/>
    <w:rsid w:val="00253E6F"/>
    <w:rsid w:val="00254132"/>
    <w:rsid w:val="00254FD6"/>
    <w:rsid w:val="002556C6"/>
    <w:rsid w:val="0025617C"/>
    <w:rsid w:val="002561F9"/>
    <w:rsid w:val="00256211"/>
    <w:rsid w:val="002564CA"/>
    <w:rsid w:val="0025711F"/>
    <w:rsid w:val="00257201"/>
    <w:rsid w:val="002576D0"/>
    <w:rsid w:val="0026000F"/>
    <w:rsid w:val="00260594"/>
    <w:rsid w:val="00260AB6"/>
    <w:rsid w:val="00260C0A"/>
    <w:rsid w:val="0026117A"/>
    <w:rsid w:val="00261798"/>
    <w:rsid w:val="00261C68"/>
    <w:rsid w:val="00261E32"/>
    <w:rsid w:val="00261E88"/>
    <w:rsid w:val="00261ED2"/>
    <w:rsid w:val="00262777"/>
    <w:rsid w:val="00262944"/>
    <w:rsid w:val="002633C2"/>
    <w:rsid w:val="002643C8"/>
    <w:rsid w:val="00264AFE"/>
    <w:rsid w:val="00264DAE"/>
    <w:rsid w:val="002658EE"/>
    <w:rsid w:val="00265CA6"/>
    <w:rsid w:val="00266197"/>
    <w:rsid w:val="00266383"/>
    <w:rsid w:val="00266F93"/>
    <w:rsid w:val="00267B03"/>
    <w:rsid w:val="0027027C"/>
    <w:rsid w:val="0027084D"/>
    <w:rsid w:val="00270B7F"/>
    <w:rsid w:val="00270C83"/>
    <w:rsid w:val="00270DC8"/>
    <w:rsid w:val="0027189D"/>
    <w:rsid w:val="002718EB"/>
    <w:rsid w:val="00271A9B"/>
    <w:rsid w:val="00271B02"/>
    <w:rsid w:val="0027286E"/>
    <w:rsid w:val="00272D71"/>
    <w:rsid w:val="00272E9E"/>
    <w:rsid w:val="00272F44"/>
    <w:rsid w:val="00273F70"/>
    <w:rsid w:val="00274010"/>
    <w:rsid w:val="00275B6E"/>
    <w:rsid w:val="00275D1B"/>
    <w:rsid w:val="002762B6"/>
    <w:rsid w:val="002764C7"/>
    <w:rsid w:val="00276F03"/>
    <w:rsid w:val="00277006"/>
    <w:rsid w:val="00277803"/>
    <w:rsid w:val="00277A4C"/>
    <w:rsid w:val="00277D5D"/>
    <w:rsid w:val="00280A62"/>
    <w:rsid w:val="00280D70"/>
    <w:rsid w:val="00282694"/>
    <w:rsid w:val="002835B0"/>
    <w:rsid w:val="00283A90"/>
    <w:rsid w:val="00283AE2"/>
    <w:rsid w:val="00283FE9"/>
    <w:rsid w:val="00284943"/>
    <w:rsid w:val="00285127"/>
    <w:rsid w:val="00285248"/>
    <w:rsid w:val="0028680A"/>
    <w:rsid w:val="00286D22"/>
    <w:rsid w:val="00287596"/>
    <w:rsid w:val="00287E4E"/>
    <w:rsid w:val="002902F0"/>
    <w:rsid w:val="0029034D"/>
    <w:rsid w:val="00290758"/>
    <w:rsid w:val="002909DA"/>
    <w:rsid w:val="0029141A"/>
    <w:rsid w:val="00291EA2"/>
    <w:rsid w:val="002924B9"/>
    <w:rsid w:val="00292CEE"/>
    <w:rsid w:val="00293220"/>
    <w:rsid w:val="00294476"/>
    <w:rsid w:val="00294686"/>
    <w:rsid w:val="00294C15"/>
    <w:rsid w:val="00294F1F"/>
    <w:rsid w:val="002952A1"/>
    <w:rsid w:val="00295499"/>
    <w:rsid w:val="00295968"/>
    <w:rsid w:val="002962EE"/>
    <w:rsid w:val="00296405"/>
    <w:rsid w:val="0029684C"/>
    <w:rsid w:val="002974DB"/>
    <w:rsid w:val="00297B05"/>
    <w:rsid w:val="00297BAF"/>
    <w:rsid w:val="002A0153"/>
    <w:rsid w:val="002A038F"/>
    <w:rsid w:val="002A0FC2"/>
    <w:rsid w:val="002A1A57"/>
    <w:rsid w:val="002A2AB8"/>
    <w:rsid w:val="002A2F06"/>
    <w:rsid w:val="002A337B"/>
    <w:rsid w:val="002A33FD"/>
    <w:rsid w:val="002A3A6D"/>
    <w:rsid w:val="002A3DBF"/>
    <w:rsid w:val="002A4106"/>
    <w:rsid w:val="002A413D"/>
    <w:rsid w:val="002A44DA"/>
    <w:rsid w:val="002A4B06"/>
    <w:rsid w:val="002A4DA4"/>
    <w:rsid w:val="002A542D"/>
    <w:rsid w:val="002A5AEF"/>
    <w:rsid w:val="002A623D"/>
    <w:rsid w:val="002A69A5"/>
    <w:rsid w:val="002A7121"/>
    <w:rsid w:val="002A7506"/>
    <w:rsid w:val="002A77D7"/>
    <w:rsid w:val="002A7D9F"/>
    <w:rsid w:val="002B0F81"/>
    <w:rsid w:val="002B14BB"/>
    <w:rsid w:val="002B172D"/>
    <w:rsid w:val="002B18AF"/>
    <w:rsid w:val="002B1DB2"/>
    <w:rsid w:val="002B2315"/>
    <w:rsid w:val="002B367F"/>
    <w:rsid w:val="002B36BF"/>
    <w:rsid w:val="002B373C"/>
    <w:rsid w:val="002B3C29"/>
    <w:rsid w:val="002B4697"/>
    <w:rsid w:val="002B4970"/>
    <w:rsid w:val="002B4973"/>
    <w:rsid w:val="002B4B44"/>
    <w:rsid w:val="002B4BFB"/>
    <w:rsid w:val="002B5284"/>
    <w:rsid w:val="002B5814"/>
    <w:rsid w:val="002B590C"/>
    <w:rsid w:val="002B5D44"/>
    <w:rsid w:val="002B61FC"/>
    <w:rsid w:val="002B6723"/>
    <w:rsid w:val="002B697E"/>
    <w:rsid w:val="002B6E13"/>
    <w:rsid w:val="002B7130"/>
    <w:rsid w:val="002B7454"/>
    <w:rsid w:val="002B7C52"/>
    <w:rsid w:val="002C0B17"/>
    <w:rsid w:val="002C0BC7"/>
    <w:rsid w:val="002C0C95"/>
    <w:rsid w:val="002C0EE7"/>
    <w:rsid w:val="002C0F35"/>
    <w:rsid w:val="002C15CD"/>
    <w:rsid w:val="002C1AAC"/>
    <w:rsid w:val="002C1CE5"/>
    <w:rsid w:val="002C23EC"/>
    <w:rsid w:val="002C2615"/>
    <w:rsid w:val="002C287B"/>
    <w:rsid w:val="002C2AC5"/>
    <w:rsid w:val="002C343E"/>
    <w:rsid w:val="002C3BFD"/>
    <w:rsid w:val="002C40E6"/>
    <w:rsid w:val="002C4344"/>
    <w:rsid w:val="002C441D"/>
    <w:rsid w:val="002C44BC"/>
    <w:rsid w:val="002C46E6"/>
    <w:rsid w:val="002C4D50"/>
    <w:rsid w:val="002C4E0C"/>
    <w:rsid w:val="002C52AE"/>
    <w:rsid w:val="002C5469"/>
    <w:rsid w:val="002C58B1"/>
    <w:rsid w:val="002C594E"/>
    <w:rsid w:val="002C5AB0"/>
    <w:rsid w:val="002C640D"/>
    <w:rsid w:val="002C64CE"/>
    <w:rsid w:val="002C6F43"/>
    <w:rsid w:val="002C7435"/>
    <w:rsid w:val="002C777E"/>
    <w:rsid w:val="002D0391"/>
    <w:rsid w:val="002D05C7"/>
    <w:rsid w:val="002D05DB"/>
    <w:rsid w:val="002D0B6B"/>
    <w:rsid w:val="002D11B0"/>
    <w:rsid w:val="002D1B50"/>
    <w:rsid w:val="002D1FED"/>
    <w:rsid w:val="002D2EB6"/>
    <w:rsid w:val="002D38B8"/>
    <w:rsid w:val="002D47A3"/>
    <w:rsid w:val="002D50EA"/>
    <w:rsid w:val="002D5D12"/>
    <w:rsid w:val="002D5D9B"/>
    <w:rsid w:val="002D5FA5"/>
    <w:rsid w:val="002D6066"/>
    <w:rsid w:val="002D65D0"/>
    <w:rsid w:val="002D7176"/>
    <w:rsid w:val="002D71B1"/>
    <w:rsid w:val="002E1028"/>
    <w:rsid w:val="002E1467"/>
    <w:rsid w:val="002E149A"/>
    <w:rsid w:val="002E151F"/>
    <w:rsid w:val="002E16DA"/>
    <w:rsid w:val="002E173A"/>
    <w:rsid w:val="002E19EB"/>
    <w:rsid w:val="002E1B43"/>
    <w:rsid w:val="002E208D"/>
    <w:rsid w:val="002E2749"/>
    <w:rsid w:val="002E2B99"/>
    <w:rsid w:val="002E40DE"/>
    <w:rsid w:val="002E4A19"/>
    <w:rsid w:val="002E516C"/>
    <w:rsid w:val="002E6413"/>
    <w:rsid w:val="002E6A5A"/>
    <w:rsid w:val="002E7167"/>
    <w:rsid w:val="002E72E3"/>
    <w:rsid w:val="002F0063"/>
    <w:rsid w:val="002F027C"/>
    <w:rsid w:val="002F0B9D"/>
    <w:rsid w:val="002F0BC6"/>
    <w:rsid w:val="002F0D55"/>
    <w:rsid w:val="002F0ECD"/>
    <w:rsid w:val="002F1352"/>
    <w:rsid w:val="002F17E8"/>
    <w:rsid w:val="002F1BAA"/>
    <w:rsid w:val="002F1D51"/>
    <w:rsid w:val="002F1D5B"/>
    <w:rsid w:val="002F2A85"/>
    <w:rsid w:val="002F3938"/>
    <w:rsid w:val="002F3C53"/>
    <w:rsid w:val="002F3DB6"/>
    <w:rsid w:val="002F3DF5"/>
    <w:rsid w:val="002F41DB"/>
    <w:rsid w:val="002F4515"/>
    <w:rsid w:val="002F499B"/>
    <w:rsid w:val="002F4B0F"/>
    <w:rsid w:val="002F51BF"/>
    <w:rsid w:val="002F56F6"/>
    <w:rsid w:val="002F59BC"/>
    <w:rsid w:val="002F5AF6"/>
    <w:rsid w:val="002F5BB7"/>
    <w:rsid w:val="002F5D2D"/>
    <w:rsid w:val="002F5D47"/>
    <w:rsid w:val="002F5E2D"/>
    <w:rsid w:val="002F696F"/>
    <w:rsid w:val="002F6A90"/>
    <w:rsid w:val="002F6FA6"/>
    <w:rsid w:val="002F7BBB"/>
    <w:rsid w:val="002F7E55"/>
    <w:rsid w:val="00300C5F"/>
    <w:rsid w:val="00300C9C"/>
    <w:rsid w:val="003010A0"/>
    <w:rsid w:val="00302532"/>
    <w:rsid w:val="003030EB"/>
    <w:rsid w:val="00303305"/>
    <w:rsid w:val="00303F05"/>
    <w:rsid w:val="00304924"/>
    <w:rsid w:val="0030515D"/>
    <w:rsid w:val="0030542E"/>
    <w:rsid w:val="00305B11"/>
    <w:rsid w:val="00305CA4"/>
    <w:rsid w:val="00305F45"/>
    <w:rsid w:val="0030633A"/>
    <w:rsid w:val="003063AD"/>
    <w:rsid w:val="0030661F"/>
    <w:rsid w:val="00306C30"/>
    <w:rsid w:val="00307AA0"/>
    <w:rsid w:val="00307DE6"/>
    <w:rsid w:val="0031055B"/>
    <w:rsid w:val="0031083C"/>
    <w:rsid w:val="003112DC"/>
    <w:rsid w:val="003122FA"/>
    <w:rsid w:val="00312401"/>
    <w:rsid w:val="00312850"/>
    <w:rsid w:val="00312915"/>
    <w:rsid w:val="003130F8"/>
    <w:rsid w:val="0031333F"/>
    <w:rsid w:val="00313A37"/>
    <w:rsid w:val="00313BBC"/>
    <w:rsid w:val="003144A3"/>
    <w:rsid w:val="00314D5B"/>
    <w:rsid w:val="00314E59"/>
    <w:rsid w:val="00315281"/>
    <w:rsid w:val="0031578D"/>
    <w:rsid w:val="00315A7C"/>
    <w:rsid w:val="00315A8F"/>
    <w:rsid w:val="00316419"/>
    <w:rsid w:val="0031666F"/>
    <w:rsid w:val="00316CED"/>
    <w:rsid w:val="00316DEB"/>
    <w:rsid w:val="00316F21"/>
    <w:rsid w:val="003173BC"/>
    <w:rsid w:val="00320539"/>
    <w:rsid w:val="003206DC"/>
    <w:rsid w:val="00321500"/>
    <w:rsid w:val="00321672"/>
    <w:rsid w:val="003218B2"/>
    <w:rsid w:val="00321B91"/>
    <w:rsid w:val="00321C8B"/>
    <w:rsid w:val="00321CD4"/>
    <w:rsid w:val="00322565"/>
    <w:rsid w:val="00322E35"/>
    <w:rsid w:val="003234AB"/>
    <w:rsid w:val="00323AEC"/>
    <w:rsid w:val="00323F16"/>
    <w:rsid w:val="00323FC7"/>
    <w:rsid w:val="00324036"/>
    <w:rsid w:val="00324129"/>
    <w:rsid w:val="00324147"/>
    <w:rsid w:val="003246C7"/>
    <w:rsid w:val="00325149"/>
    <w:rsid w:val="00325D35"/>
    <w:rsid w:val="00325E28"/>
    <w:rsid w:val="00325F2F"/>
    <w:rsid w:val="00326A27"/>
    <w:rsid w:val="00326A78"/>
    <w:rsid w:val="00327133"/>
    <w:rsid w:val="00327451"/>
    <w:rsid w:val="003279A3"/>
    <w:rsid w:val="00327AD9"/>
    <w:rsid w:val="00330083"/>
    <w:rsid w:val="00330824"/>
    <w:rsid w:val="00330AA2"/>
    <w:rsid w:val="00330B59"/>
    <w:rsid w:val="00331440"/>
    <w:rsid w:val="003319BE"/>
    <w:rsid w:val="0033223D"/>
    <w:rsid w:val="00332AD6"/>
    <w:rsid w:val="00332D67"/>
    <w:rsid w:val="003333FE"/>
    <w:rsid w:val="00333752"/>
    <w:rsid w:val="00333908"/>
    <w:rsid w:val="00333B33"/>
    <w:rsid w:val="00333C62"/>
    <w:rsid w:val="003343C8"/>
    <w:rsid w:val="00334767"/>
    <w:rsid w:val="00334DAC"/>
    <w:rsid w:val="0033625E"/>
    <w:rsid w:val="00336650"/>
    <w:rsid w:val="00336670"/>
    <w:rsid w:val="00336873"/>
    <w:rsid w:val="00336A0C"/>
    <w:rsid w:val="0033732D"/>
    <w:rsid w:val="00337DFD"/>
    <w:rsid w:val="0034056A"/>
    <w:rsid w:val="00341D0A"/>
    <w:rsid w:val="00342093"/>
    <w:rsid w:val="00342AA5"/>
    <w:rsid w:val="00342DA6"/>
    <w:rsid w:val="003436C7"/>
    <w:rsid w:val="003436E1"/>
    <w:rsid w:val="00343789"/>
    <w:rsid w:val="003439B3"/>
    <w:rsid w:val="003444B1"/>
    <w:rsid w:val="00344733"/>
    <w:rsid w:val="00344919"/>
    <w:rsid w:val="003450D2"/>
    <w:rsid w:val="0034621F"/>
    <w:rsid w:val="00346677"/>
    <w:rsid w:val="00346905"/>
    <w:rsid w:val="00347058"/>
    <w:rsid w:val="00347125"/>
    <w:rsid w:val="00347DA9"/>
    <w:rsid w:val="0035069E"/>
    <w:rsid w:val="00351F3F"/>
    <w:rsid w:val="003522D8"/>
    <w:rsid w:val="00352646"/>
    <w:rsid w:val="00352CBF"/>
    <w:rsid w:val="00353291"/>
    <w:rsid w:val="00353B67"/>
    <w:rsid w:val="003552D5"/>
    <w:rsid w:val="00355BED"/>
    <w:rsid w:val="0035650C"/>
    <w:rsid w:val="003567C3"/>
    <w:rsid w:val="00356D90"/>
    <w:rsid w:val="00356F30"/>
    <w:rsid w:val="00357642"/>
    <w:rsid w:val="00360B0D"/>
    <w:rsid w:val="00362062"/>
    <w:rsid w:val="00362667"/>
    <w:rsid w:val="00362784"/>
    <w:rsid w:val="003627B2"/>
    <w:rsid w:val="00362C3D"/>
    <w:rsid w:val="00363000"/>
    <w:rsid w:val="00363F16"/>
    <w:rsid w:val="0036419A"/>
    <w:rsid w:val="003646F8"/>
    <w:rsid w:val="00364943"/>
    <w:rsid w:val="003653A9"/>
    <w:rsid w:val="00366305"/>
    <w:rsid w:val="003665AD"/>
    <w:rsid w:val="00366E4D"/>
    <w:rsid w:val="00367AF7"/>
    <w:rsid w:val="00367CFE"/>
    <w:rsid w:val="003702AF"/>
    <w:rsid w:val="0037053D"/>
    <w:rsid w:val="003709F7"/>
    <w:rsid w:val="003714AF"/>
    <w:rsid w:val="00371654"/>
    <w:rsid w:val="00374A84"/>
    <w:rsid w:val="00375BBB"/>
    <w:rsid w:val="00375DF6"/>
    <w:rsid w:val="00376DDC"/>
    <w:rsid w:val="00376E82"/>
    <w:rsid w:val="003771DD"/>
    <w:rsid w:val="00377E62"/>
    <w:rsid w:val="00377F46"/>
    <w:rsid w:val="0038010D"/>
    <w:rsid w:val="00380312"/>
    <w:rsid w:val="003803F4"/>
    <w:rsid w:val="00380505"/>
    <w:rsid w:val="00380DF5"/>
    <w:rsid w:val="003814E8"/>
    <w:rsid w:val="00381678"/>
    <w:rsid w:val="00382BA0"/>
    <w:rsid w:val="00383082"/>
    <w:rsid w:val="0038443F"/>
    <w:rsid w:val="00384538"/>
    <w:rsid w:val="00384C43"/>
    <w:rsid w:val="00384F35"/>
    <w:rsid w:val="00385DCD"/>
    <w:rsid w:val="0038605A"/>
    <w:rsid w:val="003862F5"/>
    <w:rsid w:val="00386D70"/>
    <w:rsid w:val="00386E5D"/>
    <w:rsid w:val="00387791"/>
    <w:rsid w:val="00387BCA"/>
    <w:rsid w:val="00387BEB"/>
    <w:rsid w:val="003903A1"/>
    <w:rsid w:val="003908EF"/>
    <w:rsid w:val="00390A53"/>
    <w:rsid w:val="00390E06"/>
    <w:rsid w:val="00390E45"/>
    <w:rsid w:val="003914F5"/>
    <w:rsid w:val="003915AF"/>
    <w:rsid w:val="003916A6"/>
    <w:rsid w:val="0039215D"/>
    <w:rsid w:val="00392382"/>
    <w:rsid w:val="0039277E"/>
    <w:rsid w:val="00392815"/>
    <w:rsid w:val="003928D3"/>
    <w:rsid w:val="00392998"/>
    <w:rsid w:val="00392AB1"/>
    <w:rsid w:val="00392BAF"/>
    <w:rsid w:val="0039374A"/>
    <w:rsid w:val="00393AF4"/>
    <w:rsid w:val="0039481E"/>
    <w:rsid w:val="0039609E"/>
    <w:rsid w:val="00396558"/>
    <w:rsid w:val="003967DF"/>
    <w:rsid w:val="0039691C"/>
    <w:rsid w:val="0039706B"/>
    <w:rsid w:val="003977F4"/>
    <w:rsid w:val="00397CD2"/>
    <w:rsid w:val="003A0019"/>
    <w:rsid w:val="003A081E"/>
    <w:rsid w:val="003A0EA4"/>
    <w:rsid w:val="003A17D8"/>
    <w:rsid w:val="003A1CC9"/>
    <w:rsid w:val="003A2796"/>
    <w:rsid w:val="003A29C9"/>
    <w:rsid w:val="003A2EB4"/>
    <w:rsid w:val="003A30EA"/>
    <w:rsid w:val="003A3570"/>
    <w:rsid w:val="003A3D1E"/>
    <w:rsid w:val="003A5179"/>
    <w:rsid w:val="003A5B58"/>
    <w:rsid w:val="003A5C7C"/>
    <w:rsid w:val="003A61BD"/>
    <w:rsid w:val="003A664E"/>
    <w:rsid w:val="003A6804"/>
    <w:rsid w:val="003A69F2"/>
    <w:rsid w:val="003A7205"/>
    <w:rsid w:val="003A7941"/>
    <w:rsid w:val="003B0155"/>
    <w:rsid w:val="003B0BF0"/>
    <w:rsid w:val="003B0E7A"/>
    <w:rsid w:val="003B17E2"/>
    <w:rsid w:val="003B2EC7"/>
    <w:rsid w:val="003B3541"/>
    <w:rsid w:val="003B3863"/>
    <w:rsid w:val="003B4782"/>
    <w:rsid w:val="003B4D79"/>
    <w:rsid w:val="003B5968"/>
    <w:rsid w:val="003B5C48"/>
    <w:rsid w:val="003B5EEB"/>
    <w:rsid w:val="003B5F10"/>
    <w:rsid w:val="003B6340"/>
    <w:rsid w:val="003B690D"/>
    <w:rsid w:val="003B6AD9"/>
    <w:rsid w:val="003B6C84"/>
    <w:rsid w:val="003B713C"/>
    <w:rsid w:val="003B7178"/>
    <w:rsid w:val="003B73A6"/>
    <w:rsid w:val="003C0C65"/>
    <w:rsid w:val="003C0D6A"/>
    <w:rsid w:val="003C0FF6"/>
    <w:rsid w:val="003C1629"/>
    <w:rsid w:val="003C18D0"/>
    <w:rsid w:val="003C249A"/>
    <w:rsid w:val="003C36EB"/>
    <w:rsid w:val="003C40A6"/>
    <w:rsid w:val="003C410B"/>
    <w:rsid w:val="003C46AA"/>
    <w:rsid w:val="003C513B"/>
    <w:rsid w:val="003C5361"/>
    <w:rsid w:val="003C53EC"/>
    <w:rsid w:val="003C58A8"/>
    <w:rsid w:val="003C6170"/>
    <w:rsid w:val="003C61DB"/>
    <w:rsid w:val="003C681C"/>
    <w:rsid w:val="003C69D1"/>
    <w:rsid w:val="003C6A3E"/>
    <w:rsid w:val="003C7227"/>
    <w:rsid w:val="003C7307"/>
    <w:rsid w:val="003C74AF"/>
    <w:rsid w:val="003D02B7"/>
    <w:rsid w:val="003D09A7"/>
    <w:rsid w:val="003D0D5C"/>
    <w:rsid w:val="003D116B"/>
    <w:rsid w:val="003D1576"/>
    <w:rsid w:val="003D24F6"/>
    <w:rsid w:val="003D26F5"/>
    <w:rsid w:val="003D2973"/>
    <w:rsid w:val="003D2F16"/>
    <w:rsid w:val="003D35D1"/>
    <w:rsid w:val="003D393F"/>
    <w:rsid w:val="003D3CD8"/>
    <w:rsid w:val="003D4531"/>
    <w:rsid w:val="003D4953"/>
    <w:rsid w:val="003D50EA"/>
    <w:rsid w:val="003D524A"/>
    <w:rsid w:val="003D557F"/>
    <w:rsid w:val="003D5D1A"/>
    <w:rsid w:val="003D6115"/>
    <w:rsid w:val="003D6398"/>
    <w:rsid w:val="003D6575"/>
    <w:rsid w:val="003D65EF"/>
    <w:rsid w:val="003D7B92"/>
    <w:rsid w:val="003D7BEC"/>
    <w:rsid w:val="003E05EE"/>
    <w:rsid w:val="003E0776"/>
    <w:rsid w:val="003E0D95"/>
    <w:rsid w:val="003E26C3"/>
    <w:rsid w:val="003E2924"/>
    <w:rsid w:val="003E2B5D"/>
    <w:rsid w:val="003E2ECC"/>
    <w:rsid w:val="003E2FFB"/>
    <w:rsid w:val="003E307B"/>
    <w:rsid w:val="003E350E"/>
    <w:rsid w:val="003E38FD"/>
    <w:rsid w:val="003E4A05"/>
    <w:rsid w:val="003E56FA"/>
    <w:rsid w:val="003E5D76"/>
    <w:rsid w:val="003E6739"/>
    <w:rsid w:val="003E67FC"/>
    <w:rsid w:val="003E69D0"/>
    <w:rsid w:val="003E6A8B"/>
    <w:rsid w:val="003E7187"/>
    <w:rsid w:val="003E71C2"/>
    <w:rsid w:val="003E7824"/>
    <w:rsid w:val="003E7DAC"/>
    <w:rsid w:val="003E7FE3"/>
    <w:rsid w:val="003F025F"/>
    <w:rsid w:val="003F09A9"/>
    <w:rsid w:val="003F0E07"/>
    <w:rsid w:val="003F12FB"/>
    <w:rsid w:val="003F13AB"/>
    <w:rsid w:val="003F1517"/>
    <w:rsid w:val="003F1E1F"/>
    <w:rsid w:val="003F275F"/>
    <w:rsid w:val="003F2FA7"/>
    <w:rsid w:val="003F30C6"/>
    <w:rsid w:val="003F3FF9"/>
    <w:rsid w:val="003F4565"/>
    <w:rsid w:val="003F4606"/>
    <w:rsid w:val="003F461B"/>
    <w:rsid w:val="003F5305"/>
    <w:rsid w:val="003F535A"/>
    <w:rsid w:val="003F7E55"/>
    <w:rsid w:val="0040021F"/>
    <w:rsid w:val="00400EF3"/>
    <w:rsid w:val="00401140"/>
    <w:rsid w:val="00401EA4"/>
    <w:rsid w:val="0040240B"/>
    <w:rsid w:val="00402498"/>
    <w:rsid w:val="00402773"/>
    <w:rsid w:val="00402CA7"/>
    <w:rsid w:val="00402D37"/>
    <w:rsid w:val="00402D84"/>
    <w:rsid w:val="004033B0"/>
    <w:rsid w:val="004039DA"/>
    <w:rsid w:val="00403DCF"/>
    <w:rsid w:val="00404685"/>
    <w:rsid w:val="004046A5"/>
    <w:rsid w:val="00404911"/>
    <w:rsid w:val="00404EBA"/>
    <w:rsid w:val="004050C2"/>
    <w:rsid w:val="00406054"/>
    <w:rsid w:val="004068C8"/>
    <w:rsid w:val="00406A9E"/>
    <w:rsid w:val="00406BFD"/>
    <w:rsid w:val="00406E6C"/>
    <w:rsid w:val="00406F80"/>
    <w:rsid w:val="0040774D"/>
    <w:rsid w:val="004079E1"/>
    <w:rsid w:val="00407D6F"/>
    <w:rsid w:val="004100B1"/>
    <w:rsid w:val="00410994"/>
    <w:rsid w:val="0041170A"/>
    <w:rsid w:val="00411860"/>
    <w:rsid w:val="00412AF3"/>
    <w:rsid w:val="00413891"/>
    <w:rsid w:val="00414B53"/>
    <w:rsid w:val="00415316"/>
    <w:rsid w:val="00415D26"/>
    <w:rsid w:val="00415DED"/>
    <w:rsid w:val="00415F3B"/>
    <w:rsid w:val="0041633B"/>
    <w:rsid w:val="0041649E"/>
    <w:rsid w:val="004165DE"/>
    <w:rsid w:val="00416D1D"/>
    <w:rsid w:val="00417772"/>
    <w:rsid w:val="00417B84"/>
    <w:rsid w:val="00417EAE"/>
    <w:rsid w:val="00417F71"/>
    <w:rsid w:val="004213C9"/>
    <w:rsid w:val="0042151C"/>
    <w:rsid w:val="00421F43"/>
    <w:rsid w:val="00421FE2"/>
    <w:rsid w:val="00422384"/>
    <w:rsid w:val="00422549"/>
    <w:rsid w:val="00422564"/>
    <w:rsid w:val="00422EFE"/>
    <w:rsid w:val="004241D8"/>
    <w:rsid w:val="0042429B"/>
    <w:rsid w:val="00424378"/>
    <w:rsid w:val="004243CC"/>
    <w:rsid w:val="00424C6B"/>
    <w:rsid w:val="00424E43"/>
    <w:rsid w:val="004256EE"/>
    <w:rsid w:val="004258A8"/>
    <w:rsid w:val="00426EC4"/>
    <w:rsid w:val="00426F4C"/>
    <w:rsid w:val="004272ED"/>
    <w:rsid w:val="004276EF"/>
    <w:rsid w:val="00427F78"/>
    <w:rsid w:val="00430225"/>
    <w:rsid w:val="00431AF3"/>
    <w:rsid w:val="00431D23"/>
    <w:rsid w:val="0043231A"/>
    <w:rsid w:val="0043258F"/>
    <w:rsid w:val="00432815"/>
    <w:rsid w:val="00432E72"/>
    <w:rsid w:val="004332C5"/>
    <w:rsid w:val="00433886"/>
    <w:rsid w:val="004342AB"/>
    <w:rsid w:val="00434430"/>
    <w:rsid w:val="00434E84"/>
    <w:rsid w:val="004358AE"/>
    <w:rsid w:val="00436259"/>
    <w:rsid w:val="00436A8B"/>
    <w:rsid w:val="00436D85"/>
    <w:rsid w:val="00437D69"/>
    <w:rsid w:val="0044032F"/>
    <w:rsid w:val="0044105B"/>
    <w:rsid w:val="004412DA"/>
    <w:rsid w:val="00441418"/>
    <w:rsid w:val="0044146C"/>
    <w:rsid w:val="004416C1"/>
    <w:rsid w:val="004417EB"/>
    <w:rsid w:val="00441AAB"/>
    <w:rsid w:val="004424B8"/>
    <w:rsid w:val="004425C9"/>
    <w:rsid w:val="00442C5D"/>
    <w:rsid w:val="00442CAC"/>
    <w:rsid w:val="00442F00"/>
    <w:rsid w:val="00443174"/>
    <w:rsid w:val="00443B56"/>
    <w:rsid w:val="00443C6A"/>
    <w:rsid w:val="004447F1"/>
    <w:rsid w:val="004453FC"/>
    <w:rsid w:val="004457D4"/>
    <w:rsid w:val="00445885"/>
    <w:rsid w:val="004460CA"/>
    <w:rsid w:val="00446124"/>
    <w:rsid w:val="004464FD"/>
    <w:rsid w:val="004468EA"/>
    <w:rsid w:val="0044743A"/>
    <w:rsid w:val="0045010E"/>
    <w:rsid w:val="00450654"/>
    <w:rsid w:val="00451255"/>
    <w:rsid w:val="00451605"/>
    <w:rsid w:val="00451A88"/>
    <w:rsid w:val="00451DE8"/>
    <w:rsid w:val="0045226F"/>
    <w:rsid w:val="004529BA"/>
    <w:rsid w:val="00452BDD"/>
    <w:rsid w:val="004534D4"/>
    <w:rsid w:val="004536C6"/>
    <w:rsid w:val="00455E9F"/>
    <w:rsid w:val="00456380"/>
    <w:rsid w:val="00456BFD"/>
    <w:rsid w:val="00456C11"/>
    <w:rsid w:val="00456C58"/>
    <w:rsid w:val="00456DDA"/>
    <w:rsid w:val="0045798C"/>
    <w:rsid w:val="00457C74"/>
    <w:rsid w:val="00460285"/>
    <w:rsid w:val="00460C7A"/>
    <w:rsid w:val="004617C1"/>
    <w:rsid w:val="004619C1"/>
    <w:rsid w:val="00461D31"/>
    <w:rsid w:val="00462784"/>
    <w:rsid w:val="00462F92"/>
    <w:rsid w:val="00464355"/>
    <w:rsid w:val="00464719"/>
    <w:rsid w:val="00464F61"/>
    <w:rsid w:val="00465D11"/>
    <w:rsid w:val="004660F4"/>
    <w:rsid w:val="00466E1B"/>
    <w:rsid w:val="0046731F"/>
    <w:rsid w:val="00467500"/>
    <w:rsid w:val="00467783"/>
    <w:rsid w:val="00467B5D"/>
    <w:rsid w:val="004704C7"/>
    <w:rsid w:val="0047238E"/>
    <w:rsid w:val="004724B7"/>
    <w:rsid w:val="004725E5"/>
    <w:rsid w:val="004727C7"/>
    <w:rsid w:val="00472B18"/>
    <w:rsid w:val="00472BD3"/>
    <w:rsid w:val="0047315F"/>
    <w:rsid w:val="004731CE"/>
    <w:rsid w:val="00473960"/>
    <w:rsid w:val="0047402F"/>
    <w:rsid w:val="004741C8"/>
    <w:rsid w:val="00474CAA"/>
    <w:rsid w:val="00475331"/>
    <w:rsid w:val="00475DD4"/>
    <w:rsid w:val="00476609"/>
    <w:rsid w:val="004766A9"/>
    <w:rsid w:val="004769A4"/>
    <w:rsid w:val="004770F6"/>
    <w:rsid w:val="00477122"/>
    <w:rsid w:val="00477273"/>
    <w:rsid w:val="00477603"/>
    <w:rsid w:val="00477A9A"/>
    <w:rsid w:val="00477F3C"/>
    <w:rsid w:val="00480BBA"/>
    <w:rsid w:val="00480D34"/>
    <w:rsid w:val="0048174B"/>
    <w:rsid w:val="00481CFE"/>
    <w:rsid w:val="00481D70"/>
    <w:rsid w:val="004822E7"/>
    <w:rsid w:val="004827C4"/>
    <w:rsid w:val="004828FE"/>
    <w:rsid w:val="00482CB9"/>
    <w:rsid w:val="00483673"/>
    <w:rsid w:val="0048368E"/>
    <w:rsid w:val="00483F25"/>
    <w:rsid w:val="00485360"/>
    <w:rsid w:val="0048580A"/>
    <w:rsid w:val="00485B0F"/>
    <w:rsid w:val="00485D37"/>
    <w:rsid w:val="00485E9A"/>
    <w:rsid w:val="00486C0C"/>
    <w:rsid w:val="00487232"/>
    <w:rsid w:val="00487A89"/>
    <w:rsid w:val="00487BD1"/>
    <w:rsid w:val="004900D5"/>
    <w:rsid w:val="00490210"/>
    <w:rsid w:val="00490A40"/>
    <w:rsid w:val="00490CD8"/>
    <w:rsid w:val="00490DF9"/>
    <w:rsid w:val="00490FDB"/>
    <w:rsid w:val="004913DE"/>
    <w:rsid w:val="00491AAA"/>
    <w:rsid w:val="00491C79"/>
    <w:rsid w:val="0049222B"/>
    <w:rsid w:val="00493552"/>
    <w:rsid w:val="00493793"/>
    <w:rsid w:val="00493A5C"/>
    <w:rsid w:val="00493C92"/>
    <w:rsid w:val="00493FA0"/>
    <w:rsid w:val="0049465E"/>
    <w:rsid w:val="00494BC6"/>
    <w:rsid w:val="004950CD"/>
    <w:rsid w:val="004951C1"/>
    <w:rsid w:val="00496861"/>
    <w:rsid w:val="00496CDD"/>
    <w:rsid w:val="00497439"/>
    <w:rsid w:val="004978F6"/>
    <w:rsid w:val="0049792A"/>
    <w:rsid w:val="004A0B50"/>
    <w:rsid w:val="004A0FDB"/>
    <w:rsid w:val="004A18BE"/>
    <w:rsid w:val="004A2BBE"/>
    <w:rsid w:val="004A326F"/>
    <w:rsid w:val="004A3405"/>
    <w:rsid w:val="004A3837"/>
    <w:rsid w:val="004A3C6A"/>
    <w:rsid w:val="004A4EF1"/>
    <w:rsid w:val="004A598A"/>
    <w:rsid w:val="004A5A0B"/>
    <w:rsid w:val="004A6D7D"/>
    <w:rsid w:val="004A7480"/>
    <w:rsid w:val="004A764C"/>
    <w:rsid w:val="004A7A75"/>
    <w:rsid w:val="004B010F"/>
    <w:rsid w:val="004B04AF"/>
    <w:rsid w:val="004B0CDB"/>
    <w:rsid w:val="004B170E"/>
    <w:rsid w:val="004B1F13"/>
    <w:rsid w:val="004B2175"/>
    <w:rsid w:val="004B2368"/>
    <w:rsid w:val="004B294B"/>
    <w:rsid w:val="004B2ACC"/>
    <w:rsid w:val="004B3313"/>
    <w:rsid w:val="004B3767"/>
    <w:rsid w:val="004B38E2"/>
    <w:rsid w:val="004B398C"/>
    <w:rsid w:val="004B3F85"/>
    <w:rsid w:val="004B4EFA"/>
    <w:rsid w:val="004B5DD5"/>
    <w:rsid w:val="004B6249"/>
    <w:rsid w:val="004B64DD"/>
    <w:rsid w:val="004B6894"/>
    <w:rsid w:val="004B6D76"/>
    <w:rsid w:val="004B6DF6"/>
    <w:rsid w:val="004B6FFE"/>
    <w:rsid w:val="004B77E8"/>
    <w:rsid w:val="004B786F"/>
    <w:rsid w:val="004C0014"/>
    <w:rsid w:val="004C052E"/>
    <w:rsid w:val="004C17C6"/>
    <w:rsid w:val="004C1A54"/>
    <w:rsid w:val="004C1A82"/>
    <w:rsid w:val="004C238F"/>
    <w:rsid w:val="004C26B8"/>
    <w:rsid w:val="004C2A00"/>
    <w:rsid w:val="004C2EBA"/>
    <w:rsid w:val="004C3689"/>
    <w:rsid w:val="004C3AC8"/>
    <w:rsid w:val="004C42BB"/>
    <w:rsid w:val="004C448D"/>
    <w:rsid w:val="004C550F"/>
    <w:rsid w:val="004C5ADE"/>
    <w:rsid w:val="004C5C30"/>
    <w:rsid w:val="004C5F2E"/>
    <w:rsid w:val="004C5FDB"/>
    <w:rsid w:val="004C6494"/>
    <w:rsid w:val="004C65E3"/>
    <w:rsid w:val="004C67BB"/>
    <w:rsid w:val="004C6FEF"/>
    <w:rsid w:val="004C72AB"/>
    <w:rsid w:val="004C756B"/>
    <w:rsid w:val="004C79C9"/>
    <w:rsid w:val="004CC66F"/>
    <w:rsid w:val="004D0646"/>
    <w:rsid w:val="004D0D8E"/>
    <w:rsid w:val="004D0F09"/>
    <w:rsid w:val="004D124B"/>
    <w:rsid w:val="004D1566"/>
    <w:rsid w:val="004D1FA5"/>
    <w:rsid w:val="004D209D"/>
    <w:rsid w:val="004D264A"/>
    <w:rsid w:val="004D2705"/>
    <w:rsid w:val="004D2C7D"/>
    <w:rsid w:val="004D48E0"/>
    <w:rsid w:val="004D49E5"/>
    <w:rsid w:val="004D4CD8"/>
    <w:rsid w:val="004D53A9"/>
    <w:rsid w:val="004D5496"/>
    <w:rsid w:val="004D619F"/>
    <w:rsid w:val="004D6323"/>
    <w:rsid w:val="004D63CB"/>
    <w:rsid w:val="004D6653"/>
    <w:rsid w:val="004D6903"/>
    <w:rsid w:val="004D756E"/>
    <w:rsid w:val="004D7728"/>
    <w:rsid w:val="004E0A8C"/>
    <w:rsid w:val="004E139D"/>
    <w:rsid w:val="004E293F"/>
    <w:rsid w:val="004E296B"/>
    <w:rsid w:val="004E2B04"/>
    <w:rsid w:val="004E2B13"/>
    <w:rsid w:val="004E2F78"/>
    <w:rsid w:val="004E33CD"/>
    <w:rsid w:val="004E3921"/>
    <w:rsid w:val="004E3BC7"/>
    <w:rsid w:val="004E3D42"/>
    <w:rsid w:val="004E3DAF"/>
    <w:rsid w:val="004E4D77"/>
    <w:rsid w:val="004E4EF5"/>
    <w:rsid w:val="004E4F37"/>
    <w:rsid w:val="004E55A8"/>
    <w:rsid w:val="004E5875"/>
    <w:rsid w:val="004E5CE7"/>
    <w:rsid w:val="004E6E75"/>
    <w:rsid w:val="004E7628"/>
    <w:rsid w:val="004E78D9"/>
    <w:rsid w:val="004E7F50"/>
    <w:rsid w:val="004F010B"/>
    <w:rsid w:val="004F05BE"/>
    <w:rsid w:val="004F06CC"/>
    <w:rsid w:val="004F0921"/>
    <w:rsid w:val="004F09D4"/>
    <w:rsid w:val="004F1AC5"/>
    <w:rsid w:val="004F1FFA"/>
    <w:rsid w:val="004F219E"/>
    <w:rsid w:val="004F2513"/>
    <w:rsid w:val="004F2649"/>
    <w:rsid w:val="004F2744"/>
    <w:rsid w:val="004F32E9"/>
    <w:rsid w:val="004F3B2D"/>
    <w:rsid w:val="004F3CE7"/>
    <w:rsid w:val="004F40B9"/>
    <w:rsid w:val="004F41F1"/>
    <w:rsid w:val="004F438C"/>
    <w:rsid w:val="004F593E"/>
    <w:rsid w:val="004F5D34"/>
    <w:rsid w:val="004F62CE"/>
    <w:rsid w:val="004F66FE"/>
    <w:rsid w:val="004F6C3A"/>
    <w:rsid w:val="004F7548"/>
    <w:rsid w:val="0050034A"/>
    <w:rsid w:val="005019DB"/>
    <w:rsid w:val="005020CB"/>
    <w:rsid w:val="00502661"/>
    <w:rsid w:val="00503102"/>
    <w:rsid w:val="00503A83"/>
    <w:rsid w:val="00504A16"/>
    <w:rsid w:val="005051BB"/>
    <w:rsid w:val="005052F8"/>
    <w:rsid w:val="0050567F"/>
    <w:rsid w:val="00505873"/>
    <w:rsid w:val="0050596C"/>
    <w:rsid w:val="00505979"/>
    <w:rsid w:val="00505A8D"/>
    <w:rsid w:val="00505EE8"/>
    <w:rsid w:val="0050719E"/>
    <w:rsid w:val="00507347"/>
    <w:rsid w:val="0050771A"/>
    <w:rsid w:val="00507902"/>
    <w:rsid w:val="00507943"/>
    <w:rsid w:val="00507A99"/>
    <w:rsid w:val="005112EE"/>
    <w:rsid w:val="00511431"/>
    <w:rsid w:val="00511957"/>
    <w:rsid w:val="00511F44"/>
    <w:rsid w:val="005127F5"/>
    <w:rsid w:val="00513574"/>
    <w:rsid w:val="005137AF"/>
    <w:rsid w:val="00513803"/>
    <w:rsid w:val="0051399E"/>
    <w:rsid w:val="00514019"/>
    <w:rsid w:val="0051478B"/>
    <w:rsid w:val="00514C4B"/>
    <w:rsid w:val="00515008"/>
    <w:rsid w:val="00515A03"/>
    <w:rsid w:val="00515CF6"/>
    <w:rsid w:val="00516058"/>
    <w:rsid w:val="0051689B"/>
    <w:rsid w:val="00516AA9"/>
    <w:rsid w:val="00516FA5"/>
    <w:rsid w:val="00520109"/>
    <w:rsid w:val="005203CC"/>
    <w:rsid w:val="0052092C"/>
    <w:rsid w:val="00520B16"/>
    <w:rsid w:val="00520F8F"/>
    <w:rsid w:val="00521506"/>
    <w:rsid w:val="00521C36"/>
    <w:rsid w:val="00521F06"/>
    <w:rsid w:val="005224B0"/>
    <w:rsid w:val="00522A9A"/>
    <w:rsid w:val="00523917"/>
    <w:rsid w:val="00523AF6"/>
    <w:rsid w:val="00523F2B"/>
    <w:rsid w:val="00524410"/>
    <w:rsid w:val="00524757"/>
    <w:rsid w:val="00524863"/>
    <w:rsid w:val="0052498B"/>
    <w:rsid w:val="00525DCE"/>
    <w:rsid w:val="0052601B"/>
    <w:rsid w:val="005261EF"/>
    <w:rsid w:val="00526317"/>
    <w:rsid w:val="0052639E"/>
    <w:rsid w:val="005269DA"/>
    <w:rsid w:val="0052717F"/>
    <w:rsid w:val="00527C0A"/>
    <w:rsid w:val="00527C76"/>
    <w:rsid w:val="00527D39"/>
    <w:rsid w:val="005306F4"/>
    <w:rsid w:val="00531B86"/>
    <w:rsid w:val="00531C8D"/>
    <w:rsid w:val="00532393"/>
    <w:rsid w:val="0053317E"/>
    <w:rsid w:val="005338FF"/>
    <w:rsid w:val="0053390C"/>
    <w:rsid w:val="00533AAD"/>
    <w:rsid w:val="0053420E"/>
    <w:rsid w:val="005346CF"/>
    <w:rsid w:val="0053519E"/>
    <w:rsid w:val="00535394"/>
    <w:rsid w:val="00535413"/>
    <w:rsid w:val="00535E0F"/>
    <w:rsid w:val="00537887"/>
    <w:rsid w:val="0053796B"/>
    <w:rsid w:val="00540703"/>
    <w:rsid w:val="00540D40"/>
    <w:rsid w:val="00541333"/>
    <w:rsid w:val="005415A9"/>
    <w:rsid w:val="00541795"/>
    <w:rsid w:val="00541B93"/>
    <w:rsid w:val="00542C42"/>
    <w:rsid w:val="005434E4"/>
    <w:rsid w:val="00543502"/>
    <w:rsid w:val="00544878"/>
    <w:rsid w:val="00544A33"/>
    <w:rsid w:val="00544D14"/>
    <w:rsid w:val="00545261"/>
    <w:rsid w:val="00545C2E"/>
    <w:rsid w:val="00546F71"/>
    <w:rsid w:val="0054743B"/>
    <w:rsid w:val="005501A0"/>
    <w:rsid w:val="00550A2A"/>
    <w:rsid w:val="00550AD3"/>
    <w:rsid w:val="00550E2E"/>
    <w:rsid w:val="005511C2"/>
    <w:rsid w:val="00551642"/>
    <w:rsid w:val="0055194F"/>
    <w:rsid w:val="00551E83"/>
    <w:rsid w:val="005527F1"/>
    <w:rsid w:val="00552828"/>
    <w:rsid w:val="005528DA"/>
    <w:rsid w:val="005530B0"/>
    <w:rsid w:val="00553396"/>
    <w:rsid w:val="005535D2"/>
    <w:rsid w:val="00553FEF"/>
    <w:rsid w:val="0055420F"/>
    <w:rsid w:val="0055447C"/>
    <w:rsid w:val="005544BE"/>
    <w:rsid w:val="00555367"/>
    <w:rsid w:val="00555AAC"/>
    <w:rsid w:val="00556B22"/>
    <w:rsid w:val="00556FC6"/>
    <w:rsid w:val="005570BF"/>
    <w:rsid w:val="00557DBB"/>
    <w:rsid w:val="005606C3"/>
    <w:rsid w:val="00561B77"/>
    <w:rsid w:val="005625D5"/>
    <w:rsid w:val="0056261F"/>
    <w:rsid w:val="00562AF6"/>
    <w:rsid w:val="00562E6B"/>
    <w:rsid w:val="00563CD9"/>
    <w:rsid w:val="0056452A"/>
    <w:rsid w:val="00564824"/>
    <w:rsid w:val="00565B82"/>
    <w:rsid w:val="00566CDF"/>
    <w:rsid w:val="00566EF5"/>
    <w:rsid w:val="005675C1"/>
    <w:rsid w:val="00567DF7"/>
    <w:rsid w:val="00571074"/>
    <w:rsid w:val="00571C73"/>
    <w:rsid w:val="00571FE4"/>
    <w:rsid w:val="00572624"/>
    <w:rsid w:val="0057291F"/>
    <w:rsid w:val="00572DCE"/>
    <w:rsid w:val="005731D5"/>
    <w:rsid w:val="005736DB"/>
    <w:rsid w:val="00574549"/>
    <w:rsid w:val="005745E6"/>
    <w:rsid w:val="00574D9D"/>
    <w:rsid w:val="00575065"/>
    <w:rsid w:val="0057553F"/>
    <w:rsid w:val="00577C98"/>
    <w:rsid w:val="00577FFA"/>
    <w:rsid w:val="00580080"/>
    <w:rsid w:val="00580212"/>
    <w:rsid w:val="00580A0E"/>
    <w:rsid w:val="00581494"/>
    <w:rsid w:val="005814B9"/>
    <w:rsid w:val="00581FED"/>
    <w:rsid w:val="00582CF7"/>
    <w:rsid w:val="00582E6D"/>
    <w:rsid w:val="005830C5"/>
    <w:rsid w:val="005832F3"/>
    <w:rsid w:val="0058455C"/>
    <w:rsid w:val="00584678"/>
    <w:rsid w:val="00584B15"/>
    <w:rsid w:val="00584BE3"/>
    <w:rsid w:val="00584CAF"/>
    <w:rsid w:val="00584F99"/>
    <w:rsid w:val="005853A6"/>
    <w:rsid w:val="0058543F"/>
    <w:rsid w:val="005864B9"/>
    <w:rsid w:val="00586A0B"/>
    <w:rsid w:val="00586E2D"/>
    <w:rsid w:val="005878EF"/>
    <w:rsid w:val="005905B5"/>
    <w:rsid w:val="005905F6"/>
    <w:rsid w:val="005906BD"/>
    <w:rsid w:val="00590E68"/>
    <w:rsid w:val="00591472"/>
    <w:rsid w:val="00591BCF"/>
    <w:rsid w:val="00591C3C"/>
    <w:rsid w:val="005929A6"/>
    <w:rsid w:val="0059331A"/>
    <w:rsid w:val="005933DC"/>
    <w:rsid w:val="00594FB2"/>
    <w:rsid w:val="00595749"/>
    <w:rsid w:val="00595EB5"/>
    <w:rsid w:val="005963D0"/>
    <w:rsid w:val="0059690A"/>
    <w:rsid w:val="00596939"/>
    <w:rsid w:val="00596FDD"/>
    <w:rsid w:val="005973C7"/>
    <w:rsid w:val="0059781F"/>
    <w:rsid w:val="005A02FE"/>
    <w:rsid w:val="005A07F9"/>
    <w:rsid w:val="005A0E2F"/>
    <w:rsid w:val="005A0EBA"/>
    <w:rsid w:val="005A1028"/>
    <w:rsid w:val="005A1117"/>
    <w:rsid w:val="005A1506"/>
    <w:rsid w:val="005A16BF"/>
    <w:rsid w:val="005A2B16"/>
    <w:rsid w:val="005A39F7"/>
    <w:rsid w:val="005A4C96"/>
    <w:rsid w:val="005A4E04"/>
    <w:rsid w:val="005A54D6"/>
    <w:rsid w:val="005A55D6"/>
    <w:rsid w:val="005A73BE"/>
    <w:rsid w:val="005A7C9C"/>
    <w:rsid w:val="005B06F6"/>
    <w:rsid w:val="005B0AA5"/>
    <w:rsid w:val="005B0AD7"/>
    <w:rsid w:val="005B14CD"/>
    <w:rsid w:val="005B1559"/>
    <w:rsid w:val="005B1E35"/>
    <w:rsid w:val="005B22A3"/>
    <w:rsid w:val="005B2650"/>
    <w:rsid w:val="005B3DBE"/>
    <w:rsid w:val="005B41E0"/>
    <w:rsid w:val="005B4C47"/>
    <w:rsid w:val="005B4E9C"/>
    <w:rsid w:val="005B6598"/>
    <w:rsid w:val="005B65B6"/>
    <w:rsid w:val="005B68BA"/>
    <w:rsid w:val="005B6A81"/>
    <w:rsid w:val="005B7331"/>
    <w:rsid w:val="005BDF89"/>
    <w:rsid w:val="005C028C"/>
    <w:rsid w:val="005C04B1"/>
    <w:rsid w:val="005C1472"/>
    <w:rsid w:val="005C15F3"/>
    <w:rsid w:val="005C214B"/>
    <w:rsid w:val="005C26EA"/>
    <w:rsid w:val="005C279A"/>
    <w:rsid w:val="005C2B0F"/>
    <w:rsid w:val="005C2BB4"/>
    <w:rsid w:val="005C2E81"/>
    <w:rsid w:val="005C32CE"/>
    <w:rsid w:val="005C32EF"/>
    <w:rsid w:val="005C375B"/>
    <w:rsid w:val="005C3A61"/>
    <w:rsid w:val="005C409E"/>
    <w:rsid w:val="005C425E"/>
    <w:rsid w:val="005C4894"/>
    <w:rsid w:val="005C49E6"/>
    <w:rsid w:val="005C4BF2"/>
    <w:rsid w:val="005C5291"/>
    <w:rsid w:val="005C52AF"/>
    <w:rsid w:val="005C5507"/>
    <w:rsid w:val="005C56AB"/>
    <w:rsid w:val="005C5A2B"/>
    <w:rsid w:val="005C5B2E"/>
    <w:rsid w:val="005C5F29"/>
    <w:rsid w:val="005C6326"/>
    <w:rsid w:val="005C681C"/>
    <w:rsid w:val="005C68A9"/>
    <w:rsid w:val="005C6D6D"/>
    <w:rsid w:val="005C7466"/>
    <w:rsid w:val="005C775D"/>
    <w:rsid w:val="005C778F"/>
    <w:rsid w:val="005C799C"/>
    <w:rsid w:val="005D00A2"/>
    <w:rsid w:val="005D014F"/>
    <w:rsid w:val="005D0928"/>
    <w:rsid w:val="005D0C42"/>
    <w:rsid w:val="005D0D7C"/>
    <w:rsid w:val="005D0F02"/>
    <w:rsid w:val="005D1387"/>
    <w:rsid w:val="005D140A"/>
    <w:rsid w:val="005D1DA5"/>
    <w:rsid w:val="005D253D"/>
    <w:rsid w:val="005D2E15"/>
    <w:rsid w:val="005D2E3D"/>
    <w:rsid w:val="005D3856"/>
    <w:rsid w:val="005D3C94"/>
    <w:rsid w:val="005D4313"/>
    <w:rsid w:val="005D451A"/>
    <w:rsid w:val="005D47FE"/>
    <w:rsid w:val="005D4900"/>
    <w:rsid w:val="005D4CD4"/>
    <w:rsid w:val="005D4ED0"/>
    <w:rsid w:val="005D538C"/>
    <w:rsid w:val="005D56B4"/>
    <w:rsid w:val="005D60D5"/>
    <w:rsid w:val="005D6B13"/>
    <w:rsid w:val="005D6BB7"/>
    <w:rsid w:val="005D6E7B"/>
    <w:rsid w:val="005D6F08"/>
    <w:rsid w:val="005D722C"/>
    <w:rsid w:val="005D76B0"/>
    <w:rsid w:val="005D7886"/>
    <w:rsid w:val="005E045C"/>
    <w:rsid w:val="005E1922"/>
    <w:rsid w:val="005E1DB1"/>
    <w:rsid w:val="005E24DC"/>
    <w:rsid w:val="005E262B"/>
    <w:rsid w:val="005E2868"/>
    <w:rsid w:val="005E289E"/>
    <w:rsid w:val="005E295F"/>
    <w:rsid w:val="005E2B63"/>
    <w:rsid w:val="005E31EB"/>
    <w:rsid w:val="005E3D8B"/>
    <w:rsid w:val="005E3DC3"/>
    <w:rsid w:val="005E3FFF"/>
    <w:rsid w:val="005E4354"/>
    <w:rsid w:val="005E44DD"/>
    <w:rsid w:val="005E474F"/>
    <w:rsid w:val="005E4878"/>
    <w:rsid w:val="005E48C8"/>
    <w:rsid w:val="005E4AB8"/>
    <w:rsid w:val="005E4C34"/>
    <w:rsid w:val="005E66CC"/>
    <w:rsid w:val="005E6B8F"/>
    <w:rsid w:val="005E76E2"/>
    <w:rsid w:val="005E7774"/>
    <w:rsid w:val="005E7D31"/>
    <w:rsid w:val="005E7FA9"/>
    <w:rsid w:val="005F00C2"/>
    <w:rsid w:val="005F00C5"/>
    <w:rsid w:val="005F0743"/>
    <w:rsid w:val="005F0919"/>
    <w:rsid w:val="005F0D28"/>
    <w:rsid w:val="005F1001"/>
    <w:rsid w:val="005F10EE"/>
    <w:rsid w:val="005F1128"/>
    <w:rsid w:val="005F1274"/>
    <w:rsid w:val="005F1301"/>
    <w:rsid w:val="005F15F2"/>
    <w:rsid w:val="005F1935"/>
    <w:rsid w:val="005F1C15"/>
    <w:rsid w:val="005F1D08"/>
    <w:rsid w:val="005F3092"/>
    <w:rsid w:val="005F3423"/>
    <w:rsid w:val="005F3EB3"/>
    <w:rsid w:val="005F3F6A"/>
    <w:rsid w:val="005F52E1"/>
    <w:rsid w:val="005F53B6"/>
    <w:rsid w:val="005F53DB"/>
    <w:rsid w:val="005F5435"/>
    <w:rsid w:val="005F548B"/>
    <w:rsid w:val="005F5DEB"/>
    <w:rsid w:val="005F5F36"/>
    <w:rsid w:val="005F60C3"/>
    <w:rsid w:val="005F694D"/>
    <w:rsid w:val="005F75B1"/>
    <w:rsid w:val="005F7D4F"/>
    <w:rsid w:val="005F80EE"/>
    <w:rsid w:val="006001B1"/>
    <w:rsid w:val="00600717"/>
    <w:rsid w:val="006009D6"/>
    <w:rsid w:val="00600BD2"/>
    <w:rsid w:val="00601086"/>
    <w:rsid w:val="0060111B"/>
    <w:rsid w:val="006021B5"/>
    <w:rsid w:val="00602239"/>
    <w:rsid w:val="006025CA"/>
    <w:rsid w:val="00603053"/>
    <w:rsid w:val="006030ED"/>
    <w:rsid w:val="00603711"/>
    <w:rsid w:val="0060443A"/>
    <w:rsid w:val="006044B9"/>
    <w:rsid w:val="006059CF"/>
    <w:rsid w:val="00605ADC"/>
    <w:rsid w:val="00606640"/>
    <w:rsid w:val="006069C9"/>
    <w:rsid w:val="00607895"/>
    <w:rsid w:val="00610944"/>
    <w:rsid w:val="006111FE"/>
    <w:rsid w:val="0061159A"/>
    <w:rsid w:val="00611872"/>
    <w:rsid w:val="00611AFD"/>
    <w:rsid w:val="0061329D"/>
    <w:rsid w:val="0061387E"/>
    <w:rsid w:val="00613B9B"/>
    <w:rsid w:val="00613E16"/>
    <w:rsid w:val="00613E70"/>
    <w:rsid w:val="00614342"/>
    <w:rsid w:val="006144B7"/>
    <w:rsid w:val="00615005"/>
    <w:rsid w:val="006155AF"/>
    <w:rsid w:val="006159F9"/>
    <w:rsid w:val="00615C12"/>
    <w:rsid w:val="00616172"/>
    <w:rsid w:val="00616483"/>
    <w:rsid w:val="00616485"/>
    <w:rsid w:val="00616771"/>
    <w:rsid w:val="006167F1"/>
    <w:rsid w:val="0061686C"/>
    <w:rsid w:val="00616B5D"/>
    <w:rsid w:val="00616E92"/>
    <w:rsid w:val="006171F3"/>
    <w:rsid w:val="00617297"/>
    <w:rsid w:val="00617AC5"/>
    <w:rsid w:val="0062006B"/>
    <w:rsid w:val="0062083E"/>
    <w:rsid w:val="00620B8F"/>
    <w:rsid w:val="00620DC6"/>
    <w:rsid w:val="00621020"/>
    <w:rsid w:val="006213C3"/>
    <w:rsid w:val="00621DF4"/>
    <w:rsid w:val="0062244E"/>
    <w:rsid w:val="006228D3"/>
    <w:rsid w:val="006228EB"/>
    <w:rsid w:val="00623178"/>
    <w:rsid w:val="0062334B"/>
    <w:rsid w:val="006237E5"/>
    <w:rsid w:val="0062406C"/>
    <w:rsid w:val="00624870"/>
    <w:rsid w:val="00624DE5"/>
    <w:rsid w:val="0062505E"/>
    <w:rsid w:val="006250C7"/>
    <w:rsid w:val="00625A22"/>
    <w:rsid w:val="00626992"/>
    <w:rsid w:val="00626A27"/>
    <w:rsid w:val="00627203"/>
    <w:rsid w:val="00627A6D"/>
    <w:rsid w:val="00627AC2"/>
    <w:rsid w:val="00630CFA"/>
    <w:rsid w:val="006321AE"/>
    <w:rsid w:val="00632499"/>
    <w:rsid w:val="00632980"/>
    <w:rsid w:val="006331FC"/>
    <w:rsid w:val="00634345"/>
    <w:rsid w:val="006349A3"/>
    <w:rsid w:val="00635235"/>
    <w:rsid w:val="00635260"/>
    <w:rsid w:val="00635601"/>
    <w:rsid w:val="00635F3E"/>
    <w:rsid w:val="006360EF"/>
    <w:rsid w:val="00636521"/>
    <w:rsid w:val="006366F9"/>
    <w:rsid w:val="00636B01"/>
    <w:rsid w:val="00637000"/>
    <w:rsid w:val="00640582"/>
    <w:rsid w:val="00641894"/>
    <w:rsid w:val="00641B2C"/>
    <w:rsid w:val="00641EED"/>
    <w:rsid w:val="00642467"/>
    <w:rsid w:val="0064247C"/>
    <w:rsid w:val="00642537"/>
    <w:rsid w:val="00642949"/>
    <w:rsid w:val="00642F45"/>
    <w:rsid w:val="006437F2"/>
    <w:rsid w:val="006445A7"/>
    <w:rsid w:val="00644662"/>
    <w:rsid w:val="0064495D"/>
    <w:rsid w:val="00644B40"/>
    <w:rsid w:val="00644F29"/>
    <w:rsid w:val="00645240"/>
    <w:rsid w:val="00645AC9"/>
    <w:rsid w:val="00645E41"/>
    <w:rsid w:val="0064756A"/>
    <w:rsid w:val="00650289"/>
    <w:rsid w:val="006509FC"/>
    <w:rsid w:val="00650FAD"/>
    <w:rsid w:val="00651220"/>
    <w:rsid w:val="00653950"/>
    <w:rsid w:val="00655E4C"/>
    <w:rsid w:val="00656DE6"/>
    <w:rsid w:val="00656E88"/>
    <w:rsid w:val="00657774"/>
    <w:rsid w:val="006578E6"/>
    <w:rsid w:val="0065797E"/>
    <w:rsid w:val="0066013A"/>
    <w:rsid w:val="00660FAD"/>
    <w:rsid w:val="006612EA"/>
    <w:rsid w:val="00662719"/>
    <w:rsid w:val="00662876"/>
    <w:rsid w:val="00662DCD"/>
    <w:rsid w:val="00662FA8"/>
    <w:rsid w:val="006630EB"/>
    <w:rsid w:val="00663180"/>
    <w:rsid w:val="00663CCD"/>
    <w:rsid w:val="0066454A"/>
    <w:rsid w:val="00664B43"/>
    <w:rsid w:val="00664D2D"/>
    <w:rsid w:val="00665678"/>
    <w:rsid w:val="00665767"/>
    <w:rsid w:val="0066634E"/>
    <w:rsid w:val="006679CA"/>
    <w:rsid w:val="00667A24"/>
    <w:rsid w:val="006702AE"/>
    <w:rsid w:val="006705DB"/>
    <w:rsid w:val="00670D7C"/>
    <w:rsid w:val="00670FDB"/>
    <w:rsid w:val="00671499"/>
    <w:rsid w:val="00671856"/>
    <w:rsid w:val="00671A6D"/>
    <w:rsid w:val="00671B60"/>
    <w:rsid w:val="00671D57"/>
    <w:rsid w:val="00672181"/>
    <w:rsid w:val="00672766"/>
    <w:rsid w:val="0067288D"/>
    <w:rsid w:val="00673541"/>
    <w:rsid w:val="00673816"/>
    <w:rsid w:val="006743AF"/>
    <w:rsid w:val="00674BB1"/>
    <w:rsid w:val="00675004"/>
    <w:rsid w:val="006750E2"/>
    <w:rsid w:val="00675BA6"/>
    <w:rsid w:val="00677855"/>
    <w:rsid w:val="00677BB9"/>
    <w:rsid w:val="00677BBE"/>
    <w:rsid w:val="00677FD5"/>
    <w:rsid w:val="006801B8"/>
    <w:rsid w:val="006814AE"/>
    <w:rsid w:val="00681B97"/>
    <w:rsid w:val="006820F9"/>
    <w:rsid w:val="00682CE2"/>
    <w:rsid w:val="006833BD"/>
    <w:rsid w:val="0068360D"/>
    <w:rsid w:val="0068362F"/>
    <w:rsid w:val="00683D5A"/>
    <w:rsid w:val="00684302"/>
    <w:rsid w:val="006848F1"/>
    <w:rsid w:val="00684A3A"/>
    <w:rsid w:val="006858BD"/>
    <w:rsid w:val="00685EEC"/>
    <w:rsid w:val="00686389"/>
    <w:rsid w:val="006866DA"/>
    <w:rsid w:val="00686D4E"/>
    <w:rsid w:val="00687E85"/>
    <w:rsid w:val="00690453"/>
    <w:rsid w:val="00692337"/>
    <w:rsid w:val="00692771"/>
    <w:rsid w:val="006947D4"/>
    <w:rsid w:val="00694EA5"/>
    <w:rsid w:val="0069548B"/>
    <w:rsid w:val="0069552A"/>
    <w:rsid w:val="00696316"/>
    <w:rsid w:val="00696952"/>
    <w:rsid w:val="00696981"/>
    <w:rsid w:val="00696B54"/>
    <w:rsid w:val="00696CA8"/>
    <w:rsid w:val="006970D3"/>
    <w:rsid w:val="006973E4"/>
    <w:rsid w:val="00697C2A"/>
    <w:rsid w:val="00697FC6"/>
    <w:rsid w:val="006A0614"/>
    <w:rsid w:val="006A0ABF"/>
    <w:rsid w:val="006A1168"/>
    <w:rsid w:val="006A1256"/>
    <w:rsid w:val="006A1E24"/>
    <w:rsid w:val="006A224C"/>
    <w:rsid w:val="006A2418"/>
    <w:rsid w:val="006A262C"/>
    <w:rsid w:val="006A29F9"/>
    <w:rsid w:val="006A2AAE"/>
    <w:rsid w:val="006A2FE9"/>
    <w:rsid w:val="006A34F5"/>
    <w:rsid w:val="006A4BCF"/>
    <w:rsid w:val="006A4E22"/>
    <w:rsid w:val="006A4EC4"/>
    <w:rsid w:val="006A543D"/>
    <w:rsid w:val="006A564B"/>
    <w:rsid w:val="006A5A7B"/>
    <w:rsid w:val="006A5C53"/>
    <w:rsid w:val="006A5FE0"/>
    <w:rsid w:val="006A73E7"/>
    <w:rsid w:val="006A7990"/>
    <w:rsid w:val="006A7C72"/>
    <w:rsid w:val="006A7DF0"/>
    <w:rsid w:val="006B04B1"/>
    <w:rsid w:val="006B06D4"/>
    <w:rsid w:val="006B17BB"/>
    <w:rsid w:val="006B17D5"/>
    <w:rsid w:val="006B2681"/>
    <w:rsid w:val="006B27A8"/>
    <w:rsid w:val="006B2CA7"/>
    <w:rsid w:val="006B375E"/>
    <w:rsid w:val="006B3AEE"/>
    <w:rsid w:val="006B4261"/>
    <w:rsid w:val="006B461F"/>
    <w:rsid w:val="006B4681"/>
    <w:rsid w:val="006B4EBB"/>
    <w:rsid w:val="006B4F83"/>
    <w:rsid w:val="006B5ABA"/>
    <w:rsid w:val="006B6250"/>
    <w:rsid w:val="006B6838"/>
    <w:rsid w:val="006B689B"/>
    <w:rsid w:val="006B69F9"/>
    <w:rsid w:val="006B6D5F"/>
    <w:rsid w:val="006B7250"/>
    <w:rsid w:val="006B7CF5"/>
    <w:rsid w:val="006C0D0C"/>
    <w:rsid w:val="006C1451"/>
    <w:rsid w:val="006C1709"/>
    <w:rsid w:val="006C1D0C"/>
    <w:rsid w:val="006C1E35"/>
    <w:rsid w:val="006C1EB8"/>
    <w:rsid w:val="006C21FF"/>
    <w:rsid w:val="006C2BC7"/>
    <w:rsid w:val="006C34EF"/>
    <w:rsid w:val="006C3B9C"/>
    <w:rsid w:val="006C4575"/>
    <w:rsid w:val="006C527B"/>
    <w:rsid w:val="006C527D"/>
    <w:rsid w:val="006C56D5"/>
    <w:rsid w:val="006C5B37"/>
    <w:rsid w:val="006C6861"/>
    <w:rsid w:val="006C7AF0"/>
    <w:rsid w:val="006D0B1F"/>
    <w:rsid w:val="006D0BDA"/>
    <w:rsid w:val="006D0FB5"/>
    <w:rsid w:val="006D11A1"/>
    <w:rsid w:val="006D155F"/>
    <w:rsid w:val="006D1923"/>
    <w:rsid w:val="006D1D2D"/>
    <w:rsid w:val="006D28A3"/>
    <w:rsid w:val="006D30B5"/>
    <w:rsid w:val="006D3383"/>
    <w:rsid w:val="006D3BA5"/>
    <w:rsid w:val="006D414C"/>
    <w:rsid w:val="006D435E"/>
    <w:rsid w:val="006D5460"/>
    <w:rsid w:val="006D5806"/>
    <w:rsid w:val="006D5C0D"/>
    <w:rsid w:val="006D6135"/>
    <w:rsid w:val="006D677B"/>
    <w:rsid w:val="006D6837"/>
    <w:rsid w:val="006D6E52"/>
    <w:rsid w:val="006D752D"/>
    <w:rsid w:val="006D79EB"/>
    <w:rsid w:val="006D7D53"/>
    <w:rsid w:val="006D7F66"/>
    <w:rsid w:val="006E08B3"/>
    <w:rsid w:val="006E08CB"/>
    <w:rsid w:val="006E174D"/>
    <w:rsid w:val="006E1988"/>
    <w:rsid w:val="006E1D5F"/>
    <w:rsid w:val="006E1EB4"/>
    <w:rsid w:val="006E28B6"/>
    <w:rsid w:val="006E29B3"/>
    <w:rsid w:val="006E30D0"/>
    <w:rsid w:val="006E3100"/>
    <w:rsid w:val="006E338A"/>
    <w:rsid w:val="006E3911"/>
    <w:rsid w:val="006E39C3"/>
    <w:rsid w:val="006E4A23"/>
    <w:rsid w:val="006E4F27"/>
    <w:rsid w:val="006E5033"/>
    <w:rsid w:val="006E52A5"/>
    <w:rsid w:val="006E5A52"/>
    <w:rsid w:val="006E5D87"/>
    <w:rsid w:val="006E6A0B"/>
    <w:rsid w:val="006E6B40"/>
    <w:rsid w:val="006E6BC6"/>
    <w:rsid w:val="006E7733"/>
    <w:rsid w:val="006E7AB2"/>
    <w:rsid w:val="006E7D12"/>
    <w:rsid w:val="006E7D26"/>
    <w:rsid w:val="006F0187"/>
    <w:rsid w:val="006F02F2"/>
    <w:rsid w:val="006F067B"/>
    <w:rsid w:val="006F1444"/>
    <w:rsid w:val="006F1BC2"/>
    <w:rsid w:val="006F2176"/>
    <w:rsid w:val="006F22C9"/>
    <w:rsid w:val="006F23D3"/>
    <w:rsid w:val="006F256A"/>
    <w:rsid w:val="006F38B3"/>
    <w:rsid w:val="006F497E"/>
    <w:rsid w:val="006F4B30"/>
    <w:rsid w:val="006F4E91"/>
    <w:rsid w:val="006F4F96"/>
    <w:rsid w:val="006F4FC5"/>
    <w:rsid w:val="006F6509"/>
    <w:rsid w:val="006F721B"/>
    <w:rsid w:val="006F736A"/>
    <w:rsid w:val="006F7E01"/>
    <w:rsid w:val="00700795"/>
    <w:rsid w:val="00700849"/>
    <w:rsid w:val="00700DF5"/>
    <w:rsid w:val="007013A0"/>
    <w:rsid w:val="00701EAD"/>
    <w:rsid w:val="007033E0"/>
    <w:rsid w:val="0070349F"/>
    <w:rsid w:val="00703724"/>
    <w:rsid w:val="00703E47"/>
    <w:rsid w:val="00704A57"/>
    <w:rsid w:val="00704BE8"/>
    <w:rsid w:val="00704D6F"/>
    <w:rsid w:val="0070545C"/>
    <w:rsid w:val="00705E28"/>
    <w:rsid w:val="00705E83"/>
    <w:rsid w:val="00706295"/>
    <w:rsid w:val="00706598"/>
    <w:rsid w:val="007068B8"/>
    <w:rsid w:val="00706A45"/>
    <w:rsid w:val="00706B8B"/>
    <w:rsid w:val="00706DAC"/>
    <w:rsid w:val="00706E6C"/>
    <w:rsid w:val="00706E87"/>
    <w:rsid w:val="0070713D"/>
    <w:rsid w:val="007073C6"/>
    <w:rsid w:val="0070758A"/>
    <w:rsid w:val="00707FA0"/>
    <w:rsid w:val="007103B8"/>
    <w:rsid w:val="00710542"/>
    <w:rsid w:val="00710F2B"/>
    <w:rsid w:val="007112C7"/>
    <w:rsid w:val="00711701"/>
    <w:rsid w:val="007118F4"/>
    <w:rsid w:val="00713023"/>
    <w:rsid w:val="0071373A"/>
    <w:rsid w:val="0071405C"/>
    <w:rsid w:val="00714178"/>
    <w:rsid w:val="00714347"/>
    <w:rsid w:val="00714B9E"/>
    <w:rsid w:val="00714D66"/>
    <w:rsid w:val="00714F74"/>
    <w:rsid w:val="00716685"/>
    <w:rsid w:val="00717688"/>
    <w:rsid w:val="00717CFF"/>
    <w:rsid w:val="00720178"/>
    <w:rsid w:val="0072090E"/>
    <w:rsid w:val="00720D0F"/>
    <w:rsid w:val="00721155"/>
    <w:rsid w:val="007211D1"/>
    <w:rsid w:val="00721944"/>
    <w:rsid w:val="00723A14"/>
    <w:rsid w:val="00723B95"/>
    <w:rsid w:val="00724C91"/>
    <w:rsid w:val="00725103"/>
    <w:rsid w:val="00725532"/>
    <w:rsid w:val="00726B7B"/>
    <w:rsid w:val="00726C4A"/>
    <w:rsid w:val="00727109"/>
    <w:rsid w:val="00727143"/>
    <w:rsid w:val="007273AA"/>
    <w:rsid w:val="00727539"/>
    <w:rsid w:val="0073049B"/>
    <w:rsid w:val="0073169A"/>
    <w:rsid w:val="00731826"/>
    <w:rsid w:val="007329CD"/>
    <w:rsid w:val="00732B2C"/>
    <w:rsid w:val="00733343"/>
    <w:rsid w:val="0073356F"/>
    <w:rsid w:val="007353FF"/>
    <w:rsid w:val="007358A1"/>
    <w:rsid w:val="007358BE"/>
    <w:rsid w:val="007359C4"/>
    <w:rsid w:val="00735E78"/>
    <w:rsid w:val="00736B98"/>
    <w:rsid w:val="00740586"/>
    <w:rsid w:val="0074104D"/>
    <w:rsid w:val="00741546"/>
    <w:rsid w:val="00741ED4"/>
    <w:rsid w:val="00742B10"/>
    <w:rsid w:val="007439F2"/>
    <w:rsid w:val="00743CD7"/>
    <w:rsid w:val="007461D6"/>
    <w:rsid w:val="007461FE"/>
    <w:rsid w:val="00746204"/>
    <w:rsid w:val="00746515"/>
    <w:rsid w:val="00746CDF"/>
    <w:rsid w:val="00747138"/>
    <w:rsid w:val="0074769D"/>
    <w:rsid w:val="00747997"/>
    <w:rsid w:val="00747C9D"/>
    <w:rsid w:val="00750298"/>
    <w:rsid w:val="00750719"/>
    <w:rsid w:val="007514B1"/>
    <w:rsid w:val="00751DEC"/>
    <w:rsid w:val="007520FF"/>
    <w:rsid w:val="00752268"/>
    <w:rsid w:val="007526B1"/>
    <w:rsid w:val="0075357C"/>
    <w:rsid w:val="007537C9"/>
    <w:rsid w:val="00753B8D"/>
    <w:rsid w:val="00753E5E"/>
    <w:rsid w:val="007550C8"/>
    <w:rsid w:val="00755D26"/>
    <w:rsid w:val="00756D17"/>
    <w:rsid w:val="0075700C"/>
    <w:rsid w:val="00757313"/>
    <w:rsid w:val="007574E1"/>
    <w:rsid w:val="00757944"/>
    <w:rsid w:val="00757B9C"/>
    <w:rsid w:val="00757C3B"/>
    <w:rsid w:val="00757D2F"/>
    <w:rsid w:val="00757D68"/>
    <w:rsid w:val="00757F04"/>
    <w:rsid w:val="00760394"/>
    <w:rsid w:val="00760753"/>
    <w:rsid w:val="007612C2"/>
    <w:rsid w:val="00761301"/>
    <w:rsid w:val="00761399"/>
    <w:rsid w:val="00761B0C"/>
    <w:rsid w:val="00762267"/>
    <w:rsid w:val="0076228F"/>
    <w:rsid w:val="0076298B"/>
    <w:rsid w:val="00762BED"/>
    <w:rsid w:val="00762CB2"/>
    <w:rsid w:val="0076332B"/>
    <w:rsid w:val="00763446"/>
    <w:rsid w:val="00763A74"/>
    <w:rsid w:val="00763F02"/>
    <w:rsid w:val="00764775"/>
    <w:rsid w:val="00765065"/>
    <w:rsid w:val="00765954"/>
    <w:rsid w:val="00766352"/>
    <w:rsid w:val="00766C64"/>
    <w:rsid w:val="00766D8D"/>
    <w:rsid w:val="0076705C"/>
    <w:rsid w:val="00767851"/>
    <w:rsid w:val="0077007B"/>
    <w:rsid w:val="007700C8"/>
    <w:rsid w:val="007706E0"/>
    <w:rsid w:val="00770B33"/>
    <w:rsid w:val="00771429"/>
    <w:rsid w:val="007719E4"/>
    <w:rsid w:val="00771B65"/>
    <w:rsid w:val="00772272"/>
    <w:rsid w:val="007726B8"/>
    <w:rsid w:val="00772AC7"/>
    <w:rsid w:val="00772D0B"/>
    <w:rsid w:val="00773F5D"/>
    <w:rsid w:val="007743C7"/>
    <w:rsid w:val="00774483"/>
    <w:rsid w:val="0077513D"/>
    <w:rsid w:val="007757D4"/>
    <w:rsid w:val="0077586E"/>
    <w:rsid w:val="00775B28"/>
    <w:rsid w:val="00775EED"/>
    <w:rsid w:val="0077713F"/>
    <w:rsid w:val="007777DA"/>
    <w:rsid w:val="00777821"/>
    <w:rsid w:val="0077785A"/>
    <w:rsid w:val="00777AF1"/>
    <w:rsid w:val="00777F36"/>
    <w:rsid w:val="007791B5"/>
    <w:rsid w:val="0078063B"/>
    <w:rsid w:val="00781738"/>
    <w:rsid w:val="00781D67"/>
    <w:rsid w:val="0078283E"/>
    <w:rsid w:val="007829C8"/>
    <w:rsid w:val="00784F28"/>
    <w:rsid w:val="00784FB7"/>
    <w:rsid w:val="007851E6"/>
    <w:rsid w:val="00785624"/>
    <w:rsid w:val="00786160"/>
    <w:rsid w:val="007862A3"/>
    <w:rsid w:val="007866C4"/>
    <w:rsid w:val="0078721E"/>
    <w:rsid w:val="007874D3"/>
    <w:rsid w:val="00787AE9"/>
    <w:rsid w:val="00790B71"/>
    <w:rsid w:val="00791066"/>
    <w:rsid w:val="00792BD2"/>
    <w:rsid w:val="00792BF7"/>
    <w:rsid w:val="0079372B"/>
    <w:rsid w:val="00793888"/>
    <w:rsid w:val="00793A32"/>
    <w:rsid w:val="00794E70"/>
    <w:rsid w:val="00795002"/>
    <w:rsid w:val="0079523E"/>
    <w:rsid w:val="00795994"/>
    <w:rsid w:val="00795B33"/>
    <w:rsid w:val="00795E34"/>
    <w:rsid w:val="0079741F"/>
    <w:rsid w:val="007975D5"/>
    <w:rsid w:val="00797B2B"/>
    <w:rsid w:val="00797B9D"/>
    <w:rsid w:val="00797E71"/>
    <w:rsid w:val="007A0859"/>
    <w:rsid w:val="007A0C1E"/>
    <w:rsid w:val="007A26C0"/>
    <w:rsid w:val="007A2BD1"/>
    <w:rsid w:val="007A34E7"/>
    <w:rsid w:val="007A40B9"/>
    <w:rsid w:val="007A453C"/>
    <w:rsid w:val="007A50AB"/>
    <w:rsid w:val="007A641E"/>
    <w:rsid w:val="007A6844"/>
    <w:rsid w:val="007A7563"/>
    <w:rsid w:val="007A7A99"/>
    <w:rsid w:val="007A7AFD"/>
    <w:rsid w:val="007A7B8D"/>
    <w:rsid w:val="007A7BEC"/>
    <w:rsid w:val="007A7C65"/>
    <w:rsid w:val="007B011E"/>
    <w:rsid w:val="007B0B9A"/>
    <w:rsid w:val="007B0E32"/>
    <w:rsid w:val="007B1562"/>
    <w:rsid w:val="007B198D"/>
    <w:rsid w:val="007B1B2B"/>
    <w:rsid w:val="007B2284"/>
    <w:rsid w:val="007B240D"/>
    <w:rsid w:val="007B29BD"/>
    <w:rsid w:val="007B2E7F"/>
    <w:rsid w:val="007B2FDE"/>
    <w:rsid w:val="007B3044"/>
    <w:rsid w:val="007B3556"/>
    <w:rsid w:val="007B36D3"/>
    <w:rsid w:val="007B3FF5"/>
    <w:rsid w:val="007B435D"/>
    <w:rsid w:val="007B5675"/>
    <w:rsid w:val="007B59D0"/>
    <w:rsid w:val="007B5A3D"/>
    <w:rsid w:val="007B66CE"/>
    <w:rsid w:val="007B69DE"/>
    <w:rsid w:val="007B6AA0"/>
    <w:rsid w:val="007C0331"/>
    <w:rsid w:val="007C045E"/>
    <w:rsid w:val="007C064F"/>
    <w:rsid w:val="007C09FB"/>
    <w:rsid w:val="007C1269"/>
    <w:rsid w:val="007C155E"/>
    <w:rsid w:val="007C17B5"/>
    <w:rsid w:val="007C2828"/>
    <w:rsid w:val="007C2A25"/>
    <w:rsid w:val="007C3102"/>
    <w:rsid w:val="007C350E"/>
    <w:rsid w:val="007C38CE"/>
    <w:rsid w:val="007C3E02"/>
    <w:rsid w:val="007C45D2"/>
    <w:rsid w:val="007C46DD"/>
    <w:rsid w:val="007C4D28"/>
    <w:rsid w:val="007C51A7"/>
    <w:rsid w:val="007C5494"/>
    <w:rsid w:val="007C554A"/>
    <w:rsid w:val="007C700D"/>
    <w:rsid w:val="007C7FA6"/>
    <w:rsid w:val="007D0060"/>
    <w:rsid w:val="007D04B5"/>
    <w:rsid w:val="007D0654"/>
    <w:rsid w:val="007D069F"/>
    <w:rsid w:val="007D0A33"/>
    <w:rsid w:val="007D0D12"/>
    <w:rsid w:val="007D21C3"/>
    <w:rsid w:val="007D261C"/>
    <w:rsid w:val="007D3BDB"/>
    <w:rsid w:val="007D4127"/>
    <w:rsid w:val="007D42F1"/>
    <w:rsid w:val="007D5487"/>
    <w:rsid w:val="007D54A1"/>
    <w:rsid w:val="007D62AF"/>
    <w:rsid w:val="007D6DD1"/>
    <w:rsid w:val="007D71C8"/>
    <w:rsid w:val="007D74F4"/>
    <w:rsid w:val="007D751A"/>
    <w:rsid w:val="007D78DC"/>
    <w:rsid w:val="007D7DC5"/>
    <w:rsid w:val="007D7EBB"/>
    <w:rsid w:val="007D7F06"/>
    <w:rsid w:val="007E013E"/>
    <w:rsid w:val="007E0552"/>
    <w:rsid w:val="007E06D7"/>
    <w:rsid w:val="007E09CB"/>
    <w:rsid w:val="007E11D7"/>
    <w:rsid w:val="007E13E5"/>
    <w:rsid w:val="007E1553"/>
    <w:rsid w:val="007E1608"/>
    <w:rsid w:val="007E1A5F"/>
    <w:rsid w:val="007E1B8B"/>
    <w:rsid w:val="007E1BE7"/>
    <w:rsid w:val="007E205A"/>
    <w:rsid w:val="007E224C"/>
    <w:rsid w:val="007E2386"/>
    <w:rsid w:val="007E2CB8"/>
    <w:rsid w:val="007E3103"/>
    <w:rsid w:val="007E31EF"/>
    <w:rsid w:val="007E3671"/>
    <w:rsid w:val="007E3727"/>
    <w:rsid w:val="007E3A11"/>
    <w:rsid w:val="007E3CB6"/>
    <w:rsid w:val="007E3E04"/>
    <w:rsid w:val="007E4148"/>
    <w:rsid w:val="007E45D0"/>
    <w:rsid w:val="007E4BF1"/>
    <w:rsid w:val="007E52B5"/>
    <w:rsid w:val="007E5411"/>
    <w:rsid w:val="007E5FDB"/>
    <w:rsid w:val="007E6675"/>
    <w:rsid w:val="007E68C7"/>
    <w:rsid w:val="007E6B84"/>
    <w:rsid w:val="007E6EF3"/>
    <w:rsid w:val="007E7194"/>
    <w:rsid w:val="007E7425"/>
    <w:rsid w:val="007E777C"/>
    <w:rsid w:val="007E7FBD"/>
    <w:rsid w:val="007F0FD9"/>
    <w:rsid w:val="007F2771"/>
    <w:rsid w:val="007F2793"/>
    <w:rsid w:val="007F2871"/>
    <w:rsid w:val="007F2FD5"/>
    <w:rsid w:val="007F382D"/>
    <w:rsid w:val="007F39C9"/>
    <w:rsid w:val="007F3AA8"/>
    <w:rsid w:val="007F46E0"/>
    <w:rsid w:val="007F47BB"/>
    <w:rsid w:val="007F4845"/>
    <w:rsid w:val="007F4FDA"/>
    <w:rsid w:val="007F5888"/>
    <w:rsid w:val="007F5BAA"/>
    <w:rsid w:val="007F6386"/>
    <w:rsid w:val="007F640E"/>
    <w:rsid w:val="007F64A8"/>
    <w:rsid w:val="007F6B7D"/>
    <w:rsid w:val="007F702F"/>
    <w:rsid w:val="007F7288"/>
    <w:rsid w:val="007F76D4"/>
    <w:rsid w:val="007F7A7A"/>
    <w:rsid w:val="00800044"/>
    <w:rsid w:val="008004DF"/>
    <w:rsid w:val="008006F8"/>
    <w:rsid w:val="008009C9"/>
    <w:rsid w:val="00800CC0"/>
    <w:rsid w:val="0080124A"/>
    <w:rsid w:val="00801959"/>
    <w:rsid w:val="00801DA3"/>
    <w:rsid w:val="00801EAA"/>
    <w:rsid w:val="008027AF"/>
    <w:rsid w:val="00802AEC"/>
    <w:rsid w:val="00802BED"/>
    <w:rsid w:val="008037DB"/>
    <w:rsid w:val="00803C66"/>
    <w:rsid w:val="0080406D"/>
    <w:rsid w:val="008055AC"/>
    <w:rsid w:val="00805780"/>
    <w:rsid w:val="00806184"/>
    <w:rsid w:val="00806EC4"/>
    <w:rsid w:val="00806EEF"/>
    <w:rsid w:val="0080729C"/>
    <w:rsid w:val="00807621"/>
    <w:rsid w:val="00807974"/>
    <w:rsid w:val="00807F4F"/>
    <w:rsid w:val="00810A19"/>
    <w:rsid w:val="00810B26"/>
    <w:rsid w:val="00812064"/>
    <w:rsid w:val="0081210C"/>
    <w:rsid w:val="00812842"/>
    <w:rsid w:val="00812BB3"/>
    <w:rsid w:val="00812CAC"/>
    <w:rsid w:val="00813942"/>
    <w:rsid w:val="0081418B"/>
    <w:rsid w:val="008143ED"/>
    <w:rsid w:val="00814F91"/>
    <w:rsid w:val="008152D8"/>
    <w:rsid w:val="00815CD5"/>
    <w:rsid w:val="0081681C"/>
    <w:rsid w:val="0081687D"/>
    <w:rsid w:val="008171E9"/>
    <w:rsid w:val="00817291"/>
    <w:rsid w:val="008175F8"/>
    <w:rsid w:val="008176E2"/>
    <w:rsid w:val="00817A6F"/>
    <w:rsid w:val="00817CE5"/>
    <w:rsid w:val="00820023"/>
    <w:rsid w:val="00820764"/>
    <w:rsid w:val="00821729"/>
    <w:rsid w:val="00821A1A"/>
    <w:rsid w:val="00821EDA"/>
    <w:rsid w:val="00822533"/>
    <w:rsid w:val="008226A0"/>
    <w:rsid w:val="0082343D"/>
    <w:rsid w:val="008234AB"/>
    <w:rsid w:val="008235CF"/>
    <w:rsid w:val="008236ED"/>
    <w:rsid w:val="008237CF"/>
    <w:rsid w:val="00823B95"/>
    <w:rsid w:val="00824585"/>
    <w:rsid w:val="00824A14"/>
    <w:rsid w:val="008257B7"/>
    <w:rsid w:val="00826D98"/>
    <w:rsid w:val="00826DD4"/>
    <w:rsid w:val="00827107"/>
    <w:rsid w:val="0082729D"/>
    <w:rsid w:val="00827FC6"/>
    <w:rsid w:val="0083052A"/>
    <w:rsid w:val="008307D6"/>
    <w:rsid w:val="008308E0"/>
    <w:rsid w:val="00831157"/>
    <w:rsid w:val="00831B58"/>
    <w:rsid w:val="00831F51"/>
    <w:rsid w:val="0083234A"/>
    <w:rsid w:val="00832A37"/>
    <w:rsid w:val="00832ADE"/>
    <w:rsid w:val="00832E1C"/>
    <w:rsid w:val="008330DC"/>
    <w:rsid w:val="00833106"/>
    <w:rsid w:val="00833756"/>
    <w:rsid w:val="00833EAD"/>
    <w:rsid w:val="0083447A"/>
    <w:rsid w:val="0083474E"/>
    <w:rsid w:val="0083486B"/>
    <w:rsid w:val="00834C63"/>
    <w:rsid w:val="008356C2"/>
    <w:rsid w:val="0083580A"/>
    <w:rsid w:val="00835962"/>
    <w:rsid w:val="00835CAD"/>
    <w:rsid w:val="00836537"/>
    <w:rsid w:val="00836A0F"/>
    <w:rsid w:val="00836A41"/>
    <w:rsid w:val="00837A1D"/>
    <w:rsid w:val="00837CDE"/>
    <w:rsid w:val="008414F5"/>
    <w:rsid w:val="008419C2"/>
    <w:rsid w:val="00841CC2"/>
    <w:rsid w:val="00841D51"/>
    <w:rsid w:val="00842BD1"/>
    <w:rsid w:val="00843E42"/>
    <w:rsid w:val="00844641"/>
    <w:rsid w:val="008452B5"/>
    <w:rsid w:val="0084568A"/>
    <w:rsid w:val="00845F36"/>
    <w:rsid w:val="008460C0"/>
    <w:rsid w:val="00846241"/>
    <w:rsid w:val="00846317"/>
    <w:rsid w:val="00847B67"/>
    <w:rsid w:val="00847E31"/>
    <w:rsid w:val="0085166E"/>
    <w:rsid w:val="008520C8"/>
    <w:rsid w:val="008520DD"/>
    <w:rsid w:val="00852207"/>
    <w:rsid w:val="00852394"/>
    <w:rsid w:val="00852971"/>
    <w:rsid w:val="00853184"/>
    <w:rsid w:val="00853DC3"/>
    <w:rsid w:val="0085432A"/>
    <w:rsid w:val="00854D04"/>
    <w:rsid w:val="008550A9"/>
    <w:rsid w:val="00855730"/>
    <w:rsid w:val="008557F1"/>
    <w:rsid w:val="00855A1B"/>
    <w:rsid w:val="0085611F"/>
    <w:rsid w:val="00856940"/>
    <w:rsid w:val="00856C87"/>
    <w:rsid w:val="00856F9F"/>
    <w:rsid w:val="008570EF"/>
    <w:rsid w:val="00857437"/>
    <w:rsid w:val="00857D20"/>
    <w:rsid w:val="00857FBA"/>
    <w:rsid w:val="008601DE"/>
    <w:rsid w:val="00861319"/>
    <w:rsid w:val="008614E8"/>
    <w:rsid w:val="00861624"/>
    <w:rsid w:val="00861C1C"/>
    <w:rsid w:val="00861C53"/>
    <w:rsid w:val="00862291"/>
    <w:rsid w:val="008623F5"/>
    <w:rsid w:val="008629A7"/>
    <w:rsid w:val="008632ED"/>
    <w:rsid w:val="008636D6"/>
    <w:rsid w:val="008637CF"/>
    <w:rsid w:val="00863C52"/>
    <w:rsid w:val="00864480"/>
    <w:rsid w:val="00864B8E"/>
    <w:rsid w:val="00864CB5"/>
    <w:rsid w:val="00864D88"/>
    <w:rsid w:val="00864E56"/>
    <w:rsid w:val="00864FA3"/>
    <w:rsid w:val="00864FD0"/>
    <w:rsid w:val="008652AE"/>
    <w:rsid w:val="008652CF"/>
    <w:rsid w:val="00865AF6"/>
    <w:rsid w:val="00865D19"/>
    <w:rsid w:val="0086632C"/>
    <w:rsid w:val="008664E6"/>
    <w:rsid w:val="008665FB"/>
    <w:rsid w:val="00866B04"/>
    <w:rsid w:val="00866E43"/>
    <w:rsid w:val="00867E4E"/>
    <w:rsid w:val="0087139A"/>
    <w:rsid w:val="00872061"/>
    <w:rsid w:val="00872145"/>
    <w:rsid w:val="0087234D"/>
    <w:rsid w:val="00872E35"/>
    <w:rsid w:val="00872E66"/>
    <w:rsid w:val="00873AF4"/>
    <w:rsid w:val="00873D3F"/>
    <w:rsid w:val="008746F7"/>
    <w:rsid w:val="00874775"/>
    <w:rsid w:val="008748E6"/>
    <w:rsid w:val="00874C3F"/>
    <w:rsid w:val="00874C65"/>
    <w:rsid w:val="00874D3A"/>
    <w:rsid w:val="00874F0C"/>
    <w:rsid w:val="008755A0"/>
    <w:rsid w:val="008755C6"/>
    <w:rsid w:val="00876A8A"/>
    <w:rsid w:val="00876D5D"/>
    <w:rsid w:val="00876FD6"/>
    <w:rsid w:val="00877104"/>
    <w:rsid w:val="008774C7"/>
    <w:rsid w:val="0088034C"/>
    <w:rsid w:val="00880946"/>
    <w:rsid w:val="00881601"/>
    <w:rsid w:val="00882480"/>
    <w:rsid w:val="00882915"/>
    <w:rsid w:val="008829D6"/>
    <w:rsid w:val="00883040"/>
    <w:rsid w:val="0088382E"/>
    <w:rsid w:val="00883984"/>
    <w:rsid w:val="00883C68"/>
    <w:rsid w:val="00883F14"/>
    <w:rsid w:val="0088474D"/>
    <w:rsid w:val="00884D0A"/>
    <w:rsid w:val="008855D8"/>
    <w:rsid w:val="008857B8"/>
    <w:rsid w:val="008859DB"/>
    <w:rsid w:val="008859FA"/>
    <w:rsid w:val="00886080"/>
    <w:rsid w:val="0088627A"/>
    <w:rsid w:val="00886AD3"/>
    <w:rsid w:val="00886C82"/>
    <w:rsid w:val="00887170"/>
    <w:rsid w:val="00887571"/>
    <w:rsid w:val="00891338"/>
    <w:rsid w:val="00891548"/>
    <w:rsid w:val="00891564"/>
    <w:rsid w:val="00891623"/>
    <w:rsid w:val="0089189E"/>
    <w:rsid w:val="00891D2A"/>
    <w:rsid w:val="00891F4B"/>
    <w:rsid w:val="00892B5F"/>
    <w:rsid w:val="00893AC4"/>
    <w:rsid w:val="00893E73"/>
    <w:rsid w:val="00893EF3"/>
    <w:rsid w:val="00894007"/>
    <w:rsid w:val="0089404F"/>
    <w:rsid w:val="00894242"/>
    <w:rsid w:val="008942A9"/>
    <w:rsid w:val="0089447B"/>
    <w:rsid w:val="00894A52"/>
    <w:rsid w:val="008950B1"/>
    <w:rsid w:val="00896DD1"/>
    <w:rsid w:val="00896F45"/>
    <w:rsid w:val="008975EF"/>
    <w:rsid w:val="0089799E"/>
    <w:rsid w:val="008979C0"/>
    <w:rsid w:val="00897B1E"/>
    <w:rsid w:val="008A0090"/>
    <w:rsid w:val="008A0E6A"/>
    <w:rsid w:val="008A11E3"/>
    <w:rsid w:val="008A1F8F"/>
    <w:rsid w:val="008A22E4"/>
    <w:rsid w:val="008A2D69"/>
    <w:rsid w:val="008A36A3"/>
    <w:rsid w:val="008A3E17"/>
    <w:rsid w:val="008A42F9"/>
    <w:rsid w:val="008A5EB3"/>
    <w:rsid w:val="008A5F75"/>
    <w:rsid w:val="008A6A9B"/>
    <w:rsid w:val="008A7058"/>
    <w:rsid w:val="008A796D"/>
    <w:rsid w:val="008B0CAC"/>
    <w:rsid w:val="008B0D44"/>
    <w:rsid w:val="008B0DC2"/>
    <w:rsid w:val="008B19B2"/>
    <w:rsid w:val="008B1D86"/>
    <w:rsid w:val="008B2109"/>
    <w:rsid w:val="008B2198"/>
    <w:rsid w:val="008B2790"/>
    <w:rsid w:val="008B28F4"/>
    <w:rsid w:val="008B3097"/>
    <w:rsid w:val="008B3657"/>
    <w:rsid w:val="008B3D57"/>
    <w:rsid w:val="008B4350"/>
    <w:rsid w:val="008B435A"/>
    <w:rsid w:val="008B4CE7"/>
    <w:rsid w:val="008B52E7"/>
    <w:rsid w:val="008B541B"/>
    <w:rsid w:val="008B553A"/>
    <w:rsid w:val="008B58BB"/>
    <w:rsid w:val="008B6310"/>
    <w:rsid w:val="008B63E2"/>
    <w:rsid w:val="008B6C2B"/>
    <w:rsid w:val="008B74D1"/>
    <w:rsid w:val="008B75CC"/>
    <w:rsid w:val="008B7C40"/>
    <w:rsid w:val="008B7F68"/>
    <w:rsid w:val="008C0425"/>
    <w:rsid w:val="008C0482"/>
    <w:rsid w:val="008C0572"/>
    <w:rsid w:val="008C0E99"/>
    <w:rsid w:val="008C1A48"/>
    <w:rsid w:val="008C2A16"/>
    <w:rsid w:val="008C2A60"/>
    <w:rsid w:val="008C2E3E"/>
    <w:rsid w:val="008C328C"/>
    <w:rsid w:val="008C46D6"/>
    <w:rsid w:val="008C4985"/>
    <w:rsid w:val="008C4AD7"/>
    <w:rsid w:val="008C4DFD"/>
    <w:rsid w:val="008C5CF4"/>
    <w:rsid w:val="008C6851"/>
    <w:rsid w:val="008C6862"/>
    <w:rsid w:val="008C6CED"/>
    <w:rsid w:val="008C6FB3"/>
    <w:rsid w:val="008C7B53"/>
    <w:rsid w:val="008C7E20"/>
    <w:rsid w:val="008D080C"/>
    <w:rsid w:val="008D0C44"/>
    <w:rsid w:val="008D16D2"/>
    <w:rsid w:val="008D2037"/>
    <w:rsid w:val="008D218F"/>
    <w:rsid w:val="008D2B0A"/>
    <w:rsid w:val="008D2DFA"/>
    <w:rsid w:val="008D2E66"/>
    <w:rsid w:val="008D2FE2"/>
    <w:rsid w:val="008D3116"/>
    <w:rsid w:val="008D35EE"/>
    <w:rsid w:val="008D4410"/>
    <w:rsid w:val="008D4F8D"/>
    <w:rsid w:val="008D500A"/>
    <w:rsid w:val="008D5A62"/>
    <w:rsid w:val="008D5B84"/>
    <w:rsid w:val="008D6BAA"/>
    <w:rsid w:val="008D76C5"/>
    <w:rsid w:val="008D7A3D"/>
    <w:rsid w:val="008D7E42"/>
    <w:rsid w:val="008E05ED"/>
    <w:rsid w:val="008E06C3"/>
    <w:rsid w:val="008E0E42"/>
    <w:rsid w:val="008E0FF8"/>
    <w:rsid w:val="008E15FD"/>
    <w:rsid w:val="008E183E"/>
    <w:rsid w:val="008E2F7C"/>
    <w:rsid w:val="008E3092"/>
    <w:rsid w:val="008E3C49"/>
    <w:rsid w:val="008E4A45"/>
    <w:rsid w:val="008E5258"/>
    <w:rsid w:val="008E56A6"/>
    <w:rsid w:val="008E6EBD"/>
    <w:rsid w:val="008E7005"/>
    <w:rsid w:val="008F010C"/>
    <w:rsid w:val="008F0777"/>
    <w:rsid w:val="008F0D0D"/>
    <w:rsid w:val="008F0F19"/>
    <w:rsid w:val="008F22F0"/>
    <w:rsid w:val="008F3204"/>
    <w:rsid w:val="008F3CD3"/>
    <w:rsid w:val="008F3EE3"/>
    <w:rsid w:val="008F44AD"/>
    <w:rsid w:val="008F4848"/>
    <w:rsid w:val="008F4A81"/>
    <w:rsid w:val="008F4AE1"/>
    <w:rsid w:val="008F74A5"/>
    <w:rsid w:val="008F7C9C"/>
    <w:rsid w:val="00900BAC"/>
    <w:rsid w:val="00901C29"/>
    <w:rsid w:val="00901E7F"/>
    <w:rsid w:val="0090239C"/>
    <w:rsid w:val="0090260A"/>
    <w:rsid w:val="00902AC8"/>
    <w:rsid w:val="00902BE9"/>
    <w:rsid w:val="00902E6C"/>
    <w:rsid w:val="0090318D"/>
    <w:rsid w:val="00903865"/>
    <w:rsid w:val="00903EBA"/>
    <w:rsid w:val="00903EEF"/>
    <w:rsid w:val="009057B1"/>
    <w:rsid w:val="00906356"/>
    <w:rsid w:val="00906B69"/>
    <w:rsid w:val="009079E9"/>
    <w:rsid w:val="00907D57"/>
    <w:rsid w:val="009102DF"/>
    <w:rsid w:val="00910554"/>
    <w:rsid w:val="00910B9C"/>
    <w:rsid w:val="0091331D"/>
    <w:rsid w:val="009133D2"/>
    <w:rsid w:val="009138D3"/>
    <w:rsid w:val="00913C2E"/>
    <w:rsid w:val="00914155"/>
    <w:rsid w:val="0091479E"/>
    <w:rsid w:val="00915567"/>
    <w:rsid w:val="009155C5"/>
    <w:rsid w:val="00915975"/>
    <w:rsid w:val="0091702F"/>
    <w:rsid w:val="00917A63"/>
    <w:rsid w:val="00917DF5"/>
    <w:rsid w:val="00917EDF"/>
    <w:rsid w:val="00920396"/>
    <w:rsid w:val="0092086F"/>
    <w:rsid w:val="00920A31"/>
    <w:rsid w:val="00920D73"/>
    <w:rsid w:val="00921434"/>
    <w:rsid w:val="00921670"/>
    <w:rsid w:val="00922C4C"/>
    <w:rsid w:val="00922E8F"/>
    <w:rsid w:val="00922F0F"/>
    <w:rsid w:val="00923C4F"/>
    <w:rsid w:val="00923F5E"/>
    <w:rsid w:val="00924788"/>
    <w:rsid w:val="009249F5"/>
    <w:rsid w:val="00924CDB"/>
    <w:rsid w:val="00924DC1"/>
    <w:rsid w:val="00925437"/>
    <w:rsid w:val="00925477"/>
    <w:rsid w:val="009254A6"/>
    <w:rsid w:val="00925C86"/>
    <w:rsid w:val="00926506"/>
    <w:rsid w:val="0092686C"/>
    <w:rsid w:val="00926883"/>
    <w:rsid w:val="00927A5F"/>
    <w:rsid w:val="00927E9C"/>
    <w:rsid w:val="00927F8A"/>
    <w:rsid w:val="00931503"/>
    <w:rsid w:val="00931C3C"/>
    <w:rsid w:val="00931D86"/>
    <w:rsid w:val="009322E3"/>
    <w:rsid w:val="009323A7"/>
    <w:rsid w:val="009329E7"/>
    <w:rsid w:val="00932BFA"/>
    <w:rsid w:val="009339EA"/>
    <w:rsid w:val="00933A79"/>
    <w:rsid w:val="00933CAB"/>
    <w:rsid w:val="00933CE9"/>
    <w:rsid w:val="00933DA4"/>
    <w:rsid w:val="009344C1"/>
    <w:rsid w:val="0093529A"/>
    <w:rsid w:val="00936516"/>
    <w:rsid w:val="00936E30"/>
    <w:rsid w:val="00937046"/>
    <w:rsid w:val="00937AD6"/>
    <w:rsid w:val="00937D70"/>
    <w:rsid w:val="00940337"/>
    <w:rsid w:val="00940B71"/>
    <w:rsid w:val="00941081"/>
    <w:rsid w:val="00941E69"/>
    <w:rsid w:val="00941FAE"/>
    <w:rsid w:val="00942481"/>
    <w:rsid w:val="00943516"/>
    <w:rsid w:val="0094365C"/>
    <w:rsid w:val="00943E98"/>
    <w:rsid w:val="00944174"/>
    <w:rsid w:val="00944342"/>
    <w:rsid w:val="0094471C"/>
    <w:rsid w:val="00944C71"/>
    <w:rsid w:val="009454A5"/>
    <w:rsid w:val="00946B98"/>
    <w:rsid w:val="00946F1A"/>
    <w:rsid w:val="00947820"/>
    <w:rsid w:val="009478D5"/>
    <w:rsid w:val="009501F7"/>
    <w:rsid w:val="009502C6"/>
    <w:rsid w:val="0095055A"/>
    <w:rsid w:val="0095144F"/>
    <w:rsid w:val="00951A07"/>
    <w:rsid w:val="009521D4"/>
    <w:rsid w:val="00952481"/>
    <w:rsid w:val="00952883"/>
    <w:rsid w:val="00953B3C"/>
    <w:rsid w:val="00953E71"/>
    <w:rsid w:val="00954E9A"/>
    <w:rsid w:val="0095505E"/>
    <w:rsid w:val="00955D63"/>
    <w:rsid w:val="00955F51"/>
    <w:rsid w:val="009560A9"/>
    <w:rsid w:val="0095661E"/>
    <w:rsid w:val="0095732F"/>
    <w:rsid w:val="009577EA"/>
    <w:rsid w:val="0096080B"/>
    <w:rsid w:val="00960F38"/>
    <w:rsid w:val="00961384"/>
    <w:rsid w:val="00961675"/>
    <w:rsid w:val="0096178A"/>
    <w:rsid w:val="00961AB8"/>
    <w:rsid w:val="00962259"/>
    <w:rsid w:val="009623DB"/>
    <w:rsid w:val="00962C4F"/>
    <w:rsid w:val="00962DC5"/>
    <w:rsid w:val="00962F0B"/>
    <w:rsid w:val="00962F8B"/>
    <w:rsid w:val="009634F8"/>
    <w:rsid w:val="00963CB4"/>
    <w:rsid w:val="0096415E"/>
    <w:rsid w:val="00964BB3"/>
    <w:rsid w:val="009653D1"/>
    <w:rsid w:val="00965449"/>
    <w:rsid w:val="00966258"/>
    <w:rsid w:val="0096641C"/>
    <w:rsid w:val="009665C9"/>
    <w:rsid w:val="00966677"/>
    <w:rsid w:val="0097045D"/>
    <w:rsid w:val="00970C35"/>
    <w:rsid w:val="009711F9"/>
    <w:rsid w:val="00971217"/>
    <w:rsid w:val="009715B0"/>
    <w:rsid w:val="00972AE3"/>
    <w:rsid w:val="00973382"/>
    <w:rsid w:val="00973645"/>
    <w:rsid w:val="0097377E"/>
    <w:rsid w:val="00973A73"/>
    <w:rsid w:val="00973CE1"/>
    <w:rsid w:val="00973DA4"/>
    <w:rsid w:val="009745B8"/>
    <w:rsid w:val="009746E4"/>
    <w:rsid w:val="00974B9A"/>
    <w:rsid w:val="00975840"/>
    <w:rsid w:val="00975AEF"/>
    <w:rsid w:val="00975CBE"/>
    <w:rsid w:val="00975E27"/>
    <w:rsid w:val="00976181"/>
    <w:rsid w:val="00976650"/>
    <w:rsid w:val="009768E4"/>
    <w:rsid w:val="00976EF1"/>
    <w:rsid w:val="0097733A"/>
    <w:rsid w:val="00977F70"/>
    <w:rsid w:val="00980CAA"/>
    <w:rsid w:val="00980E71"/>
    <w:rsid w:val="009829B5"/>
    <w:rsid w:val="00982CF9"/>
    <w:rsid w:val="00982FB9"/>
    <w:rsid w:val="00983240"/>
    <w:rsid w:val="00984505"/>
    <w:rsid w:val="0098458B"/>
    <w:rsid w:val="009846E9"/>
    <w:rsid w:val="00984980"/>
    <w:rsid w:val="00985965"/>
    <w:rsid w:val="0098603C"/>
    <w:rsid w:val="00986D38"/>
    <w:rsid w:val="009879F0"/>
    <w:rsid w:val="00987EFB"/>
    <w:rsid w:val="00990556"/>
    <w:rsid w:val="009909B8"/>
    <w:rsid w:val="00991572"/>
    <w:rsid w:val="0099180F"/>
    <w:rsid w:val="009919FE"/>
    <w:rsid w:val="00991B6F"/>
    <w:rsid w:val="0099279C"/>
    <w:rsid w:val="00993249"/>
    <w:rsid w:val="00993BBB"/>
    <w:rsid w:val="00994076"/>
    <w:rsid w:val="009944E0"/>
    <w:rsid w:val="00994648"/>
    <w:rsid w:val="0099464C"/>
    <w:rsid w:val="009947B3"/>
    <w:rsid w:val="009947D3"/>
    <w:rsid w:val="00994B46"/>
    <w:rsid w:val="00994D59"/>
    <w:rsid w:val="00996D05"/>
    <w:rsid w:val="009974C2"/>
    <w:rsid w:val="009974E8"/>
    <w:rsid w:val="00997B16"/>
    <w:rsid w:val="00997D7C"/>
    <w:rsid w:val="00997DCD"/>
    <w:rsid w:val="0099E511"/>
    <w:rsid w:val="009A1156"/>
    <w:rsid w:val="009A1AC3"/>
    <w:rsid w:val="009A1B43"/>
    <w:rsid w:val="009A28C0"/>
    <w:rsid w:val="009A2D3B"/>
    <w:rsid w:val="009A2D68"/>
    <w:rsid w:val="009A396E"/>
    <w:rsid w:val="009A3CAE"/>
    <w:rsid w:val="009A3F2C"/>
    <w:rsid w:val="009A491F"/>
    <w:rsid w:val="009A4D37"/>
    <w:rsid w:val="009A5A5F"/>
    <w:rsid w:val="009A5C9B"/>
    <w:rsid w:val="009A6658"/>
    <w:rsid w:val="009A6B96"/>
    <w:rsid w:val="009A74FE"/>
    <w:rsid w:val="009A7E8D"/>
    <w:rsid w:val="009B00EC"/>
    <w:rsid w:val="009B051B"/>
    <w:rsid w:val="009B1703"/>
    <w:rsid w:val="009B1B2F"/>
    <w:rsid w:val="009B22EC"/>
    <w:rsid w:val="009B2557"/>
    <w:rsid w:val="009B2B35"/>
    <w:rsid w:val="009B2DB7"/>
    <w:rsid w:val="009B3615"/>
    <w:rsid w:val="009B36B8"/>
    <w:rsid w:val="009B36E6"/>
    <w:rsid w:val="009B371A"/>
    <w:rsid w:val="009B3EF9"/>
    <w:rsid w:val="009B3F1B"/>
    <w:rsid w:val="009B40BC"/>
    <w:rsid w:val="009B444E"/>
    <w:rsid w:val="009B4B54"/>
    <w:rsid w:val="009B4CEA"/>
    <w:rsid w:val="009B5058"/>
    <w:rsid w:val="009B5085"/>
    <w:rsid w:val="009B5226"/>
    <w:rsid w:val="009B61AF"/>
    <w:rsid w:val="009B65BE"/>
    <w:rsid w:val="009B71CB"/>
    <w:rsid w:val="009B765B"/>
    <w:rsid w:val="009C0D16"/>
    <w:rsid w:val="009C0E67"/>
    <w:rsid w:val="009C1454"/>
    <w:rsid w:val="009C33FC"/>
    <w:rsid w:val="009C39A7"/>
    <w:rsid w:val="009C43D6"/>
    <w:rsid w:val="009C4AFD"/>
    <w:rsid w:val="009C4CB5"/>
    <w:rsid w:val="009C4CC8"/>
    <w:rsid w:val="009C6F2B"/>
    <w:rsid w:val="009C6FC4"/>
    <w:rsid w:val="009C7867"/>
    <w:rsid w:val="009C7A10"/>
    <w:rsid w:val="009C7A55"/>
    <w:rsid w:val="009D089A"/>
    <w:rsid w:val="009D091A"/>
    <w:rsid w:val="009D0E24"/>
    <w:rsid w:val="009D1BF1"/>
    <w:rsid w:val="009D25FC"/>
    <w:rsid w:val="009D29A7"/>
    <w:rsid w:val="009D2E87"/>
    <w:rsid w:val="009D3762"/>
    <w:rsid w:val="009D3779"/>
    <w:rsid w:val="009D3FA4"/>
    <w:rsid w:val="009D4243"/>
    <w:rsid w:val="009D44A0"/>
    <w:rsid w:val="009D4E21"/>
    <w:rsid w:val="009D4EBB"/>
    <w:rsid w:val="009D4F7A"/>
    <w:rsid w:val="009D521B"/>
    <w:rsid w:val="009D58B4"/>
    <w:rsid w:val="009D5972"/>
    <w:rsid w:val="009D6117"/>
    <w:rsid w:val="009D7A27"/>
    <w:rsid w:val="009D7A7D"/>
    <w:rsid w:val="009D7C64"/>
    <w:rsid w:val="009E024C"/>
    <w:rsid w:val="009E02C3"/>
    <w:rsid w:val="009E064A"/>
    <w:rsid w:val="009E0722"/>
    <w:rsid w:val="009E1767"/>
    <w:rsid w:val="009E1CF1"/>
    <w:rsid w:val="009E1EB4"/>
    <w:rsid w:val="009E2106"/>
    <w:rsid w:val="009E2136"/>
    <w:rsid w:val="009E2948"/>
    <w:rsid w:val="009E29D9"/>
    <w:rsid w:val="009E32C8"/>
    <w:rsid w:val="009E35CC"/>
    <w:rsid w:val="009E3A3E"/>
    <w:rsid w:val="009E3D01"/>
    <w:rsid w:val="009E404F"/>
    <w:rsid w:val="009E4679"/>
    <w:rsid w:val="009E5077"/>
    <w:rsid w:val="009E5573"/>
    <w:rsid w:val="009E5B2D"/>
    <w:rsid w:val="009E6736"/>
    <w:rsid w:val="009F08FE"/>
    <w:rsid w:val="009F12E9"/>
    <w:rsid w:val="009F13CC"/>
    <w:rsid w:val="009F2247"/>
    <w:rsid w:val="009F2AAA"/>
    <w:rsid w:val="009F32A7"/>
    <w:rsid w:val="009F38BC"/>
    <w:rsid w:val="009F3CD8"/>
    <w:rsid w:val="009F4415"/>
    <w:rsid w:val="009F5026"/>
    <w:rsid w:val="009F5196"/>
    <w:rsid w:val="009F5A9D"/>
    <w:rsid w:val="009F6D04"/>
    <w:rsid w:val="009F6D1F"/>
    <w:rsid w:val="009F6E21"/>
    <w:rsid w:val="009F73D1"/>
    <w:rsid w:val="009F7BCF"/>
    <w:rsid w:val="009F7E84"/>
    <w:rsid w:val="00A0097E"/>
    <w:rsid w:val="00A015C1"/>
    <w:rsid w:val="00A016F2"/>
    <w:rsid w:val="00A01DA9"/>
    <w:rsid w:val="00A025F0"/>
    <w:rsid w:val="00A03B9A"/>
    <w:rsid w:val="00A03BC7"/>
    <w:rsid w:val="00A03C1D"/>
    <w:rsid w:val="00A03C3E"/>
    <w:rsid w:val="00A03DBF"/>
    <w:rsid w:val="00A03FEC"/>
    <w:rsid w:val="00A0408D"/>
    <w:rsid w:val="00A0413B"/>
    <w:rsid w:val="00A04268"/>
    <w:rsid w:val="00A043F6"/>
    <w:rsid w:val="00A0446F"/>
    <w:rsid w:val="00A04867"/>
    <w:rsid w:val="00A04FE1"/>
    <w:rsid w:val="00A05A00"/>
    <w:rsid w:val="00A06918"/>
    <w:rsid w:val="00A06984"/>
    <w:rsid w:val="00A06CAF"/>
    <w:rsid w:val="00A073EB"/>
    <w:rsid w:val="00A075C3"/>
    <w:rsid w:val="00A07E48"/>
    <w:rsid w:val="00A1008E"/>
    <w:rsid w:val="00A103F4"/>
    <w:rsid w:val="00A10A2A"/>
    <w:rsid w:val="00A10A5D"/>
    <w:rsid w:val="00A116BB"/>
    <w:rsid w:val="00A117B5"/>
    <w:rsid w:val="00A119BF"/>
    <w:rsid w:val="00A11AAB"/>
    <w:rsid w:val="00A123DE"/>
    <w:rsid w:val="00A1253D"/>
    <w:rsid w:val="00A13306"/>
    <w:rsid w:val="00A13910"/>
    <w:rsid w:val="00A13FF0"/>
    <w:rsid w:val="00A14B85"/>
    <w:rsid w:val="00A14E3E"/>
    <w:rsid w:val="00A15520"/>
    <w:rsid w:val="00A15AAF"/>
    <w:rsid w:val="00A16DA6"/>
    <w:rsid w:val="00A17155"/>
    <w:rsid w:val="00A171A6"/>
    <w:rsid w:val="00A17B42"/>
    <w:rsid w:val="00A17BA6"/>
    <w:rsid w:val="00A20078"/>
    <w:rsid w:val="00A20517"/>
    <w:rsid w:val="00A2060E"/>
    <w:rsid w:val="00A206EB"/>
    <w:rsid w:val="00A215F9"/>
    <w:rsid w:val="00A2181D"/>
    <w:rsid w:val="00A21FE5"/>
    <w:rsid w:val="00A224ED"/>
    <w:rsid w:val="00A22563"/>
    <w:rsid w:val="00A22648"/>
    <w:rsid w:val="00A22714"/>
    <w:rsid w:val="00A236F5"/>
    <w:rsid w:val="00A23786"/>
    <w:rsid w:val="00A23C07"/>
    <w:rsid w:val="00A23C10"/>
    <w:rsid w:val="00A23CD8"/>
    <w:rsid w:val="00A24B05"/>
    <w:rsid w:val="00A26F39"/>
    <w:rsid w:val="00A300D4"/>
    <w:rsid w:val="00A31BEC"/>
    <w:rsid w:val="00A31D3B"/>
    <w:rsid w:val="00A31D8F"/>
    <w:rsid w:val="00A3218E"/>
    <w:rsid w:val="00A3245C"/>
    <w:rsid w:val="00A3278D"/>
    <w:rsid w:val="00A33481"/>
    <w:rsid w:val="00A33577"/>
    <w:rsid w:val="00A3378B"/>
    <w:rsid w:val="00A33D01"/>
    <w:rsid w:val="00A35508"/>
    <w:rsid w:val="00A35BE4"/>
    <w:rsid w:val="00A36446"/>
    <w:rsid w:val="00A36823"/>
    <w:rsid w:val="00A36DF1"/>
    <w:rsid w:val="00A371F9"/>
    <w:rsid w:val="00A3754B"/>
    <w:rsid w:val="00A40C46"/>
    <w:rsid w:val="00A411E7"/>
    <w:rsid w:val="00A4160E"/>
    <w:rsid w:val="00A42011"/>
    <w:rsid w:val="00A42157"/>
    <w:rsid w:val="00A422E1"/>
    <w:rsid w:val="00A42353"/>
    <w:rsid w:val="00A42358"/>
    <w:rsid w:val="00A42CD5"/>
    <w:rsid w:val="00A4306F"/>
    <w:rsid w:val="00A43203"/>
    <w:rsid w:val="00A44166"/>
    <w:rsid w:val="00A444A8"/>
    <w:rsid w:val="00A447AC"/>
    <w:rsid w:val="00A44DC3"/>
    <w:rsid w:val="00A455F7"/>
    <w:rsid w:val="00A4668A"/>
    <w:rsid w:val="00A46CCD"/>
    <w:rsid w:val="00A46F5E"/>
    <w:rsid w:val="00A472C9"/>
    <w:rsid w:val="00A4748F"/>
    <w:rsid w:val="00A4760B"/>
    <w:rsid w:val="00A47696"/>
    <w:rsid w:val="00A47A70"/>
    <w:rsid w:val="00A5040D"/>
    <w:rsid w:val="00A5058A"/>
    <w:rsid w:val="00A50C72"/>
    <w:rsid w:val="00A51838"/>
    <w:rsid w:val="00A51BBD"/>
    <w:rsid w:val="00A526D0"/>
    <w:rsid w:val="00A53340"/>
    <w:rsid w:val="00A53A7A"/>
    <w:rsid w:val="00A53AC9"/>
    <w:rsid w:val="00A53B6B"/>
    <w:rsid w:val="00A53BD0"/>
    <w:rsid w:val="00A53EE0"/>
    <w:rsid w:val="00A542DF"/>
    <w:rsid w:val="00A5477F"/>
    <w:rsid w:val="00A5482A"/>
    <w:rsid w:val="00A54F20"/>
    <w:rsid w:val="00A55C6F"/>
    <w:rsid w:val="00A5608E"/>
    <w:rsid w:val="00A5658C"/>
    <w:rsid w:val="00A575F8"/>
    <w:rsid w:val="00A57BC7"/>
    <w:rsid w:val="00A57C0B"/>
    <w:rsid w:val="00A57CB8"/>
    <w:rsid w:val="00A57F92"/>
    <w:rsid w:val="00A600C9"/>
    <w:rsid w:val="00A60681"/>
    <w:rsid w:val="00A612E2"/>
    <w:rsid w:val="00A616C9"/>
    <w:rsid w:val="00A624B9"/>
    <w:rsid w:val="00A63068"/>
    <w:rsid w:val="00A6341D"/>
    <w:rsid w:val="00A6342D"/>
    <w:rsid w:val="00A63DEF"/>
    <w:rsid w:val="00A63F99"/>
    <w:rsid w:val="00A64A3B"/>
    <w:rsid w:val="00A64C92"/>
    <w:rsid w:val="00A65191"/>
    <w:rsid w:val="00A65344"/>
    <w:rsid w:val="00A65A82"/>
    <w:rsid w:val="00A6627F"/>
    <w:rsid w:val="00A6679B"/>
    <w:rsid w:val="00A66AA6"/>
    <w:rsid w:val="00A6753A"/>
    <w:rsid w:val="00A67805"/>
    <w:rsid w:val="00A679F7"/>
    <w:rsid w:val="00A67BDF"/>
    <w:rsid w:val="00A67DA1"/>
    <w:rsid w:val="00A67DB3"/>
    <w:rsid w:val="00A70A5C"/>
    <w:rsid w:val="00A70FDF"/>
    <w:rsid w:val="00A71092"/>
    <w:rsid w:val="00A715EE"/>
    <w:rsid w:val="00A7185E"/>
    <w:rsid w:val="00A71ADE"/>
    <w:rsid w:val="00A71C1F"/>
    <w:rsid w:val="00A731E8"/>
    <w:rsid w:val="00A74BE4"/>
    <w:rsid w:val="00A75AFA"/>
    <w:rsid w:val="00A76623"/>
    <w:rsid w:val="00A76D56"/>
    <w:rsid w:val="00A773E4"/>
    <w:rsid w:val="00A776D0"/>
    <w:rsid w:val="00A808B3"/>
    <w:rsid w:val="00A81502"/>
    <w:rsid w:val="00A81A77"/>
    <w:rsid w:val="00A82A1E"/>
    <w:rsid w:val="00A82AE9"/>
    <w:rsid w:val="00A82C43"/>
    <w:rsid w:val="00A830E1"/>
    <w:rsid w:val="00A8368F"/>
    <w:rsid w:val="00A83A3E"/>
    <w:rsid w:val="00A83C9B"/>
    <w:rsid w:val="00A83CD3"/>
    <w:rsid w:val="00A83FD6"/>
    <w:rsid w:val="00A842A3"/>
    <w:rsid w:val="00A845B0"/>
    <w:rsid w:val="00A84A7C"/>
    <w:rsid w:val="00A84EE5"/>
    <w:rsid w:val="00A84F14"/>
    <w:rsid w:val="00A869D2"/>
    <w:rsid w:val="00A8798A"/>
    <w:rsid w:val="00A87CC8"/>
    <w:rsid w:val="00A87E7A"/>
    <w:rsid w:val="00A90CA7"/>
    <w:rsid w:val="00A9158E"/>
    <w:rsid w:val="00A9159F"/>
    <w:rsid w:val="00A91766"/>
    <w:rsid w:val="00A919A6"/>
    <w:rsid w:val="00A91BE4"/>
    <w:rsid w:val="00A91D74"/>
    <w:rsid w:val="00A927D6"/>
    <w:rsid w:val="00A93594"/>
    <w:rsid w:val="00A93978"/>
    <w:rsid w:val="00A93B61"/>
    <w:rsid w:val="00A93D96"/>
    <w:rsid w:val="00A94250"/>
    <w:rsid w:val="00A9464D"/>
    <w:rsid w:val="00A94791"/>
    <w:rsid w:val="00A94D88"/>
    <w:rsid w:val="00A95537"/>
    <w:rsid w:val="00A95C48"/>
    <w:rsid w:val="00A95F96"/>
    <w:rsid w:val="00A965FB"/>
    <w:rsid w:val="00A96653"/>
    <w:rsid w:val="00A96885"/>
    <w:rsid w:val="00A97054"/>
    <w:rsid w:val="00A97511"/>
    <w:rsid w:val="00A97513"/>
    <w:rsid w:val="00AA0B39"/>
    <w:rsid w:val="00AA0CBB"/>
    <w:rsid w:val="00AA27BC"/>
    <w:rsid w:val="00AA2B35"/>
    <w:rsid w:val="00AA2D53"/>
    <w:rsid w:val="00AA4081"/>
    <w:rsid w:val="00AA4B32"/>
    <w:rsid w:val="00AA4FB3"/>
    <w:rsid w:val="00AA504B"/>
    <w:rsid w:val="00AA5301"/>
    <w:rsid w:val="00AA5B4A"/>
    <w:rsid w:val="00AA6EC1"/>
    <w:rsid w:val="00AA7534"/>
    <w:rsid w:val="00AA9720"/>
    <w:rsid w:val="00AB22EE"/>
    <w:rsid w:val="00AB2A19"/>
    <w:rsid w:val="00AB2FE5"/>
    <w:rsid w:val="00AB3873"/>
    <w:rsid w:val="00AB3A61"/>
    <w:rsid w:val="00AB436D"/>
    <w:rsid w:val="00AB461E"/>
    <w:rsid w:val="00AB56C1"/>
    <w:rsid w:val="00AB6023"/>
    <w:rsid w:val="00AB7B49"/>
    <w:rsid w:val="00AB7E5B"/>
    <w:rsid w:val="00AB7EB4"/>
    <w:rsid w:val="00AC0974"/>
    <w:rsid w:val="00AC139B"/>
    <w:rsid w:val="00AC1A25"/>
    <w:rsid w:val="00AC26E9"/>
    <w:rsid w:val="00AC28CC"/>
    <w:rsid w:val="00AC28FD"/>
    <w:rsid w:val="00AC2F94"/>
    <w:rsid w:val="00AC3C05"/>
    <w:rsid w:val="00AC48B3"/>
    <w:rsid w:val="00AC4ADD"/>
    <w:rsid w:val="00AC4C21"/>
    <w:rsid w:val="00AC54A4"/>
    <w:rsid w:val="00AC58F7"/>
    <w:rsid w:val="00AC6288"/>
    <w:rsid w:val="00AC68FC"/>
    <w:rsid w:val="00AC69AF"/>
    <w:rsid w:val="00AC6C65"/>
    <w:rsid w:val="00AC72C9"/>
    <w:rsid w:val="00AC774E"/>
    <w:rsid w:val="00AC792B"/>
    <w:rsid w:val="00AC7C87"/>
    <w:rsid w:val="00AD0754"/>
    <w:rsid w:val="00AD07D7"/>
    <w:rsid w:val="00AD09CA"/>
    <w:rsid w:val="00AD0A66"/>
    <w:rsid w:val="00AD149E"/>
    <w:rsid w:val="00AD154D"/>
    <w:rsid w:val="00AD1A74"/>
    <w:rsid w:val="00AD20BD"/>
    <w:rsid w:val="00AD3132"/>
    <w:rsid w:val="00AD42DF"/>
    <w:rsid w:val="00AD4837"/>
    <w:rsid w:val="00AD4A86"/>
    <w:rsid w:val="00AD4C19"/>
    <w:rsid w:val="00AD56C2"/>
    <w:rsid w:val="00AD5784"/>
    <w:rsid w:val="00AD5995"/>
    <w:rsid w:val="00AD5E16"/>
    <w:rsid w:val="00AD6194"/>
    <w:rsid w:val="00AD649C"/>
    <w:rsid w:val="00AD7CE0"/>
    <w:rsid w:val="00AE0367"/>
    <w:rsid w:val="00AE0AC7"/>
    <w:rsid w:val="00AE0B82"/>
    <w:rsid w:val="00AE0F64"/>
    <w:rsid w:val="00AE14A5"/>
    <w:rsid w:val="00AE1E92"/>
    <w:rsid w:val="00AE1EBB"/>
    <w:rsid w:val="00AE2621"/>
    <w:rsid w:val="00AE2925"/>
    <w:rsid w:val="00AE297D"/>
    <w:rsid w:val="00AE2E4B"/>
    <w:rsid w:val="00AE3685"/>
    <w:rsid w:val="00AE4AFF"/>
    <w:rsid w:val="00AE5824"/>
    <w:rsid w:val="00AE5AEB"/>
    <w:rsid w:val="00AE70AF"/>
    <w:rsid w:val="00AE7208"/>
    <w:rsid w:val="00AE7375"/>
    <w:rsid w:val="00AE7474"/>
    <w:rsid w:val="00AE77F1"/>
    <w:rsid w:val="00AE7A12"/>
    <w:rsid w:val="00AF0075"/>
    <w:rsid w:val="00AF0341"/>
    <w:rsid w:val="00AF093B"/>
    <w:rsid w:val="00AF11A6"/>
    <w:rsid w:val="00AF191D"/>
    <w:rsid w:val="00AF29C9"/>
    <w:rsid w:val="00AF2E7D"/>
    <w:rsid w:val="00AF34E7"/>
    <w:rsid w:val="00AF40FA"/>
    <w:rsid w:val="00AF5C8D"/>
    <w:rsid w:val="00AF607A"/>
    <w:rsid w:val="00AF6225"/>
    <w:rsid w:val="00AF64B7"/>
    <w:rsid w:val="00AF7136"/>
    <w:rsid w:val="00AF764C"/>
    <w:rsid w:val="00AF76AF"/>
    <w:rsid w:val="00B0023C"/>
    <w:rsid w:val="00B003B7"/>
    <w:rsid w:val="00B00424"/>
    <w:rsid w:val="00B00433"/>
    <w:rsid w:val="00B0196F"/>
    <w:rsid w:val="00B01C70"/>
    <w:rsid w:val="00B02376"/>
    <w:rsid w:val="00B028BD"/>
    <w:rsid w:val="00B02CF2"/>
    <w:rsid w:val="00B040EF"/>
    <w:rsid w:val="00B04E0A"/>
    <w:rsid w:val="00B04E41"/>
    <w:rsid w:val="00B05208"/>
    <w:rsid w:val="00B05B55"/>
    <w:rsid w:val="00B06EA0"/>
    <w:rsid w:val="00B0736C"/>
    <w:rsid w:val="00B07BFA"/>
    <w:rsid w:val="00B1010F"/>
    <w:rsid w:val="00B1067C"/>
    <w:rsid w:val="00B107DF"/>
    <w:rsid w:val="00B10B7F"/>
    <w:rsid w:val="00B10D2E"/>
    <w:rsid w:val="00B11750"/>
    <w:rsid w:val="00B11AA7"/>
    <w:rsid w:val="00B122D0"/>
    <w:rsid w:val="00B12466"/>
    <w:rsid w:val="00B13711"/>
    <w:rsid w:val="00B14278"/>
    <w:rsid w:val="00B14754"/>
    <w:rsid w:val="00B14BC6"/>
    <w:rsid w:val="00B14C70"/>
    <w:rsid w:val="00B14CD7"/>
    <w:rsid w:val="00B152F5"/>
    <w:rsid w:val="00B1536C"/>
    <w:rsid w:val="00B15BEB"/>
    <w:rsid w:val="00B16353"/>
    <w:rsid w:val="00B16443"/>
    <w:rsid w:val="00B1669A"/>
    <w:rsid w:val="00B1756E"/>
    <w:rsid w:val="00B204E8"/>
    <w:rsid w:val="00B20500"/>
    <w:rsid w:val="00B20723"/>
    <w:rsid w:val="00B21EA1"/>
    <w:rsid w:val="00B21FB2"/>
    <w:rsid w:val="00B224B7"/>
    <w:rsid w:val="00B224CE"/>
    <w:rsid w:val="00B225AB"/>
    <w:rsid w:val="00B2299A"/>
    <w:rsid w:val="00B23051"/>
    <w:rsid w:val="00B2321D"/>
    <w:rsid w:val="00B2329D"/>
    <w:rsid w:val="00B236FB"/>
    <w:rsid w:val="00B237D5"/>
    <w:rsid w:val="00B23897"/>
    <w:rsid w:val="00B23D1E"/>
    <w:rsid w:val="00B24275"/>
    <w:rsid w:val="00B24664"/>
    <w:rsid w:val="00B24B33"/>
    <w:rsid w:val="00B256FA"/>
    <w:rsid w:val="00B25D53"/>
    <w:rsid w:val="00B25F94"/>
    <w:rsid w:val="00B26519"/>
    <w:rsid w:val="00B26878"/>
    <w:rsid w:val="00B268EA"/>
    <w:rsid w:val="00B26DCE"/>
    <w:rsid w:val="00B26F5D"/>
    <w:rsid w:val="00B27836"/>
    <w:rsid w:val="00B278A7"/>
    <w:rsid w:val="00B2791C"/>
    <w:rsid w:val="00B27A7D"/>
    <w:rsid w:val="00B27B5D"/>
    <w:rsid w:val="00B3028A"/>
    <w:rsid w:val="00B30604"/>
    <w:rsid w:val="00B30967"/>
    <w:rsid w:val="00B30DC9"/>
    <w:rsid w:val="00B31841"/>
    <w:rsid w:val="00B32479"/>
    <w:rsid w:val="00B331F8"/>
    <w:rsid w:val="00B3351A"/>
    <w:rsid w:val="00B3388C"/>
    <w:rsid w:val="00B348D5"/>
    <w:rsid w:val="00B35089"/>
    <w:rsid w:val="00B35501"/>
    <w:rsid w:val="00B35679"/>
    <w:rsid w:val="00B35861"/>
    <w:rsid w:val="00B35A95"/>
    <w:rsid w:val="00B35CAE"/>
    <w:rsid w:val="00B35FC8"/>
    <w:rsid w:val="00B3648C"/>
    <w:rsid w:val="00B36BB3"/>
    <w:rsid w:val="00B40065"/>
    <w:rsid w:val="00B401ED"/>
    <w:rsid w:val="00B403D3"/>
    <w:rsid w:val="00B4058E"/>
    <w:rsid w:val="00B42350"/>
    <w:rsid w:val="00B43176"/>
    <w:rsid w:val="00B43ABD"/>
    <w:rsid w:val="00B43EAF"/>
    <w:rsid w:val="00B4400B"/>
    <w:rsid w:val="00B440D4"/>
    <w:rsid w:val="00B441A6"/>
    <w:rsid w:val="00B44928"/>
    <w:rsid w:val="00B44A8E"/>
    <w:rsid w:val="00B44BF8"/>
    <w:rsid w:val="00B45DCD"/>
    <w:rsid w:val="00B45ECE"/>
    <w:rsid w:val="00B4609C"/>
    <w:rsid w:val="00B46277"/>
    <w:rsid w:val="00B46290"/>
    <w:rsid w:val="00B46320"/>
    <w:rsid w:val="00B465A5"/>
    <w:rsid w:val="00B467D0"/>
    <w:rsid w:val="00B46CB1"/>
    <w:rsid w:val="00B46D1C"/>
    <w:rsid w:val="00B47D7D"/>
    <w:rsid w:val="00B50F6F"/>
    <w:rsid w:val="00B5162D"/>
    <w:rsid w:val="00B518D3"/>
    <w:rsid w:val="00B51CC5"/>
    <w:rsid w:val="00B52739"/>
    <w:rsid w:val="00B5275F"/>
    <w:rsid w:val="00B52D56"/>
    <w:rsid w:val="00B54089"/>
    <w:rsid w:val="00B54302"/>
    <w:rsid w:val="00B5479D"/>
    <w:rsid w:val="00B5500F"/>
    <w:rsid w:val="00B555E2"/>
    <w:rsid w:val="00B5621C"/>
    <w:rsid w:val="00B5649A"/>
    <w:rsid w:val="00B56C7E"/>
    <w:rsid w:val="00B57206"/>
    <w:rsid w:val="00B572CA"/>
    <w:rsid w:val="00B57942"/>
    <w:rsid w:val="00B57FB9"/>
    <w:rsid w:val="00B6014F"/>
    <w:rsid w:val="00B602C4"/>
    <w:rsid w:val="00B605EC"/>
    <w:rsid w:val="00B60F60"/>
    <w:rsid w:val="00B61503"/>
    <w:rsid w:val="00B615A9"/>
    <w:rsid w:val="00B615C1"/>
    <w:rsid w:val="00B6171D"/>
    <w:rsid w:val="00B61928"/>
    <w:rsid w:val="00B61EFE"/>
    <w:rsid w:val="00B622F3"/>
    <w:rsid w:val="00B62CF4"/>
    <w:rsid w:val="00B630C8"/>
    <w:rsid w:val="00B633AB"/>
    <w:rsid w:val="00B6357D"/>
    <w:rsid w:val="00B6389F"/>
    <w:rsid w:val="00B63931"/>
    <w:rsid w:val="00B63DB9"/>
    <w:rsid w:val="00B64859"/>
    <w:rsid w:val="00B64A8C"/>
    <w:rsid w:val="00B658E0"/>
    <w:rsid w:val="00B65B0B"/>
    <w:rsid w:val="00B65D57"/>
    <w:rsid w:val="00B666F7"/>
    <w:rsid w:val="00B66DEE"/>
    <w:rsid w:val="00B67A09"/>
    <w:rsid w:val="00B71F59"/>
    <w:rsid w:val="00B720C5"/>
    <w:rsid w:val="00B72574"/>
    <w:rsid w:val="00B726EE"/>
    <w:rsid w:val="00B72E58"/>
    <w:rsid w:val="00B73066"/>
    <w:rsid w:val="00B7313A"/>
    <w:rsid w:val="00B73849"/>
    <w:rsid w:val="00B73E83"/>
    <w:rsid w:val="00B74073"/>
    <w:rsid w:val="00B74491"/>
    <w:rsid w:val="00B745A4"/>
    <w:rsid w:val="00B75041"/>
    <w:rsid w:val="00B757D5"/>
    <w:rsid w:val="00B7580C"/>
    <w:rsid w:val="00B75AE8"/>
    <w:rsid w:val="00B770F3"/>
    <w:rsid w:val="00B77175"/>
    <w:rsid w:val="00B7788E"/>
    <w:rsid w:val="00B80DA1"/>
    <w:rsid w:val="00B80E83"/>
    <w:rsid w:val="00B81263"/>
    <w:rsid w:val="00B8163A"/>
    <w:rsid w:val="00B8166C"/>
    <w:rsid w:val="00B818A4"/>
    <w:rsid w:val="00B81E75"/>
    <w:rsid w:val="00B823AB"/>
    <w:rsid w:val="00B8246B"/>
    <w:rsid w:val="00B82845"/>
    <w:rsid w:val="00B82913"/>
    <w:rsid w:val="00B833AA"/>
    <w:rsid w:val="00B83601"/>
    <w:rsid w:val="00B84360"/>
    <w:rsid w:val="00B843C2"/>
    <w:rsid w:val="00B84403"/>
    <w:rsid w:val="00B848E3"/>
    <w:rsid w:val="00B8522A"/>
    <w:rsid w:val="00B85806"/>
    <w:rsid w:val="00B85818"/>
    <w:rsid w:val="00B858E1"/>
    <w:rsid w:val="00B85C47"/>
    <w:rsid w:val="00B85CF4"/>
    <w:rsid w:val="00B85F0F"/>
    <w:rsid w:val="00B8643D"/>
    <w:rsid w:val="00B86938"/>
    <w:rsid w:val="00B86A3C"/>
    <w:rsid w:val="00B86A98"/>
    <w:rsid w:val="00B86CE8"/>
    <w:rsid w:val="00B873A8"/>
    <w:rsid w:val="00B874AD"/>
    <w:rsid w:val="00B9051E"/>
    <w:rsid w:val="00B90B95"/>
    <w:rsid w:val="00B90BBC"/>
    <w:rsid w:val="00B911AF"/>
    <w:rsid w:val="00B91531"/>
    <w:rsid w:val="00B92661"/>
    <w:rsid w:val="00B93435"/>
    <w:rsid w:val="00B93B79"/>
    <w:rsid w:val="00B943D0"/>
    <w:rsid w:val="00B953B3"/>
    <w:rsid w:val="00B9577A"/>
    <w:rsid w:val="00B96161"/>
    <w:rsid w:val="00B966D7"/>
    <w:rsid w:val="00B96CAB"/>
    <w:rsid w:val="00B96F1C"/>
    <w:rsid w:val="00B970B8"/>
    <w:rsid w:val="00BA050D"/>
    <w:rsid w:val="00BA07D7"/>
    <w:rsid w:val="00BA108B"/>
    <w:rsid w:val="00BA12E9"/>
    <w:rsid w:val="00BA1B56"/>
    <w:rsid w:val="00BA1DCA"/>
    <w:rsid w:val="00BA1E18"/>
    <w:rsid w:val="00BA2019"/>
    <w:rsid w:val="00BA22F8"/>
    <w:rsid w:val="00BA304A"/>
    <w:rsid w:val="00BA354B"/>
    <w:rsid w:val="00BA5727"/>
    <w:rsid w:val="00BA5C8B"/>
    <w:rsid w:val="00BA5C9F"/>
    <w:rsid w:val="00BA5DFC"/>
    <w:rsid w:val="00BA6202"/>
    <w:rsid w:val="00BA63BC"/>
    <w:rsid w:val="00BA6A1F"/>
    <w:rsid w:val="00BA7372"/>
    <w:rsid w:val="00BA737B"/>
    <w:rsid w:val="00BA759F"/>
    <w:rsid w:val="00BA76FB"/>
    <w:rsid w:val="00BA7959"/>
    <w:rsid w:val="00BA7AF4"/>
    <w:rsid w:val="00BB0422"/>
    <w:rsid w:val="00BB0606"/>
    <w:rsid w:val="00BB111B"/>
    <w:rsid w:val="00BB17A5"/>
    <w:rsid w:val="00BB1839"/>
    <w:rsid w:val="00BB19AB"/>
    <w:rsid w:val="00BB29C8"/>
    <w:rsid w:val="00BB3158"/>
    <w:rsid w:val="00BB336D"/>
    <w:rsid w:val="00BB33D6"/>
    <w:rsid w:val="00BB3CBD"/>
    <w:rsid w:val="00BB3F32"/>
    <w:rsid w:val="00BB41AC"/>
    <w:rsid w:val="00BB4590"/>
    <w:rsid w:val="00BB49DC"/>
    <w:rsid w:val="00BB5B74"/>
    <w:rsid w:val="00BB5DBB"/>
    <w:rsid w:val="00BB67E6"/>
    <w:rsid w:val="00BB689E"/>
    <w:rsid w:val="00BC01F0"/>
    <w:rsid w:val="00BC04CF"/>
    <w:rsid w:val="00BC1037"/>
    <w:rsid w:val="00BC1C0A"/>
    <w:rsid w:val="00BC1FC6"/>
    <w:rsid w:val="00BC2784"/>
    <w:rsid w:val="00BC294A"/>
    <w:rsid w:val="00BC299A"/>
    <w:rsid w:val="00BC2E89"/>
    <w:rsid w:val="00BC32E4"/>
    <w:rsid w:val="00BC346E"/>
    <w:rsid w:val="00BC3510"/>
    <w:rsid w:val="00BC4945"/>
    <w:rsid w:val="00BC54CA"/>
    <w:rsid w:val="00BC54DB"/>
    <w:rsid w:val="00BC5894"/>
    <w:rsid w:val="00BC5D62"/>
    <w:rsid w:val="00BC5FFC"/>
    <w:rsid w:val="00BC647E"/>
    <w:rsid w:val="00BC6A14"/>
    <w:rsid w:val="00BC6D53"/>
    <w:rsid w:val="00BC6DD2"/>
    <w:rsid w:val="00BD02FD"/>
    <w:rsid w:val="00BD0760"/>
    <w:rsid w:val="00BD0ADD"/>
    <w:rsid w:val="00BD1805"/>
    <w:rsid w:val="00BD2065"/>
    <w:rsid w:val="00BD2256"/>
    <w:rsid w:val="00BD2345"/>
    <w:rsid w:val="00BD283B"/>
    <w:rsid w:val="00BD2912"/>
    <w:rsid w:val="00BD2ED4"/>
    <w:rsid w:val="00BD366C"/>
    <w:rsid w:val="00BD42BF"/>
    <w:rsid w:val="00BD4323"/>
    <w:rsid w:val="00BD4337"/>
    <w:rsid w:val="00BD4B43"/>
    <w:rsid w:val="00BD4CBE"/>
    <w:rsid w:val="00BD556E"/>
    <w:rsid w:val="00BD5B8D"/>
    <w:rsid w:val="00BD5E1F"/>
    <w:rsid w:val="00BD616C"/>
    <w:rsid w:val="00BD6618"/>
    <w:rsid w:val="00BD70D1"/>
    <w:rsid w:val="00BD7775"/>
    <w:rsid w:val="00BD7DB9"/>
    <w:rsid w:val="00BE00C7"/>
    <w:rsid w:val="00BE0425"/>
    <w:rsid w:val="00BE0DC5"/>
    <w:rsid w:val="00BE1119"/>
    <w:rsid w:val="00BE13AF"/>
    <w:rsid w:val="00BE3237"/>
    <w:rsid w:val="00BE3277"/>
    <w:rsid w:val="00BE356A"/>
    <w:rsid w:val="00BE3789"/>
    <w:rsid w:val="00BE3943"/>
    <w:rsid w:val="00BE3AD7"/>
    <w:rsid w:val="00BE4650"/>
    <w:rsid w:val="00BE4BD6"/>
    <w:rsid w:val="00BE592A"/>
    <w:rsid w:val="00BE5F6F"/>
    <w:rsid w:val="00BE62EF"/>
    <w:rsid w:val="00BE69BF"/>
    <w:rsid w:val="00BE6B29"/>
    <w:rsid w:val="00BE70A2"/>
    <w:rsid w:val="00BE7841"/>
    <w:rsid w:val="00BE7A83"/>
    <w:rsid w:val="00BE7AB2"/>
    <w:rsid w:val="00BE7AF3"/>
    <w:rsid w:val="00BF0CD5"/>
    <w:rsid w:val="00BF183E"/>
    <w:rsid w:val="00BF1EB9"/>
    <w:rsid w:val="00BF3534"/>
    <w:rsid w:val="00BF385C"/>
    <w:rsid w:val="00BF3BA5"/>
    <w:rsid w:val="00BF4B8C"/>
    <w:rsid w:val="00BF5794"/>
    <w:rsid w:val="00BF5D00"/>
    <w:rsid w:val="00BF60A2"/>
    <w:rsid w:val="00BF6346"/>
    <w:rsid w:val="00BF730A"/>
    <w:rsid w:val="00BF73B7"/>
    <w:rsid w:val="00C0007E"/>
    <w:rsid w:val="00C00209"/>
    <w:rsid w:val="00C002C1"/>
    <w:rsid w:val="00C00545"/>
    <w:rsid w:val="00C0086F"/>
    <w:rsid w:val="00C009AA"/>
    <w:rsid w:val="00C00AA6"/>
    <w:rsid w:val="00C010BC"/>
    <w:rsid w:val="00C013BE"/>
    <w:rsid w:val="00C01497"/>
    <w:rsid w:val="00C01FC1"/>
    <w:rsid w:val="00C03AEC"/>
    <w:rsid w:val="00C04008"/>
    <w:rsid w:val="00C04149"/>
    <w:rsid w:val="00C04579"/>
    <w:rsid w:val="00C048F1"/>
    <w:rsid w:val="00C052EB"/>
    <w:rsid w:val="00C05E14"/>
    <w:rsid w:val="00C0613A"/>
    <w:rsid w:val="00C0613D"/>
    <w:rsid w:val="00C069D2"/>
    <w:rsid w:val="00C06AFD"/>
    <w:rsid w:val="00C07621"/>
    <w:rsid w:val="00C079B7"/>
    <w:rsid w:val="00C07ABA"/>
    <w:rsid w:val="00C105F0"/>
    <w:rsid w:val="00C10A1F"/>
    <w:rsid w:val="00C10C30"/>
    <w:rsid w:val="00C11774"/>
    <w:rsid w:val="00C11829"/>
    <w:rsid w:val="00C129D0"/>
    <w:rsid w:val="00C14172"/>
    <w:rsid w:val="00C145EE"/>
    <w:rsid w:val="00C14802"/>
    <w:rsid w:val="00C14857"/>
    <w:rsid w:val="00C14935"/>
    <w:rsid w:val="00C14AF0"/>
    <w:rsid w:val="00C15270"/>
    <w:rsid w:val="00C157A1"/>
    <w:rsid w:val="00C157A9"/>
    <w:rsid w:val="00C157B8"/>
    <w:rsid w:val="00C15C1A"/>
    <w:rsid w:val="00C16180"/>
    <w:rsid w:val="00C166E7"/>
    <w:rsid w:val="00C16770"/>
    <w:rsid w:val="00C16791"/>
    <w:rsid w:val="00C16D15"/>
    <w:rsid w:val="00C176AB"/>
    <w:rsid w:val="00C176F7"/>
    <w:rsid w:val="00C1795F"/>
    <w:rsid w:val="00C20371"/>
    <w:rsid w:val="00C2061E"/>
    <w:rsid w:val="00C20F98"/>
    <w:rsid w:val="00C2232E"/>
    <w:rsid w:val="00C225F9"/>
    <w:rsid w:val="00C22AC2"/>
    <w:rsid w:val="00C22BB4"/>
    <w:rsid w:val="00C2350D"/>
    <w:rsid w:val="00C2354E"/>
    <w:rsid w:val="00C23DA1"/>
    <w:rsid w:val="00C245AE"/>
    <w:rsid w:val="00C24B49"/>
    <w:rsid w:val="00C25154"/>
    <w:rsid w:val="00C2573A"/>
    <w:rsid w:val="00C2588F"/>
    <w:rsid w:val="00C25AFB"/>
    <w:rsid w:val="00C2660D"/>
    <w:rsid w:val="00C26C4C"/>
    <w:rsid w:val="00C26D6D"/>
    <w:rsid w:val="00C30268"/>
    <w:rsid w:val="00C307D8"/>
    <w:rsid w:val="00C309DA"/>
    <w:rsid w:val="00C3137B"/>
    <w:rsid w:val="00C3139F"/>
    <w:rsid w:val="00C31640"/>
    <w:rsid w:val="00C3180C"/>
    <w:rsid w:val="00C31DCE"/>
    <w:rsid w:val="00C3217D"/>
    <w:rsid w:val="00C329D0"/>
    <w:rsid w:val="00C32EDF"/>
    <w:rsid w:val="00C33072"/>
    <w:rsid w:val="00C333FF"/>
    <w:rsid w:val="00C33814"/>
    <w:rsid w:val="00C33D89"/>
    <w:rsid w:val="00C349EF"/>
    <w:rsid w:val="00C35F69"/>
    <w:rsid w:val="00C36CCB"/>
    <w:rsid w:val="00C36CD5"/>
    <w:rsid w:val="00C36DED"/>
    <w:rsid w:val="00C36F32"/>
    <w:rsid w:val="00C37104"/>
    <w:rsid w:val="00C37331"/>
    <w:rsid w:val="00C3752E"/>
    <w:rsid w:val="00C37802"/>
    <w:rsid w:val="00C3789A"/>
    <w:rsid w:val="00C37AEB"/>
    <w:rsid w:val="00C37C32"/>
    <w:rsid w:val="00C37E84"/>
    <w:rsid w:val="00C411CE"/>
    <w:rsid w:val="00C414F5"/>
    <w:rsid w:val="00C41918"/>
    <w:rsid w:val="00C4199F"/>
    <w:rsid w:val="00C42137"/>
    <w:rsid w:val="00C421C8"/>
    <w:rsid w:val="00C425FC"/>
    <w:rsid w:val="00C42727"/>
    <w:rsid w:val="00C43247"/>
    <w:rsid w:val="00C45132"/>
    <w:rsid w:val="00C45A7D"/>
    <w:rsid w:val="00C45AE0"/>
    <w:rsid w:val="00C46554"/>
    <w:rsid w:val="00C46693"/>
    <w:rsid w:val="00C502CF"/>
    <w:rsid w:val="00C5192E"/>
    <w:rsid w:val="00C51B74"/>
    <w:rsid w:val="00C52109"/>
    <w:rsid w:val="00C5265B"/>
    <w:rsid w:val="00C529C6"/>
    <w:rsid w:val="00C52B54"/>
    <w:rsid w:val="00C53541"/>
    <w:rsid w:val="00C535E8"/>
    <w:rsid w:val="00C538A5"/>
    <w:rsid w:val="00C54479"/>
    <w:rsid w:val="00C548D8"/>
    <w:rsid w:val="00C550F9"/>
    <w:rsid w:val="00C55366"/>
    <w:rsid w:val="00C55540"/>
    <w:rsid w:val="00C55660"/>
    <w:rsid w:val="00C55834"/>
    <w:rsid w:val="00C55A75"/>
    <w:rsid w:val="00C55B07"/>
    <w:rsid w:val="00C55E1E"/>
    <w:rsid w:val="00C55FC5"/>
    <w:rsid w:val="00C562E4"/>
    <w:rsid w:val="00C56588"/>
    <w:rsid w:val="00C56F24"/>
    <w:rsid w:val="00C56F9B"/>
    <w:rsid w:val="00C5733B"/>
    <w:rsid w:val="00C573B3"/>
    <w:rsid w:val="00C57630"/>
    <w:rsid w:val="00C57AB5"/>
    <w:rsid w:val="00C60180"/>
    <w:rsid w:val="00C6072C"/>
    <w:rsid w:val="00C60C03"/>
    <w:rsid w:val="00C60F7E"/>
    <w:rsid w:val="00C611B1"/>
    <w:rsid w:val="00C614E0"/>
    <w:rsid w:val="00C618A2"/>
    <w:rsid w:val="00C61C0E"/>
    <w:rsid w:val="00C61E00"/>
    <w:rsid w:val="00C621A4"/>
    <w:rsid w:val="00C62317"/>
    <w:rsid w:val="00C62713"/>
    <w:rsid w:val="00C62719"/>
    <w:rsid w:val="00C6274C"/>
    <w:rsid w:val="00C62800"/>
    <w:rsid w:val="00C629CC"/>
    <w:rsid w:val="00C62AC3"/>
    <w:rsid w:val="00C62F8C"/>
    <w:rsid w:val="00C62FD1"/>
    <w:rsid w:val="00C644D2"/>
    <w:rsid w:val="00C647B5"/>
    <w:rsid w:val="00C65102"/>
    <w:rsid w:val="00C65B69"/>
    <w:rsid w:val="00C660A5"/>
    <w:rsid w:val="00C660C7"/>
    <w:rsid w:val="00C66384"/>
    <w:rsid w:val="00C664D3"/>
    <w:rsid w:val="00C66AB4"/>
    <w:rsid w:val="00C6726A"/>
    <w:rsid w:val="00C6768F"/>
    <w:rsid w:val="00C7026F"/>
    <w:rsid w:val="00C7058B"/>
    <w:rsid w:val="00C70699"/>
    <w:rsid w:val="00C708F1"/>
    <w:rsid w:val="00C70E08"/>
    <w:rsid w:val="00C70E8E"/>
    <w:rsid w:val="00C716C7"/>
    <w:rsid w:val="00C71860"/>
    <w:rsid w:val="00C71AF7"/>
    <w:rsid w:val="00C721D4"/>
    <w:rsid w:val="00C7247B"/>
    <w:rsid w:val="00C72A2A"/>
    <w:rsid w:val="00C72AE5"/>
    <w:rsid w:val="00C72CEE"/>
    <w:rsid w:val="00C731C3"/>
    <w:rsid w:val="00C737BF"/>
    <w:rsid w:val="00C73AD6"/>
    <w:rsid w:val="00C73E6F"/>
    <w:rsid w:val="00C741AD"/>
    <w:rsid w:val="00C746BC"/>
    <w:rsid w:val="00C74AE1"/>
    <w:rsid w:val="00C74D76"/>
    <w:rsid w:val="00C7597A"/>
    <w:rsid w:val="00C75D2D"/>
    <w:rsid w:val="00C75D4B"/>
    <w:rsid w:val="00C76871"/>
    <w:rsid w:val="00C77046"/>
    <w:rsid w:val="00C80121"/>
    <w:rsid w:val="00C80243"/>
    <w:rsid w:val="00C804FD"/>
    <w:rsid w:val="00C80904"/>
    <w:rsid w:val="00C80C3A"/>
    <w:rsid w:val="00C80CAB"/>
    <w:rsid w:val="00C80CEC"/>
    <w:rsid w:val="00C81A41"/>
    <w:rsid w:val="00C81C68"/>
    <w:rsid w:val="00C81D5A"/>
    <w:rsid w:val="00C82EE5"/>
    <w:rsid w:val="00C83CA2"/>
    <w:rsid w:val="00C83E46"/>
    <w:rsid w:val="00C83F66"/>
    <w:rsid w:val="00C848A1"/>
    <w:rsid w:val="00C84FAA"/>
    <w:rsid w:val="00C85CAC"/>
    <w:rsid w:val="00C86723"/>
    <w:rsid w:val="00C869A1"/>
    <w:rsid w:val="00C86DEF"/>
    <w:rsid w:val="00C87202"/>
    <w:rsid w:val="00C87684"/>
    <w:rsid w:val="00C8786B"/>
    <w:rsid w:val="00C87928"/>
    <w:rsid w:val="00C87BA7"/>
    <w:rsid w:val="00C90127"/>
    <w:rsid w:val="00C903C1"/>
    <w:rsid w:val="00C912F6"/>
    <w:rsid w:val="00C916B6"/>
    <w:rsid w:val="00C918BC"/>
    <w:rsid w:val="00C91934"/>
    <w:rsid w:val="00C92606"/>
    <w:rsid w:val="00C92A3A"/>
    <w:rsid w:val="00C93293"/>
    <w:rsid w:val="00C942E1"/>
    <w:rsid w:val="00C94B44"/>
    <w:rsid w:val="00C94D3C"/>
    <w:rsid w:val="00C952A1"/>
    <w:rsid w:val="00C9536F"/>
    <w:rsid w:val="00C95585"/>
    <w:rsid w:val="00C95646"/>
    <w:rsid w:val="00C96670"/>
    <w:rsid w:val="00C967BD"/>
    <w:rsid w:val="00C96D89"/>
    <w:rsid w:val="00C96EA2"/>
    <w:rsid w:val="00C9734F"/>
    <w:rsid w:val="00C97A32"/>
    <w:rsid w:val="00C97B98"/>
    <w:rsid w:val="00C97D2B"/>
    <w:rsid w:val="00C97ED9"/>
    <w:rsid w:val="00CA0D3D"/>
    <w:rsid w:val="00CA0DA9"/>
    <w:rsid w:val="00CA0ECF"/>
    <w:rsid w:val="00CA12B5"/>
    <w:rsid w:val="00CA1440"/>
    <w:rsid w:val="00CA1962"/>
    <w:rsid w:val="00CA1D18"/>
    <w:rsid w:val="00CA2B21"/>
    <w:rsid w:val="00CA2EB1"/>
    <w:rsid w:val="00CA3147"/>
    <w:rsid w:val="00CA33FF"/>
    <w:rsid w:val="00CA34C7"/>
    <w:rsid w:val="00CA39A7"/>
    <w:rsid w:val="00CA39C4"/>
    <w:rsid w:val="00CA3C81"/>
    <w:rsid w:val="00CA3E2D"/>
    <w:rsid w:val="00CA443C"/>
    <w:rsid w:val="00CA4B1A"/>
    <w:rsid w:val="00CA4F7E"/>
    <w:rsid w:val="00CA5288"/>
    <w:rsid w:val="00CA54C4"/>
    <w:rsid w:val="00CA58BD"/>
    <w:rsid w:val="00CA6ED4"/>
    <w:rsid w:val="00CA7A8F"/>
    <w:rsid w:val="00CA7F16"/>
    <w:rsid w:val="00CB074E"/>
    <w:rsid w:val="00CB0D17"/>
    <w:rsid w:val="00CB1004"/>
    <w:rsid w:val="00CB1E3D"/>
    <w:rsid w:val="00CB2C1D"/>
    <w:rsid w:val="00CB3486"/>
    <w:rsid w:val="00CB3740"/>
    <w:rsid w:val="00CB3A1A"/>
    <w:rsid w:val="00CB5309"/>
    <w:rsid w:val="00CB5478"/>
    <w:rsid w:val="00CB5BC6"/>
    <w:rsid w:val="00CB6ADB"/>
    <w:rsid w:val="00CB7424"/>
    <w:rsid w:val="00CB7CA2"/>
    <w:rsid w:val="00CC00E4"/>
    <w:rsid w:val="00CC0357"/>
    <w:rsid w:val="00CC0696"/>
    <w:rsid w:val="00CC0DA9"/>
    <w:rsid w:val="00CC0FFD"/>
    <w:rsid w:val="00CC1C02"/>
    <w:rsid w:val="00CC22BF"/>
    <w:rsid w:val="00CC3F0E"/>
    <w:rsid w:val="00CC53C5"/>
    <w:rsid w:val="00CC76B4"/>
    <w:rsid w:val="00CC7C28"/>
    <w:rsid w:val="00CD032B"/>
    <w:rsid w:val="00CD0ABA"/>
    <w:rsid w:val="00CD0C11"/>
    <w:rsid w:val="00CD10C6"/>
    <w:rsid w:val="00CD1A59"/>
    <w:rsid w:val="00CD1C3D"/>
    <w:rsid w:val="00CD218C"/>
    <w:rsid w:val="00CD239A"/>
    <w:rsid w:val="00CD2429"/>
    <w:rsid w:val="00CD2708"/>
    <w:rsid w:val="00CD2A28"/>
    <w:rsid w:val="00CD2F5B"/>
    <w:rsid w:val="00CD3365"/>
    <w:rsid w:val="00CD4486"/>
    <w:rsid w:val="00CD46C8"/>
    <w:rsid w:val="00CD4875"/>
    <w:rsid w:val="00CD4961"/>
    <w:rsid w:val="00CD4E0B"/>
    <w:rsid w:val="00CD55F2"/>
    <w:rsid w:val="00CD607F"/>
    <w:rsid w:val="00CD6229"/>
    <w:rsid w:val="00CD7127"/>
    <w:rsid w:val="00CD712B"/>
    <w:rsid w:val="00CD7717"/>
    <w:rsid w:val="00CD78C0"/>
    <w:rsid w:val="00CD7F8E"/>
    <w:rsid w:val="00CE03D3"/>
    <w:rsid w:val="00CE0490"/>
    <w:rsid w:val="00CE0B7C"/>
    <w:rsid w:val="00CE18ED"/>
    <w:rsid w:val="00CE19F9"/>
    <w:rsid w:val="00CE1D43"/>
    <w:rsid w:val="00CE1DC3"/>
    <w:rsid w:val="00CE1E8B"/>
    <w:rsid w:val="00CE276B"/>
    <w:rsid w:val="00CE3059"/>
    <w:rsid w:val="00CE390B"/>
    <w:rsid w:val="00CE3D6D"/>
    <w:rsid w:val="00CE45C8"/>
    <w:rsid w:val="00CE4E86"/>
    <w:rsid w:val="00CE5267"/>
    <w:rsid w:val="00CE5369"/>
    <w:rsid w:val="00CE5AE6"/>
    <w:rsid w:val="00CE63A6"/>
    <w:rsid w:val="00CE6668"/>
    <w:rsid w:val="00CE7179"/>
    <w:rsid w:val="00CE71CF"/>
    <w:rsid w:val="00CE7E9E"/>
    <w:rsid w:val="00CF0C2D"/>
    <w:rsid w:val="00CF13D0"/>
    <w:rsid w:val="00CF15E0"/>
    <w:rsid w:val="00CF1B7D"/>
    <w:rsid w:val="00CF1D1D"/>
    <w:rsid w:val="00CF2384"/>
    <w:rsid w:val="00CF2750"/>
    <w:rsid w:val="00CF34C0"/>
    <w:rsid w:val="00CF3591"/>
    <w:rsid w:val="00CF385E"/>
    <w:rsid w:val="00CF4BB2"/>
    <w:rsid w:val="00CF50A9"/>
    <w:rsid w:val="00CF5370"/>
    <w:rsid w:val="00CF5CD5"/>
    <w:rsid w:val="00CF60ED"/>
    <w:rsid w:val="00CF65B6"/>
    <w:rsid w:val="00CF67F7"/>
    <w:rsid w:val="00CF6DF8"/>
    <w:rsid w:val="00CF7088"/>
    <w:rsid w:val="00CF73F1"/>
    <w:rsid w:val="00D00407"/>
    <w:rsid w:val="00D00731"/>
    <w:rsid w:val="00D00BDA"/>
    <w:rsid w:val="00D0178F"/>
    <w:rsid w:val="00D01B97"/>
    <w:rsid w:val="00D01DB1"/>
    <w:rsid w:val="00D022BF"/>
    <w:rsid w:val="00D0233C"/>
    <w:rsid w:val="00D02481"/>
    <w:rsid w:val="00D02A20"/>
    <w:rsid w:val="00D02A9D"/>
    <w:rsid w:val="00D03E05"/>
    <w:rsid w:val="00D042C1"/>
    <w:rsid w:val="00D0449A"/>
    <w:rsid w:val="00D047D9"/>
    <w:rsid w:val="00D04805"/>
    <w:rsid w:val="00D0542F"/>
    <w:rsid w:val="00D05616"/>
    <w:rsid w:val="00D05A7B"/>
    <w:rsid w:val="00D05B82"/>
    <w:rsid w:val="00D05E56"/>
    <w:rsid w:val="00D07344"/>
    <w:rsid w:val="00D1161F"/>
    <w:rsid w:val="00D119B7"/>
    <w:rsid w:val="00D11B4B"/>
    <w:rsid w:val="00D12646"/>
    <w:rsid w:val="00D1264C"/>
    <w:rsid w:val="00D12B0D"/>
    <w:rsid w:val="00D139C2"/>
    <w:rsid w:val="00D13CC3"/>
    <w:rsid w:val="00D14A93"/>
    <w:rsid w:val="00D156FC"/>
    <w:rsid w:val="00D1574D"/>
    <w:rsid w:val="00D158A6"/>
    <w:rsid w:val="00D15AB0"/>
    <w:rsid w:val="00D15D2D"/>
    <w:rsid w:val="00D16702"/>
    <w:rsid w:val="00D17442"/>
    <w:rsid w:val="00D17686"/>
    <w:rsid w:val="00D17746"/>
    <w:rsid w:val="00D17977"/>
    <w:rsid w:val="00D201FB"/>
    <w:rsid w:val="00D206AA"/>
    <w:rsid w:val="00D207B7"/>
    <w:rsid w:val="00D20AE9"/>
    <w:rsid w:val="00D21145"/>
    <w:rsid w:val="00D211AE"/>
    <w:rsid w:val="00D21768"/>
    <w:rsid w:val="00D2184E"/>
    <w:rsid w:val="00D21A65"/>
    <w:rsid w:val="00D21B1D"/>
    <w:rsid w:val="00D220DE"/>
    <w:rsid w:val="00D22DA2"/>
    <w:rsid w:val="00D231A5"/>
    <w:rsid w:val="00D23404"/>
    <w:rsid w:val="00D23429"/>
    <w:rsid w:val="00D23612"/>
    <w:rsid w:val="00D23DDF"/>
    <w:rsid w:val="00D24688"/>
    <w:rsid w:val="00D24856"/>
    <w:rsid w:val="00D24A26"/>
    <w:rsid w:val="00D24C3E"/>
    <w:rsid w:val="00D252EA"/>
    <w:rsid w:val="00D25E50"/>
    <w:rsid w:val="00D25F45"/>
    <w:rsid w:val="00D2656D"/>
    <w:rsid w:val="00D2659D"/>
    <w:rsid w:val="00D26933"/>
    <w:rsid w:val="00D26DA7"/>
    <w:rsid w:val="00D26F90"/>
    <w:rsid w:val="00D27053"/>
    <w:rsid w:val="00D27744"/>
    <w:rsid w:val="00D279B7"/>
    <w:rsid w:val="00D27B3E"/>
    <w:rsid w:val="00D27CE5"/>
    <w:rsid w:val="00D30292"/>
    <w:rsid w:val="00D30CDE"/>
    <w:rsid w:val="00D30CE1"/>
    <w:rsid w:val="00D30FDB"/>
    <w:rsid w:val="00D31C7F"/>
    <w:rsid w:val="00D3204B"/>
    <w:rsid w:val="00D321D6"/>
    <w:rsid w:val="00D32602"/>
    <w:rsid w:val="00D32857"/>
    <w:rsid w:val="00D3359A"/>
    <w:rsid w:val="00D33CF3"/>
    <w:rsid w:val="00D33E50"/>
    <w:rsid w:val="00D3418C"/>
    <w:rsid w:val="00D34C4C"/>
    <w:rsid w:val="00D35022"/>
    <w:rsid w:val="00D35615"/>
    <w:rsid w:val="00D35C90"/>
    <w:rsid w:val="00D36070"/>
    <w:rsid w:val="00D362DC"/>
    <w:rsid w:val="00D37C9A"/>
    <w:rsid w:val="00D404ED"/>
    <w:rsid w:val="00D40FD0"/>
    <w:rsid w:val="00D4139D"/>
    <w:rsid w:val="00D4139F"/>
    <w:rsid w:val="00D413EF"/>
    <w:rsid w:val="00D4149C"/>
    <w:rsid w:val="00D42838"/>
    <w:rsid w:val="00D42ED4"/>
    <w:rsid w:val="00D43445"/>
    <w:rsid w:val="00D4381C"/>
    <w:rsid w:val="00D439DF"/>
    <w:rsid w:val="00D44136"/>
    <w:rsid w:val="00D44824"/>
    <w:rsid w:val="00D454D6"/>
    <w:rsid w:val="00D45990"/>
    <w:rsid w:val="00D45B81"/>
    <w:rsid w:val="00D4616F"/>
    <w:rsid w:val="00D46476"/>
    <w:rsid w:val="00D46815"/>
    <w:rsid w:val="00D47860"/>
    <w:rsid w:val="00D4786D"/>
    <w:rsid w:val="00D47B66"/>
    <w:rsid w:val="00D47CF1"/>
    <w:rsid w:val="00D47D43"/>
    <w:rsid w:val="00D5071B"/>
    <w:rsid w:val="00D50E38"/>
    <w:rsid w:val="00D51143"/>
    <w:rsid w:val="00D5156A"/>
    <w:rsid w:val="00D52FF7"/>
    <w:rsid w:val="00D5318F"/>
    <w:rsid w:val="00D53A7B"/>
    <w:rsid w:val="00D53B8D"/>
    <w:rsid w:val="00D54E85"/>
    <w:rsid w:val="00D5562E"/>
    <w:rsid w:val="00D5587C"/>
    <w:rsid w:val="00D55DC1"/>
    <w:rsid w:val="00D56148"/>
    <w:rsid w:val="00D56960"/>
    <w:rsid w:val="00D5745D"/>
    <w:rsid w:val="00D5786A"/>
    <w:rsid w:val="00D600AB"/>
    <w:rsid w:val="00D608A7"/>
    <w:rsid w:val="00D60B25"/>
    <w:rsid w:val="00D6115B"/>
    <w:rsid w:val="00D61AE2"/>
    <w:rsid w:val="00D61E7D"/>
    <w:rsid w:val="00D6202B"/>
    <w:rsid w:val="00D6215A"/>
    <w:rsid w:val="00D621F6"/>
    <w:rsid w:val="00D6347C"/>
    <w:rsid w:val="00D63778"/>
    <w:rsid w:val="00D63A44"/>
    <w:rsid w:val="00D63D1F"/>
    <w:rsid w:val="00D64924"/>
    <w:rsid w:val="00D65475"/>
    <w:rsid w:val="00D658B3"/>
    <w:rsid w:val="00D65CAA"/>
    <w:rsid w:val="00D66060"/>
    <w:rsid w:val="00D66390"/>
    <w:rsid w:val="00D663DF"/>
    <w:rsid w:val="00D66DB2"/>
    <w:rsid w:val="00D67407"/>
    <w:rsid w:val="00D67D87"/>
    <w:rsid w:val="00D700A9"/>
    <w:rsid w:val="00D701DA"/>
    <w:rsid w:val="00D70F17"/>
    <w:rsid w:val="00D71128"/>
    <w:rsid w:val="00D715F9"/>
    <w:rsid w:val="00D718C1"/>
    <w:rsid w:val="00D721FE"/>
    <w:rsid w:val="00D72AA2"/>
    <w:rsid w:val="00D72FDA"/>
    <w:rsid w:val="00D73195"/>
    <w:rsid w:val="00D73730"/>
    <w:rsid w:val="00D737A2"/>
    <w:rsid w:val="00D7405F"/>
    <w:rsid w:val="00D7448E"/>
    <w:rsid w:val="00D74888"/>
    <w:rsid w:val="00D74AFC"/>
    <w:rsid w:val="00D750EE"/>
    <w:rsid w:val="00D75162"/>
    <w:rsid w:val="00D757B1"/>
    <w:rsid w:val="00D76050"/>
    <w:rsid w:val="00D765E1"/>
    <w:rsid w:val="00D76844"/>
    <w:rsid w:val="00D76D62"/>
    <w:rsid w:val="00D772BA"/>
    <w:rsid w:val="00D7760C"/>
    <w:rsid w:val="00D77D3A"/>
    <w:rsid w:val="00D80BCE"/>
    <w:rsid w:val="00D80C48"/>
    <w:rsid w:val="00D816E1"/>
    <w:rsid w:val="00D81CC8"/>
    <w:rsid w:val="00D81CEA"/>
    <w:rsid w:val="00D82057"/>
    <w:rsid w:val="00D826BA"/>
    <w:rsid w:val="00D82820"/>
    <w:rsid w:val="00D82BB8"/>
    <w:rsid w:val="00D83F9B"/>
    <w:rsid w:val="00D845FC"/>
    <w:rsid w:val="00D84AB1"/>
    <w:rsid w:val="00D85315"/>
    <w:rsid w:val="00D855D9"/>
    <w:rsid w:val="00D8568A"/>
    <w:rsid w:val="00D86298"/>
    <w:rsid w:val="00D8699F"/>
    <w:rsid w:val="00D87442"/>
    <w:rsid w:val="00D87A3C"/>
    <w:rsid w:val="00D87DFF"/>
    <w:rsid w:val="00D90737"/>
    <w:rsid w:val="00D90768"/>
    <w:rsid w:val="00D911E8"/>
    <w:rsid w:val="00D91414"/>
    <w:rsid w:val="00D91464"/>
    <w:rsid w:val="00D9175C"/>
    <w:rsid w:val="00D918D9"/>
    <w:rsid w:val="00D91A24"/>
    <w:rsid w:val="00D92549"/>
    <w:rsid w:val="00D938EF"/>
    <w:rsid w:val="00D93AD9"/>
    <w:rsid w:val="00D93B20"/>
    <w:rsid w:val="00D93F73"/>
    <w:rsid w:val="00D94B8A"/>
    <w:rsid w:val="00D94C1D"/>
    <w:rsid w:val="00D95385"/>
    <w:rsid w:val="00D95454"/>
    <w:rsid w:val="00D95A7C"/>
    <w:rsid w:val="00D960C8"/>
    <w:rsid w:val="00D96318"/>
    <w:rsid w:val="00D972E5"/>
    <w:rsid w:val="00D979AD"/>
    <w:rsid w:val="00D97FC1"/>
    <w:rsid w:val="00DA01D6"/>
    <w:rsid w:val="00DA0286"/>
    <w:rsid w:val="00DA06E8"/>
    <w:rsid w:val="00DA103D"/>
    <w:rsid w:val="00DA12A5"/>
    <w:rsid w:val="00DA1CC6"/>
    <w:rsid w:val="00DA1FF1"/>
    <w:rsid w:val="00DA231A"/>
    <w:rsid w:val="00DA263B"/>
    <w:rsid w:val="00DA2910"/>
    <w:rsid w:val="00DA2C01"/>
    <w:rsid w:val="00DA2ED4"/>
    <w:rsid w:val="00DA34C1"/>
    <w:rsid w:val="00DA3C7F"/>
    <w:rsid w:val="00DA590C"/>
    <w:rsid w:val="00DA5DC3"/>
    <w:rsid w:val="00DA5F19"/>
    <w:rsid w:val="00DA61BD"/>
    <w:rsid w:val="00DA72B6"/>
    <w:rsid w:val="00DA7EA6"/>
    <w:rsid w:val="00DA7FD1"/>
    <w:rsid w:val="00DB018A"/>
    <w:rsid w:val="00DB0820"/>
    <w:rsid w:val="00DB0B2F"/>
    <w:rsid w:val="00DB179E"/>
    <w:rsid w:val="00DB28A5"/>
    <w:rsid w:val="00DB2F2E"/>
    <w:rsid w:val="00DB392C"/>
    <w:rsid w:val="00DB39F1"/>
    <w:rsid w:val="00DB3A00"/>
    <w:rsid w:val="00DB3CB9"/>
    <w:rsid w:val="00DB3F63"/>
    <w:rsid w:val="00DB4011"/>
    <w:rsid w:val="00DB416E"/>
    <w:rsid w:val="00DB4F91"/>
    <w:rsid w:val="00DB5394"/>
    <w:rsid w:val="00DB633E"/>
    <w:rsid w:val="00DB643A"/>
    <w:rsid w:val="00DB6A0C"/>
    <w:rsid w:val="00DB6C50"/>
    <w:rsid w:val="00DB757E"/>
    <w:rsid w:val="00DB7AFE"/>
    <w:rsid w:val="00DC0680"/>
    <w:rsid w:val="00DC0CBC"/>
    <w:rsid w:val="00DC1DF5"/>
    <w:rsid w:val="00DC2294"/>
    <w:rsid w:val="00DC23B1"/>
    <w:rsid w:val="00DC3989"/>
    <w:rsid w:val="00DC4613"/>
    <w:rsid w:val="00DC49B3"/>
    <w:rsid w:val="00DC4C07"/>
    <w:rsid w:val="00DC5989"/>
    <w:rsid w:val="00DC5D41"/>
    <w:rsid w:val="00DC5DF7"/>
    <w:rsid w:val="00DC655C"/>
    <w:rsid w:val="00DC6AD0"/>
    <w:rsid w:val="00DC6B2C"/>
    <w:rsid w:val="00DC7422"/>
    <w:rsid w:val="00DC7FDB"/>
    <w:rsid w:val="00DD09E4"/>
    <w:rsid w:val="00DD0F8D"/>
    <w:rsid w:val="00DD2A47"/>
    <w:rsid w:val="00DD2FC6"/>
    <w:rsid w:val="00DD36E8"/>
    <w:rsid w:val="00DD3910"/>
    <w:rsid w:val="00DD4495"/>
    <w:rsid w:val="00DD45E6"/>
    <w:rsid w:val="00DD496B"/>
    <w:rsid w:val="00DD4FA0"/>
    <w:rsid w:val="00DD5315"/>
    <w:rsid w:val="00DD5497"/>
    <w:rsid w:val="00DD5742"/>
    <w:rsid w:val="00DD59C0"/>
    <w:rsid w:val="00DD5A42"/>
    <w:rsid w:val="00DD62C6"/>
    <w:rsid w:val="00DD6698"/>
    <w:rsid w:val="00DD7539"/>
    <w:rsid w:val="00DD7563"/>
    <w:rsid w:val="00DD75BE"/>
    <w:rsid w:val="00DD7901"/>
    <w:rsid w:val="00DD7C3A"/>
    <w:rsid w:val="00DE0193"/>
    <w:rsid w:val="00DE0935"/>
    <w:rsid w:val="00DE1279"/>
    <w:rsid w:val="00DE12D5"/>
    <w:rsid w:val="00DE14F0"/>
    <w:rsid w:val="00DE15F2"/>
    <w:rsid w:val="00DE1885"/>
    <w:rsid w:val="00DE1D97"/>
    <w:rsid w:val="00DE25D8"/>
    <w:rsid w:val="00DE27ED"/>
    <w:rsid w:val="00DE3051"/>
    <w:rsid w:val="00DE3574"/>
    <w:rsid w:val="00DE35FB"/>
    <w:rsid w:val="00DE3C77"/>
    <w:rsid w:val="00DE4506"/>
    <w:rsid w:val="00DE48DA"/>
    <w:rsid w:val="00DE4A5F"/>
    <w:rsid w:val="00DE4A64"/>
    <w:rsid w:val="00DE599F"/>
    <w:rsid w:val="00DE658F"/>
    <w:rsid w:val="00DE6731"/>
    <w:rsid w:val="00DE6F7E"/>
    <w:rsid w:val="00DE7208"/>
    <w:rsid w:val="00DE7F21"/>
    <w:rsid w:val="00DE7F91"/>
    <w:rsid w:val="00DF0079"/>
    <w:rsid w:val="00DF0198"/>
    <w:rsid w:val="00DF0930"/>
    <w:rsid w:val="00DF0B74"/>
    <w:rsid w:val="00DF0C31"/>
    <w:rsid w:val="00DF0CAA"/>
    <w:rsid w:val="00DF1D5F"/>
    <w:rsid w:val="00DF1D7B"/>
    <w:rsid w:val="00DF24BA"/>
    <w:rsid w:val="00DF2F7C"/>
    <w:rsid w:val="00DF32CB"/>
    <w:rsid w:val="00DF3521"/>
    <w:rsid w:val="00DF3A4A"/>
    <w:rsid w:val="00DF4223"/>
    <w:rsid w:val="00DF4A6C"/>
    <w:rsid w:val="00DF54B4"/>
    <w:rsid w:val="00DF5D5A"/>
    <w:rsid w:val="00DF606D"/>
    <w:rsid w:val="00DF65BF"/>
    <w:rsid w:val="00DF68F9"/>
    <w:rsid w:val="00DF6BC7"/>
    <w:rsid w:val="00DF6CFE"/>
    <w:rsid w:val="00DF72D7"/>
    <w:rsid w:val="00DF739F"/>
    <w:rsid w:val="00DF7718"/>
    <w:rsid w:val="00DF7C28"/>
    <w:rsid w:val="00E0085F"/>
    <w:rsid w:val="00E00D29"/>
    <w:rsid w:val="00E00FC0"/>
    <w:rsid w:val="00E017DD"/>
    <w:rsid w:val="00E01C38"/>
    <w:rsid w:val="00E01D44"/>
    <w:rsid w:val="00E020F7"/>
    <w:rsid w:val="00E02E55"/>
    <w:rsid w:val="00E02EF3"/>
    <w:rsid w:val="00E03061"/>
    <w:rsid w:val="00E033CC"/>
    <w:rsid w:val="00E034A9"/>
    <w:rsid w:val="00E036DB"/>
    <w:rsid w:val="00E03816"/>
    <w:rsid w:val="00E03ABA"/>
    <w:rsid w:val="00E04055"/>
    <w:rsid w:val="00E04CB2"/>
    <w:rsid w:val="00E053E0"/>
    <w:rsid w:val="00E0559D"/>
    <w:rsid w:val="00E05695"/>
    <w:rsid w:val="00E059C6"/>
    <w:rsid w:val="00E06B31"/>
    <w:rsid w:val="00E06BA3"/>
    <w:rsid w:val="00E06DD6"/>
    <w:rsid w:val="00E07019"/>
    <w:rsid w:val="00E0707F"/>
    <w:rsid w:val="00E07113"/>
    <w:rsid w:val="00E0742C"/>
    <w:rsid w:val="00E12BE0"/>
    <w:rsid w:val="00E12DF1"/>
    <w:rsid w:val="00E13341"/>
    <w:rsid w:val="00E1338C"/>
    <w:rsid w:val="00E140E5"/>
    <w:rsid w:val="00E14551"/>
    <w:rsid w:val="00E1552D"/>
    <w:rsid w:val="00E158E0"/>
    <w:rsid w:val="00E1619C"/>
    <w:rsid w:val="00E16715"/>
    <w:rsid w:val="00E1671C"/>
    <w:rsid w:val="00E174E2"/>
    <w:rsid w:val="00E179F6"/>
    <w:rsid w:val="00E204BE"/>
    <w:rsid w:val="00E207B2"/>
    <w:rsid w:val="00E20B38"/>
    <w:rsid w:val="00E2112C"/>
    <w:rsid w:val="00E2147D"/>
    <w:rsid w:val="00E24D4A"/>
    <w:rsid w:val="00E25176"/>
    <w:rsid w:val="00E25640"/>
    <w:rsid w:val="00E256D4"/>
    <w:rsid w:val="00E2691A"/>
    <w:rsid w:val="00E273A0"/>
    <w:rsid w:val="00E27971"/>
    <w:rsid w:val="00E27AEB"/>
    <w:rsid w:val="00E27B64"/>
    <w:rsid w:val="00E27B7F"/>
    <w:rsid w:val="00E27E42"/>
    <w:rsid w:val="00E303AD"/>
    <w:rsid w:val="00E3130F"/>
    <w:rsid w:val="00E313C2"/>
    <w:rsid w:val="00E32550"/>
    <w:rsid w:val="00E337BA"/>
    <w:rsid w:val="00E33E5A"/>
    <w:rsid w:val="00E342C3"/>
    <w:rsid w:val="00E3438C"/>
    <w:rsid w:val="00E34E69"/>
    <w:rsid w:val="00E34E91"/>
    <w:rsid w:val="00E3507D"/>
    <w:rsid w:val="00E35790"/>
    <w:rsid w:val="00E35882"/>
    <w:rsid w:val="00E35EAC"/>
    <w:rsid w:val="00E3686F"/>
    <w:rsid w:val="00E36A0C"/>
    <w:rsid w:val="00E36A65"/>
    <w:rsid w:val="00E370C2"/>
    <w:rsid w:val="00E3775D"/>
    <w:rsid w:val="00E37C0F"/>
    <w:rsid w:val="00E37EAA"/>
    <w:rsid w:val="00E37F9F"/>
    <w:rsid w:val="00E4017C"/>
    <w:rsid w:val="00E401D9"/>
    <w:rsid w:val="00E4033A"/>
    <w:rsid w:val="00E40428"/>
    <w:rsid w:val="00E40C76"/>
    <w:rsid w:val="00E40CA5"/>
    <w:rsid w:val="00E41160"/>
    <w:rsid w:val="00E415C1"/>
    <w:rsid w:val="00E417A6"/>
    <w:rsid w:val="00E41CEF"/>
    <w:rsid w:val="00E41D44"/>
    <w:rsid w:val="00E4202F"/>
    <w:rsid w:val="00E42340"/>
    <w:rsid w:val="00E42A1E"/>
    <w:rsid w:val="00E42B14"/>
    <w:rsid w:val="00E42BAA"/>
    <w:rsid w:val="00E4319A"/>
    <w:rsid w:val="00E43447"/>
    <w:rsid w:val="00E43712"/>
    <w:rsid w:val="00E43A8E"/>
    <w:rsid w:val="00E4409B"/>
    <w:rsid w:val="00E44749"/>
    <w:rsid w:val="00E450FE"/>
    <w:rsid w:val="00E45628"/>
    <w:rsid w:val="00E45888"/>
    <w:rsid w:val="00E46052"/>
    <w:rsid w:val="00E4648C"/>
    <w:rsid w:val="00E46894"/>
    <w:rsid w:val="00E46C77"/>
    <w:rsid w:val="00E47FA9"/>
    <w:rsid w:val="00E50936"/>
    <w:rsid w:val="00E50F8A"/>
    <w:rsid w:val="00E50FE0"/>
    <w:rsid w:val="00E51072"/>
    <w:rsid w:val="00E51531"/>
    <w:rsid w:val="00E519CA"/>
    <w:rsid w:val="00E52289"/>
    <w:rsid w:val="00E523A1"/>
    <w:rsid w:val="00E5274F"/>
    <w:rsid w:val="00E52E32"/>
    <w:rsid w:val="00E534A8"/>
    <w:rsid w:val="00E55385"/>
    <w:rsid w:val="00E55425"/>
    <w:rsid w:val="00E556F1"/>
    <w:rsid w:val="00E55F46"/>
    <w:rsid w:val="00E56382"/>
    <w:rsid w:val="00E568F0"/>
    <w:rsid w:val="00E5692D"/>
    <w:rsid w:val="00E56AA4"/>
    <w:rsid w:val="00E57032"/>
    <w:rsid w:val="00E60B5A"/>
    <w:rsid w:val="00E60B82"/>
    <w:rsid w:val="00E6213E"/>
    <w:rsid w:val="00E624F9"/>
    <w:rsid w:val="00E630B0"/>
    <w:rsid w:val="00E63298"/>
    <w:rsid w:val="00E63706"/>
    <w:rsid w:val="00E63752"/>
    <w:rsid w:val="00E63931"/>
    <w:rsid w:val="00E63AF7"/>
    <w:rsid w:val="00E63DA6"/>
    <w:rsid w:val="00E63E02"/>
    <w:rsid w:val="00E64599"/>
    <w:rsid w:val="00E6483D"/>
    <w:rsid w:val="00E64C49"/>
    <w:rsid w:val="00E65029"/>
    <w:rsid w:val="00E652E3"/>
    <w:rsid w:val="00E65512"/>
    <w:rsid w:val="00E6570B"/>
    <w:rsid w:val="00E67477"/>
    <w:rsid w:val="00E67524"/>
    <w:rsid w:val="00E7034B"/>
    <w:rsid w:val="00E70405"/>
    <w:rsid w:val="00E705F9"/>
    <w:rsid w:val="00E7271C"/>
    <w:rsid w:val="00E72A5A"/>
    <w:rsid w:val="00E72CAC"/>
    <w:rsid w:val="00E736AC"/>
    <w:rsid w:val="00E73CB8"/>
    <w:rsid w:val="00E74300"/>
    <w:rsid w:val="00E74C58"/>
    <w:rsid w:val="00E7532F"/>
    <w:rsid w:val="00E75C89"/>
    <w:rsid w:val="00E75CFB"/>
    <w:rsid w:val="00E761FF"/>
    <w:rsid w:val="00E766E5"/>
    <w:rsid w:val="00E768AA"/>
    <w:rsid w:val="00E76FBF"/>
    <w:rsid w:val="00E7798C"/>
    <w:rsid w:val="00E77C3D"/>
    <w:rsid w:val="00E80672"/>
    <w:rsid w:val="00E80B04"/>
    <w:rsid w:val="00E8152E"/>
    <w:rsid w:val="00E8161F"/>
    <w:rsid w:val="00E81797"/>
    <w:rsid w:val="00E81E55"/>
    <w:rsid w:val="00E8204C"/>
    <w:rsid w:val="00E8212E"/>
    <w:rsid w:val="00E824EA"/>
    <w:rsid w:val="00E82759"/>
    <w:rsid w:val="00E830BA"/>
    <w:rsid w:val="00E83BFB"/>
    <w:rsid w:val="00E842C2"/>
    <w:rsid w:val="00E8472A"/>
    <w:rsid w:val="00E849B1"/>
    <w:rsid w:val="00E849D3"/>
    <w:rsid w:val="00E84B71"/>
    <w:rsid w:val="00E85058"/>
    <w:rsid w:val="00E859D6"/>
    <w:rsid w:val="00E86F88"/>
    <w:rsid w:val="00E870B6"/>
    <w:rsid w:val="00E87A4C"/>
    <w:rsid w:val="00E87A8E"/>
    <w:rsid w:val="00E87E72"/>
    <w:rsid w:val="00E87F83"/>
    <w:rsid w:val="00E901B0"/>
    <w:rsid w:val="00E90BCC"/>
    <w:rsid w:val="00E90FBF"/>
    <w:rsid w:val="00E91614"/>
    <w:rsid w:val="00E91981"/>
    <w:rsid w:val="00E91FB7"/>
    <w:rsid w:val="00E922C3"/>
    <w:rsid w:val="00E924C5"/>
    <w:rsid w:val="00E92ACB"/>
    <w:rsid w:val="00E92B00"/>
    <w:rsid w:val="00E92E48"/>
    <w:rsid w:val="00E9303C"/>
    <w:rsid w:val="00E932EC"/>
    <w:rsid w:val="00E93413"/>
    <w:rsid w:val="00E938D2"/>
    <w:rsid w:val="00E93F8D"/>
    <w:rsid w:val="00E95632"/>
    <w:rsid w:val="00E95900"/>
    <w:rsid w:val="00E95A4D"/>
    <w:rsid w:val="00E95AC0"/>
    <w:rsid w:val="00E97390"/>
    <w:rsid w:val="00E9764C"/>
    <w:rsid w:val="00E97898"/>
    <w:rsid w:val="00E979CB"/>
    <w:rsid w:val="00EA0015"/>
    <w:rsid w:val="00EA060F"/>
    <w:rsid w:val="00EA0F8D"/>
    <w:rsid w:val="00EA109B"/>
    <w:rsid w:val="00EA1261"/>
    <w:rsid w:val="00EA1505"/>
    <w:rsid w:val="00EA155E"/>
    <w:rsid w:val="00EA1B9A"/>
    <w:rsid w:val="00EA1C1B"/>
    <w:rsid w:val="00EA2C10"/>
    <w:rsid w:val="00EA3620"/>
    <w:rsid w:val="00EA3658"/>
    <w:rsid w:val="00EA376E"/>
    <w:rsid w:val="00EA394F"/>
    <w:rsid w:val="00EA3B4B"/>
    <w:rsid w:val="00EA4076"/>
    <w:rsid w:val="00EA4088"/>
    <w:rsid w:val="00EA4B86"/>
    <w:rsid w:val="00EA5196"/>
    <w:rsid w:val="00EA6398"/>
    <w:rsid w:val="00EA68E4"/>
    <w:rsid w:val="00EA6AD5"/>
    <w:rsid w:val="00EA6CCA"/>
    <w:rsid w:val="00EA73F6"/>
    <w:rsid w:val="00EA7895"/>
    <w:rsid w:val="00EB00B6"/>
    <w:rsid w:val="00EB028F"/>
    <w:rsid w:val="00EB07CB"/>
    <w:rsid w:val="00EB07CF"/>
    <w:rsid w:val="00EB0F37"/>
    <w:rsid w:val="00EB0F86"/>
    <w:rsid w:val="00EB1266"/>
    <w:rsid w:val="00EB13F0"/>
    <w:rsid w:val="00EB19B6"/>
    <w:rsid w:val="00EB282A"/>
    <w:rsid w:val="00EB2C47"/>
    <w:rsid w:val="00EB388D"/>
    <w:rsid w:val="00EB4295"/>
    <w:rsid w:val="00EB460D"/>
    <w:rsid w:val="00EB49B0"/>
    <w:rsid w:val="00EB525E"/>
    <w:rsid w:val="00EB5797"/>
    <w:rsid w:val="00EB580C"/>
    <w:rsid w:val="00EB5994"/>
    <w:rsid w:val="00EB5F96"/>
    <w:rsid w:val="00EB6C83"/>
    <w:rsid w:val="00EB79E3"/>
    <w:rsid w:val="00EB7D3D"/>
    <w:rsid w:val="00EC07B7"/>
    <w:rsid w:val="00EC090A"/>
    <w:rsid w:val="00EC0E83"/>
    <w:rsid w:val="00EC10FF"/>
    <w:rsid w:val="00EC191A"/>
    <w:rsid w:val="00EC1BC6"/>
    <w:rsid w:val="00EC217E"/>
    <w:rsid w:val="00EC2280"/>
    <w:rsid w:val="00EC254C"/>
    <w:rsid w:val="00EC29FC"/>
    <w:rsid w:val="00EC2C9F"/>
    <w:rsid w:val="00EC3C46"/>
    <w:rsid w:val="00EC40AB"/>
    <w:rsid w:val="00EC4155"/>
    <w:rsid w:val="00EC4DFA"/>
    <w:rsid w:val="00EC5233"/>
    <w:rsid w:val="00EC5464"/>
    <w:rsid w:val="00EC560F"/>
    <w:rsid w:val="00EC5ACA"/>
    <w:rsid w:val="00EC62F0"/>
    <w:rsid w:val="00EC68D9"/>
    <w:rsid w:val="00EC7758"/>
    <w:rsid w:val="00EC7AC1"/>
    <w:rsid w:val="00EC7EAF"/>
    <w:rsid w:val="00ED00C1"/>
    <w:rsid w:val="00ED061B"/>
    <w:rsid w:val="00ED0958"/>
    <w:rsid w:val="00ED0D7A"/>
    <w:rsid w:val="00ED2A88"/>
    <w:rsid w:val="00ED2AF4"/>
    <w:rsid w:val="00ED2D32"/>
    <w:rsid w:val="00ED2E09"/>
    <w:rsid w:val="00ED385F"/>
    <w:rsid w:val="00ED3CEC"/>
    <w:rsid w:val="00ED42D4"/>
    <w:rsid w:val="00ED50EF"/>
    <w:rsid w:val="00ED51DE"/>
    <w:rsid w:val="00ED5C8D"/>
    <w:rsid w:val="00ED62C3"/>
    <w:rsid w:val="00ED62CD"/>
    <w:rsid w:val="00ED727F"/>
    <w:rsid w:val="00ED73F2"/>
    <w:rsid w:val="00ED76F6"/>
    <w:rsid w:val="00EE030A"/>
    <w:rsid w:val="00EE06EE"/>
    <w:rsid w:val="00EE1454"/>
    <w:rsid w:val="00EE1D04"/>
    <w:rsid w:val="00EE22EB"/>
    <w:rsid w:val="00EE29CF"/>
    <w:rsid w:val="00EE32E1"/>
    <w:rsid w:val="00EE3362"/>
    <w:rsid w:val="00EE3670"/>
    <w:rsid w:val="00EE3779"/>
    <w:rsid w:val="00EE37CE"/>
    <w:rsid w:val="00EE4900"/>
    <w:rsid w:val="00EE4FD4"/>
    <w:rsid w:val="00EE56A9"/>
    <w:rsid w:val="00EE5796"/>
    <w:rsid w:val="00EE5B9C"/>
    <w:rsid w:val="00EE5DDE"/>
    <w:rsid w:val="00EE64A3"/>
    <w:rsid w:val="00EE6B30"/>
    <w:rsid w:val="00EE6F41"/>
    <w:rsid w:val="00EE74F9"/>
    <w:rsid w:val="00EE78F9"/>
    <w:rsid w:val="00EF11A3"/>
    <w:rsid w:val="00EF11CE"/>
    <w:rsid w:val="00EF178F"/>
    <w:rsid w:val="00EF1D8B"/>
    <w:rsid w:val="00EF2176"/>
    <w:rsid w:val="00EF2C45"/>
    <w:rsid w:val="00EF30BA"/>
    <w:rsid w:val="00EF32BE"/>
    <w:rsid w:val="00EF3504"/>
    <w:rsid w:val="00EF3684"/>
    <w:rsid w:val="00EF36C6"/>
    <w:rsid w:val="00EF418C"/>
    <w:rsid w:val="00EF4855"/>
    <w:rsid w:val="00EF48B7"/>
    <w:rsid w:val="00EF4F52"/>
    <w:rsid w:val="00EF5043"/>
    <w:rsid w:val="00EF54C1"/>
    <w:rsid w:val="00EF55E7"/>
    <w:rsid w:val="00EF5891"/>
    <w:rsid w:val="00EF591C"/>
    <w:rsid w:val="00EF5E1D"/>
    <w:rsid w:val="00EF640B"/>
    <w:rsid w:val="00EF64C8"/>
    <w:rsid w:val="00EF7B4D"/>
    <w:rsid w:val="00EF7BE4"/>
    <w:rsid w:val="00EF7C1E"/>
    <w:rsid w:val="00F000C5"/>
    <w:rsid w:val="00F0053C"/>
    <w:rsid w:val="00F0056C"/>
    <w:rsid w:val="00F01314"/>
    <w:rsid w:val="00F01442"/>
    <w:rsid w:val="00F014C4"/>
    <w:rsid w:val="00F01B9B"/>
    <w:rsid w:val="00F01D16"/>
    <w:rsid w:val="00F01D49"/>
    <w:rsid w:val="00F01FEC"/>
    <w:rsid w:val="00F020E5"/>
    <w:rsid w:val="00F024DB"/>
    <w:rsid w:val="00F02990"/>
    <w:rsid w:val="00F02E3C"/>
    <w:rsid w:val="00F05528"/>
    <w:rsid w:val="00F05779"/>
    <w:rsid w:val="00F058E8"/>
    <w:rsid w:val="00F05C05"/>
    <w:rsid w:val="00F0606E"/>
    <w:rsid w:val="00F06614"/>
    <w:rsid w:val="00F0686E"/>
    <w:rsid w:val="00F06DE2"/>
    <w:rsid w:val="00F0768F"/>
    <w:rsid w:val="00F078DF"/>
    <w:rsid w:val="00F108AA"/>
    <w:rsid w:val="00F10B83"/>
    <w:rsid w:val="00F1108E"/>
    <w:rsid w:val="00F11157"/>
    <w:rsid w:val="00F111CB"/>
    <w:rsid w:val="00F1149D"/>
    <w:rsid w:val="00F11503"/>
    <w:rsid w:val="00F1169E"/>
    <w:rsid w:val="00F11C26"/>
    <w:rsid w:val="00F12CDA"/>
    <w:rsid w:val="00F133D7"/>
    <w:rsid w:val="00F1345F"/>
    <w:rsid w:val="00F134C9"/>
    <w:rsid w:val="00F13BC2"/>
    <w:rsid w:val="00F142DB"/>
    <w:rsid w:val="00F14461"/>
    <w:rsid w:val="00F14A8D"/>
    <w:rsid w:val="00F14C77"/>
    <w:rsid w:val="00F14EA1"/>
    <w:rsid w:val="00F1524F"/>
    <w:rsid w:val="00F156BE"/>
    <w:rsid w:val="00F1582E"/>
    <w:rsid w:val="00F15A2F"/>
    <w:rsid w:val="00F15E8B"/>
    <w:rsid w:val="00F15EF9"/>
    <w:rsid w:val="00F162C9"/>
    <w:rsid w:val="00F171C2"/>
    <w:rsid w:val="00F17487"/>
    <w:rsid w:val="00F17C9C"/>
    <w:rsid w:val="00F20284"/>
    <w:rsid w:val="00F212EA"/>
    <w:rsid w:val="00F2199E"/>
    <w:rsid w:val="00F223CE"/>
    <w:rsid w:val="00F241F6"/>
    <w:rsid w:val="00F2430D"/>
    <w:rsid w:val="00F24D0D"/>
    <w:rsid w:val="00F25147"/>
    <w:rsid w:val="00F25462"/>
    <w:rsid w:val="00F25D4E"/>
    <w:rsid w:val="00F279E6"/>
    <w:rsid w:val="00F27BF0"/>
    <w:rsid w:val="00F27D28"/>
    <w:rsid w:val="00F27DDC"/>
    <w:rsid w:val="00F300DD"/>
    <w:rsid w:val="00F30E14"/>
    <w:rsid w:val="00F31742"/>
    <w:rsid w:val="00F31873"/>
    <w:rsid w:val="00F31B64"/>
    <w:rsid w:val="00F31D25"/>
    <w:rsid w:val="00F322EB"/>
    <w:rsid w:val="00F32EAD"/>
    <w:rsid w:val="00F34893"/>
    <w:rsid w:val="00F34A0B"/>
    <w:rsid w:val="00F3536D"/>
    <w:rsid w:val="00F359AB"/>
    <w:rsid w:val="00F35D52"/>
    <w:rsid w:val="00F377A1"/>
    <w:rsid w:val="00F378F4"/>
    <w:rsid w:val="00F403F8"/>
    <w:rsid w:val="00F40BE7"/>
    <w:rsid w:val="00F40C08"/>
    <w:rsid w:val="00F416FF"/>
    <w:rsid w:val="00F41739"/>
    <w:rsid w:val="00F41CD7"/>
    <w:rsid w:val="00F424F8"/>
    <w:rsid w:val="00F43417"/>
    <w:rsid w:val="00F43438"/>
    <w:rsid w:val="00F435D5"/>
    <w:rsid w:val="00F43609"/>
    <w:rsid w:val="00F4366F"/>
    <w:rsid w:val="00F43782"/>
    <w:rsid w:val="00F439D8"/>
    <w:rsid w:val="00F43B77"/>
    <w:rsid w:val="00F43D0D"/>
    <w:rsid w:val="00F43E98"/>
    <w:rsid w:val="00F45465"/>
    <w:rsid w:val="00F45507"/>
    <w:rsid w:val="00F45662"/>
    <w:rsid w:val="00F4575F"/>
    <w:rsid w:val="00F4590A"/>
    <w:rsid w:val="00F45B9E"/>
    <w:rsid w:val="00F45F64"/>
    <w:rsid w:val="00F46032"/>
    <w:rsid w:val="00F463DD"/>
    <w:rsid w:val="00F4670F"/>
    <w:rsid w:val="00F468CE"/>
    <w:rsid w:val="00F468ED"/>
    <w:rsid w:val="00F4738A"/>
    <w:rsid w:val="00F47A8A"/>
    <w:rsid w:val="00F47BE1"/>
    <w:rsid w:val="00F50824"/>
    <w:rsid w:val="00F5156D"/>
    <w:rsid w:val="00F5168F"/>
    <w:rsid w:val="00F51ACF"/>
    <w:rsid w:val="00F51AE4"/>
    <w:rsid w:val="00F51E70"/>
    <w:rsid w:val="00F5226B"/>
    <w:rsid w:val="00F5328E"/>
    <w:rsid w:val="00F53429"/>
    <w:rsid w:val="00F53DB3"/>
    <w:rsid w:val="00F5421D"/>
    <w:rsid w:val="00F54425"/>
    <w:rsid w:val="00F546C7"/>
    <w:rsid w:val="00F54EDC"/>
    <w:rsid w:val="00F552D3"/>
    <w:rsid w:val="00F56503"/>
    <w:rsid w:val="00F5665D"/>
    <w:rsid w:val="00F56EFA"/>
    <w:rsid w:val="00F57196"/>
    <w:rsid w:val="00F57614"/>
    <w:rsid w:val="00F5766B"/>
    <w:rsid w:val="00F57F25"/>
    <w:rsid w:val="00F57FC0"/>
    <w:rsid w:val="00F603B8"/>
    <w:rsid w:val="00F60CD8"/>
    <w:rsid w:val="00F6155A"/>
    <w:rsid w:val="00F61C11"/>
    <w:rsid w:val="00F6328F"/>
    <w:rsid w:val="00F6429E"/>
    <w:rsid w:val="00F644D6"/>
    <w:rsid w:val="00F64717"/>
    <w:rsid w:val="00F64A67"/>
    <w:rsid w:val="00F65C39"/>
    <w:rsid w:val="00F66BD1"/>
    <w:rsid w:val="00F67490"/>
    <w:rsid w:val="00F679A3"/>
    <w:rsid w:val="00F67E92"/>
    <w:rsid w:val="00F703CE"/>
    <w:rsid w:val="00F703D0"/>
    <w:rsid w:val="00F71035"/>
    <w:rsid w:val="00F71223"/>
    <w:rsid w:val="00F71E3A"/>
    <w:rsid w:val="00F720FA"/>
    <w:rsid w:val="00F72116"/>
    <w:rsid w:val="00F73033"/>
    <w:rsid w:val="00F73689"/>
    <w:rsid w:val="00F73BB6"/>
    <w:rsid w:val="00F73D57"/>
    <w:rsid w:val="00F743C9"/>
    <w:rsid w:val="00F74498"/>
    <w:rsid w:val="00F747FE"/>
    <w:rsid w:val="00F74902"/>
    <w:rsid w:val="00F74E86"/>
    <w:rsid w:val="00F7571B"/>
    <w:rsid w:val="00F760D8"/>
    <w:rsid w:val="00F760F2"/>
    <w:rsid w:val="00F7657D"/>
    <w:rsid w:val="00F76845"/>
    <w:rsid w:val="00F76E0E"/>
    <w:rsid w:val="00F76F0D"/>
    <w:rsid w:val="00F77654"/>
    <w:rsid w:val="00F777B6"/>
    <w:rsid w:val="00F8054E"/>
    <w:rsid w:val="00F80673"/>
    <w:rsid w:val="00F80E84"/>
    <w:rsid w:val="00F81482"/>
    <w:rsid w:val="00F8169D"/>
    <w:rsid w:val="00F8170E"/>
    <w:rsid w:val="00F81E82"/>
    <w:rsid w:val="00F82646"/>
    <w:rsid w:val="00F8285E"/>
    <w:rsid w:val="00F835AC"/>
    <w:rsid w:val="00F8436D"/>
    <w:rsid w:val="00F84CA4"/>
    <w:rsid w:val="00F854C5"/>
    <w:rsid w:val="00F85847"/>
    <w:rsid w:val="00F867C1"/>
    <w:rsid w:val="00F86E29"/>
    <w:rsid w:val="00F87926"/>
    <w:rsid w:val="00F90999"/>
    <w:rsid w:val="00F91D7D"/>
    <w:rsid w:val="00F91F84"/>
    <w:rsid w:val="00F9218B"/>
    <w:rsid w:val="00F921EE"/>
    <w:rsid w:val="00F92C6F"/>
    <w:rsid w:val="00F93B3E"/>
    <w:rsid w:val="00F93C01"/>
    <w:rsid w:val="00F94365"/>
    <w:rsid w:val="00F94520"/>
    <w:rsid w:val="00F94597"/>
    <w:rsid w:val="00F9478F"/>
    <w:rsid w:val="00F950F1"/>
    <w:rsid w:val="00F95AC1"/>
    <w:rsid w:val="00F95C33"/>
    <w:rsid w:val="00F96F83"/>
    <w:rsid w:val="00F97A6A"/>
    <w:rsid w:val="00FA003A"/>
    <w:rsid w:val="00FA0CD5"/>
    <w:rsid w:val="00FA1008"/>
    <w:rsid w:val="00FA18E3"/>
    <w:rsid w:val="00FA1DCD"/>
    <w:rsid w:val="00FA202B"/>
    <w:rsid w:val="00FA2805"/>
    <w:rsid w:val="00FA305C"/>
    <w:rsid w:val="00FA30AF"/>
    <w:rsid w:val="00FA37D5"/>
    <w:rsid w:val="00FA3841"/>
    <w:rsid w:val="00FA39C3"/>
    <w:rsid w:val="00FA4256"/>
    <w:rsid w:val="00FA42D4"/>
    <w:rsid w:val="00FA4F13"/>
    <w:rsid w:val="00FA5236"/>
    <w:rsid w:val="00FA5807"/>
    <w:rsid w:val="00FA58CF"/>
    <w:rsid w:val="00FA58E1"/>
    <w:rsid w:val="00FA5910"/>
    <w:rsid w:val="00FA595D"/>
    <w:rsid w:val="00FA6B84"/>
    <w:rsid w:val="00FA7654"/>
    <w:rsid w:val="00FA7758"/>
    <w:rsid w:val="00FA7A61"/>
    <w:rsid w:val="00FB019A"/>
    <w:rsid w:val="00FB086A"/>
    <w:rsid w:val="00FB0E15"/>
    <w:rsid w:val="00FB13C0"/>
    <w:rsid w:val="00FB1764"/>
    <w:rsid w:val="00FB1947"/>
    <w:rsid w:val="00FB1C80"/>
    <w:rsid w:val="00FB21C0"/>
    <w:rsid w:val="00FB2EC2"/>
    <w:rsid w:val="00FB2FDC"/>
    <w:rsid w:val="00FB30D1"/>
    <w:rsid w:val="00FB3293"/>
    <w:rsid w:val="00FB358A"/>
    <w:rsid w:val="00FB373A"/>
    <w:rsid w:val="00FB46C6"/>
    <w:rsid w:val="00FB5945"/>
    <w:rsid w:val="00FB5EEA"/>
    <w:rsid w:val="00FB5F29"/>
    <w:rsid w:val="00FB66BE"/>
    <w:rsid w:val="00FB670A"/>
    <w:rsid w:val="00FB6776"/>
    <w:rsid w:val="00FB6D01"/>
    <w:rsid w:val="00FB6E1D"/>
    <w:rsid w:val="00FB7179"/>
    <w:rsid w:val="00FB76C7"/>
    <w:rsid w:val="00FB780B"/>
    <w:rsid w:val="00FB7922"/>
    <w:rsid w:val="00FC007C"/>
    <w:rsid w:val="00FC0AD1"/>
    <w:rsid w:val="00FC0DD7"/>
    <w:rsid w:val="00FC1292"/>
    <w:rsid w:val="00FC1733"/>
    <w:rsid w:val="00FC1A1B"/>
    <w:rsid w:val="00FC1AD5"/>
    <w:rsid w:val="00FC2D67"/>
    <w:rsid w:val="00FC3911"/>
    <w:rsid w:val="00FC396A"/>
    <w:rsid w:val="00FC486E"/>
    <w:rsid w:val="00FC4911"/>
    <w:rsid w:val="00FC504C"/>
    <w:rsid w:val="00FC5211"/>
    <w:rsid w:val="00FC54A8"/>
    <w:rsid w:val="00FC5573"/>
    <w:rsid w:val="00FC5BAC"/>
    <w:rsid w:val="00FC60E3"/>
    <w:rsid w:val="00FC719E"/>
    <w:rsid w:val="00FD0748"/>
    <w:rsid w:val="00FD0805"/>
    <w:rsid w:val="00FD0FEF"/>
    <w:rsid w:val="00FD1150"/>
    <w:rsid w:val="00FD2055"/>
    <w:rsid w:val="00FD2425"/>
    <w:rsid w:val="00FD25D9"/>
    <w:rsid w:val="00FD27D5"/>
    <w:rsid w:val="00FD2A2A"/>
    <w:rsid w:val="00FD4334"/>
    <w:rsid w:val="00FD47B1"/>
    <w:rsid w:val="00FD4A74"/>
    <w:rsid w:val="00FD4EF8"/>
    <w:rsid w:val="00FD5147"/>
    <w:rsid w:val="00FD5CBA"/>
    <w:rsid w:val="00FD5CE9"/>
    <w:rsid w:val="00FD5DFA"/>
    <w:rsid w:val="00FD5EB8"/>
    <w:rsid w:val="00FD61E7"/>
    <w:rsid w:val="00FD6AA0"/>
    <w:rsid w:val="00FD79F0"/>
    <w:rsid w:val="00FE06AB"/>
    <w:rsid w:val="00FE0CAD"/>
    <w:rsid w:val="00FE1653"/>
    <w:rsid w:val="00FE16DA"/>
    <w:rsid w:val="00FE19C9"/>
    <w:rsid w:val="00FE2932"/>
    <w:rsid w:val="00FE29DD"/>
    <w:rsid w:val="00FE2AC7"/>
    <w:rsid w:val="00FE2F46"/>
    <w:rsid w:val="00FE3AB4"/>
    <w:rsid w:val="00FE3B0B"/>
    <w:rsid w:val="00FE431F"/>
    <w:rsid w:val="00FE5217"/>
    <w:rsid w:val="00FE54F5"/>
    <w:rsid w:val="00FE575A"/>
    <w:rsid w:val="00FE5806"/>
    <w:rsid w:val="00FE641C"/>
    <w:rsid w:val="00FE6C27"/>
    <w:rsid w:val="00FE6EBD"/>
    <w:rsid w:val="00FE746F"/>
    <w:rsid w:val="00FE7E15"/>
    <w:rsid w:val="00FF0B82"/>
    <w:rsid w:val="00FF0CFB"/>
    <w:rsid w:val="00FF1440"/>
    <w:rsid w:val="00FF1615"/>
    <w:rsid w:val="00FF178A"/>
    <w:rsid w:val="00FF18BF"/>
    <w:rsid w:val="00FF19CF"/>
    <w:rsid w:val="00FF2570"/>
    <w:rsid w:val="00FF37FA"/>
    <w:rsid w:val="00FF3910"/>
    <w:rsid w:val="00FF41C4"/>
    <w:rsid w:val="00FF4515"/>
    <w:rsid w:val="00FF4548"/>
    <w:rsid w:val="00FF48AE"/>
    <w:rsid w:val="00FF51F9"/>
    <w:rsid w:val="00FF549B"/>
    <w:rsid w:val="00FF551A"/>
    <w:rsid w:val="00FF566D"/>
    <w:rsid w:val="00FF604E"/>
    <w:rsid w:val="00FF6299"/>
    <w:rsid w:val="00FF738E"/>
    <w:rsid w:val="00FF7B9D"/>
    <w:rsid w:val="010A5059"/>
    <w:rsid w:val="0137A31D"/>
    <w:rsid w:val="0149FE6D"/>
    <w:rsid w:val="01507B62"/>
    <w:rsid w:val="015C1608"/>
    <w:rsid w:val="0175E9BE"/>
    <w:rsid w:val="0176F508"/>
    <w:rsid w:val="018CDAAD"/>
    <w:rsid w:val="01969B32"/>
    <w:rsid w:val="01CEC8E9"/>
    <w:rsid w:val="01DFBEFD"/>
    <w:rsid w:val="01E39005"/>
    <w:rsid w:val="01F91556"/>
    <w:rsid w:val="0207F613"/>
    <w:rsid w:val="020E6B9D"/>
    <w:rsid w:val="02173D1D"/>
    <w:rsid w:val="021F88E0"/>
    <w:rsid w:val="026427A3"/>
    <w:rsid w:val="02657597"/>
    <w:rsid w:val="0266C19A"/>
    <w:rsid w:val="026B721E"/>
    <w:rsid w:val="0281D7F4"/>
    <w:rsid w:val="028FAA17"/>
    <w:rsid w:val="02927D81"/>
    <w:rsid w:val="029871B8"/>
    <w:rsid w:val="02AB6401"/>
    <w:rsid w:val="02AC390D"/>
    <w:rsid w:val="02BC7B2F"/>
    <w:rsid w:val="02C0B7E2"/>
    <w:rsid w:val="02D258A5"/>
    <w:rsid w:val="02ECA19B"/>
    <w:rsid w:val="0304CB85"/>
    <w:rsid w:val="03138745"/>
    <w:rsid w:val="031B404C"/>
    <w:rsid w:val="0325C820"/>
    <w:rsid w:val="0337FC7D"/>
    <w:rsid w:val="0363FA5A"/>
    <w:rsid w:val="0365CF46"/>
    <w:rsid w:val="0365E963"/>
    <w:rsid w:val="03697134"/>
    <w:rsid w:val="036E4387"/>
    <w:rsid w:val="037576FA"/>
    <w:rsid w:val="037A57EE"/>
    <w:rsid w:val="037F2573"/>
    <w:rsid w:val="03861B3D"/>
    <w:rsid w:val="038BCDEC"/>
    <w:rsid w:val="038EA89C"/>
    <w:rsid w:val="0395C9C2"/>
    <w:rsid w:val="03A0EA64"/>
    <w:rsid w:val="03A439D2"/>
    <w:rsid w:val="03A5D2F6"/>
    <w:rsid w:val="03C9B1C2"/>
    <w:rsid w:val="03DBAB5E"/>
    <w:rsid w:val="03DBD9E3"/>
    <w:rsid w:val="03E0E6D4"/>
    <w:rsid w:val="03EC72AA"/>
    <w:rsid w:val="04176503"/>
    <w:rsid w:val="0418E920"/>
    <w:rsid w:val="041AE697"/>
    <w:rsid w:val="041AEB53"/>
    <w:rsid w:val="0421B9C0"/>
    <w:rsid w:val="04302193"/>
    <w:rsid w:val="04373BD4"/>
    <w:rsid w:val="04439DC6"/>
    <w:rsid w:val="0447A710"/>
    <w:rsid w:val="046F6113"/>
    <w:rsid w:val="04984CB7"/>
    <w:rsid w:val="04AA78D8"/>
    <w:rsid w:val="04B30BDE"/>
    <w:rsid w:val="04B6D865"/>
    <w:rsid w:val="04CEFCB8"/>
    <w:rsid w:val="04D23B5B"/>
    <w:rsid w:val="04D4B55F"/>
    <w:rsid w:val="04D5E368"/>
    <w:rsid w:val="04DDED62"/>
    <w:rsid w:val="04E420AA"/>
    <w:rsid w:val="04E67F80"/>
    <w:rsid w:val="05041E01"/>
    <w:rsid w:val="0507EC41"/>
    <w:rsid w:val="05085457"/>
    <w:rsid w:val="0509EDFC"/>
    <w:rsid w:val="050E36F3"/>
    <w:rsid w:val="051428B7"/>
    <w:rsid w:val="051D3E78"/>
    <w:rsid w:val="0541C630"/>
    <w:rsid w:val="0549DE75"/>
    <w:rsid w:val="055A5402"/>
    <w:rsid w:val="055DC4F5"/>
    <w:rsid w:val="0563324E"/>
    <w:rsid w:val="056F084C"/>
    <w:rsid w:val="057D5BE4"/>
    <w:rsid w:val="058A8D05"/>
    <w:rsid w:val="0591CEE3"/>
    <w:rsid w:val="059403A1"/>
    <w:rsid w:val="0598BEFA"/>
    <w:rsid w:val="059ECADF"/>
    <w:rsid w:val="05B9C199"/>
    <w:rsid w:val="05D1D684"/>
    <w:rsid w:val="05DA5577"/>
    <w:rsid w:val="05E04EC3"/>
    <w:rsid w:val="05F799EB"/>
    <w:rsid w:val="05F9F39F"/>
    <w:rsid w:val="0609EB42"/>
    <w:rsid w:val="0616D04F"/>
    <w:rsid w:val="062FCF50"/>
    <w:rsid w:val="0641851B"/>
    <w:rsid w:val="064AF183"/>
    <w:rsid w:val="065452D6"/>
    <w:rsid w:val="06729203"/>
    <w:rsid w:val="0672FFF6"/>
    <w:rsid w:val="06744DE8"/>
    <w:rsid w:val="06749413"/>
    <w:rsid w:val="0692D167"/>
    <w:rsid w:val="06A40700"/>
    <w:rsid w:val="06BBC3B7"/>
    <w:rsid w:val="06CBB150"/>
    <w:rsid w:val="06CFAA5D"/>
    <w:rsid w:val="06F1EB43"/>
    <w:rsid w:val="06F41E46"/>
    <w:rsid w:val="0700731C"/>
    <w:rsid w:val="07008FE8"/>
    <w:rsid w:val="070382EC"/>
    <w:rsid w:val="07153EF2"/>
    <w:rsid w:val="0719BCB4"/>
    <w:rsid w:val="071D6860"/>
    <w:rsid w:val="072102D3"/>
    <w:rsid w:val="0728B647"/>
    <w:rsid w:val="0770EDA1"/>
    <w:rsid w:val="07929DF0"/>
    <w:rsid w:val="07D28845"/>
    <w:rsid w:val="07ED53E4"/>
    <w:rsid w:val="07F0C597"/>
    <w:rsid w:val="07FBECD3"/>
    <w:rsid w:val="08058022"/>
    <w:rsid w:val="081515B8"/>
    <w:rsid w:val="082B8E8A"/>
    <w:rsid w:val="0835BCFA"/>
    <w:rsid w:val="083F3EF9"/>
    <w:rsid w:val="083FF519"/>
    <w:rsid w:val="0849E5FB"/>
    <w:rsid w:val="084DE04B"/>
    <w:rsid w:val="0856A15A"/>
    <w:rsid w:val="085831CB"/>
    <w:rsid w:val="085E36C7"/>
    <w:rsid w:val="0860C9C8"/>
    <w:rsid w:val="0861E841"/>
    <w:rsid w:val="0865B17F"/>
    <w:rsid w:val="087D8785"/>
    <w:rsid w:val="087DCB86"/>
    <w:rsid w:val="088A9A2D"/>
    <w:rsid w:val="088FDF70"/>
    <w:rsid w:val="0891F4C4"/>
    <w:rsid w:val="08992755"/>
    <w:rsid w:val="089A1D7F"/>
    <w:rsid w:val="08BFE69B"/>
    <w:rsid w:val="08D76FFA"/>
    <w:rsid w:val="08E9557A"/>
    <w:rsid w:val="08EFF00D"/>
    <w:rsid w:val="0905ACFC"/>
    <w:rsid w:val="090C175F"/>
    <w:rsid w:val="0938208E"/>
    <w:rsid w:val="0939B1E3"/>
    <w:rsid w:val="09469293"/>
    <w:rsid w:val="095C0512"/>
    <w:rsid w:val="095C8224"/>
    <w:rsid w:val="096E23D0"/>
    <w:rsid w:val="0971F310"/>
    <w:rsid w:val="0974314D"/>
    <w:rsid w:val="0977B094"/>
    <w:rsid w:val="097A4D2A"/>
    <w:rsid w:val="097C2438"/>
    <w:rsid w:val="09AB5235"/>
    <w:rsid w:val="09B5D49D"/>
    <w:rsid w:val="09C55D32"/>
    <w:rsid w:val="09E16DD0"/>
    <w:rsid w:val="09E9B0AC"/>
    <w:rsid w:val="09F548DC"/>
    <w:rsid w:val="09F9DCD0"/>
    <w:rsid w:val="09FF7B30"/>
    <w:rsid w:val="0A04273B"/>
    <w:rsid w:val="0A04B5C8"/>
    <w:rsid w:val="0A06C7C3"/>
    <w:rsid w:val="0A13D7C1"/>
    <w:rsid w:val="0A1474E3"/>
    <w:rsid w:val="0A420C0F"/>
    <w:rsid w:val="0A55CC67"/>
    <w:rsid w:val="0A658AE1"/>
    <w:rsid w:val="0A6C8D2D"/>
    <w:rsid w:val="0A6D4213"/>
    <w:rsid w:val="0A78709A"/>
    <w:rsid w:val="0AA5669D"/>
    <w:rsid w:val="0AB286A8"/>
    <w:rsid w:val="0AC55D06"/>
    <w:rsid w:val="0ACC8E8B"/>
    <w:rsid w:val="0ADC54CF"/>
    <w:rsid w:val="0AE4A1C5"/>
    <w:rsid w:val="0AEA6878"/>
    <w:rsid w:val="0AF7756A"/>
    <w:rsid w:val="0AFABE96"/>
    <w:rsid w:val="0B161D8B"/>
    <w:rsid w:val="0B27C3F9"/>
    <w:rsid w:val="0B2DEC90"/>
    <w:rsid w:val="0B48BABF"/>
    <w:rsid w:val="0B58D0E4"/>
    <w:rsid w:val="0B6416B3"/>
    <w:rsid w:val="0B765177"/>
    <w:rsid w:val="0B84992B"/>
    <w:rsid w:val="0B961AAB"/>
    <w:rsid w:val="0B9A636C"/>
    <w:rsid w:val="0B9BCC99"/>
    <w:rsid w:val="0BA812E9"/>
    <w:rsid w:val="0BC931BE"/>
    <w:rsid w:val="0BD7CA35"/>
    <w:rsid w:val="0C0234DB"/>
    <w:rsid w:val="0C089881"/>
    <w:rsid w:val="0C091274"/>
    <w:rsid w:val="0C226FBA"/>
    <w:rsid w:val="0C2C7814"/>
    <w:rsid w:val="0C2F81CB"/>
    <w:rsid w:val="0C363079"/>
    <w:rsid w:val="0C5E7307"/>
    <w:rsid w:val="0C9CCF50"/>
    <w:rsid w:val="0CAA6C16"/>
    <w:rsid w:val="0CAB6473"/>
    <w:rsid w:val="0CB47F23"/>
    <w:rsid w:val="0CB5072B"/>
    <w:rsid w:val="0CBB27FE"/>
    <w:rsid w:val="0CC9B064"/>
    <w:rsid w:val="0CCF074B"/>
    <w:rsid w:val="0CE507F4"/>
    <w:rsid w:val="0CE95470"/>
    <w:rsid w:val="0D142385"/>
    <w:rsid w:val="0D3237BE"/>
    <w:rsid w:val="0D32B303"/>
    <w:rsid w:val="0D3504B2"/>
    <w:rsid w:val="0D3BC7FD"/>
    <w:rsid w:val="0D3DBFCE"/>
    <w:rsid w:val="0D4D903A"/>
    <w:rsid w:val="0D4F7F19"/>
    <w:rsid w:val="0D5500BA"/>
    <w:rsid w:val="0D5F0AD8"/>
    <w:rsid w:val="0D5FD50E"/>
    <w:rsid w:val="0D7769FE"/>
    <w:rsid w:val="0D847D25"/>
    <w:rsid w:val="0D9576E3"/>
    <w:rsid w:val="0D9DE94A"/>
    <w:rsid w:val="0DB1E676"/>
    <w:rsid w:val="0DB806D9"/>
    <w:rsid w:val="0DC36130"/>
    <w:rsid w:val="0DC52459"/>
    <w:rsid w:val="0DD58E84"/>
    <w:rsid w:val="0DDDAAF6"/>
    <w:rsid w:val="0DFE082F"/>
    <w:rsid w:val="0E067D7D"/>
    <w:rsid w:val="0E179073"/>
    <w:rsid w:val="0E3F5E6D"/>
    <w:rsid w:val="0E50D7BC"/>
    <w:rsid w:val="0E52954B"/>
    <w:rsid w:val="0E813AB4"/>
    <w:rsid w:val="0E82CE78"/>
    <w:rsid w:val="0E943B75"/>
    <w:rsid w:val="0EB67571"/>
    <w:rsid w:val="0EC646C4"/>
    <w:rsid w:val="0EE4FC7B"/>
    <w:rsid w:val="0EEB2CB5"/>
    <w:rsid w:val="0F06A290"/>
    <w:rsid w:val="0F0A03A9"/>
    <w:rsid w:val="0F2B3E34"/>
    <w:rsid w:val="0F4096EC"/>
    <w:rsid w:val="0F4276BA"/>
    <w:rsid w:val="0F49579D"/>
    <w:rsid w:val="0F4B975C"/>
    <w:rsid w:val="0F5293EB"/>
    <w:rsid w:val="0F5CC241"/>
    <w:rsid w:val="0F5D993E"/>
    <w:rsid w:val="0F680F60"/>
    <w:rsid w:val="0F6D5813"/>
    <w:rsid w:val="0F6E7FE0"/>
    <w:rsid w:val="0F7775F9"/>
    <w:rsid w:val="0F7F3AE5"/>
    <w:rsid w:val="0F87C09E"/>
    <w:rsid w:val="0F964C53"/>
    <w:rsid w:val="0F99D890"/>
    <w:rsid w:val="0F9FE6CE"/>
    <w:rsid w:val="0FB7FA63"/>
    <w:rsid w:val="0FCE2D98"/>
    <w:rsid w:val="0FD0EAE0"/>
    <w:rsid w:val="0FDA3BA1"/>
    <w:rsid w:val="0FE18634"/>
    <w:rsid w:val="100920A2"/>
    <w:rsid w:val="100BEDC4"/>
    <w:rsid w:val="100F54B9"/>
    <w:rsid w:val="10255317"/>
    <w:rsid w:val="103565EC"/>
    <w:rsid w:val="103F06FD"/>
    <w:rsid w:val="106DD48F"/>
    <w:rsid w:val="1073A009"/>
    <w:rsid w:val="108E8245"/>
    <w:rsid w:val="10AE7E63"/>
    <w:rsid w:val="10D4EDB8"/>
    <w:rsid w:val="10E01428"/>
    <w:rsid w:val="1102851A"/>
    <w:rsid w:val="1108AB6F"/>
    <w:rsid w:val="11142A4F"/>
    <w:rsid w:val="113033F3"/>
    <w:rsid w:val="1134B6D0"/>
    <w:rsid w:val="1141BA97"/>
    <w:rsid w:val="114BA911"/>
    <w:rsid w:val="11641243"/>
    <w:rsid w:val="117AF0A6"/>
    <w:rsid w:val="1180B4EE"/>
    <w:rsid w:val="11867D88"/>
    <w:rsid w:val="1188BFC4"/>
    <w:rsid w:val="11930821"/>
    <w:rsid w:val="11B1F9CF"/>
    <w:rsid w:val="11C1029F"/>
    <w:rsid w:val="11F6A3B1"/>
    <w:rsid w:val="11FC4116"/>
    <w:rsid w:val="1200356E"/>
    <w:rsid w:val="12024A55"/>
    <w:rsid w:val="120683FE"/>
    <w:rsid w:val="12107BEF"/>
    <w:rsid w:val="1232A735"/>
    <w:rsid w:val="1245A64D"/>
    <w:rsid w:val="127413F1"/>
    <w:rsid w:val="127C34CF"/>
    <w:rsid w:val="128FB73C"/>
    <w:rsid w:val="128FDF9F"/>
    <w:rsid w:val="129E2E3D"/>
    <w:rsid w:val="12A0C8A1"/>
    <w:rsid w:val="12AD68EA"/>
    <w:rsid w:val="12C6EAEC"/>
    <w:rsid w:val="12C716BD"/>
    <w:rsid w:val="12C97783"/>
    <w:rsid w:val="12DEC932"/>
    <w:rsid w:val="12E2DD87"/>
    <w:rsid w:val="12EEA2CE"/>
    <w:rsid w:val="1319BBF2"/>
    <w:rsid w:val="13225A42"/>
    <w:rsid w:val="133A76E0"/>
    <w:rsid w:val="133D8C41"/>
    <w:rsid w:val="1357786D"/>
    <w:rsid w:val="135B249B"/>
    <w:rsid w:val="1363FB50"/>
    <w:rsid w:val="136923EE"/>
    <w:rsid w:val="137EEA9B"/>
    <w:rsid w:val="13852092"/>
    <w:rsid w:val="1388019D"/>
    <w:rsid w:val="1397FD3D"/>
    <w:rsid w:val="13A1B9BF"/>
    <w:rsid w:val="13A57551"/>
    <w:rsid w:val="13C48E8E"/>
    <w:rsid w:val="13DE69C5"/>
    <w:rsid w:val="1402CEB1"/>
    <w:rsid w:val="1403A794"/>
    <w:rsid w:val="1405C249"/>
    <w:rsid w:val="141B7275"/>
    <w:rsid w:val="1425AF2D"/>
    <w:rsid w:val="142AECA4"/>
    <w:rsid w:val="142CFC73"/>
    <w:rsid w:val="1436B699"/>
    <w:rsid w:val="14577FF6"/>
    <w:rsid w:val="14630160"/>
    <w:rsid w:val="146B2C92"/>
    <w:rsid w:val="1482477E"/>
    <w:rsid w:val="148491BA"/>
    <w:rsid w:val="148CF04F"/>
    <w:rsid w:val="1497D967"/>
    <w:rsid w:val="149E2757"/>
    <w:rsid w:val="14A81452"/>
    <w:rsid w:val="14BB7B26"/>
    <w:rsid w:val="14C1EB1F"/>
    <w:rsid w:val="14CF0611"/>
    <w:rsid w:val="14D4486F"/>
    <w:rsid w:val="14F1A5BF"/>
    <w:rsid w:val="150A3143"/>
    <w:rsid w:val="1512E2D5"/>
    <w:rsid w:val="15225A84"/>
    <w:rsid w:val="1524CD54"/>
    <w:rsid w:val="152FBBA0"/>
    <w:rsid w:val="153C9F83"/>
    <w:rsid w:val="1543DA83"/>
    <w:rsid w:val="155DA825"/>
    <w:rsid w:val="15707DFA"/>
    <w:rsid w:val="157901A2"/>
    <w:rsid w:val="158C6EE2"/>
    <w:rsid w:val="1592751F"/>
    <w:rsid w:val="15CEE8A8"/>
    <w:rsid w:val="15E6920A"/>
    <w:rsid w:val="160C2445"/>
    <w:rsid w:val="160CE44D"/>
    <w:rsid w:val="1612A5C9"/>
    <w:rsid w:val="161585E6"/>
    <w:rsid w:val="1618DC1B"/>
    <w:rsid w:val="1626726E"/>
    <w:rsid w:val="164CF0D5"/>
    <w:rsid w:val="16566D3F"/>
    <w:rsid w:val="1656DCB0"/>
    <w:rsid w:val="1679016B"/>
    <w:rsid w:val="167B2F48"/>
    <w:rsid w:val="168C8CD0"/>
    <w:rsid w:val="16A90E9F"/>
    <w:rsid w:val="16C09DB5"/>
    <w:rsid w:val="16CAFC30"/>
    <w:rsid w:val="16DB59A1"/>
    <w:rsid w:val="16F04958"/>
    <w:rsid w:val="16F09340"/>
    <w:rsid w:val="16F2F3D3"/>
    <w:rsid w:val="16FC2F50"/>
    <w:rsid w:val="1702FB23"/>
    <w:rsid w:val="170A2728"/>
    <w:rsid w:val="171E1A3A"/>
    <w:rsid w:val="17291143"/>
    <w:rsid w:val="17322B64"/>
    <w:rsid w:val="173A255A"/>
    <w:rsid w:val="1757758E"/>
    <w:rsid w:val="175986C5"/>
    <w:rsid w:val="17694C56"/>
    <w:rsid w:val="1773AA75"/>
    <w:rsid w:val="177E7AD0"/>
    <w:rsid w:val="178B2EDD"/>
    <w:rsid w:val="178E4244"/>
    <w:rsid w:val="179BFD43"/>
    <w:rsid w:val="17D33FCD"/>
    <w:rsid w:val="17E5F5F8"/>
    <w:rsid w:val="17F1D830"/>
    <w:rsid w:val="17FAC22C"/>
    <w:rsid w:val="181B5481"/>
    <w:rsid w:val="181DF838"/>
    <w:rsid w:val="182912F5"/>
    <w:rsid w:val="18321995"/>
    <w:rsid w:val="183FC0BF"/>
    <w:rsid w:val="184708F6"/>
    <w:rsid w:val="1856BD77"/>
    <w:rsid w:val="18713627"/>
    <w:rsid w:val="1873786F"/>
    <w:rsid w:val="18785363"/>
    <w:rsid w:val="187DAFEE"/>
    <w:rsid w:val="1886EC88"/>
    <w:rsid w:val="1889B7F9"/>
    <w:rsid w:val="18980D18"/>
    <w:rsid w:val="18A6B776"/>
    <w:rsid w:val="18C8CFB2"/>
    <w:rsid w:val="18CCAC02"/>
    <w:rsid w:val="18DA8334"/>
    <w:rsid w:val="18DFC523"/>
    <w:rsid w:val="18E39BE1"/>
    <w:rsid w:val="18E8DB0D"/>
    <w:rsid w:val="18F07414"/>
    <w:rsid w:val="18FB2326"/>
    <w:rsid w:val="1906148D"/>
    <w:rsid w:val="1906F0C8"/>
    <w:rsid w:val="1907B366"/>
    <w:rsid w:val="1920C002"/>
    <w:rsid w:val="192848E1"/>
    <w:rsid w:val="193E5D3E"/>
    <w:rsid w:val="194DBE93"/>
    <w:rsid w:val="195BAA32"/>
    <w:rsid w:val="19695E06"/>
    <w:rsid w:val="196A601D"/>
    <w:rsid w:val="196BBEC8"/>
    <w:rsid w:val="19726AE3"/>
    <w:rsid w:val="1986D517"/>
    <w:rsid w:val="19958072"/>
    <w:rsid w:val="19A3B9D5"/>
    <w:rsid w:val="19A4BDD2"/>
    <w:rsid w:val="19B47609"/>
    <w:rsid w:val="19E5E943"/>
    <w:rsid w:val="19EBF9E6"/>
    <w:rsid w:val="19EC3D38"/>
    <w:rsid w:val="19F718EC"/>
    <w:rsid w:val="1A0CB8B9"/>
    <w:rsid w:val="1A10B1B0"/>
    <w:rsid w:val="1A178230"/>
    <w:rsid w:val="1A23AAD6"/>
    <w:rsid w:val="1A28952F"/>
    <w:rsid w:val="1A2C140A"/>
    <w:rsid w:val="1A311948"/>
    <w:rsid w:val="1A38B1B9"/>
    <w:rsid w:val="1A4365CA"/>
    <w:rsid w:val="1A49A184"/>
    <w:rsid w:val="1A4FD0D6"/>
    <w:rsid w:val="1A51E0BB"/>
    <w:rsid w:val="1A564AEC"/>
    <w:rsid w:val="1A704A61"/>
    <w:rsid w:val="1A95DA55"/>
    <w:rsid w:val="1AA960D0"/>
    <w:rsid w:val="1AD6B524"/>
    <w:rsid w:val="1B0645E0"/>
    <w:rsid w:val="1B103591"/>
    <w:rsid w:val="1B1BFE13"/>
    <w:rsid w:val="1B208E52"/>
    <w:rsid w:val="1B250E97"/>
    <w:rsid w:val="1B2DC527"/>
    <w:rsid w:val="1B4C876A"/>
    <w:rsid w:val="1B52DC65"/>
    <w:rsid w:val="1B5DD340"/>
    <w:rsid w:val="1B600D58"/>
    <w:rsid w:val="1B8DCDD4"/>
    <w:rsid w:val="1B8F0C98"/>
    <w:rsid w:val="1B90D3C6"/>
    <w:rsid w:val="1B9238F2"/>
    <w:rsid w:val="1B931382"/>
    <w:rsid w:val="1B96C652"/>
    <w:rsid w:val="1B9C50E7"/>
    <w:rsid w:val="1BA6A955"/>
    <w:rsid w:val="1BB6F4AB"/>
    <w:rsid w:val="1BBD1B15"/>
    <w:rsid w:val="1BC26604"/>
    <w:rsid w:val="1BC580B3"/>
    <w:rsid w:val="1BCBC03A"/>
    <w:rsid w:val="1BD20B3B"/>
    <w:rsid w:val="1BD36036"/>
    <w:rsid w:val="1BF9133D"/>
    <w:rsid w:val="1C0C4B0C"/>
    <w:rsid w:val="1C163174"/>
    <w:rsid w:val="1C21EC11"/>
    <w:rsid w:val="1C48A23B"/>
    <w:rsid w:val="1C4E0C59"/>
    <w:rsid w:val="1C6E99D4"/>
    <w:rsid w:val="1C70543C"/>
    <w:rsid w:val="1C8A9237"/>
    <w:rsid w:val="1C9ABDA8"/>
    <w:rsid w:val="1CB38739"/>
    <w:rsid w:val="1CB508AF"/>
    <w:rsid w:val="1CCB1837"/>
    <w:rsid w:val="1CDAAC06"/>
    <w:rsid w:val="1CE00181"/>
    <w:rsid w:val="1CE4065F"/>
    <w:rsid w:val="1CEC25EE"/>
    <w:rsid w:val="1CEE1F90"/>
    <w:rsid w:val="1CF4AF4D"/>
    <w:rsid w:val="1D0188B5"/>
    <w:rsid w:val="1D0B7F36"/>
    <w:rsid w:val="1D1910ED"/>
    <w:rsid w:val="1D197748"/>
    <w:rsid w:val="1D1D3ACE"/>
    <w:rsid w:val="1D1F5E32"/>
    <w:rsid w:val="1D538D92"/>
    <w:rsid w:val="1D5B4B98"/>
    <w:rsid w:val="1D72172B"/>
    <w:rsid w:val="1D7A6295"/>
    <w:rsid w:val="1D8C41EC"/>
    <w:rsid w:val="1D8EA185"/>
    <w:rsid w:val="1D93FCA1"/>
    <w:rsid w:val="1DA6118C"/>
    <w:rsid w:val="1DC94AFE"/>
    <w:rsid w:val="1DD68583"/>
    <w:rsid w:val="1DD7ADA9"/>
    <w:rsid w:val="1DD984FA"/>
    <w:rsid w:val="1DDDCC3B"/>
    <w:rsid w:val="1DEDBC54"/>
    <w:rsid w:val="1DEF80A4"/>
    <w:rsid w:val="1DF4C9AC"/>
    <w:rsid w:val="1DF52463"/>
    <w:rsid w:val="1DFDF289"/>
    <w:rsid w:val="1E114D21"/>
    <w:rsid w:val="1E126E49"/>
    <w:rsid w:val="1E1A76ED"/>
    <w:rsid w:val="1E1E5B91"/>
    <w:rsid w:val="1E293545"/>
    <w:rsid w:val="1E2B6404"/>
    <w:rsid w:val="1E40E7F5"/>
    <w:rsid w:val="1E57BA47"/>
    <w:rsid w:val="1E72C91C"/>
    <w:rsid w:val="1E84187C"/>
    <w:rsid w:val="1E90FBAF"/>
    <w:rsid w:val="1E91619E"/>
    <w:rsid w:val="1EA03A55"/>
    <w:rsid w:val="1EA54723"/>
    <w:rsid w:val="1EA74F97"/>
    <w:rsid w:val="1ECA1EF5"/>
    <w:rsid w:val="1F0F24D0"/>
    <w:rsid w:val="1F21F6C2"/>
    <w:rsid w:val="1F31F6BF"/>
    <w:rsid w:val="1F327D15"/>
    <w:rsid w:val="1F46B2CB"/>
    <w:rsid w:val="1F48526A"/>
    <w:rsid w:val="1F6849D5"/>
    <w:rsid w:val="1F6A4BDD"/>
    <w:rsid w:val="1F6BE972"/>
    <w:rsid w:val="1F7CB145"/>
    <w:rsid w:val="1F7E25AE"/>
    <w:rsid w:val="1F8EFE23"/>
    <w:rsid w:val="1FA05857"/>
    <w:rsid w:val="1FA82978"/>
    <w:rsid w:val="1FAC29D3"/>
    <w:rsid w:val="1FADE02F"/>
    <w:rsid w:val="1FB42C9C"/>
    <w:rsid w:val="1FB78507"/>
    <w:rsid w:val="1FBA2592"/>
    <w:rsid w:val="1FEE1929"/>
    <w:rsid w:val="2015BF21"/>
    <w:rsid w:val="20259908"/>
    <w:rsid w:val="20314463"/>
    <w:rsid w:val="20317196"/>
    <w:rsid w:val="2038B2F2"/>
    <w:rsid w:val="20431FF8"/>
    <w:rsid w:val="20472A4F"/>
    <w:rsid w:val="204C48E9"/>
    <w:rsid w:val="205FA5BD"/>
    <w:rsid w:val="2072E41B"/>
    <w:rsid w:val="207A1A78"/>
    <w:rsid w:val="207F0E9F"/>
    <w:rsid w:val="20AC6413"/>
    <w:rsid w:val="20BDA2B0"/>
    <w:rsid w:val="20F29B86"/>
    <w:rsid w:val="20F7B1DD"/>
    <w:rsid w:val="21049807"/>
    <w:rsid w:val="210A8AFA"/>
    <w:rsid w:val="210FF734"/>
    <w:rsid w:val="211A3269"/>
    <w:rsid w:val="211DD71F"/>
    <w:rsid w:val="211EE873"/>
    <w:rsid w:val="212DB9EC"/>
    <w:rsid w:val="212F9D13"/>
    <w:rsid w:val="215D3412"/>
    <w:rsid w:val="215F5C3D"/>
    <w:rsid w:val="219116E8"/>
    <w:rsid w:val="2195107F"/>
    <w:rsid w:val="21A69CA0"/>
    <w:rsid w:val="21ADFD43"/>
    <w:rsid w:val="21BF573B"/>
    <w:rsid w:val="21C3A198"/>
    <w:rsid w:val="21C61207"/>
    <w:rsid w:val="21E102B5"/>
    <w:rsid w:val="21FCD15E"/>
    <w:rsid w:val="22119768"/>
    <w:rsid w:val="22383A24"/>
    <w:rsid w:val="223BE0B5"/>
    <w:rsid w:val="223FF66D"/>
    <w:rsid w:val="22404A47"/>
    <w:rsid w:val="22420D72"/>
    <w:rsid w:val="2272E170"/>
    <w:rsid w:val="227F3A6B"/>
    <w:rsid w:val="22BFF294"/>
    <w:rsid w:val="22C3B860"/>
    <w:rsid w:val="22CB8BDC"/>
    <w:rsid w:val="22D8CABD"/>
    <w:rsid w:val="22F8ABA2"/>
    <w:rsid w:val="230E476E"/>
    <w:rsid w:val="231BA9FA"/>
    <w:rsid w:val="2325339C"/>
    <w:rsid w:val="2326AE52"/>
    <w:rsid w:val="23278016"/>
    <w:rsid w:val="2327C8A8"/>
    <w:rsid w:val="2333FF5F"/>
    <w:rsid w:val="23413C28"/>
    <w:rsid w:val="23421260"/>
    <w:rsid w:val="234AECE7"/>
    <w:rsid w:val="234D7850"/>
    <w:rsid w:val="2354187B"/>
    <w:rsid w:val="236538A1"/>
    <w:rsid w:val="236F4D43"/>
    <w:rsid w:val="23762784"/>
    <w:rsid w:val="23767103"/>
    <w:rsid w:val="237EF51E"/>
    <w:rsid w:val="23806D26"/>
    <w:rsid w:val="23819CEC"/>
    <w:rsid w:val="2384FD0A"/>
    <w:rsid w:val="23886785"/>
    <w:rsid w:val="2394B90F"/>
    <w:rsid w:val="239623A6"/>
    <w:rsid w:val="2397896A"/>
    <w:rsid w:val="23A08A09"/>
    <w:rsid w:val="23CB520A"/>
    <w:rsid w:val="23CB93EC"/>
    <w:rsid w:val="23D943E4"/>
    <w:rsid w:val="23DADA99"/>
    <w:rsid w:val="23F75944"/>
    <w:rsid w:val="2400FF19"/>
    <w:rsid w:val="2408B383"/>
    <w:rsid w:val="240F86D9"/>
    <w:rsid w:val="24139C8E"/>
    <w:rsid w:val="24268E4C"/>
    <w:rsid w:val="242A8B0F"/>
    <w:rsid w:val="243C8AAC"/>
    <w:rsid w:val="244D1367"/>
    <w:rsid w:val="2451DB63"/>
    <w:rsid w:val="246455B2"/>
    <w:rsid w:val="24645A19"/>
    <w:rsid w:val="246563FF"/>
    <w:rsid w:val="246707F6"/>
    <w:rsid w:val="24820F0B"/>
    <w:rsid w:val="2492E308"/>
    <w:rsid w:val="2496D8AD"/>
    <w:rsid w:val="24A4D7E6"/>
    <w:rsid w:val="24A86EC4"/>
    <w:rsid w:val="24B5BF6A"/>
    <w:rsid w:val="24B7BB99"/>
    <w:rsid w:val="24BB6BE6"/>
    <w:rsid w:val="24C0A0C7"/>
    <w:rsid w:val="24DDFFF9"/>
    <w:rsid w:val="24E9F2D4"/>
    <w:rsid w:val="24F8C533"/>
    <w:rsid w:val="2500BAC0"/>
    <w:rsid w:val="250B7670"/>
    <w:rsid w:val="2529E911"/>
    <w:rsid w:val="25354CAC"/>
    <w:rsid w:val="25472E7B"/>
    <w:rsid w:val="254821C8"/>
    <w:rsid w:val="2548C172"/>
    <w:rsid w:val="254D09C8"/>
    <w:rsid w:val="2554561B"/>
    <w:rsid w:val="2561D0FA"/>
    <w:rsid w:val="257E4A78"/>
    <w:rsid w:val="2580EF00"/>
    <w:rsid w:val="258393DC"/>
    <w:rsid w:val="2597A27C"/>
    <w:rsid w:val="259BEDD3"/>
    <w:rsid w:val="25B2763D"/>
    <w:rsid w:val="25B96AE3"/>
    <w:rsid w:val="25BC1F09"/>
    <w:rsid w:val="25C58D36"/>
    <w:rsid w:val="25C994DB"/>
    <w:rsid w:val="25E1E8AF"/>
    <w:rsid w:val="25E7BB33"/>
    <w:rsid w:val="262886C0"/>
    <w:rsid w:val="2638C366"/>
    <w:rsid w:val="263B83DA"/>
    <w:rsid w:val="264633DF"/>
    <w:rsid w:val="26500599"/>
    <w:rsid w:val="267558DE"/>
    <w:rsid w:val="26774A49"/>
    <w:rsid w:val="2690BB00"/>
    <w:rsid w:val="269585AD"/>
    <w:rsid w:val="2698199D"/>
    <w:rsid w:val="26A16143"/>
    <w:rsid w:val="26A1F240"/>
    <w:rsid w:val="26A8DB72"/>
    <w:rsid w:val="26B75577"/>
    <w:rsid w:val="26C22C6D"/>
    <w:rsid w:val="26CC2511"/>
    <w:rsid w:val="26E7E83F"/>
    <w:rsid w:val="26E84EAC"/>
    <w:rsid w:val="270AF64E"/>
    <w:rsid w:val="2726349B"/>
    <w:rsid w:val="272CD1A1"/>
    <w:rsid w:val="2759FF44"/>
    <w:rsid w:val="276FFBC5"/>
    <w:rsid w:val="277646E0"/>
    <w:rsid w:val="27775C52"/>
    <w:rsid w:val="27894E91"/>
    <w:rsid w:val="278FD7EE"/>
    <w:rsid w:val="27A5E753"/>
    <w:rsid w:val="27B4DFC6"/>
    <w:rsid w:val="27BD6950"/>
    <w:rsid w:val="27C0DF9A"/>
    <w:rsid w:val="27CDD473"/>
    <w:rsid w:val="27E08722"/>
    <w:rsid w:val="27EDE258"/>
    <w:rsid w:val="27EF1B1D"/>
    <w:rsid w:val="27F2FDC1"/>
    <w:rsid w:val="27F98986"/>
    <w:rsid w:val="27FEF6EA"/>
    <w:rsid w:val="281C56D4"/>
    <w:rsid w:val="282364B3"/>
    <w:rsid w:val="284674DA"/>
    <w:rsid w:val="2853E6BF"/>
    <w:rsid w:val="285D4C56"/>
    <w:rsid w:val="28682A32"/>
    <w:rsid w:val="2868D5CE"/>
    <w:rsid w:val="28727BF5"/>
    <w:rsid w:val="2874935F"/>
    <w:rsid w:val="2877E288"/>
    <w:rsid w:val="287B9F2D"/>
    <w:rsid w:val="28B37882"/>
    <w:rsid w:val="28CD5FAA"/>
    <w:rsid w:val="28F1F759"/>
    <w:rsid w:val="28F3A8AD"/>
    <w:rsid w:val="29177DAC"/>
    <w:rsid w:val="292082AF"/>
    <w:rsid w:val="2936A947"/>
    <w:rsid w:val="294BCAE7"/>
    <w:rsid w:val="294C3120"/>
    <w:rsid w:val="2954B565"/>
    <w:rsid w:val="29593EBA"/>
    <w:rsid w:val="296026B7"/>
    <w:rsid w:val="2967DC3D"/>
    <w:rsid w:val="29772B70"/>
    <w:rsid w:val="2981BCF2"/>
    <w:rsid w:val="298A57F6"/>
    <w:rsid w:val="29925488"/>
    <w:rsid w:val="29BEFE4C"/>
    <w:rsid w:val="29C42252"/>
    <w:rsid w:val="29FDAC0B"/>
    <w:rsid w:val="2A10BF58"/>
    <w:rsid w:val="2A227AF8"/>
    <w:rsid w:val="2A300DCE"/>
    <w:rsid w:val="2A30FC35"/>
    <w:rsid w:val="2A34BA8E"/>
    <w:rsid w:val="2A424F7C"/>
    <w:rsid w:val="2A428CCF"/>
    <w:rsid w:val="2A4F224A"/>
    <w:rsid w:val="2A794785"/>
    <w:rsid w:val="2A84DF82"/>
    <w:rsid w:val="2A863832"/>
    <w:rsid w:val="2A89B97B"/>
    <w:rsid w:val="2A89D1EE"/>
    <w:rsid w:val="2A9FB214"/>
    <w:rsid w:val="2AAB428D"/>
    <w:rsid w:val="2AB8B983"/>
    <w:rsid w:val="2AC5FA78"/>
    <w:rsid w:val="2AD6ED39"/>
    <w:rsid w:val="2ADC5289"/>
    <w:rsid w:val="2AEBD437"/>
    <w:rsid w:val="2B06FFF3"/>
    <w:rsid w:val="2B07A45A"/>
    <w:rsid w:val="2B0C1D54"/>
    <w:rsid w:val="2B0FB6AE"/>
    <w:rsid w:val="2B31218E"/>
    <w:rsid w:val="2B388DFE"/>
    <w:rsid w:val="2B5AB544"/>
    <w:rsid w:val="2B5F5AF0"/>
    <w:rsid w:val="2B654165"/>
    <w:rsid w:val="2B6724E0"/>
    <w:rsid w:val="2B76EDDD"/>
    <w:rsid w:val="2B817457"/>
    <w:rsid w:val="2B852C75"/>
    <w:rsid w:val="2B997C6C"/>
    <w:rsid w:val="2B9E66EE"/>
    <w:rsid w:val="2B9FCAF4"/>
    <w:rsid w:val="2BA5AEF5"/>
    <w:rsid w:val="2BA6D9F2"/>
    <w:rsid w:val="2BA76C7D"/>
    <w:rsid w:val="2BB710C4"/>
    <w:rsid w:val="2BB7EB73"/>
    <w:rsid w:val="2BB84598"/>
    <w:rsid w:val="2BBE2658"/>
    <w:rsid w:val="2BC74F4A"/>
    <w:rsid w:val="2BCB2AFD"/>
    <w:rsid w:val="2BCCDBA7"/>
    <w:rsid w:val="2BCE30BC"/>
    <w:rsid w:val="2BCEEF62"/>
    <w:rsid w:val="2BD53300"/>
    <w:rsid w:val="2BDA35BF"/>
    <w:rsid w:val="2BE7516D"/>
    <w:rsid w:val="2BEBF2BA"/>
    <w:rsid w:val="2BF7516A"/>
    <w:rsid w:val="2C00654D"/>
    <w:rsid w:val="2C1B9077"/>
    <w:rsid w:val="2C2D4BA5"/>
    <w:rsid w:val="2C2E0EBF"/>
    <w:rsid w:val="2C32E520"/>
    <w:rsid w:val="2C3A68E7"/>
    <w:rsid w:val="2C62BC31"/>
    <w:rsid w:val="2C6825E0"/>
    <w:rsid w:val="2C6A3127"/>
    <w:rsid w:val="2C6C4EB8"/>
    <w:rsid w:val="2C6C6404"/>
    <w:rsid w:val="2C735B50"/>
    <w:rsid w:val="2C776517"/>
    <w:rsid w:val="2C83AE7E"/>
    <w:rsid w:val="2C896A37"/>
    <w:rsid w:val="2C8CDFE1"/>
    <w:rsid w:val="2C9450BD"/>
    <w:rsid w:val="2C94EEE4"/>
    <w:rsid w:val="2C99EAFB"/>
    <w:rsid w:val="2CA52BF7"/>
    <w:rsid w:val="2CA7D9AB"/>
    <w:rsid w:val="2CB22366"/>
    <w:rsid w:val="2CB3E28A"/>
    <w:rsid w:val="2CDF15AE"/>
    <w:rsid w:val="2CE8960B"/>
    <w:rsid w:val="2CEE2561"/>
    <w:rsid w:val="2CF4184A"/>
    <w:rsid w:val="2CF69F0E"/>
    <w:rsid w:val="2D164AA4"/>
    <w:rsid w:val="2D2C842B"/>
    <w:rsid w:val="2D33F8C0"/>
    <w:rsid w:val="2D36607F"/>
    <w:rsid w:val="2D570CF4"/>
    <w:rsid w:val="2D6EF0B1"/>
    <w:rsid w:val="2D77578B"/>
    <w:rsid w:val="2D8B7DDD"/>
    <w:rsid w:val="2D9BB97D"/>
    <w:rsid w:val="2DA6D64E"/>
    <w:rsid w:val="2DC5E1C4"/>
    <w:rsid w:val="2DE201E8"/>
    <w:rsid w:val="2DE25B12"/>
    <w:rsid w:val="2DE51331"/>
    <w:rsid w:val="2DE81D89"/>
    <w:rsid w:val="2DED1958"/>
    <w:rsid w:val="2DFA953F"/>
    <w:rsid w:val="2E0BCDA4"/>
    <w:rsid w:val="2E0E5E4D"/>
    <w:rsid w:val="2E306D98"/>
    <w:rsid w:val="2E34138E"/>
    <w:rsid w:val="2E395FA1"/>
    <w:rsid w:val="2E3D15F7"/>
    <w:rsid w:val="2E441EDB"/>
    <w:rsid w:val="2E4808F3"/>
    <w:rsid w:val="2E70152A"/>
    <w:rsid w:val="2E791754"/>
    <w:rsid w:val="2E890746"/>
    <w:rsid w:val="2E9B4D9A"/>
    <w:rsid w:val="2EB1726C"/>
    <w:rsid w:val="2EBD4FD3"/>
    <w:rsid w:val="2EC701C3"/>
    <w:rsid w:val="2EE470CF"/>
    <w:rsid w:val="2EF2B96E"/>
    <w:rsid w:val="2EF442DD"/>
    <w:rsid w:val="2F000898"/>
    <w:rsid w:val="2F18EB21"/>
    <w:rsid w:val="2F334852"/>
    <w:rsid w:val="2F36455C"/>
    <w:rsid w:val="2F3E839D"/>
    <w:rsid w:val="2F573A82"/>
    <w:rsid w:val="2F672086"/>
    <w:rsid w:val="2F67C184"/>
    <w:rsid w:val="2F96C430"/>
    <w:rsid w:val="2FA0F29D"/>
    <w:rsid w:val="2FAA321E"/>
    <w:rsid w:val="2FCBF17F"/>
    <w:rsid w:val="2FCE89E6"/>
    <w:rsid w:val="2FD789AF"/>
    <w:rsid w:val="2FE58C3F"/>
    <w:rsid w:val="2FE6A3C9"/>
    <w:rsid w:val="30128465"/>
    <w:rsid w:val="3024CCA4"/>
    <w:rsid w:val="302BDD7F"/>
    <w:rsid w:val="304389D3"/>
    <w:rsid w:val="305710C5"/>
    <w:rsid w:val="30689EE7"/>
    <w:rsid w:val="306C5458"/>
    <w:rsid w:val="3070F694"/>
    <w:rsid w:val="30776ACB"/>
    <w:rsid w:val="3094A3F1"/>
    <w:rsid w:val="30B8B86D"/>
    <w:rsid w:val="30C65406"/>
    <w:rsid w:val="30D16920"/>
    <w:rsid w:val="30F453E2"/>
    <w:rsid w:val="30FB779D"/>
    <w:rsid w:val="3117FEB3"/>
    <w:rsid w:val="3119AAC9"/>
    <w:rsid w:val="31315CDC"/>
    <w:rsid w:val="3138C1C6"/>
    <w:rsid w:val="315B6B3B"/>
    <w:rsid w:val="315F3C91"/>
    <w:rsid w:val="3167C1E0"/>
    <w:rsid w:val="31680E5A"/>
    <w:rsid w:val="316A8C13"/>
    <w:rsid w:val="31707F00"/>
    <w:rsid w:val="317166B8"/>
    <w:rsid w:val="31B49647"/>
    <w:rsid w:val="31BD55E5"/>
    <w:rsid w:val="31C4FB5D"/>
    <w:rsid w:val="31C5EEE6"/>
    <w:rsid w:val="31D2DA22"/>
    <w:rsid w:val="31E19735"/>
    <w:rsid w:val="31E57441"/>
    <w:rsid w:val="31E85899"/>
    <w:rsid w:val="320C4C49"/>
    <w:rsid w:val="320CBDC4"/>
    <w:rsid w:val="320E02E1"/>
    <w:rsid w:val="3215438C"/>
    <w:rsid w:val="321ED88E"/>
    <w:rsid w:val="3220D3D7"/>
    <w:rsid w:val="323A6EF0"/>
    <w:rsid w:val="3264C36E"/>
    <w:rsid w:val="326838D6"/>
    <w:rsid w:val="326FE5A0"/>
    <w:rsid w:val="327A5085"/>
    <w:rsid w:val="3281A6F9"/>
    <w:rsid w:val="3281C4F8"/>
    <w:rsid w:val="32841D53"/>
    <w:rsid w:val="328601B6"/>
    <w:rsid w:val="32945E23"/>
    <w:rsid w:val="32970E8A"/>
    <w:rsid w:val="32B75BCC"/>
    <w:rsid w:val="32C59ACF"/>
    <w:rsid w:val="32CC9738"/>
    <w:rsid w:val="32EF0C7C"/>
    <w:rsid w:val="32F69B41"/>
    <w:rsid w:val="331677FA"/>
    <w:rsid w:val="332C2AC1"/>
    <w:rsid w:val="333A0B42"/>
    <w:rsid w:val="333A9727"/>
    <w:rsid w:val="333B6D5A"/>
    <w:rsid w:val="334286CD"/>
    <w:rsid w:val="3347427D"/>
    <w:rsid w:val="33597F0D"/>
    <w:rsid w:val="3359E4AB"/>
    <w:rsid w:val="337FE59A"/>
    <w:rsid w:val="3387D2B9"/>
    <w:rsid w:val="338F5348"/>
    <w:rsid w:val="3390C0F6"/>
    <w:rsid w:val="3396CAE8"/>
    <w:rsid w:val="33976A1E"/>
    <w:rsid w:val="33B7F1A0"/>
    <w:rsid w:val="33C3770E"/>
    <w:rsid w:val="33D14723"/>
    <w:rsid w:val="33D2EEE3"/>
    <w:rsid w:val="33D46068"/>
    <w:rsid w:val="33E97BCC"/>
    <w:rsid w:val="33FA5644"/>
    <w:rsid w:val="34067F84"/>
    <w:rsid w:val="340EB0DD"/>
    <w:rsid w:val="341D3C2C"/>
    <w:rsid w:val="3423069A"/>
    <w:rsid w:val="3453AFBC"/>
    <w:rsid w:val="34567834"/>
    <w:rsid w:val="3477837D"/>
    <w:rsid w:val="3477FD14"/>
    <w:rsid w:val="3499DFAF"/>
    <w:rsid w:val="34A2E73D"/>
    <w:rsid w:val="34AAD093"/>
    <w:rsid w:val="34ADBDE0"/>
    <w:rsid w:val="34B2EFAD"/>
    <w:rsid w:val="34B9D931"/>
    <w:rsid w:val="34EAC828"/>
    <w:rsid w:val="34F1FE39"/>
    <w:rsid w:val="34FA60F3"/>
    <w:rsid w:val="35016433"/>
    <w:rsid w:val="35034331"/>
    <w:rsid w:val="351047C4"/>
    <w:rsid w:val="3530378D"/>
    <w:rsid w:val="355851AF"/>
    <w:rsid w:val="356345E2"/>
    <w:rsid w:val="3569B06E"/>
    <w:rsid w:val="35760008"/>
    <w:rsid w:val="357A3A1B"/>
    <w:rsid w:val="358E27C9"/>
    <w:rsid w:val="359706E7"/>
    <w:rsid w:val="359DD619"/>
    <w:rsid w:val="35C4F213"/>
    <w:rsid w:val="35E21CE4"/>
    <w:rsid w:val="35E2FA18"/>
    <w:rsid w:val="35E37C71"/>
    <w:rsid w:val="35E3D10C"/>
    <w:rsid w:val="35ECF0C4"/>
    <w:rsid w:val="35FC0179"/>
    <w:rsid w:val="3630A558"/>
    <w:rsid w:val="3633E99E"/>
    <w:rsid w:val="36440CC9"/>
    <w:rsid w:val="364AF28A"/>
    <w:rsid w:val="3658223E"/>
    <w:rsid w:val="36711F24"/>
    <w:rsid w:val="3698C531"/>
    <w:rsid w:val="36ADFA9A"/>
    <w:rsid w:val="36BEC46A"/>
    <w:rsid w:val="36CE9128"/>
    <w:rsid w:val="36E9AAAA"/>
    <w:rsid w:val="37016B90"/>
    <w:rsid w:val="3703FB6B"/>
    <w:rsid w:val="3713E12C"/>
    <w:rsid w:val="3717E9C4"/>
    <w:rsid w:val="371DE852"/>
    <w:rsid w:val="3731AEEC"/>
    <w:rsid w:val="374B5E2F"/>
    <w:rsid w:val="375FE5B3"/>
    <w:rsid w:val="37766858"/>
    <w:rsid w:val="37842969"/>
    <w:rsid w:val="378CAC1D"/>
    <w:rsid w:val="37C77FDF"/>
    <w:rsid w:val="37D72BE0"/>
    <w:rsid w:val="37E240C9"/>
    <w:rsid w:val="37E31C3B"/>
    <w:rsid w:val="37EC2DA8"/>
    <w:rsid w:val="37FD43B9"/>
    <w:rsid w:val="380BACB7"/>
    <w:rsid w:val="381ED2FD"/>
    <w:rsid w:val="382FDE89"/>
    <w:rsid w:val="3835C9B7"/>
    <w:rsid w:val="3844FC36"/>
    <w:rsid w:val="384A162D"/>
    <w:rsid w:val="385FD9E0"/>
    <w:rsid w:val="386C432D"/>
    <w:rsid w:val="38791326"/>
    <w:rsid w:val="3882799C"/>
    <w:rsid w:val="38A9B7E7"/>
    <w:rsid w:val="38AF1623"/>
    <w:rsid w:val="38DB2074"/>
    <w:rsid w:val="38F72C61"/>
    <w:rsid w:val="38F77BBF"/>
    <w:rsid w:val="3934754E"/>
    <w:rsid w:val="393BED67"/>
    <w:rsid w:val="39478A31"/>
    <w:rsid w:val="394C14AA"/>
    <w:rsid w:val="394CF128"/>
    <w:rsid w:val="394D6F8B"/>
    <w:rsid w:val="3979496B"/>
    <w:rsid w:val="397B5505"/>
    <w:rsid w:val="398B1E3A"/>
    <w:rsid w:val="398B55A3"/>
    <w:rsid w:val="398DA9CE"/>
    <w:rsid w:val="39971094"/>
    <w:rsid w:val="39A932C2"/>
    <w:rsid w:val="39BC81AC"/>
    <w:rsid w:val="39C6630B"/>
    <w:rsid w:val="39DB86B6"/>
    <w:rsid w:val="39F430FE"/>
    <w:rsid w:val="39F7D21C"/>
    <w:rsid w:val="3A08138E"/>
    <w:rsid w:val="3A08E75F"/>
    <w:rsid w:val="3A11B6E1"/>
    <w:rsid w:val="3A1DEB35"/>
    <w:rsid w:val="3A37F8FD"/>
    <w:rsid w:val="3A3F7240"/>
    <w:rsid w:val="3A440167"/>
    <w:rsid w:val="3A4609B9"/>
    <w:rsid w:val="3A4CA3FB"/>
    <w:rsid w:val="3A4D1DCE"/>
    <w:rsid w:val="3A540306"/>
    <w:rsid w:val="3A57098B"/>
    <w:rsid w:val="3A6A780A"/>
    <w:rsid w:val="3A709A2B"/>
    <w:rsid w:val="3A893186"/>
    <w:rsid w:val="3A8D3172"/>
    <w:rsid w:val="3AABB400"/>
    <w:rsid w:val="3AC44CDF"/>
    <w:rsid w:val="3AC73F73"/>
    <w:rsid w:val="3ADAA659"/>
    <w:rsid w:val="3AE06BD0"/>
    <w:rsid w:val="3B06BDE4"/>
    <w:rsid w:val="3B086E24"/>
    <w:rsid w:val="3B2601CF"/>
    <w:rsid w:val="3B30DCE7"/>
    <w:rsid w:val="3B625A73"/>
    <w:rsid w:val="3B785AA7"/>
    <w:rsid w:val="3B82AA7E"/>
    <w:rsid w:val="3B8D985E"/>
    <w:rsid w:val="3BB5CF1E"/>
    <w:rsid w:val="3BBC3DD9"/>
    <w:rsid w:val="3BDEA48E"/>
    <w:rsid w:val="3BDF03BB"/>
    <w:rsid w:val="3BEA5080"/>
    <w:rsid w:val="3BFAF3DF"/>
    <w:rsid w:val="3C05CA46"/>
    <w:rsid w:val="3C0A38D6"/>
    <w:rsid w:val="3C30A56A"/>
    <w:rsid w:val="3C354A04"/>
    <w:rsid w:val="3C477596"/>
    <w:rsid w:val="3C6E7ECB"/>
    <w:rsid w:val="3C7D9D61"/>
    <w:rsid w:val="3CAF695A"/>
    <w:rsid w:val="3CB2CE9C"/>
    <w:rsid w:val="3CB44588"/>
    <w:rsid w:val="3CBB64B9"/>
    <w:rsid w:val="3CC01A54"/>
    <w:rsid w:val="3CC27D02"/>
    <w:rsid w:val="3CD64D86"/>
    <w:rsid w:val="3CD6B353"/>
    <w:rsid w:val="3CD6E248"/>
    <w:rsid w:val="3CDD759C"/>
    <w:rsid w:val="3CE8922E"/>
    <w:rsid w:val="3CEA14ED"/>
    <w:rsid w:val="3CFB5843"/>
    <w:rsid w:val="3CFDDFEC"/>
    <w:rsid w:val="3D0E1E63"/>
    <w:rsid w:val="3D14DD91"/>
    <w:rsid w:val="3D22E5D9"/>
    <w:rsid w:val="3D246762"/>
    <w:rsid w:val="3D39D3E4"/>
    <w:rsid w:val="3D39EADF"/>
    <w:rsid w:val="3D413D79"/>
    <w:rsid w:val="3D7C54DF"/>
    <w:rsid w:val="3D7D2197"/>
    <w:rsid w:val="3D9E1036"/>
    <w:rsid w:val="3DA3D1B8"/>
    <w:rsid w:val="3DBFDF8E"/>
    <w:rsid w:val="3DCDA257"/>
    <w:rsid w:val="3E006C62"/>
    <w:rsid w:val="3E070C8D"/>
    <w:rsid w:val="3E11D702"/>
    <w:rsid w:val="3E150449"/>
    <w:rsid w:val="3E17C84C"/>
    <w:rsid w:val="3E1A21BC"/>
    <w:rsid w:val="3E1B2086"/>
    <w:rsid w:val="3E1F3079"/>
    <w:rsid w:val="3E31D3FC"/>
    <w:rsid w:val="3E394736"/>
    <w:rsid w:val="3E40A00D"/>
    <w:rsid w:val="3E429EB2"/>
    <w:rsid w:val="3E451460"/>
    <w:rsid w:val="3E47931A"/>
    <w:rsid w:val="3E69A095"/>
    <w:rsid w:val="3E6BEC5C"/>
    <w:rsid w:val="3E6F1BB0"/>
    <w:rsid w:val="3E759BFB"/>
    <w:rsid w:val="3E8BE68B"/>
    <w:rsid w:val="3E9CD283"/>
    <w:rsid w:val="3E9E04A7"/>
    <w:rsid w:val="3EBC02B0"/>
    <w:rsid w:val="3EC3A23D"/>
    <w:rsid w:val="3EE854AA"/>
    <w:rsid w:val="3EFC09B1"/>
    <w:rsid w:val="3EFED304"/>
    <w:rsid w:val="3F00A9FF"/>
    <w:rsid w:val="3F08450C"/>
    <w:rsid w:val="3F228AA1"/>
    <w:rsid w:val="3F3B536C"/>
    <w:rsid w:val="3F4187DD"/>
    <w:rsid w:val="3F4911AB"/>
    <w:rsid w:val="3F58D320"/>
    <w:rsid w:val="3F6118E9"/>
    <w:rsid w:val="3F683586"/>
    <w:rsid w:val="3F700E10"/>
    <w:rsid w:val="3F87572A"/>
    <w:rsid w:val="3F9F58FD"/>
    <w:rsid w:val="3FB78688"/>
    <w:rsid w:val="3FC9125C"/>
    <w:rsid w:val="3FD4ED32"/>
    <w:rsid w:val="3FD771C9"/>
    <w:rsid w:val="3FFFC868"/>
    <w:rsid w:val="4012ED2D"/>
    <w:rsid w:val="401B96EB"/>
    <w:rsid w:val="4021C4ED"/>
    <w:rsid w:val="403C9EEC"/>
    <w:rsid w:val="403CF5C8"/>
    <w:rsid w:val="403FC37D"/>
    <w:rsid w:val="404855E0"/>
    <w:rsid w:val="405192C1"/>
    <w:rsid w:val="40538CCA"/>
    <w:rsid w:val="4073EFB2"/>
    <w:rsid w:val="40840803"/>
    <w:rsid w:val="4091FEBB"/>
    <w:rsid w:val="40A49946"/>
    <w:rsid w:val="40A4D180"/>
    <w:rsid w:val="40A5A3AD"/>
    <w:rsid w:val="40B4C259"/>
    <w:rsid w:val="40B89229"/>
    <w:rsid w:val="40C24A1D"/>
    <w:rsid w:val="40CB1002"/>
    <w:rsid w:val="40DE3310"/>
    <w:rsid w:val="40EBCC40"/>
    <w:rsid w:val="40FD6A59"/>
    <w:rsid w:val="4100406A"/>
    <w:rsid w:val="411864CA"/>
    <w:rsid w:val="4123444A"/>
    <w:rsid w:val="41238A73"/>
    <w:rsid w:val="413284D0"/>
    <w:rsid w:val="41393B35"/>
    <w:rsid w:val="4145B55F"/>
    <w:rsid w:val="41503543"/>
    <w:rsid w:val="41587583"/>
    <w:rsid w:val="415A5AB5"/>
    <w:rsid w:val="41775BA4"/>
    <w:rsid w:val="417F33DC"/>
    <w:rsid w:val="418431D2"/>
    <w:rsid w:val="418AA6A3"/>
    <w:rsid w:val="41962D4D"/>
    <w:rsid w:val="41AB6D0C"/>
    <w:rsid w:val="41B08EE5"/>
    <w:rsid w:val="41ECD02F"/>
    <w:rsid w:val="41F22FB9"/>
    <w:rsid w:val="41FFB1F8"/>
    <w:rsid w:val="420BF894"/>
    <w:rsid w:val="4214A107"/>
    <w:rsid w:val="42237969"/>
    <w:rsid w:val="422419C6"/>
    <w:rsid w:val="42280F43"/>
    <w:rsid w:val="42334A26"/>
    <w:rsid w:val="423EBD42"/>
    <w:rsid w:val="4250A485"/>
    <w:rsid w:val="427A595B"/>
    <w:rsid w:val="428220AB"/>
    <w:rsid w:val="42B65AC7"/>
    <w:rsid w:val="42EB7C2F"/>
    <w:rsid w:val="42FCB58C"/>
    <w:rsid w:val="42FFCAD8"/>
    <w:rsid w:val="43090F0B"/>
    <w:rsid w:val="433DB136"/>
    <w:rsid w:val="434666FD"/>
    <w:rsid w:val="434FFD8D"/>
    <w:rsid w:val="437CEF25"/>
    <w:rsid w:val="438EA607"/>
    <w:rsid w:val="43B3463B"/>
    <w:rsid w:val="43B9EE26"/>
    <w:rsid w:val="43C29A75"/>
    <w:rsid w:val="43C9521B"/>
    <w:rsid w:val="43DB5FE5"/>
    <w:rsid w:val="43E4278E"/>
    <w:rsid w:val="43F52DEB"/>
    <w:rsid w:val="440CFB88"/>
    <w:rsid w:val="44278DB3"/>
    <w:rsid w:val="443289A4"/>
    <w:rsid w:val="4443C9C6"/>
    <w:rsid w:val="44519F3F"/>
    <w:rsid w:val="44689E1D"/>
    <w:rsid w:val="44726A22"/>
    <w:rsid w:val="449D98CE"/>
    <w:rsid w:val="44B6D49E"/>
    <w:rsid w:val="44B846E9"/>
    <w:rsid w:val="44C04BBC"/>
    <w:rsid w:val="44D2BA80"/>
    <w:rsid w:val="44E60C72"/>
    <w:rsid w:val="44EF516D"/>
    <w:rsid w:val="44F651B4"/>
    <w:rsid w:val="45167068"/>
    <w:rsid w:val="454472C1"/>
    <w:rsid w:val="45491341"/>
    <w:rsid w:val="45503340"/>
    <w:rsid w:val="45588E17"/>
    <w:rsid w:val="45670954"/>
    <w:rsid w:val="457DE0F5"/>
    <w:rsid w:val="45979A24"/>
    <w:rsid w:val="4599BC91"/>
    <w:rsid w:val="459A1FF1"/>
    <w:rsid w:val="459D1E13"/>
    <w:rsid w:val="45A07963"/>
    <w:rsid w:val="45C07EEF"/>
    <w:rsid w:val="45CBD9EF"/>
    <w:rsid w:val="45D62DD1"/>
    <w:rsid w:val="45DAE4B4"/>
    <w:rsid w:val="45DE2CAA"/>
    <w:rsid w:val="45DFEAF0"/>
    <w:rsid w:val="45F1C543"/>
    <w:rsid w:val="45F38B37"/>
    <w:rsid w:val="45FAE16B"/>
    <w:rsid w:val="460E1762"/>
    <w:rsid w:val="46118770"/>
    <w:rsid w:val="461619FC"/>
    <w:rsid w:val="461CD661"/>
    <w:rsid w:val="46283D97"/>
    <w:rsid w:val="463358DD"/>
    <w:rsid w:val="46353DB0"/>
    <w:rsid w:val="46376B9A"/>
    <w:rsid w:val="4637BD28"/>
    <w:rsid w:val="463D5096"/>
    <w:rsid w:val="4655C6FE"/>
    <w:rsid w:val="46647C4D"/>
    <w:rsid w:val="4675C083"/>
    <w:rsid w:val="46776E7B"/>
    <w:rsid w:val="468043B4"/>
    <w:rsid w:val="469F1FB0"/>
    <w:rsid w:val="46C30133"/>
    <w:rsid w:val="46CADCF1"/>
    <w:rsid w:val="46E0BB60"/>
    <w:rsid w:val="46EE4FF8"/>
    <w:rsid w:val="46F68028"/>
    <w:rsid w:val="47124C32"/>
    <w:rsid w:val="47130031"/>
    <w:rsid w:val="47176B9E"/>
    <w:rsid w:val="4740F227"/>
    <w:rsid w:val="474667F2"/>
    <w:rsid w:val="474DAAD0"/>
    <w:rsid w:val="475489E3"/>
    <w:rsid w:val="4781C156"/>
    <w:rsid w:val="47A63263"/>
    <w:rsid w:val="47A71B51"/>
    <w:rsid w:val="47C6AB7C"/>
    <w:rsid w:val="47CA9D84"/>
    <w:rsid w:val="47D5D561"/>
    <w:rsid w:val="47E5912F"/>
    <w:rsid w:val="47E5C5A3"/>
    <w:rsid w:val="47EFE7AB"/>
    <w:rsid w:val="481BFAF0"/>
    <w:rsid w:val="482D6F60"/>
    <w:rsid w:val="4839F437"/>
    <w:rsid w:val="4849A38E"/>
    <w:rsid w:val="484BC559"/>
    <w:rsid w:val="48617533"/>
    <w:rsid w:val="486A84C4"/>
    <w:rsid w:val="4872A0DF"/>
    <w:rsid w:val="488AE0D2"/>
    <w:rsid w:val="488DE483"/>
    <w:rsid w:val="48992345"/>
    <w:rsid w:val="48992409"/>
    <w:rsid w:val="4899C2DB"/>
    <w:rsid w:val="48D10047"/>
    <w:rsid w:val="48E5D7D6"/>
    <w:rsid w:val="48FA695E"/>
    <w:rsid w:val="4902170C"/>
    <w:rsid w:val="491714FD"/>
    <w:rsid w:val="492DFC20"/>
    <w:rsid w:val="4936BD8C"/>
    <w:rsid w:val="4937EFCD"/>
    <w:rsid w:val="4939F9D3"/>
    <w:rsid w:val="493AC691"/>
    <w:rsid w:val="49403207"/>
    <w:rsid w:val="494B532B"/>
    <w:rsid w:val="495896AF"/>
    <w:rsid w:val="4961E4FB"/>
    <w:rsid w:val="49668083"/>
    <w:rsid w:val="496D36A3"/>
    <w:rsid w:val="496F0C5C"/>
    <w:rsid w:val="497ABDC8"/>
    <w:rsid w:val="4988ACA7"/>
    <w:rsid w:val="498BAC95"/>
    <w:rsid w:val="4997A9DE"/>
    <w:rsid w:val="49BE85C7"/>
    <w:rsid w:val="49CFF898"/>
    <w:rsid w:val="49EEA2AE"/>
    <w:rsid w:val="49F40EC2"/>
    <w:rsid w:val="4A0B593D"/>
    <w:rsid w:val="4A13F355"/>
    <w:rsid w:val="4A167301"/>
    <w:rsid w:val="4A31F238"/>
    <w:rsid w:val="4A33C8BD"/>
    <w:rsid w:val="4A351247"/>
    <w:rsid w:val="4A3B7203"/>
    <w:rsid w:val="4A3BA759"/>
    <w:rsid w:val="4A3E69F4"/>
    <w:rsid w:val="4A535EF7"/>
    <w:rsid w:val="4A550D09"/>
    <w:rsid w:val="4A5D5D1C"/>
    <w:rsid w:val="4A6A7F80"/>
    <w:rsid w:val="4A6FC739"/>
    <w:rsid w:val="4A7204BF"/>
    <w:rsid w:val="4A84BC89"/>
    <w:rsid w:val="4A8CB376"/>
    <w:rsid w:val="4A8CED6F"/>
    <w:rsid w:val="4A9A2DB5"/>
    <w:rsid w:val="4AB3BECF"/>
    <w:rsid w:val="4ADEC3DA"/>
    <w:rsid w:val="4AE54A6D"/>
    <w:rsid w:val="4AE83ACD"/>
    <w:rsid w:val="4B030E3E"/>
    <w:rsid w:val="4B05A1E7"/>
    <w:rsid w:val="4B102A41"/>
    <w:rsid w:val="4B22210C"/>
    <w:rsid w:val="4B25864C"/>
    <w:rsid w:val="4B26A628"/>
    <w:rsid w:val="4B287597"/>
    <w:rsid w:val="4B288AF1"/>
    <w:rsid w:val="4B3151E4"/>
    <w:rsid w:val="4B3F9B2F"/>
    <w:rsid w:val="4B7D4420"/>
    <w:rsid w:val="4B8BC251"/>
    <w:rsid w:val="4BA23170"/>
    <w:rsid w:val="4BAC0DB9"/>
    <w:rsid w:val="4BBAA343"/>
    <w:rsid w:val="4BD55828"/>
    <w:rsid w:val="4BD6F521"/>
    <w:rsid w:val="4BDCDA1E"/>
    <w:rsid w:val="4BE297C4"/>
    <w:rsid w:val="4BE7D953"/>
    <w:rsid w:val="4BED1152"/>
    <w:rsid w:val="4BED90E4"/>
    <w:rsid w:val="4C02F82F"/>
    <w:rsid w:val="4C1852A0"/>
    <w:rsid w:val="4C34772A"/>
    <w:rsid w:val="4C466F5C"/>
    <w:rsid w:val="4C4B2D2A"/>
    <w:rsid w:val="4C5BD56C"/>
    <w:rsid w:val="4C5F3ED6"/>
    <w:rsid w:val="4C6F2745"/>
    <w:rsid w:val="4C7F8C77"/>
    <w:rsid w:val="4C9AD7B5"/>
    <w:rsid w:val="4CA8DCB3"/>
    <w:rsid w:val="4CAB82E0"/>
    <w:rsid w:val="4CB2367C"/>
    <w:rsid w:val="4CC1E683"/>
    <w:rsid w:val="4CD1CC04"/>
    <w:rsid w:val="4CD50C35"/>
    <w:rsid w:val="4CE2358B"/>
    <w:rsid w:val="4CECF45D"/>
    <w:rsid w:val="4CEFED27"/>
    <w:rsid w:val="4CF853B0"/>
    <w:rsid w:val="4D104510"/>
    <w:rsid w:val="4D1FA60B"/>
    <w:rsid w:val="4D27F8BE"/>
    <w:rsid w:val="4D2AB05B"/>
    <w:rsid w:val="4D42884D"/>
    <w:rsid w:val="4D428D02"/>
    <w:rsid w:val="4D50DBA0"/>
    <w:rsid w:val="4D5B0FF7"/>
    <w:rsid w:val="4D5C1C04"/>
    <w:rsid w:val="4D6FB0CF"/>
    <w:rsid w:val="4D822B02"/>
    <w:rsid w:val="4D9BFB3A"/>
    <w:rsid w:val="4DB71BC1"/>
    <w:rsid w:val="4DCADA21"/>
    <w:rsid w:val="4DD65ABB"/>
    <w:rsid w:val="4E164991"/>
    <w:rsid w:val="4E19C3F7"/>
    <w:rsid w:val="4E1F823B"/>
    <w:rsid w:val="4E211BDD"/>
    <w:rsid w:val="4E2E37F4"/>
    <w:rsid w:val="4E3AAF00"/>
    <w:rsid w:val="4E65B544"/>
    <w:rsid w:val="4E677452"/>
    <w:rsid w:val="4E67B71C"/>
    <w:rsid w:val="4E6B8430"/>
    <w:rsid w:val="4E7499EA"/>
    <w:rsid w:val="4E75AE3A"/>
    <w:rsid w:val="4E780CC9"/>
    <w:rsid w:val="4E80D268"/>
    <w:rsid w:val="4E81E2CF"/>
    <w:rsid w:val="4E84727F"/>
    <w:rsid w:val="4E871A1F"/>
    <w:rsid w:val="4E895A04"/>
    <w:rsid w:val="4E91F6EA"/>
    <w:rsid w:val="4EA0A423"/>
    <w:rsid w:val="4EA14820"/>
    <w:rsid w:val="4EA73D3C"/>
    <w:rsid w:val="4EB68651"/>
    <w:rsid w:val="4EBF9D18"/>
    <w:rsid w:val="4EC51CB7"/>
    <w:rsid w:val="4ECC04D5"/>
    <w:rsid w:val="4ECF1C5D"/>
    <w:rsid w:val="4EE191F7"/>
    <w:rsid w:val="4EEF4665"/>
    <w:rsid w:val="4F05D45E"/>
    <w:rsid w:val="4F0D360A"/>
    <w:rsid w:val="4F0EC680"/>
    <w:rsid w:val="4F1D637C"/>
    <w:rsid w:val="4F1EAEE7"/>
    <w:rsid w:val="4F259233"/>
    <w:rsid w:val="4F28577C"/>
    <w:rsid w:val="4F38DE5A"/>
    <w:rsid w:val="4F5694B9"/>
    <w:rsid w:val="4F63E331"/>
    <w:rsid w:val="4F91CFD9"/>
    <w:rsid w:val="4FBD7806"/>
    <w:rsid w:val="4FBFD9C4"/>
    <w:rsid w:val="4FC849C7"/>
    <w:rsid w:val="4FE27980"/>
    <w:rsid w:val="4FE7C677"/>
    <w:rsid w:val="4FFEDE81"/>
    <w:rsid w:val="50065C6C"/>
    <w:rsid w:val="502DDFB8"/>
    <w:rsid w:val="503945D2"/>
    <w:rsid w:val="505901BE"/>
    <w:rsid w:val="505CD028"/>
    <w:rsid w:val="50682715"/>
    <w:rsid w:val="506E5D84"/>
    <w:rsid w:val="50843892"/>
    <w:rsid w:val="508E8088"/>
    <w:rsid w:val="50A8AD58"/>
    <w:rsid w:val="50B63076"/>
    <w:rsid w:val="50FB3F00"/>
    <w:rsid w:val="50FD734B"/>
    <w:rsid w:val="5100876B"/>
    <w:rsid w:val="5111DC40"/>
    <w:rsid w:val="5119C334"/>
    <w:rsid w:val="511BB1B9"/>
    <w:rsid w:val="5125E4B9"/>
    <w:rsid w:val="512FB2C3"/>
    <w:rsid w:val="5132AFF9"/>
    <w:rsid w:val="513C07E7"/>
    <w:rsid w:val="513D91C3"/>
    <w:rsid w:val="515DF1B0"/>
    <w:rsid w:val="51734B18"/>
    <w:rsid w:val="51766335"/>
    <w:rsid w:val="5178D37C"/>
    <w:rsid w:val="518614A0"/>
    <w:rsid w:val="51AB671D"/>
    <w:rsid w:val="51BEBAE1"/>
    <w:rsid w:val="51C3E0E2"/>
    <w:rsid w:val="51C5A761"/>
    <w:rsid w:val="51CA77EE"/>
    <w:rsid w:val="51E77FDE"/>
    <w:rsid w:val="51F06BDD"/>
    <w:rsid w:val="51FA3420"/>
    <w:rsid w:val="52166B1F"/>
    <w:rsid w:val="52295D2D"/>
    <w:rsid w:val="5235C3B9"/>
    <w:rsid w:val="524321F2"/>
    <w:rsid w:val="5250E048"/>
    <w:rsid w:val="5251868E"/>
    <w:rsid w:val="525E7AF7"/>
    <w:rsid w:val="525EFC33"/>
    <w:rsid w:val="5281C0E0"/>
    <w:rsid w:val="52869EA5"/>
    <w:rsid w:val="528DFD71"/>
    <w:rsid w:val="52A445FD"/>
    <w:rsid w:val="52ABA436"/>
    <w:rsid w:val="52AEA73C"/>
    <w:rsid w:val="52B18910"/>
    <w:rsid w:val="52CE805A"/>
    <w:rsid w:val="52D200B9"/>
    <w:rsid w:val="52DD093C"/>
    <w:rsid w:val="52E82E59"/>
    <w:rsid w:val="52EB0581"/>
    <w:rsid w:val="52EF9EE4"/>
    <w:rsid w:val="52F1CE91"/>
    <w:rsid w:val="530E2023"/>
    <w:rsid w:val="5311E57E"/>
    <w:rsid w:val="5318716E"/>
    <w:rsid w:val="5319919B"/>
    <w:rsid w:val="533FF79B"/>
    <w:rsid w:val="534299E8"/>
    <w:rsid w:val="53448854"/>
    <w:rsid w:val="536B107F"/>
    <w:rsid w:val="5375A007"/>
    <w:rsid w:val="53777A23"/>
    <w:rsid w:val="53781357"/>
    <w:rsid w:val="5379A800"/>
    <w:rsid w:val="537F4C3D"/>
    <w:rsid w:val="538F1C65"/>
    <w:rsid w:val="538F84F7"/>
    <w:rsid w:val="5395EF0D"/>
    <w:rsid w:val="53B15E4C"/>
    <w:rsid w:val="53B3D455"/>
    <w:rsid w:val="53DCACD1"/>
    <w:rsid w:val="53DEDCB8"/>
    <w:rsid w:val="53DF6A7B"/>
    <w:rsid w:val="53E235C2"/>
    <w:rsid w:val="53E60A88"/>
    <w:rsid w:val="5402A224"/>
    <w:rsid w:val="5423D493"/>
    <w:rsid w:val="5430D584"/>
    <w:rsid w:val="543D9CB7"/>
    <w:rsid w:val="5463E817"/>
    <w:rsid w:val="54711979"/>
    <w:rsid w:val="547D8021"/>
    <w:rsid w:val="54800917"/>
    <w:rsid w:val="54A525E5"/>
    <w:rsid w:val="54A56916"/>
    <w:rsid w:val="54A8FE4A"/>
    <w:rsid w:val="54C0E9C2"/>
    <w:rsid w:val="54C15B74"/>
    <w:rsid w:val="54C54772"/>
    <w:rsid w:val="54C8C002"/>
    <w:rsid w:val="54CF99A3"/>
    <w:rsid w:val="54DC77FD"/>
    <w:rsid w:val="54E34987"/>
    <w:rsid w:val="5515947E"/>
    <w:rsid w:val="551B54D6"/>
    <w:rsid w:val="551EBC12"/>
    <w:rsid w:val="55409B2A"/>
    <w:rsid w:val="5549B713"/>
    <w:rsid w:val="554DA806"/>
    <w:rsid w:val="55571283"/>
    <w:rsid w:val="55572B91"/>
    <w:rsid w:val="5567E655"/>
    <w:rsid w:val="556E20B8"/>
    <w:rsid w:val="557CB8D2"/>
    <w:rsid w:val="557D500C"/>
    <w:rsid w:val="55B430B1"/>
    <w:rsid w:val="55B83B08"/>
    <w:rsid w:val="55CCB8A4"/>
    <w:rsid w:val="55D3B4F3"/>
    <w:rsid w:val="55DD4AA2"/>
    <w:rsid w:val="55E120B4"/>
    <w:rsid w:val="55EE64A8"/>
    <w:rsid w:val="5613194B"/>
    <w:rsid w:val="5615A538"/>
    <w:rsid w:val="5617E149"/>
    <w:rsid w:val="5618C3E9"/>
    <w:rsid w:val="5636ABC3"/>
    <w:rsid w:val="566C225B"/>
    <w:rsid w:val="566C4DCF"/>
    <w:rsid w:val="569201F4"/>
    <w:rsid w:val="56A1F0D8"/>
    <w:rsid w:val="56A49EF9"/>
    <w:rsid w:val="56BF73FE"/>
    <w:rsid w:val="56C34870"/>
    <w:rsid w:val="57056035"/>
    <w:rsid w:val="5709B28D"/>
    <w:rsid w:val="570FC37D"/>
    <w:rsid w:val="572E48AF"/>
    <w:rsid w:val="573D3F9A"/>
    <w:rsid w:val="5746B2EF"/>
    <w:rsid w:val="5769E8F3"/>
    <w:rsid w:val="576A26FA"/>
    <w:rsid w:val="57729B33"/>
    <w:rsid w:val="577CF115"/>
    <w:rsid w:val="57947004"/>
    <w:rsid w:val="57A05CF0"/>
    <w:rsid w:val="57A9A63E"/>
    <w:rsid w:val="57B07A5F"/>
    <w:rsid w:val="57C09E6E"/>
    <w:rsid w:val="57CAF9C1"/>
    <w:rsid w:val="57EB80D9"/>
    <w:rsid w:val="57EFB985"/>
    <w:rsid w:val="580B3EE0"/>
    <w:rsid w:val="580DF8FB"/>
    <w:rsid w:val="580EFD5A"/>
    <w:rsid w:val="580FA8AF"/>
    <w:rsid w:val="58129F59"/>
    <w:rsid w:val="582630CB"/>
    <w:rsid w:val="5843FC42"/>
    <w:rsid w:val="584EDCD1"/>
    <w:rsid w:val="58621D24"/>
    <w:rsid w:val="587EE226"/>
    <w:rsid w:val="589DF48A"/>
    <w:rsid w:val="58B248D2"/>
    <w:rsid w:val="58BB00DF"/>
    <w:rsid w:val="58C0E9A4"/>
    <w:rsid w:val="58CEC6E2"/>
    <w:rsid w:val="58DFE3C1"/>
    <w:rsid w:val="58EBD82E"/>
    <w:rsid w:val="58FF0E19"/>
    <w:rsid w:val="59188A07"/>
    <w:rsid w:val="5938F6B3"/>
    <w:rsid w:val="59431789"/>
    <w:rsid w:val="595C0F56"/>
    <w:rsid w:val="59683F41"/>
    <w:rsid w:val="597D74D8"/>
    <w:rsid w:val="597FF550"/>
    <w:rsid w:val="59851086"/>
    <w:rsid w:val="59B68343"/>
    <w:rsid w:val="59D19147"/>
    <w:rsid w:val="59D1F4FB"/>
    <w:rsid w:val="59D85423"/>
    <w:rsid w:val="59EB6EBF"/>
    <w:rsid w:val="59F34693"/>
    <w:rsid w:val="59FA0398"/>
    <w:rsid w:val="59FE5536"/>
    <w:rsid w:val="5A1847B1"/>
    <w:rsid w:val="5A20A0EF"/>
    <w:rsid w:val="5A2116CB"/>
    <w:rsid w:val="5A2CA6D2"/>
    <w:rsid w:val="5A3A5392"/>
    <w:rsid w:val="5A404D05"/>
    <w:rsid w:val="5A4ACDF1"/>
    <w:rsid w:val="5A57315A"/>
    <w:rsid w:val="5A587C18"/>
    <w:rsid w:val="5A68C555"/>
    <w:rsid w:val="5A6AF2A1"/>
    <w:rsid w:val="5A73C60E"/>
    <w:rsid w:val="5A8BD5AB"/>
    <w:rsid w:val="5AAA044C"/>
    <w:rsid w:val="5ACF2A97"/>
    <w:rsid w:val="5AD29114"/>
    <w:rsid w:val="5ADC3729"/>
    <w:rsid w:val="5AEB7D84"/>
    <w:rsid w:val="5AF5CD5B"/>
    <w:rsid w:val="5B0524C8"/>
    <w:rsid w:val="5B0939F1"/>
    <w:rsid w:val="5B135FB7"/>
    <w:rsid w:val="5B166A80"/>
    <w:rsid w:val="5B545085"/>
    <w:rsid w:val="5B5C260E"/>
    <w:rsid w:val="5B6FB2A5"/>
    <w:rsid w:val="5B805E9B"/>
    <w:rsid w:val="5BA89E4A"/>
    <w:rsid w:val="5BB95F0F"/>
    <w:rsid w:val="5BBA8FB3"/>
    <w:rsid w:val="5BBF64AA"/>
    <w:rsid w:val="5BC7D44F"/>
    <w:rsid w:val="5BE9CC3B"/>
    <w:rsid w:val="5BF301BB"/>
    <w:rsid w:val="5BFE01AA"/>
    <w:rsid w:val="5C0578EF"/>
    <w:rsid w:val="5C11884A"/>
    <w:rsid w:val="5C1BAFE1"/>
    <w:rsid w:val="5C35B5D7"/>
    <w:rsid w:val="5C3739DB"/>
    <w:rsid w:val="5C3EE2BC"/>
    <w:rsid w:val="5C6204E5"/>
    <w:rsid w:val="5C6F2705"/>
    <w:rsid w:val="5C708D93"/>
    <w:rsid w:val="5C7345EF"/>
    <w:rsid w:val="5C76CE89"/>
    <w:rsid w:val="5C8334C3"/>
    <w:rsid w:val="5CBA5747"/>
    <w:rsid w:val="5CC62142"/>
    <w:rsid w:val="5CCB43F9"/>
    <w:rsid w:val="5CEA8510"/>
    <w:rsid w:val="5CF2A3D0"/>
    <w:rsid w:val="5CF3FFC9"/>
    <w:rsid w:val="5D031357"/>
    <w:rsid w:val="5D07C5F6"/>
    <w:rsid w:val="5D1FB25F"/>
    <w:rsid w:val="5D3E5B3A"/>
    <w:rsid w:val="5D400DF5"/>
    <w:rsid w:val="5D505407"/>
    <w:rsid w:val="5D58F9BC"/>
    <w:rsid w:val="5D5C63CE"/>
    <w:rsid w:val="5D6E6341"/>
    <w:rsid w:val="5D7AA09E"/>
    <w:rsid w:val="5D7BCD18"/>
    <w:rsid w:val="5D8ABE69"/>
    <w:rsid w:val="5DBB7B88"/>
    <w:rsid w:val="5DD30A3C"/>
    <w:rsid w:val="5E06E582"/>
    <w:rsid w:val="5E25347C"/>
    <w:rsid w:val="5E3F5EBC"/>
    <w:rsid w:val="5E5EA86E"/>
    <w:rsid w:val="5E603BD1"/>
    <w:rsid w:val="5E66D58D"/>
    <w:rsid w:val="5E689579"/>
    <w:rsid w:val="5E69121D"/>
    <w:rsid w:val="5E6AA3BC"/>
    <w:rsid w:val="5E6F4445"/>
    <w:rsid w:val="5E7D2FAB"/>
    <w:rsid w:val="5E837D8E"/>
    <w:rsid w:val="5E8BDA0D"/>
    <w:rsid w:val="5E9BEBCA"/>
    <w:rsid w:val="5EA667D6"/>
    <w:rsid w:val="5EC0E40A"/>
    <w:rsid w:val="5ECF3144"/>
    <w:rsid w:val="5ECF6111"/>
    <w:rsid w:val="5ED627AD"/>
    <w:rsid w:val="5EDB4480"/>
    <w:rsid w:val="5EE3075B"/>
    <w:rsid w:val="5EFED5A7"/>
    <w:rsid w:val="5F1BEE68"/>
    <w:rsid w:val="5F1F5AA4"/>
    <w:rsid w:val="5F259D92"/>
    <w:rsid w:val="5F3E68D3"/>
    <w:rsid w:val="5F415876"/>
    <w:rsid w:val="5F41EA9A"/>
    <w:rsid w:val="5F4F5D82"/>
    <w:rsid w:val="5F51E03F"/>
    <w:rsid w:val="5F6484BB"/>
    <w:rsid w:val="5F775421"/>
    <w:rsid w:val="5F7C7390"/>
    <w:rsid w:val="5F84E271"/>
    <w:rsid w:val="5F9E0ACE"/>
    <w:rsid w:val="5FADEFBD"/>
    <w:rsid w:val="5FB01D9A"/>
    <w:rsid w:val="5FE057A9"/>
    <w:rsid w:val="5FE2A02A"/>
    <w:rsid w:val="5FE42A44"/>
    <w:rsid w:val="5FFDDC70"/>
    <w:rsid w:val="600C3915"/>
    <w:rsid w:val="600F5EF1"/>
    <w:rsid w:val="602D84CA"/>
    <w:rsid w:val="60316680"/>
    <w:rsid w:val="603AB419"/>
    <w:rsid w:val="606AD82C"/>
    <w:rsid w:val="6089C692"/>
    <w:rsid w:val="60990108"/>
    <w:rsid w:val="609C36EB"/>
    <w:rsid w:val="60A05A11"/>
    <w:rsid w:val="60A495C8"/>
    <w:rsid w:val="60AC67C7"/>
    <w:rsid w:val="60B28682"/>
    <w:rsid w:val="60B50539"/>
    <w:rsid w:val="60C0CF0F"/>
    <w:rsid w:val="60C3F620"/>
    <w:rsid w:val="60CDFA59"/>
    <w:rsid w:val="60D064D1"/>
    <w:rsid w:val="60E2E8DE"/>
    <w:rsid w:val="60EA89B6"/>
    <w:rsid w:val="60FE2C25"/>
    <w:rsid w:val="6103BA59"/>
    <w:rsid w:val="6109AEED"/>
    <w:rsid w:val="610B8D02"/>
    <w:rsid w:val="610EEA61"/>
    <w:rsid w:val="6110AC53"/>
    <w:rsid w:val="611DA0C6"/>
    <w:rsid w:val="612FB94A"/>
    <w:rsid w:val="61314F5B"/>
    <w:rsid w:val="613A0AED"/>
    <w:rsid w:val="6152E68A"/>
    <w:rsid w:val="61672233"/>
    <w:rsid w:val="616A3E9D"/>
    <w:rsid w:val="616A6D28"/>
    <w:rsid w:val="616CC6E1"/>
    <w:rsid w:val="61745D7A"/>
    <w:rsid w:val="617EA2E0"/>
    <w:rsid w:val="61833B97"/>
    <w:rsid w:val="61902EEB"/>
    <w:rsid w:val="61A182E1"/>
    <w:rsid w:val="61BFC697"/>
    <w:rsid w:val="61C0869F"/>
    <w:rsid w:val="61E0B6CB"/>
    <w:rsid w:val="61F0B226"/>
    <w:rsid w:val="61F80D99"/>
    <w:rsid w:val="620285C7"/>
    <w:rsid w:val="620644B7"/>
    <w:rsid w:val="6250A37A"/>
    <w:rsid w:val="6252628B"/>
    <w:rsid w:val="6263B964"/>
    <w:rsid w:val="626B9F77"/>
    <w:rsid w:val="629238E0"/>
    <w:rsid w:val="6299B6A0"/>
    <w:rsid w:val="629E6982"/>
    <w:rsid w:val="62A2EBB1"/>
    <w:rsid w:val="62A88B6E"/>
    <w:rsid w:val="62B513DB"/>
    <w:rsid w:val="62B628B5"/>
    <w:rsid w:val="62D6D419"/>
    <w:rsid w:val="62E0478B"/>
    <w:rsid w:val="62E3C08E"/>
    <w:rsid w:val="62EC91AA"/>
    <w:rsid w:val="62F6BC45"/>
    <w:rsid w:val="630A3407"/>
    <w:rsid w:val="631926D0"/>
    <w:rsid w:val="631D83C5"/>
    <w:rsid w:val="633B0EF0"/>
    <w:rsid w:val="63591996"/>
    <w:rsid w:val="6361BBFE"/>
    <w:rsid w:val="6369B66A"/>
    <w:rsid w:val="6374BF7F"/>
    <w:rsid w:val="637B4B44"/>
    <w:rsid w:val="637E57DE"/>
    <w:rsid w:val="637FE40C"/>
    <w:rsid w:val="63A65855"/>
    <w:rsid w:val="63AB54D2"/>
    <w:rsid w:val="63CABAE0"/>
    <w:rsid w:val="63CF5B49"/>
    <w:rsid w:val="63D6D28A"/>
    <w:rsid w:val="63D821CC"/>
    <w:rsid w:val="63DD6837"/>
    <w:rsid w:val="63DDC8D2"/>
    <w:rsid w:val="63EA97FD"/>
    <w:rsid w:val="63F03755"/>
    <w:rsid w:val="63F7A375"/>
    <w:rsid w:val="6407725D"/>
    <w:rsid w:val="640F7EE2"/>
    <w:rsid w:val="642A84B7"/>
    <w:rsid w:val="642DDBE4"/>
    <w:rsid w:val="644A1CA2"/>
    <w:rsid w:val="644E82F2"/>
    <w:rsid w:val="64649F86"/>
    <w:rsid w:val="649BCC0E"/>
    <w:rsid w:val="649D75B7"/>
    <w:rsid w:val="649F2C00"/>
    <w:rsid w:val="64A3D373"/>
    <w:rsid w:val="64AE5CB8"/>
    <w:rsid w:val="64CC413E"/>
    <w:rsid w:val="64EAE346"/>
    <w:rsid w:val="64EB09B8"/>
    <w:rsid w:val="64F23B3D"/>
    <w:rsid w:val="64F969F1"/>
    <w:rsid w:val="64FB32CB"/>
    <w:rsid w:val="6506D013"/>
    <w:rsid w:val="650E253C"/>
    <w:rsid w:val="6510DE78"/>
    <w:rsid w:val="65129328"/>
    <w:rsid w:val="65164482"/>
    <w:rsid w:val="6517C9F2"/>
    <w:rsid w:val="65202A00"/>
    <w:rsid w:val="6545F349"/>
    <w:rsid w:val="654F1822"/>
    <w:rsid w:val="6555F4AB"/>
    <w:rsid w:val="656FB373"/>
    <w:rsid w:val="6582099B"/>
    <w:rsid w:val="6588BC8B"/>
    <w:rsid w:val="65979FC4"/>
    <w:rsid w:val="659BAA3A"/>
    <w:rsid w:val="65BCCB35"/>
    <w:rsid w:val="65C90B43"/>
    <w:rsid w:val="65D49009"/>
    <w:rsid w:val="65E0AB6A"/>
    <w:rsid w:val="65E52437"/>
    <w:rsid w:val="6606ECB2"/>
    <w:rsid w:val="661DC9C8"/>
    <w:rsid w:val="66201D4B"/>
    <w:rsid w:val="66244959"/>
    <w:rsid w:val="662D9C26"/>
    <w:rsid w:val="6632E603"/>
    <w:rsid w:val="6660ACEC"/>
    <w:rsid w:val="66624E81"/>
    <w:rsid w:val="669D41D8"/>
    <w:rsid w:val="66A3723E"/>
    <w:rsid w:val="66BAE9DF"/>
    <w:rsid w:val="66CB141C"/>
    <w:rsid w:val="66E4158E"/>
    <w:rsid w:val="66EAF92C"/>
    <w:rsid w:val="67156994"/>
    <w:rsid w:val="6715CF36"/>
    <w:rsid w:val="671DD9FC"/>
    <w:rsid w:val="67260690"/>
    <w:rsid w:val="6743F2B6"/>
    <w:rsid w:val="67471033"/>
    <w:rsid w:val="67479B93"/>
    <w:rsid w:val="6747ECB3"/>
    <w:rsid w:val="674D033A"/>
    <w:rsid w:val="676C6A5F"/>
    <w:rsid w:val="67730C36"/>
    <w:rsid w:val="677997FB"/>
    <w:rsid w:val="67818B79"/>
    <w:rsid w:val="678D0AD4"/>
    <w:rsid w:val="67CA8F87"/>
    <w:rsid w:val="67F91A4F"/>
    <w:rsid w:val="68149866"/>
    <w:rsid w:val="681D7F0E"/>
    <w:rsid w:val="68253765"/>
    <w:rsid w:val="682A13E0"/>
    <w:rsid w:val="68301183"/>
    <w:rsid w:val="6832CC5C"/>
    <w:rsid w:val="684DDD0A"/>
    <w:rsid w:val="68566692"/>
    <w:rsid w:val="6877F022"/>
    <w:rsid w:val="68832E07"/>
    <w:rsid w:val="68837810"/>
    <w:rsid w:val="688D8FF7"/>
    <w:rsid w:val="68919E8E"/>
    <w:rsid w:val="6893915F"/>
    <w:rsid w:val="6899E09B"/>
    <w:rsid w:val="68A572A4"/>
    <w:rsid w:val="68AA43AD"/>
    <w:rsid w:val="68B41C76"/>
    <w:rsid w:val="68C28DF4"/>
    <w:rsid w:val="68CF8875"/>
    <w:rsid w:val="68D1C649"/>
    <w:rsid w:val="68D2D132"/>
    <w:rsid w:val="68D66319"/>
    <w:rsid w:val="68F796EC"/>
    <w:rsid w:val="68FB854D"/>
    <w:rsid w:val="69368D3D"/>
    <w:rsid w:val="69451CD2"/>
    <w:rsid w:val="6957E292"/>
    <w:rsid w:val="69616B71"/>
    <w:rsid w:val="6965EF8D"/>
    <w:rsid w:val="6966D93D"/>
    <w:rsid w:val="697215E1"/>
    <w:rsid w:val="6980F535"/>
    <w:rsid w:val="6984BB41"/>
    <w:rsid w:val="69895C95"/>
    <w:rsid w:val="699631CD"/>
    <w:rsid w:val="699C6E4D"/>
    <w:rsid w:val="69A7822B"/>
    <w:rsid w:val="69D658A6"/>
    <w:rsid w:val="69DBAF48"/>
    <w:rsid w:val="69E9AD6B"/>
    <w:rsid w:val="69EC831A"/>
    <w:rsid w:val="69F41AC5"/>
    <w:rsid w:val="6A0B0E01"/>
    <w:rsid w:val="6A16781C"/>
    <w:rsid w:val="6A25F8FD"/>
    <w:rsid w:val="6A4D6FF8"/>
    <w:rsid w:val="6A7160E2"/>
    <w:rsid w:val="6A767AB1"/>
    <w:rsid w:val="6A789BB1"/>
    <w:rsid w:val="6A7CDFC1"/>
    <w:rsid w:val="6A83B370"/>
    <w:rsid w:val="6A99BD96"/>
    <w:rsid w:val="6A9CE3F5"/>
    <w:rsid w:val="6AAF1429"/>
    <w:rsid w:val="6ACF3C62"/>
    <w:rsid w:val="6AE1635C"/>
    <w:rsid w:val="6AF51B7E"/>
    <w:rsid w:val="6B07959B"/>
    <w:rsid w:val="6B1A1411"/>
    <w:rsid w:val="6B495C57"/>
    <w:rsid w:val="6B49BFF4"/>
    <w:rsid w:val="6B4B3E7E"/>
    <w:rsid w:val="6B59765B"/>
    <w:rsid w:val="6B62C7B3"/>
    <w:rsid w:val="6B89408F"/>
    <w:rsid w:val="6B8CD5C3"/>
    <w:rsid w:val="6BA1A0A4"/>
    <w:rsid w:val="6BB611BB"/>
    <w:rsid w:val="6BB6B183"/>
    <w:rsid w:val="6BBAB56C"/>
    <w:rsid w:val="6C0568FA"/>
    <w:rsid w:val="6C16B850"/>
    <w:rsid w:val="6C1A61C8"/>
    <w:rsid w:val="6C2C4013"/>
    <w:rsid w:val="6C2E61C6"/>
    <w:rsid w:val="6C31CC63"/>
    <w:rsid w:val="6C40DF68"/>
    <w:rsid w:val="6C4B9740"/>
    <w:rsid w:val="6C4E1800"/>
    <w:rsid w:val="6C524B62"/>
    <w:rsid w:val="6C589B6C"/>
    <w:rsid w:val="6C676DE0"/>
    <w:rsid w:val="6C801481"/>
    <w:rsid w:val="6C85C7B9"/>
    <w:rsid w:val="6CAB442E"/>
    <w:rsid w:val="6CC4FD83"/>
    <w:rsid w:val="6CC66B6B"/>
    <w:rsid w:val="6CD206C5"/>
    <w:rsid w:val="6CD4E22C"/>
    <w:rsid w:val="6CF61B9D"/>
    <w:rsid w:val="6D0644B0"/>
    <w:rsid w:val="6D12D83A"/>
    <w:rsid w:val="6D394BB7"/>
    <w:rsid w:val="6D3A293F"/>
    <w:rsid w:val="6D3A404C"/>
    <w:rsid w:val="6D5E06B9"/>
    <w:rsid w:val="6D622FC1"/>
    <w:rsid w:val="6D6BC985"/>
    <w:rsid w:val="6D7DED7D"/>
    <w:rsid w:val="6D893C84"/>
    <w:rsid w:val="6D8D1B80"/>
    <w:rsid w:val="6D91EC2A"/>
    <w:rsid w:val="6D97AC8C"/>
    <w:rsid w:val="6D993C95"/>
    <w:rsid w:val="6D9F0A7E"/>
    <w:rsid w:val="6DC17CCF"/>
    <w:rsid w:val="6DCD9CC4"/>
    <w:rsid w:val="6DD12BB7"/>
    <w:rsid w:val="6E24AA11"/>
    <w:rsid w:val="6E436E59"/>
    <w:rsid w:val="6E4457FD"/>
    <w:rsid w:val="6E495ADC"/>
    <w:rsid w:val="6E55D338"/>
    <w:rsid w:val="6E7E1ADD"/>
    <w:rsid w:val="6EB3DA94"/>
    <w:rsid w:val="6EBEE535"/>
    <w:rsid w:val="6EC844C2"/>
    <w:rsid w:val="6EC933FE"/>
    <w:rsid w:val="6EF38346"/>
    <w:rsid w:val="6EF8AFFF"/>
    <w:rsid w:val="6EFE9DBC"/>
    <w:rsid w:val="6F076276"/>
    <w:rsid w:val="6F0FC384"/>
    <w:rsid w:val="6F1C0702"/>
    <w:rsid w:val="6F230FEB"/>
    <w:rsid w:val="6F3D8A40"/>
    <w:rsid w:val="6F41912A"/>
    <w:rsid w:val="6F4AAABC"/>
    <w:rsid w:val="6F5F114B"/>
    <w:rsid w:val="6F71D035"/>
    <w:rsid w:val="6F7CAEB1"/>
    <w:rsid w:val="6F8E6ACF"/>
    <w:rsid w:val="6F951A84"/>
    <w:rsid w:val="6FBD687B"/>
    <w:rsid w:val="6FE04828"/>
    <w:rsid w:val="6FF990F6"/>
    <w:rsid w:val="70060233"/>
    <w:rsid w:val="700E39A6"/>
    <w:rsid w:val="70173E72"/>
    <w:rsid w:val="7020263D"/>
    <w:rsid w:val="7038E6D0"/>
    <w:rsid w:val="706A995B"/>
    <w:rsid w:val="707E965B"/>
    <w:rsid w:val="708B6D17"/>
    <w:rsid w:val="70902352"/>
    <w:rsid w:val="7093F6AF"/>
    <w:rsid w:val="709B3431"/>
    <w:rsid w:val="70A807E0"/>
    <w:rsid w:val="70C303F4"/>
    <w:rsid w:val="70C41C80"/>
    <w:rsid w:val="70CF29C3"/>
    <w:rsid w:val="70D6FC88"/>
    <w:rsid w:val="70D8DA1D"/>
    <w:rsid w:val="70E0A7EA"/>
    <w:rsid w:val="70F0B649"/>
    <w:rsid w:val="70F9812B"/>
    <w:rsid w:val="70F986F4"/>
    <w:rsid w:val="7125780F"/>
    <w:rsid w:val="713AE6E8"/>
    <w:rsid w:val="714526F5"/>
    <w:rsid w:val="7146F018"/>
    <w:rsid w:val="71497C37"/>
    <w:rsid w:val="714CED41"/>
    <w:rsid w:val="71522D19"/>
    <w:rsid w:val="71584970"/>
    <w:rsid w:val="715E0DF5"/>
    <w:rsid w:val="71652A20"/>
    <w:rsid w:val="716D9A6F"/>
    <w:rsid w:val="7179C39A"/>
    <w:rsid w:val="71803155"/>
    <w:rsid w:val="71848DE6"/>
    <w:rsid w:val="71859A45"/>
    <w:rsid w:val="71AAE0DE"/>
    <w:rsid w:val="71B11DFD"/>
    <w:rsid w:val="71B16255"/>
    <w:rsid w:val="71CBF89B"/>
    <w:rsid w:val="71D2162C"/>
    <w:rsid w:val="71D54E10"/>
    <w:rsid w:val="71DFDED8"/>
    <w:rsid w:val="71E12927"/>
    <w:rsid w:val="71E57868"/>
    <w:rsid w:val="71E707A1"/>
    <w:rsid w:val="71EAE1DC"/>
    <w:rsid w:val="720A3BD9"/>
    <w:rsid w:val="721260A4"/>
    <w:rsid w:val="7213DF1C"/>
    <w:rsid w:val="7216A094"/>
    <w:rsid w:val="721D58AF"/>
    <w:rsid w:val="722722AA"/>
    <w:rsid w:val="72455A37"/>
    <w:rsid w:val="724EB8F5"/>
    <w:rsid w:val="725BF424"/>
    <w:rsid w:val="72622D02"/>
    <w:rsid w:val="727391FF"/>
    <w:rsid w:val="72753FDB"/>
    <w:rsid w:val="727E04D3"/>
    <w:rsid w:val="7281A7F0"/>
    <w:rsid w:val="729BCD32"/>
    <w:rsid w:val="72C26B6A"/>
    <w:rsid w:val="72C742DA"/>
    <w:rsid w:val="72CB6133"/>
    <w:rsid w:val="72FC6EE3"/>
    <w:rsid w:val="72FD823B"/>
    <w:rsid w:val="7312982C"/>
    <w:rsid w:val="73154552"/>
    <w:rsid w:val="73185736"/>
    <w:rsid w:val="731870B5"/>
    <w:rsid w:val="731CB5D4"/>
    <w:rsid w:val="731F81C5"/>
    <w:rsid w:val="73340DFA"/>
    <w:rsid w:val="733E6F4E"/>
    <w:rsid w:val="733EF047"/>
    <w:rsid w:val="733FBAA4"/>
    <w:rsid w:val="73435093"/>
    <w:rsid w:val="7345B6ED"/>
    <w:rsid w:val="736AA620"/>
    <w:rsid w:val="736D904A"/>
    <w:rsid w:val="73745D4A"/>
    <w:rsid w:val="737B43FA"/>
    <w:rsid w:val="738EB780"/>
    <w:rsid w:val="738F25BD"/>
    <w:rsid w:val="73925C38"/>
    <w:rsid w:val="73926EF6"/>
    <w:rsid w:val="739CE83F"/>
    <w:rsid w:val="73B61DA6"/>
    <w:rsid w:val="73BA47E0"/>
    <w:rsid w:val="73D7502A"/>
    <w:rsid w:val="73DB8327"/>
    <w:rsid w:val="73E3AAF7"/>
    <w:rsid w:val="73E7F1AA"/>
    <w:rsid w:val="73E99689"/>
    <w:rsid w:val="73EB2DD1"/>
    <w:rsid w:val="740EED8E"/>
    <w:rsid w:val="7414A775"/>
    <w:rsid w:val="741607E4"/>
    <w:rsid w:val="7428164D"/>
    <w:rsid w:val="7439FC90"/>
    <w:rsid w:val="7449BE9E"/>
    <w:rsid w:val="7450DAD5"/>
    <w:rsid w:val="7452AEF9"/>
    <w:rsid w:val="7453DE37"/>
    <w:rsid w:val="745625F1"/>
    <w:rsid w:val="745A2816"/>
    <w:rsid w:val="745B3132"/>
    <w:rsid w:val="74643BC4"/>
    <w:rsid w:val="747A38FD"/>
    <w:rsid w:val="7491A35A"/>
    <w:rsid w:val="749748BD"/>
    <w:rsid w:val="74AE688D"/>
    <w:rsid w:val="74D66957"/>
    <w:rsid w:val="74E2B94C"/>
    <w:rsid w:val="74ED56C7"/>
    <w:rsid w:val="74FBB665"/>
    <w:rsid w:val="750495C9"/>
    <w:rsid w:val="7508A1DC"/>
    <w:rsid w:val="750A2A36"/>
    <w:rsid w:val="7512CEEE"/>
    <w:rsid w:val="7536674A"/>
    <w:rsid w:val="7538EEAB"/>
    <w:rsid w:val="753B136D"/>
    <w:rsid w:val="753C4568"/>
    <w:rsid w:val="7551EE07"/>
    <w:rsid w:val="7561B481"/>
    <w:rsid w:val="75704266"/>
    <w:rsid w:val="757DB20C"/>
    <w:rsid w:val="7588CE49"/>
    <w:rsid w:val="758F805D"/>
    <w:rsid w:val="759ED5FB"/>
    <w:rsid w:val="759EF62F"/>
    <w:rsid w:val="75A957B0"/>
    <w:rsid w:val="75B8C034"/>
    <w:rsid w:val="75BAC241"/>
    <w:rsid w:val="75BCFA75"/>
    <w:rsid w:val="75C79EEB"/>
    <w:rsid w:val="75C924CF"/>
    <w:rsid w:val="75DE5249"/>
    <w:rsid w:val="75E3E5F8"/>
    <w:rsid w:val="75F4F075"/>
    <w:rsid w:val="75F61630"/>
    <w:rsid w:val="760167EF"/>
    <w:rsid w:val="760B5E85"/>
    <w:rsid w:val="761A418A"/>
    <w:rsid w:val="76229841"/>
    <w:rsid w:val="762C763E"/>
    <w:rsid w:val="763779DF"/>
    <w:rsid w:val="765FE3BC"/>
    <w:rsid w:val="766ABD35"/>
    <w:rsid w:val="766AE473"/>
    <w:rsid w:val="767EF98E"/>
    <w:rsid w:val="7683263B"/>
    <w:rsid w:val="7686BB2E"/>
    <w:rsid w:val="768FEC4B"/>
    <w:rsid w:val="769BD4E5"/>
    <w:rsid w:val="76A2A156"/>
    <w:rsid w:val="76AD71D8"/>
    <w:rsid w:val="76BEB954"/>
    <w:rsid w:val="76D7CE0B"/>
    <w:rsid w:val="76E38866"/>
    <w:rsid w:val="76ED7B74"/>
    <w:rsid w:val="770CF1F2"/>
    <w:rsid w:val="77131DA1"/>
    <w:rsid w:val="7716F8AD"/>
    <w:rsid w:val="771E48BA"/>
    <w:rsid w:val="7722CE93"/>
    <w:rsid w:val="77357D01"/>
    <w:rsid w:val="773C42AE"/>
    <w:rsid w:val="77558BEB"/>
    <w:rsid w:val="775D36D7"/>
    <w:rsid w:val="7769346C"/>
    <w:rsid w:val="777EBA4E"/>
    <w:rsid w:val="77835C33"/>
    <w:rsid w:val="77841E53"/>
    <w:rsid w:val="778960B6"/>
    <w:rsid w:val="7790C0D6"/>
    <w:rsid w:val="779711F2"/>
    <w:rsid w:val="77975FE3"/>
    <w:rsid w:val="77A013CF"/>
    <w:rsid w:val="77A3C11A"/>
    <w:rsid w:val="77C78AF4"/>
    <w:rsid w:val="77EC8147"/>
    <w:rsid w:val="77ED271D"/>
    <w:rsid w:val="77EFBC42"/>
    <w:rsid w:val="780537C1"/>
    <w:rsid w:val="78082092"/>
    <w:rsid w:val="78200B9D"/>
    <w:rsid w:val="782E4D2B"/>
    <w:rsid w:val="7833C666"/>
    <w:rsid w:val="786732F0"/>
    <w:rsid w:val="786B5B6C"/>
    <w:rsid w:val="786CD4BB"/>
    <w:rsid w:val="78737FAB"/>
    <w:rsid w:val="78A4B56F"/>
    <w:rsid w:val="78B2E66E"/>
    <w:rsid w:val="78B4E611"/>
    <w:rsid w:val="78C37689"/>
    <w:rsid w:val="78CB5F68"/>
    <w:rsid w:val="78CF5087"/>
    <w:rsid w:val="78D6DDD7"/>
    <w:rsid w:val="78DDA431"/>
    <w:rsid w:val="78F1D415"/>
    <w:rsid w:val="791293F9"/>
    <w:rsid w:val="791368DA"/>
    <w:rsid w:val="791E8358"/>
    <w:rsid w:val="794DEB73"/>
    <w:rsid w:val="79566EF2"/>
    <w:rsid w:val="79610699"/>
    <w:rsid w:val="796548CF"/>
    <w:rsid w:val="796CF783"/>
    <w:rsid w:val="7971639D"/>
    <w:rsid w:val="79823D6E"/>
    <w:rsid w:val="7989DE22"/>
    <w:rsid w:val="7995732F"/>
    <w:rsid w:val="799BC747"/>
    <w:rsid w:val="79D13489"/>
    <w:rsid w:val="79D42268"/>
    <w:rsid w:val="79D83ADA"/>
    <w:rsid w:val="79DA8D62"/>
    <w:rsid w:val="79E828B5"/>
    <w:rsid w:val="7A3FA89C"/>
    <w:rsid w:val="7A51C5BA"/>
    <w:rsid w:val="7A6F0D71"/>
    <w:rsid w:val="7A743A37"/>
    <w:rsid w:val="7A779F8C"/>
    <w:rsid w:val="7A78AA1B"/>
    <w:rsid w:val="7A831BE9"/>
    <w:rsid w:val="7A94C90E"/>
    <w:rsid w:val="7AA1DCC8"/>
    <w:rsid w:val="7AB8149D"/>
    <w:rsid w:val="7ABC9D58"/>
    <w:rsid w:val="7AC59926"/>
    <w:rsid w:val="7AC67C2C"/>
    <w:rsid w:val="7AD254BF"/>
    <w:rsid w:val="7AE2BCE6"/>
    <w:rsid w:val="7AE8C49C"/>
    <w:rsid w:val="7B142E28"/>
    <w:rsid w:val="7B1EAEB5"/>
    <w:rsid w:val="7B2AF19B"/>
    <w:rsid w:val="7B2EA38A"/>
    <w:rsid w:val="7B3530D2"/>
    <w:rsid w:val="7B36D26E"/>
    <w:rsid w:val="7B3CDBB1"/>
    <w:rsid w:val="7B44CF22"/>
    <w:rsid w:val="7B69C16C"/>
    <w:rsid w:val="7B6AD28C"/>
    <w:rsid w:val="7B6F4608"/>
    <w:rsid w:val="7B72B2F5"/>
    <w:rsid w:val="7B874DD6"/>
    <w:rsid w:val="7B886E65"/>
    <w:rsid w:val="7B8E7D26"/>
    <w:rsid w:val="7B977B1F"/>
    <w:rsid w:val="7BA1B45E"/>
    <w:rsid w:val="7BAF8DCC"/>
    <w:rsid w:val="7BB34FF4"/>
    <w:rsid w:val="7BB52912"/>
    <w:rsid w:val="7BC4E8AC"/>
    <w:rsid w:val="7BCD864E"/>
    <w:rsid w:val="7BE03E30"/>
    <w:rsid w:val="7BE34B89"/>
    <w:rsid w:val="7BF96840"/>
    <w:rsid w:val="7C0CE6C4"/>
    <w:rsid w:val="7C185041"/>
    <w:rsid w:val="7C24897E"/>
    <w:rsid w:val="7C295AA8"/>
    <w:rsid w:val="7C3309F4"/>
    <w:rsid w:val="7C42095C"/>
    <w:rsid w:val="7C475450"/>
    <w:rsid w:val="7C47F4DD"/>
    <w:rsid w:val="7C48DAB0"/>
    <w:rsid w:val="7C4B099C"/>
    <w:rsid w:val="7C643AB4"/>
    <w:rsid w:val="7C7519EA"/>
    <w:rsid w:val="7C97A59B"/>
    <w:rsid w:val="7CC1E2B1"/>
    <w:rsid w:val="7CD4B0D9"/>
    <w:rsid w:val="7D0B1669"/>
    <w:rsid w:val="7D2A94AC"/>
    <w:rsid w:val="7D33D36C"/>
    <w:rsid w:val="7D3BA7B1"/>
    <w:rsid w:val="7D4DD4A3"/>
    <w:rsid w:val="7D54C9B6"/>
    <w:rsid w:val="7D8636EB"/>
    <w:rsid w:val="7DAC8CF1"/>
    <w:rsid w:val="7DAF8A4A"/>
    <w:rsid w:val="7DB2E2F0"/>
    <w:rsid w:val="7DC3D219"/>
    <w:rsid w:val="7DC8E5E4"/>
    <w:rsid w:val="7DCB48BB"/>
    <w:rsid w:val="7DE736AD"/>
    <w:rsid w:val="7E210792"/>
    <w:rsid w:val="7E343287"/>
    <w:rsid w:val="7E405BB2"/>
    <w:rsid w:val="7E4BB463"/>
    <w:rsid w:val="7E6C573B"/>
    <w:rsid w:val="7E959E83"/>
    <w:rsid w:val="7E9912D2"/>
    <w:rsid w:val="7EAC2C3B"/>
    <w:rsid w:val="7EAEB54C"/>
    <w:rsid w:val="7EBD2C78"/>
    <w:rsid w:val="7EC33D59"/>
    <w:rsid w:val="7EC82BEA"/>
    <w:rsid w:val="7ECC30E5"/>
    <w:rsid w:val="7EE20263"/>
    <w:rsid w:val="7EE23168"/>
    <w:rsid w:val="7EE31B59"/>
    <w:rsid w:val="7EEE540C"/>
    <w:rsid w:val="7EF7BADC"/>
    <w:rsid w:val="7EF967C5"/>
    <w:rsid w:val="7F07B2FB"/>
    <w:rsid w:val="7F0E7F2F"/>
    <w:rsid w:val="7F36E3EC"/>
    <w:rsid w:val="7F393BDB"/>
    <w:rsid w:val="7F46A227"/>
    <w:rsid w:val="7F500517"/>
    <w:rsid w:val="7F515D22"/>
    <w:rsid w:val="7F5369B5"/>
    <w:rsid w:val="7F5C9336"/>
    <w:rsid w:val="7F872577"/>
    <w:rsid w:val="7F98BD20"/>
    <w:rsid w:val="7F9B39DB"/>
    <w:rsid w:val="7FA34715"/>
    <w:rsid w:val="7FB6981B"/>
    <w:rsid w:val="7FB7479A"/>
    <w:rsid w:val="7FF932E7"/>
    <w:rsid w:val="7FFA0D89"/>
    <w:rsid w:val="7FFE4390"/>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eaeaea,#f8f8f8"/>
    </o:shapedefaults>
    <o:shapelayout v:ext="edit">
      <o:idmap v:ext="edit" data="2"/>
    </o:shapelayout>
  </w:shapeDefaults>
  <w:decimalSymbol w:val=","/>
  <w:listSeparator w:val=";"/>
  <w14:docId w14:val="2C78B7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943"/>
    <w:rPr>
      <w:rFonts w:ascii="Verdana" w:hAnsi="Verdana"/>
      <w:lang w:val="en-GB" w:eastAsia="de-DE"/>
    </w:rPr>
  </w:style>
  <w:style w:type="paragraph" w:styleId="Rubrik1">
    <w:name w:val="heading 1"/>
    <w:aliases w:val="PAR Heading 1,1"/>
    <w:next w:val="Absatz"/>
    <w:link w:val="Rubrik1Char"/>
    <w:qFormat/>
    <w:rsid w:val="002A4B06"/>
    <w:pPr>
      <w:keepNext/>
      <w:numPr>
        <w:numId w:val="13"/>
      </w:numPr>
      <w:spacing w:after="360"/>
      <w:outlineLvl w:val="0"/>
    </w:pPr>
    <w:rPr>
      <w:rFonts w:ascii="Verdana" w:hAnsi="Verdana"/>
      <w:b/>
      <w:caps/>
      <w:sz w:val="28"/>
      <w:lang w:val="de-DE" w:eastAsia="de-DE"/>
    </w:rPr>
  </w:style>
  <w:style w:type="paragraph" w:styleId="Rubrik2">
    <w:name w:val="heading 2"/>
    <w:aliases w:val="ECHA Heading 2,PAR Heading 2,2"/>
    <w:basedOn w:val="Rubrik1"/>
    <w:next w:val="Absatz"/>
    <w:link w:val="Rubrik2Char"/>
    <w:autoRedefine/>
    <w:qFormat/>
    <w:rsid w:val="00223981"/>
    <w:pPr>
      <w:numPr>
        <w:numId w:val="21"/>
      </w:numPr>
      <w:tabs>
        <w:tab w:val="left" w:pos="567"/>
      </w:tabs>
      <w:spacing w:before="120" w:after="120"/>
      <w:outlineLvl w:val="1"/>
    </w:pPr>
    <w:rPr>
      <w:rFonts w:eastAsia="Calibri"/>
      <w:caps w:val="0"/>
      <w:sz w:val="24"/>
      <w:lang w:eastAsia="en-US"/>
    </w:rPr>
  </w:style>
  <w:style w:type="paragraph" w:styleId="Rubrik3">
    <w:name w:val="heading 3"/>
    <w:aliases w:val="PAR Heading 3,3"/>
    <w:basedOn w:val="Rubrik1"/>
    <w:next w:val="Absatz"/>
    <w:link w:val="Rubrik3Char"/>
    <w:autoRedefine/>
    <w:qFormat/>
    <w:rsid w:val="00223981"/>
    <w:pPr>
      <w:numPr>
        <w:numId w:val="0"/>
      </w:numPr>
      <w:spacing w:before="240" w:after="240"/>
      <w:outlineLvl w:val="2"/>
    </w:pPr>
    <w:rPr>
      <w:caps w:val="0"/>
      <w:sz w:val="22"/>
    </w:rPr>
  </w:style>
  <w:style w:type="paragraph" w:styleId="Rubrik4">
    <w:name w:val="heading 4"/>
    <w:aliases w:val="PAR Heading 4,4"/>
    <w:basedOn w:val="Rubrik1"/>
    <w:link w:val="Rubrik4Char"/>
    <w:autoRedefine/>
    <w:qFormat/>
    <w:rsid w:val="00065CC0"/>
    <w:pPr>
      <w:numPr>
        <w:numId w:val="0"/>
      </w:numPr>
      <w:spacing w:before="240" w:after="240"/>
      <w:outlineLvl w:val="3"/>
    </w:pPr>
    <w:rPr>
      <w:rFonts w:eastAsia="Verdana" w:cs="Verdana"/>
      <w:b w:val="0"/>
      <w:caps w:val="0"/>
      <w:sz w:val="22"/>
      <w:szCs w:val="24"/>
      <w:lang w:eastAsia="en-US"/>
    </w:rPr>
  </w:style>
  <w:style w:type="paragraph" w:styleId="Rubrik5">
    <w:name w:val="heading 5"/>
    <w:aliases w:val="PAR Heading 5,5"/>
    <w:basedOn w:val="Rubrik1"/>
    <w:next w:val="Absatz"/>
    <w:link w:val="Rubrik5Char"/>
    <w:qFormat/>
    <w:pPr>
      <w:numPr>
        <w:numId w:val="0"/>
      </w:numPr>
      <w:spacing w:after="255" w:line="255" w:lineRule="exact"/>
      <w:outlineLvl w:val="4"/>
    </w:pPr>
    <w:rPr>
      <w:b w:val="0"/>
      <w:caps w:val="0"/>
      <w:sz w:val="22"/>
    </w:rPr>
  </w:style>
  <w:style w:type="paragraph" w:styleId="Rubrik6">
    <w:name w:val="heading 6"/>
    <w:aliases w:val="ECHA Heading 6"/>
    <w:basedOn w:val="Rubrik1"/>
    <w:next w:val="Absatz"/>
    <w:link w:val="Rubrik6Char"/>
    <w:qFormat/>
    <w:pPr>
      <w:numPr>
        <w:ilvl w:val="5"/>
      </w:numPr>
      <w:spacing w:after="255" w:line="255" w:lineRule="exact"/>
      <w:outlineLvl w:val="5"/>
    </w:pPr>
    <w:rPr>
      <w:b w:val="0"/>
      <w:sz w:val="22"/>
    </w:rPr>
  </w:style>
  <w:style w:type="paragraph" w:styleId="Rubrik7">
    <w:name w:val="heading 7"/>
    <w:aliases w:val="ECHA Heading 7"/>
    <w:basedOn w:val="Rubrik1"/>
    <w:next w:val="Absatz"/>
    <w:link w:val="Rubrik7Char"/>
    <w:qFormat/>
    <w:pPr>
      <w:numPr>
        <w:ilvl w:val="6"/>
      </w:numPr>
      <w:spacing w:after="255" w:line="255" w:lineRule="exact"/>
      <w:outlineLvl w:val="6"/>
    </w:pPr>
    <w:rPr>
      <w:b w:val="0"/>
      <w:sz w:val="22"/>
    </w:rPr>
  </w:style>
  <w:style w:type="paragraph" w:styleId="Rubrik8">
    <w:name w:val="heading 8"/>
    <w:aliases w:val="ECHA Heading 8"/>
    <w:basedOn w:val="Rubrik1"/>
    <w:next w:val="Absatz"/>
    <w:link w:val="Rubrik8Char"/>
    <w:qFormat/>
    <w:pPr>
      <w:numPr>
        <w:ilvl w:val="7"/>
      </w:numPr>
      <w:spacing w:after="255" w:line="255" w:lineRule="exact"/>
      <w:outlineLvl w:val="7"/>
    </w:pPr>
    <w:rPr>
      <w:b w:val="0"/>
      <w:sz w:val="22"/>
    </w:rPr>
  </w:style>
  <w:style w:type="paragraph" w:styleId="Rubrik9">
    <w:name w:val="heading 9"/>
    <w:aliases w:val="ECHA Heading 9"/>
    <w:basedOn w:val="Rubrik1"/>
    <w:next w:val="Absatz"/>
    <w:link w:val="Rubrik9Char"/>
    <w:qFormat/>
    <w:pPr>
      <w:numPr>
        <w:ilvl w:val="8"/>
      </w:numPr>
      <w:spacing w:after="255" w:line="255" w:lineRule="exact"/>
      <w:outlineLvl w:val="8"/>
    </w:pPr>
    <w:rPr>
      <w:b w:val="0"/>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bsatz">
    <w:name w:val="Absatz"/>
    <w:basedOn w:val="Normal"/>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Sidhuvud">
    <w:name w:val="header"/>
    <w:aliases w:val="header protocols,Header 1"/>
    <w:link w:val="SidhuvudChar"/>
    <w:uiPriority w:val="99"/>
    <w:pPr>
      <w:tabs>
        <w:tab w:val="center" w:pos="4536"/>
        <w:tab w:val="right" w:pos="9072"/>
      </w:tabs>
    </w:pPr>
    <w:rPr>
      <w:sz w:val="22"/>
      <w:lang w:val="de-DE" w:eastAsia="de-DE"/>
    </w:rPr>
  </w:style>
  <w:style w:type="paragraph" w:styleId="Sidfot">
    <w:name w:val="footer"/>
    <w:basedOn w:val="Normal"/>
    <w:link w:val="SidfotChar"/>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Normal"/>
    <w:next w:val="Normal"/>
    <w:semiHidden/>
    <w:pPr>
      <w:spacing w:line="198" w:lineRule="exact"/>
      <w:ind w:left="221" w:hanging="221"/>
    </w:pPr>
    <w:rPr>
      <w:rFonts w:ascii="Times New Roman" w:hAnsi="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rPr>
  </w:style>
  <w:style w:type="paragraph" w:customStyle="1" w:styleId="HalbeLeerzeile">
    <w:name w:val="Halbe Leerzeile"/>
    <w:basedOn w:val="Normal"/>
    <w:pPr>
      <w:spacing w:line="128" w:lineRule="exact"/>
      <w:ind w:left="1729"/>
    </w:pPr>
    <w:rPr>
      <w:rFonts w:ascii="Times New Roman" w:hAnsi="Times New Roman"/>
      <w:sz w:val="16"/>
    </w:rPr>
  </w:style>
  <w:style w:type="paragraph" w:styleId="Index2">
    <w:name w:val="index 2"/>
    <w:basedOn w:val="Index1"/>
    <w:next w:val="Normal"/>
    <w:semiHidden/>
    <w:pPr>
      <w:ind w:left="442"/>
    </w:pPr>
  </w:style>
  <w:style w:type="paragraph" w:styleId="Indexrubrik">
    <w:name w:val="index heading"/>
    <w:basedOn w:val="Normal"/>
    <w:next w:val="Index1"/>
    <w:semiHidden/>
    <w:pPr>
      <w:spacing w:line="198" w:lineRule="exact"/>
    </w:pPr>
    <w:rPr>
      <w:rFonts w:ascii="Times New Roman" w:hAnsi="Times New Roman"/>
      <w:b/>
    </w:rPr>
  </w:style>
  <w:style w:type="paragraph" w:styleId="Innehll1">
    <w:name w:val="toc 1"/>
    <w:next w:val="Normal"/>
    <w:uiPriority w:val="39"/>
    <w:qFormat/>
    <w:rsid w:val="00FF37FA"/>
    <w:pPr>
      <w:spacing w:before="120" w:after="120"/>
    </w:pPr>
    <w:rPr>
      <w:rFonts w:ascii="Calibri" w:hAnsi="Calibri"/>
      <w:b/>
      <w:bCs/>
      <w:caps/>
      <w:lang w:val="en-GB" w:eastAsia="de-DE"/>
    </w:rPr>
  </w:style>
  <w:style w:type="paragraph" w:styleId="Innehll2">
    <w:name w:val="toc 2"/>
    <w:next w:val="Normal"/>
    <w:uiPriority w:val="39"/>
    <w:qFormat/>
    <w:rsid w:val="006F067B"/>
    <w:pPr>
      <w:ind w:left="200"/>
    </w:pPr>
    <w:rPr>
      <w:rFonts w:ascii="Calibri" w:hAnsi="Calibri"/>
      <w:smallCaps/>
      <w:lang w:val="en-GB" w:eastAsia="de-DE"/>
    </w:rPr>
  </w:style>
  <w:style w:type="paragraph" w:styleId="Innehll3">
    <w:name w:val="toc 3"/>
    <w:basedOn w:val="Innehll2"/>
    <w:next w:val="Normal"/>
    <w:uiPriority w:val="39"/>
    <w:qFormat/>
    <w:rsid w:val="006F067B"/>
    <w:pPr>
      <w:ind w:left="400"/>
    </w:pPr>
    <w:rPr>
      <w:i/>
      <w:iCs/>
      <w:smallCaps w:val="0"/>
    </w:rPr>
  </w:style>
  <w:style w:type="paragraph" w:styleId="Innehll4">
    <w:name w:val="toc 4"/>
    <w:basedOn w:val="Innehll2"/>
    <w:next w:val="Normal"/>
    <w:uiPriority w:val="39"/>
    <w:pPr>
      <w:ind w:left="600"/>
    </w:pPr>
    <w:rPr>
      <w:smallCaps w:val="0"/>
      <w:sz w:val="18"/>
      <w:szCs w:val="18"/>
    </w:rPr>
  </w:style>
  <w:style w:type="paragraph" w:styleId="Innehll5">
    <w:name w:val="toc 5"/>
    <w:basedOn w:val="Innehll2"/>
    <w:next w:val="Normal"/>
    <w:uiPriority w:val="39"/>
    <w:pPr>
      <w:ind w:left="800"/>
    </w:pPr>
    <w:rPr>
      <w:smallCaps w:val="0"/>
      <w:sz w:val="18"/>
      <w:szCs w:val="18"/>
    </w:rPr>
  </w:style>
  <w:style w:type="paragraph" w:styleId="Innehll6">
    <w:name w:val="toc 6"/>
    <w:basedOn w:val="Innehll2"/>
    <w:next w:val="Normal"/>
    <w:uiPriority w:val="39"/>
    <w:pPr>
      <w:ind w:left="1000"/>
    </w:pPr>
    <w:rPr>
      <w:smallCaps w:val="0"/>
      <w:sz w:val="18"/>
      <w:szCs w:val="18"/>
    </w:rPr>
  </w:style>
  <w:style w:type="paragraph" w:styleId="Innehll7">
    <w:name w:val="toc 7"/>
    <w:basedOn w:val="Innehll2"/>
    <w:next w:val="Normal"/>
    <w:uiPriority w:val="39"/>
    <w:pPr>
      <w:ind w:left="1200"/>
    </w:pPr>
    <w:rPr>
      <w:smallCaps w:val="0"/>
      <w:sz w:val="18"/>
      <w:szCs w:val="18"/>
    </w:rPr>
  </w:style>
  <w:style w:type="paragraph" w:styleId="Innehll8">
    <w:name w:val="toc 8"/>
    <w:basedOn w:val="Innehll2"/>
    <w:next w:val="Normal"/>
    <w:uiPriority w:val="39"/>
    <w:pPr>
      <w:ind w:left="1400"/>
    </w:pPr>
    <w:rPr>
      <w:smallCaps w:val="0"/>
      <w:sz w:val="18"/>
      <w:szCs w:val="18"/>
    </w:rPr>
  </w:style>
  <w:style w:type="paragraph" w:styleId="Innehll9">
    <w:name w:val="toc 9"/>
    <w:basedOn w:val="Innehll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sta">
    <w:name w:val="List"/>
    <w:basedOn w:val="Normal"/>
    <w:pPr>
      <w:spacing w:after="255" w:line="255" w:lineRule="exact"/>
      <w:ind w:left="2013" w:hanging="284"/>
    </w:pPr>
    <w:rPr>
      <w:rFonts w:ascii="Times New Roman" w:hAnsi="Times New Roman"/>
    </w:rPr>
  </w:style>
  <w:style w:type="paragraph" w:customStyle="1" w:styleId="berschriftInhalt">
    <w:name w:val="Überschrift Inhalt"/>
    <w:basedOn w:val="Normal"/>
    <w:next w:val="Normal"/>
    <w:pPr>
      <w:keepNext/>
      <w:spacing w:after="1020" w:line="383" w:lineRule="exact"/>
    </w:pPr>
    <w:rPr>
      <w:sz w:val="30"/>
    </w:rPr>
  </w:style>
  <w:style w:type="paragraph" w:styleId="Fotnotstext">
    <w:name w:val="footnote text"/>
    <w:basedOn w:val="Normal"/>
    <w:link w:val="FotnotstextChar"/>
    <w:qFormat/>
    <w:pPr>
      <w:ind w:left="284" w:hanging="284"/>
    </w:pPr>
    <w:rPr>
      <w:position w:val="4"/>
    </w:rPr>
  </w:style>
  <w:style w:type="character" w:styleId="Fotnotsreferens">
    <w:name w:val="footnote reference"/>
    <w:aliases w:val="Footnote"/>
    <w:qFormat/>
    <w:rPr>
      <w:position w:val="8"/>
      <w:sz w:val="16"/>
    </w:rPr>
  </w:style>
  <w:style w:type="paragraph" w:styleId="Slutnotstext">
    <w:name w:val="endnote text"/>
    <w:basedOn w:val="Normal"/>
    <w:semiHidden/>
    <w:pPr>
      <w:spacing w:line="198" w:lineRule="exact"/>
      <w:ind w:left="284" w:hanging="284"/>
    </w:pPr>
    <w:rPr>
      <w:rFonts w:ascii="Times New Roman" w:hAnsi="Times New Roman"/>
      <w:position w:val="4"/>
    </w:rPr>
  </w:style>
  <w:style w:type="character" w:styleId="Slutnotsreferens">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rPr>
  </w:style>
  <w:style w:type="paragraph" w:styleId="Figurfrteckning">
    <w:name w:val="table of figures"/>
    <w:basedOn w:val="Normal"/>
    <w:next w:val="Normal"/>
    <w:semiHidden/>
    <w:pPr>
      <w:tabs>
        <w:tab w:val="right" w:pos="9214"/>
      </w:tabs>
      <w:spacing w:line="255" w:lineRule="exact"/>
      <w:ind w:left="1729"/>
    </w:pPr>
    <w:rPr>
      <w:rFonts w:ascii="Times New Roman" w:hAnsi="Times New Roman"/>
    </w:rPr>
  </w:style>
  <w:style w:type="paragraph" w:styleId="Beskrivning">
    <w:name w:val="caption"/>
    <w:basedOn w:val="Normal"/>
    <w:next w:val="Absatz"/>
    <w:link w:val="BeskrivningChar"/>
    <w:qFormat/>
    <w:pPr>
      <w:tabs>
        <w:tab w:val="left" w:pos="1418"/>
      </w:tabs>
      <w:spacing w:after="255"/>
      <w:ind w:left="1418" w:hanging="1418"/>
    </w:pPr>
    <w:rPr>
      <w:rFonts w:ascii="Times New Roman" w:hAnsi="Times New Roman"/>
    </w:rPr>
  </w:style>
  <w:style w:type="paragraph" w:customStyle="1" w:styleId="Tabellenformat">
    <w:name w:val="Tabellenformat"/>
    <w:basedOn w:val="Normal"/>
    <w:pPr>
      <w:spacing w:before="100" w:after="100"/>
    </w:pPr>
  </w:style>
  <w:style w:type="paragraph" w:styleId="Brdtext">
    <w:name w:val="Body Text"/>
    <w:basedOn w:val="Normal"/>
    <w:link w:val="BrdtextChar"/>
  </w:style>
  <w:style w:type="character" w:styleId="Radnummer">
    <w:name w:val="line number"/>
    <w:basedOn w:val="Standardstycketeckensnitt"/>
  </w:style>
  <w:style w:type="character" w:styleId="Kommentarsreferens">
    <w:name w:val="annotation reference"/>
    <w:uiPriority w:val="99"/>
    <w:semiHidden/>
    <w:rPr>
      <w:sz w:val="16"/>
    </w:rPr>
  </w:style>
  <w:style w:type="paragraph" w:styleId="Kommentarer">
    <w:name w:val="annotation text"/>
    <w:basedOn w:val="Normal"/>
    <w:link w:val="KommentarerChar"/>
    <w:uiPriority w:val="99"/>
  </w:style>
  <w:style w:type="paragraph" w:styleId="Dokumentversikt">
    <w:name w:val="Document Map"/>
    <w:basedOn w:val="Normal"/>
    <w:semiHidden/>
    <w:pPr>
      <w:shd w:val="clear" w:color="auto" w:fill="000080"/>
    </w:pPr>
    <w:rPr>
      <w:rFonts w:ascii="Tahoma" w:hAnsi="Tahoma"/>
    </w:rPr>
  </w:style>
  <w:style w:type="character" w:styleId="Hyperlnk">
    <w:name w:val="Hyperlink"/>
    <w:uiPriority w:val="99"/>
    <w:rPr>
      <w:color w:val="0000FF"/>
      <w:u w:val="single"/>
    </w:rPr>
  </w:style>
  <w:style w:type="character" w:styleId="Sidnummer">
    <w:name w:val="page number"/>
    <w:basedOn w:val="Standardstycketeckensnitt"/>
  </w:style>
  <w:style w:type="paragraph" w:styleId="Brdtextmedindrag">
    <w:name w:val="Body Text Indent"/>
    <w:basedOn w:val="Normal"/>
    <w:pPr>
      <w:ind w:left="567"/>
    </w:pPr>
    <w:rPr>
      <w:sz w:val="24"/>
    </w:rPr>
  </w:style>
  <w:style w:type="paragraph" w:customStyle="1" w:styleId="Kopzeile-fett">
    <w:name w:val="Kopzeile-fett"/>
    <w:basedOn w:val="Sidhuvud"/>
    <w:pPr>
      <w:spacing w:after="120"/>
    </w:pPr>
    <w:rPr>
      <w:b/>
      <w:sz w:val="20"/>
    </w:rPr>
  </w:style>
  <w:style w:type="paragraph" w:styleId="Brdtext2">
    <w:name w:val="Body Text 2"/>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vsndaradress-brev">
    <w:name w:val="envelope return"/>
    <w:basedOn w:val="Normal"/>
    <w:rPr>
      <w:rFonts w:ascii="Arial" w:hAnsi="Arial"/>
    </w:rPr>
  </w:style>
  <w:style w:type="paragraph" w:styleId="Inledning">
    <w:name w:val="Salutation"/>
    <w:basedOn w:val="Normal"/>
    <w:next w:val="Normal"/>
  </w:style>
  <w:style w:type="paragraph" w:styleId="Punktlista">
    <w:name w:val="List Bullet"/>
    <w:basedOn w:val="Normal"/>
    <w:autoRedefine/>
    <w:pPr>
      <w:tabs>
        <w:tab w:val="num" w:pos="360"/>
      </w:tabs>
      <w:ind w:left="360" w:hanging="360"/>
    </w:pPr>
  </w:style>
  <w:style w:type="paragraph" w:styleId="Punktlista2">
    <w:name w:val="List Bullet 2"/>
    <w:basedOn w:val="Normal"/>
    <w:autoRedefine/>
    <w:pPr>
      <w:tabs>
        <w:tab w:val="num" w:pos="643"/>
      </w:tabs>
      <w:ind w:left="643" w:hanging="360"/>
    </w:pPr>
  </w:style>
  <w:style w:type="paragraph" w:styleId="Punktlista3">
    <w:name w:val="List Bullet 3"/>
    <w:basedOn w:val="Normal"/>
    <w:autoRedefine/>
    <w:pPr>
      <w:tabs>
        <w:tab w:val="num" w:pos="926"/>
      </w:tabs>
      <w:ind w:left="926" w:hanging="360"/>
    </w:pPr>
  </w:style>
  <w:style w:type="paragraph" w:styleId="Punktlista4">
    <w:name w:val="List Bullet 4"/>
    <w:basedOn w:val="Normal"/>
    <w:autoRedefine/>
    <w:pPr>
      <w:tabs>
        <w:tab w:val="num" w:pos="1209"/>
      </w:tabs>
      <w:ind w:left="1209" w:hanging="360"/>
    </w:pPr>
  </w:style>
  <w:style w:type="paragraph" w:styleId="Punktlista5">
    <w:name w:val="List Bullet 5"/>
    <w:basedOn w:val="Normal"/>
    <w:autoRedefine/>
    <w:pPr>
      <w:tabs>
        <w:tab w:val="num" w:pos="1492"/>
      </w:tabs>
      <w:ind w:left="1492" w:hanging="360"/>
    </w:pPr>
  </w:style>
  <w:style w:type="paragraph" w:styleId="Indragetstycke">
    <w:name w:val="Block Text"/>
    <w:basedOn w:val="Normal"/>
    <w:pPr>
      <w:ind w:left="1440" w:right="1440"/>
    </w:pPr>
  </w:style>
  <w:style w:type="paragraph" w:styleId="Datum">
    <w:name w:val="Date"/>
    <w:basedOn w:val="Normal"/>
    <w:next w:val="Normal"/>
  </w:style>
  <w:style w:type="paragraph" w:styleId="Anteckningsrubrik">
    <w:name w:val="Note Heading"/>
    <w:basedOn w:val="Normal"/>
    <w:next w:val="Normal"/>
  </w:style>
  <w:style w:type="paragraph" w:styleId="Avslutandetext">
    <w:name w:val="Closing"/>
    <w:basedOn w:val="Normal"/>
    <w:pPr>
      <w:ind w:left="4252"/>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fortstt">
    <w:name w:val="List Continue"/>
    <w:basedOn w:val="Normal"/>
    <w:pPr>
      <w:ind w:left="283"/>
    </w:pPr>
  </w:style>
  <w:style w:type="paragraph" w:styleId="Listafortstt2">
    <w:name w:val="List Continue 2"/>
    <w:basedOn w:val="Normal"/>
    <w:pPr>
      <w:ind w:left="566"/>
    </w:pPr>
  </w:style>
  <w:style w:type="paragraph" w:styleId="Listafortstt3">
    <w:name w:val="List Continue 3"/>
    <w:basedOn w:val="Normal"/>
    <w:pPr>
      <w:ind w:left="849"/>
    </w:pPr>
  </w:style>
  <w:style w:type="paragraph" w:styleId="Listafortstt4">
    <w:name w:val="List Continue 4"/>
    <w:basedOn w:val="Normal"/>
    <w:pPr>
      <w:ind w:left="1132"/>
    </w:pPr>
  </w:style>
  <w:style w:type="paragraph" w:styleId="Listafortstt5">
    <w:name w:val="List Continue 5"/>
    <w:basedOn w:val="Normal"/>
    <w:pPr>
      <w:ind w:left="1415"/>
    </w:pPr>
  </w:style>
  <w:style w:type="paragraph" w:styleId="Numreradlista">
    <w:name w:val="List Number"/>
    <w:basedOn w:val="Normal"/>
    <w:pPr>
      <w:tabs>
        <w:tab w:val="num" w:pos="360"/>
      </w:tabs>
      <w:ind w:left="360" w:hanging="360"/>
    </w:pPr>
  </w:style>
  <w:style w:type="paragraph" w:styleId="Numreradlista2">
    <w:name w:val="List Number 2"/>
    <w:basedOn w:val="Normal"/>
    <w:pPr>
      <w:tabs>
        <w:tab w:val="num" w:pos="643"/>
      </w:tabs>
      <w:ind w:left="643" w:hanging="360"/>
    </w:pPr>
  </w:style>
  <w:style w:type="paragraph" w:styleId="Numreradlista3">
    <w:name w:val="List Number 3"/>
    <w:basedOn w:val="Normal"/>
    <w:pPr>
      <w:tabs>
        <w:tab w:val="num" w:pos="926"/>
      </w:tabs>
      <w:ind w:left="926" w:hanging="360"/>
    </w:pPr>
  </w:style>
  <w:style w:type="paragraph" w:styleId="Numreradlista4">
    <w:name w:val="List Number 4"/>
    <w:basedOn w:val="Normal"/>
    <w:pPr>
      <w:tabs>
        <w:tab w:val="num" w:pos="1209"/>
      </w:tabs>
      <w:ind w:left="1209" w:hanging="360"/>
    </w:pPr>
  </w:style>
  <w:style w:type="paragraph" w:styleId="Numreradlista5">
    <w:name w:val="List Number 5"/>
    <w:basedOn w:val="Normal"/>
    <w:pPr>
      <w:tabs>
        <w:tab w:val="num" w:pos="1492"/>
      </w:tabs>
      <w:ind w:left="1492" w:hanging="360"/>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Meddelanderubrik">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Oformateradtext">
    <w:name w:val="Plain Text"/>
    <w:basedOn w:val="Normal"/>
    <w:link w:val="OformateradtextChar"/>
    <w:uiPriority w:val="99"/>
    <w:rPr>
      <w:rFonts w:ascii="Courier New" w:hAnsi="Courier New"/>
    </w:rPr>
  </w:style>
  <w:style w:type="paragraph" w:styleId="Normaltindrag">
    <w:name w:val="Normal Indent"/>
    <w:basedOn w:val="Normal"/>
    <w:pPr>
      <w:ind w:left="708"/>
    </w:pPr>
  </w:style>
  <w:style w:type="paragraph" w:styleId="Brdtext3">
    <w:name w:val="Body Text 3"/>
    <w:basedOn w:val="Normal"/>
    <w:rPr>
      <w:sz w:val="16"/>
    </w:rPr>
  </w:style>
  <w:style w:type="paragraph" w:styleId="Brdtextmedindrag2">
    <w:name w:val="Body Text Indent 2"/>
    <w:basedOn w:val="Normal"/>
    <w:link w:val="Brdtextmedindrag2Char"/>
    <w:pPr>
      <w:spacing w:line="480" w:lineRule="auto"/>
      <w:ind w:left="283"/>
    </w:pPr>
  </w:style>
  <w:style w:type="paragraph" w:styleId="Brdtextmedindrag3">
    <w:name w:val="Body Text Indent 3"/>
    <w:basedOn w:val="Normal"/>
    <w:pPr>
      <w:ind w:left="283"/>
    </w:pPr>
    <w:rPr>
      <w:sz w:val="16"/>
    </w:rPr>
  </w:style>
  <w:style w:type="paragraph" w:styleId="Brdtextmedfrstaindrag">
    <w:name w:val="Body Text First Indent"/>
    <w:basedOn w:val="Brdtext"/>
    <w:pPr>
      <w:spacing w:before="120" w:after="120" w:line="360" w:lineRule="auto"/>
      <w:ind w:firstLine="210"/>
    </w:pPr>
  </w:style>
  <w:style w:type="paragraph" w:styleId="Brdtextmedfrstaindrag2">
    <w:name w:val="Body Text First Indent 2"/>
    <w:basedOn w:val="Brdtextmedindrag"/>
    <w:pPr>
      <w:spacing w:before="120" w:after="120" w:line="360" w:lineRule="auto"/>
      <w:ind w:left="283" w:firstLine="210"/>
    </w:pPr>
    <w:rPr>
      <w:sz w:val="22"/>
    </w:rPr>
  </w:style>
  <w:style w:type="paragraph" w:styleId="Rubrik">
    <w:name w:val="Title"/>
    <w:basedOn w:val="Normal"/>
    <w:link w:val="RubrikChar"/>
    <w:qFormat/>
    <w:rsid w:val="00CB3740"/>
    <w:pPr>
      <w:spacing w:before="240" w:after="60"/>
      <w:ind w:left="1701" w:hanging="1701"/>
      <w:outlineLvl w:val="0"/>
    </w:pPr>
    <w:rPr>
      <w:rFonts w:eastAsia="Calibri"/>
      <w:b/>
      <w:kern w:val="28"/>
      <w:sz w:val="28"/>
      <w:szCs w:val="36"/>
      <w:lang w:eastAsia="en-US"/>
    </w:rPr>
  </w:style>
  <w:style w:type="paragraph" w:styleId="Adress-brev">
    <w:name w:val="envelope address"/>
    <w:basedOn w:val="Normal"/>
    <w:pPr>
      <w:framePr w:w="4320" w:h="2160" w:hRule="exact" w:hSpace="141" w:wrap="auto" w:hAnchor="page" w:xAlign="center" w:yAlign="bottom"/>
      <w:ind w:left="1"/>
    </w:pPr>
    <w:rPr>
      <w:rFonts w:ascii="Arial" w:hAnsi="Arial"/>
      <w:sz w:val="24"/>
    </w:rPr>
  </w:style>
  <w:style w:type="paragraph" w:styleId="Signatur">
    <w:name w:val="Signature"/>
    <w:basedOn w:val="Normal"/>
    <w:pPr>
      <w:ind w:left="4252"/>
    </w:pPr>
  </w:style>
  <w:style w:type="paragraph" w:styleId="Underrubrik">
    <w:name w:val="Subtitle"/>
    <w:basedOn w:val="Normal"/>
    <w:link w:val="UnderrubrikChar"/>
    <w:qFormat/>
    <w:rsid w:val="00D76050"/>
    <w:pPr>
      <w:spacing w:after="60"/>
      <w:outlineLvl w:val="1"/>
    </w:pPr>
    <w:rPr>
      <w:b/>
      <w:sz w:val="36"/>
      <w:szCs w:val="36"/>
    </w:rPr>
  </w:style>
  <w:style w:type="paragraph" w:styleId="Citatfrteckningsrubrik">
    <w:name w:val="toa heading"/>
    <w:basedOn w:val="Normal"/>
    <w:next w:val="Normal"/>
    <w:semiHidden/>
    <w:rPr>
      <w:rFonts w:ascii="Arial" w:hAnsi="Arial"/>
      <w:b/>
      <w:sz w:val="24"/>
    </w:rPr>
  </w:style>
  <w:style w:type="paragraph" w:styleId="Citatfrteckning">
    <w:name w:val="table of authorities"/>
    <w:basedOn w:val="Normal"/>
    <w:next w:val="Normal"/>
    <w:semiHidden/>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AnvndHyperlnk">
    <w:name w:val="FollowedHyperlink"/>
    <w:rsid w:val="00314E59"/>
    <w:rPr>
      <w:color w:val="800080"/>
      <w:u w:val="single"/>
    </w:rPr>
  </w:style>
  <w:style w:type="paragraph" w:styleId="Ballongtext">
    <w:name w:val="Balloon Text"/>
    <w:basedOn w:val="Normal"/>
    <w:link w:val="BallongtextChar"/>
    <w:rsid w:val="00B26DCE"/>
    <w:rPr>
      <w:rFonts w:ascii="Tahoma" w:hAnsi="Tahoma" w:cs="Tahoma"/>
      <w:sz w:val="16"/>
      <w:szCs w:val="16"/>
    </w:rPr>
  </w:style>
  <w:style w:type="character" w:customStyle="1" w:styleId="BallongtextChar">
    <w:name w:val="Ballongtext Char"/>
    <w:link w:val="Ballongtex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Normal"/>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SidfotChar">
    <w:name w:val="Sidfot Char"/>
    <w:link w:val="Sidfot"/>
    <w:uiPriority w:val="99"/>
    <w:rsid w:val="00AD09CA"/>
    <w:rPr>
      <w:sz w:val="22"/>
      <w:lang w:val="de-DE" w:eastAsia="de-DE"/>
    </w:rPr>
  </w:style>
  <w:style w:type="paragraph" w:customStyle="1" w:styleId="Listenabsatz">
    <w:name w:val="Listenabsatz"/>
    <w:basedOn w:val="Normal"/>
    <w:uiPriority w:val="99"/>
    <w:qFormat/>
    <w:rsid w:val="006E28B6"/>
    <w:pPr>
      <w:ind w:left="720"/>
    </w:pPr>
  </w:style>
  <w:style w:type="paragraph" w:customStyle="1" w:styleId="CSRHeading1">
    <w:name w:val="CSR Heading 1"/>
    <w:basedOn w:val="Normal"/>
    <w:next w:val="Normal"/>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A53BD0"/>
    <w:pPr>
      <w:keepNext/>
    </w:pPr>
    <w:rPr>
      <w:sz w:val="35"/>
    </w:rPr>
  </w:style>
  <w:style w:type="character" w:customStyle="1" w:styleId="BeskrivningChar">
    <w:name w:val="Beskrivning Char"/>
    <w:link w:val="Beskrivning"/>
    <w:rsid w:val="00E158E0"/>
    <w:rPr>
      <w:sz w:val="22"/>
      <w:lang w:val="de-DE" w:eastAsia="de-DE"/>
    </w:rPr>
  </w:style>
  <w:style w:type="table" w:styleId="Tabellrutnt">
    <w:name w:val="Table Grid"/>
    <w:basedOn w:val="Normaltabell"/>
    <w:uiPriority w:val="5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smne">
    <w:name w:val="annotation subject"/>
    <w:basedOn w:val="Kommentarer"/>
    <w:next w:val="Kommentarer"/>
    <w:link w:val="KommentarsmneChar"/>
    <w:rsid w:val="00D21B1D"/>
    <w:rPr>
      <w:b/>
      <w:bCs/>
    </w:rPr>
  </w:style>
  <w:style w:type="character" w:customStyle="1" w:styleId="KommentarerChar">
    <w:name w:val="Kommentarer Char"/>
    <w:link w:val="Kommentarer"/>
    <w:uiPriority w:val="99"/>
    <w:rsid w:val="00D21B1D"/>
    <w:rPr>
      <w:lang w:val="de-DE" w:eastAsia="de-DE"/>
    </w:rPr>
  </w:style>
  <w:style w:type="character" w:customStyle="1" w:styleId="KommentarsmneChar">
    <w:name w:val="Kommentarsämne Char"/>
    <w:link w:val="Kommentarsmne"/>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
    <w:next w:val="Normal"/>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FotnotstextChar">
    <w:name w:val="Fotnotstext Char"/>
    <w:link w:val="Fotnotstext"/>
    <w:locked/>
    <w:rsid w:val="00307AA0"/>
    <w:rPr>
      <w:rFonts w:ascii="Verdana" w:hAnsi="Verdana"/>
      <w:position w:val="4"/>
      <w:lang w:val="de-DE" w:eastAsia="de-DE"/>
    </w:rPr>
  </w:style>
  <w:style w:type="paragraph" w:customStyle="1" w:styleId="Inhaltsverzeichnisberschrift">
    <w:name w:val="Inhaltsverzeichnisüberschrift"/>
    <w:basedOn w:val="Rubrik1"/>
    <w:next w:val="Normal"/>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rsid w:val="005832F3"/>
    <w:rPr>
      <w:rFonts w:ascii="Verdana" w:hAnsi="Verdana"/>
      <w:lang w:val="de-DE" w:eastAsia="de-DE"/>
    </w:rPr>
  </w:style>
  <w:style w:type="character" w:customStyle="1" w:styleId="Rubrik2Char">
    <w:name w:val="Rubrik 2 Char"/>
    <w:aliases w:val="ECHA Heading 2 Char,PAR Heading 2 Char,2 Char"/>
    <w:link w:val="Rubrik2"/>
    <w:rsid w:val="00223981"/>
    <w:rPr>
      <w:rFonts w:ascii="Verdana" w:eastAsia="Calibri" w:hAnsi="Verdana"/>
      <w:b/>
      <w:sz w:val="24"/>
      <w:lang w:val="de-DE" w:eastAsia="en-US"/>
    </w:rPr>
  </w:style>
  <w:style w:type="character" w:customStyle="1" w:styleId="Rubrik3Char">
    <w:name w:val="Rubrik 3 Char"/>
    <w:aliases w:val="PAR Heading 3 Char,3 Char"/>
    <w:link w:val="Rubrik3"/>
    <w:rsid w:val="00223981"/>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
    <w:next w:val="Normal"/>
    <w:uiPriority w:val="99"/>
    <w:rsid w:val="005F0919"/>
    <w:pPr>
      <w:autoSpaceDE w:val="0"/>
      <w:autoSpaceDN w:val="0"/>
      <w:adjustRightInd w:val="0"/>
    </w:pPr>
    <w:rPr>
      <w:rFonts w:ascii="EUAlbertina" w:hAnsi="EUAlbertina"/>
      <w:sz w:val="24"/>
      <w:szCs w:val="24"/>
      <w:lang w:eastAsia="en-GB"/>
    </w:rPr>
  </w:style>
  <w:style w:type="character" w:customStyle="1" w:styleId="SidhuvudChar">
    <w:name w:val="Sidhuvud Char"/>
    <w:aliases w:val="header protocols Char,Header 1 Char"/>
    <w:link w:val="Sidhuvud"/>
    <w:uiPriority w:val="99"/>
    <w:rsid w:val="000D4863"/>
    <w:rPr>
      <w:sz w:val="22"/>
      <w:lang w:val="de-DE" w:eastAsia="de-DE"/>
    </w:rPr>
  </w:style>
  <w:style w:type="character" w:customStyle="1" w:styleId="Rubrik1Char">
    <w:name w:val="Rubrik 1 Char"/>
    <w:aliases w:val="PAR Heading 1 Char,1 Char"/>
    <w:link w:val="Rubrik1"/>
    <w:rsid w:val="002A4B06"/>
    <w:rPr>
      <w:rFonts w:ascii="Verdana" w:hAnsi="Verdana"/>
      <w:b/>
      <w:caps/>
      <w:sz w:val="28"/>
      <w:lang w:val="de-DE" w:eastAsia="de-DE"/>
    </w:rPr>
  </w:style>
  <w:style w:type="character" w:customStyle="1" w:styleId="Rubrik4Char">
    <w:name w:val="Rubrik 4 Char"/>
    <w:aliases w:val="PAR Heading 4 Char,4 Char"/>
    <w:link w:val="Rubrik4"/>
    <w:rsid w:val="00065CC0"/>
    <w:rPr>
      <w:rFonts w:ascii="Verdana" w:eastAsia="Verdana" w:hAnsi="Verdana" w:cs="Verdana"/>
      <w:sz w:val="22"/>
      <w:szCs w:val="24"/>
      <w:lang w:val="de-DE" w:eastAsia="en-US"/>
    </w:rPr>
  </w:style>
  <w:style w:type="character" w:customStyle="1" w:styleId="Rubrik5Char">
    <w:name w:val="Rubrik 5 Char"/>
    <w:aliases w:val="PAR Heading 5 Char,5 Char"/>
    <w:link w:val="Rubrik5"/>
    <w:rsid w:val="00A53EE0"/>
    <w:rPr>
      <w:rFonts w:ascii="Verdana" w:hAnsi="Verdana"/>
      <w:sz w:val="22"/>
      <w:lang w:val="de-DE" w:eastAsia="de-DE"/>
    </w:rPr>
  </w:style>
  <w:style w:type="character" w:customStyle="1" w:styleId="Rubrik6Char">
    <w:name w:val="Rubrik 6 Char"/>
    <w:aliases w:val="ECHA Heading 6 Char"/>
    <w:link w:val="Rubrik6"/>
    <w:rsid w:val="00A53EE0"/>
    <w:rPr>
      <w:rFonts w:ascii="Verdana" w:hAnsi="Verdana"/>
      <w:caps/>
      <w:sz w:val="22"/>
      <w:lang w:val="de-DE" w:eastAsia="de-DE"/>
    </w:rPr>
  </w:style>
  <w:style w:type="character" w:customStyle="1" w:styleId="Rubrik7Char">
    <w:name w:val="Rubrik 7 Char"/>
    <w:aliases w:val="ECHA Heading 7 Char"/>
    <w:link w:val="Rubrik7"/>
    <w:rsid w:val="00A53EE0"/>
    <w:rPr>
      <w:rFonts w:ascii="Verdana" w:hAnsi="Verdana"/>
      <w:caps/>
      <w:sz w:val="22"/>
      <w:lang w:val="de-DE" w:eastAsia="de-DE"/>
    </w:rPr>
  </w:style>
  <w:style w:type="character" w:customStyle="1" w:styleId="Rubrik8Char">
    <w:name w:val="Rubrik 8 Char"/>
    <w:aliases w:val="ECHA Heading 8 Char"/>
    <w:link w:val="Rubrik8"/>
    <w:rsid w:val="00A53EE0"/>
    <w:rPr>
      <w:rFonts w:ascii="Verdana" w:hAnsi="Verdana"/>
      <w:caps/>
      <w:sz w:val="22"/>
      <w:lang w:val="de-DE" w:eastAsia="de-DE"/>
    </w:rPr>
  </w:style>
  <w:style w:type="character" w:customStyle="1" w:styleId="Rubrik9Char">
    <w:name w:val="Rubrik 9 Char"/>
    <w:aliases w:val="ECHA Heading 9 Char"/>
    <w:link w:val="Rubrik9"/>
    <w:rsid w:val="00A53EE0"/>
    <w:rPr>
      <w:rFonts w:ascii="Verdana" w:hAnsi="Verdana"/>
      <w:caps/>
      <w:sz w:val="22"/>
      <w:lang w:val="de-DE" w:eastAsia="de-DE"/>
    </w:rPr>
  </w:style>
  <w:style w:type="character" w:customStyle="1" w:styleId="BrdtextChar">
    <w:name w:val="Brödtext Char"/>
    <w:link w:val="Brdtext"/>
    <w:rsid w:val="00A53EE0"/>
    <w:rPr>
      <w:rFonts w:ascii="Verdana" w:hAnsi="Verdana"/>
      <w:lang w:eastAsia="de-DE"/>
    </w:rPr>
  </w:style>
  <w:style w:type="character" w:styleId="Stark">
    <w:name w:val="Strong"/>
    <w:qFormat/>
    <w:rsid w:val="00A53EE0"/>
    <w:rPr>
      <w:b/>
      <w:bCs/>
    </w:rPr>
  </w:style>
  <w:style w:type="paragraph" w:customStyle="1" w:styleId="Titel1">
    <w:name w:val="Titel 1"/>
    <w:basedOn w:val="Rubrik1"/>
    <w:next w:val="Normal"/>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A53EE0"/>
    <w:rPr>
      <w:rFonts w:eastAsia="Calibri"/>
      <w:b/>
      <w:lang w:val="en-US"/>
    </w:rPr>
  </w:style>
  <w:style w:type="paragraph" w:customStyle="1" w:styleId="Tablebody">
    <w:name w:val="Tablebody"/>
    <w:basedOn w:val="Normal"/>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Normal"/>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Normaltabell"/>
    <w:next w:val="Tabellrutnt"/>
    <w:uiPriority w:val="59"/>
    <w:rsid w:val="00A53EE0"/>
    <w:pPr>
      <w:autoSpaceDE w:val="0"/>
      <w:autoSpaceDN w:val="0"/>
      <w:jc w:val="both"/>
    </w:pPr>
    <w:rPr>
      <w:rFonts w:eastAsia="Calibri"/>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
    <w:rsid w:val="00A53EE0"/>
    <w:pPr>
      <w:spacing w:before="120" w:after="120"/>
      <w:ind w:left="1417" w:hanging="567"/>
      <w:jc w:val="both"/>
    </w:pPr>
    <w:rPr>
      <w:sz w:val="24"/>
    </w:rPr>
  </w:style>
  <w:style w:type="character" w:customStyle="1" w:styleId="Brdtextmedindrag2Char">
    <w:name w:val="Brödtext med indrag 2 Char"/>
    <w:link w:val="Brdtextmedindrag2"/>
    <w:rsid w:val="00A53EE0"/>
    <w:rPr>
      <w:rFonts w:ascii="Verdana" w:hAnsi="Verdana"/>
      <w:lang w:eastAsia="de-DE"/>
    </w:rPr>
  </w:style>
  <w:style w:type="paragraph" w:styleId="Normalwebb">
    <w:name w:val="Normal (Web)"/>
    <w:basedOn w:val="Normal"/>
    <w:rsid w:val="00A53EE0"/>
    <w:pPr>
      <w:spacing w:before="100" w:beforeAutospacing="1" w:after="119"/>
    </w:pPr>
    <w:rPr>
      <w:rFonts w:ascii="Arial Unicode MS" w:eastAsia="Arial Unicode MS" w:hAnsi="Arial Unicode MS" w:cs="Arial Unicode MS"/>
      <w:sz w:val="24"/>
      <w:lang w:eastAsia="en-US"/>
    </w:rPr>
  </w:style>
  <w:style w:type="character" w:styleId="Betoning">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
    <w:next w:val="Normal"/>
    <w:uiPriority w:val="1"/>
    <w:qFormat/>
    <w:rsid w:val="00A53EE0"/>
    <w:pPr>
      <w:widowControl w:val="0"/>
      <w:autoSpaceDE w:val="0"/>
      <w:autoSpaceDN w:val="0"/>
      <w:adjustRightInd w:val="0"/>
    </w:pPr>
    <w:rPr>
      <w:rFonts w:cs="Times"/>
      <w:bCs/>
      <w:sz w:val="16"/>
      <w:szCs w:val="29"/>
      <w:lang w:val="de-DE"/>
    </w:rPr>
  </w:style>
  <w:style w:type="character" w:customStyle="1" w:styleId="RubrikChar">
    <w:name w:val="Rubrik Char"/>
    <w:link w:val="Rubrik"/>
    <w:rsid w:val="00A53EE0"/>
    <w:rPr>
      <w:rFonts w:ascii="Verdana" w:eastAsia="Calibri" w:hAnsi="Verdana"/>
      <w:b/>
      <w:kern w:val="28"/>
      <w:sz w:val="28"/>
      <w:szCs w:val="36"/>
      <w:lang w:eastAsia="en-US"/>
    </w:rPr>
  </w:style>
  <w:style w:type="character" w:customStyle="1" w:styleId="UnderrubrikChar">
    <w:name w:val="Underrubrik Char"/>
    <w:link w:val="Underrubrik"/>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OformateradtextChar">
    <w:name w:val="Oformaterad text Char"/>
    <w:link w:val="Oformateradtext"/>
    <w:uiPriority w:val="99"/>
    <w:rsid w:val="00022044"/>
    <w:rPr>
      <w:rFonts w:ascii="Courier New" w:hAnsi="Courier New"/>
      <w:lang w:eastAsia="de-DE"/>
    </w:rPr>
  </w:style>
  <w:style w:type="paragraph" w:styleId="Liststycke">
    <w:name w:val="List Paragraph"/>
    <w:aliases w:val="Heading 2_sj,Dot pt,Numbered Para 1,No Spacing1,List Paragraph Char Char Char,Indicator Text,Bullet 1,List Paragraph1,Bullet Points,MAIN CONTENT,List Paragraph12,F5 List Paragraph,Report Para,1st level - Bullet List Paragraph,Style Bullet"/>
    <w:basedOn w:val="Normal"/>
    <w:link w:val="ListstyckeChar"/>
    <w:uiPriority w:val="34"/>
    <w:qFormat/>
    <w:rsid w:val="00017CF8"/>
    <w:pPr>
      <w:ind w:left="720"/>
    </w:pPr>
  </w:style>
  <w:style w:type="paragraph" w:styleId="Innehllsfrteckningsrubrik">
    <w:name w:val="TOC Heading"/>
    <w:basedOn w:val="Rubrik1"/>
    <w:next w:val="Normal"/>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on">
    <w:name w:val="Revision"/>
    <w:hidden/>
    <w:rsid w:val="00FD2055"/>
    <w:rPr>
      <w:rFonts w:ascii="Verdana" w:hAnsi="Verdana"/>
      <w:lang w:val="de-DE" w:eastAsia="de-DE"/>
    </w:rPr>
  </w:style>
  <w:style w:type="character" w:styleId="Diskretbetoning">
    <w:name w:val="Subtle Emphasis"/>
    <w:uiPriority w:val="19"/>
    <w:qFormat/>
    <w:rsid w:val="00FD2055"/>
    <w:rPr>
      <w:rFonts w:ascii="Verdana" w:hAnsi="Verdana"/>
      <w:i/>
      <w:iCs/>
      <w:color w:val="808080"/>
      <w:sz w:val="18"/>
    </w:rPr>
  </w:style>
  <w:style w:type="character" w:styleId="Olstomnmnande">
    <w:name w:val="Unresolved Mention"/>
    <w:basedOn w:val="Standardstycketeckensnitt"/>
    <w:uiPriority w:val="99"/>
    <w:semiHidden/>
    <w:unhideWhenUsed/>
    <w:rsid w:val="00CF15E0"/>
    <w:rPr>
      <w:color w:val="808080"/>
      <w:shd w:val="clear" w:color="auto" w:fill="E6E6E6"/>
    </w:rPr>
  </w:style>
  <w:style w:type="character" w:customStyle="1" w:styleId="ListstyckeChar">
    <w:name w:val="Liststycke Char"/>
    <w:aliases w:val="Heading 2_sj Char,Dot pt Char,Numbered Para 1 Char,No Spacing1 Char,List Paragraph Char Char Char Char,Indicator Text Char,Bullet 1 Char,List Paragraph1 Char,Bullet Points Char,MAIN CONTENT Char,List Paragraph12 Char,Report Para Char"/>
    <w:link w:val="Liststycke"/>
    <w:uiPriority w:val="34"/>
    <w:qFormat/>
    <w:locked/>
    <w:rsid w:val="00827FC6"/>
    <w:rPr>
      <w:rFonts w:ascii="Verdana" w:hAnsi="Verdana"/>
      <w:lang w:val="en-GB" w:eastAsia="de-DE"/>
    </w:rPr>
  </w:style>
  <w:style w:type="character" w:customStyle="1" w:styleId="tlid-translation">
    <w:name w:val="tlid-translation"/>
    <w:rsid w:val="00320539"/>
  </w:style>
  <w:style w:type="character" w:customStyle="1" w:styleId="separatedcasnumbers">
    <w:name w:val="separatedcasnumbers"/>
    <w:rsid w:val="00DD0F8D"/>
  </w:style>
  <w:style w:type="paragraph" w:customStyle="1" w:styleId="FigTabCaption">
    <w:name w:val="FigTab Caption"/>
    <w:basedOn w:val="Beskrivning"/>
    <w:link w:val="FigTabCaptionChar"/>
    <w:qFormat/>
    <w:rsid w:val="00C2588F"/>
    <w:pPr>
      <w:keepNext/>
      <w:tabs>
        <w:tab w:val="clear" w:pos="1418"/>
      </w:tabs>
      <w:spacing w:before="40" w:after="40"/>
      <w:ind w:left="0" w:firstLine="0"/>
    </w:pPr>
    <w:rPr>
      <w:rFonts w:ascii="Calibri" w:eastAsia="Calibri" w:hAnsi="Calibri"/>
      <w:b/>
      <w:color w:val="FFFFFF"/>
      <w:szCs w:val="24"/>
      <w:lang w:eastAsia="en-US"/>
    </w:rPr>
  </w:style>
  <w:style w:type="character" w:customStyle="1" w:styleId="FigTabCaptionChar">
    <w:name w:val="FigTab Caption Char"/>
    <w:link w:val="FigTabCaption"/>
    <w:rsid w:val="00C2588F"/>
    <w:rPr>
      <w:rFonts w:ascii="Calibri" w:eastAsia="Calibri" w:hAnsi="Calibri"/>
      <w:b/>
      <w:color w:val="FFFFFF"/>
      <w:szCs w:val="24"/>
      <w:lang w:val="en-GB" w:eastAsia="en-US"/>
    </w:rPr>
  </w:style>
  <w:style w:type="character" w:customStyle="1" w:styleId="TableChar">
    <w:name w:val="Table Char"/>
    <w:link w:val="Table"/>
    <w:locked/>
    <w:rsid w:val="00C2588F"/>
    <w:rPr>
      <w:color w:val="000000"/>
      <w:szCs w:val="24"/>
    </w:rPr>
  </w:style>
  <w:style w:type="paragraph" w:customStyle="1" w:styleId="Table">
    <w:name w:val="Table"/>
    <w:basedOn w:val="Normal"/>
    <w:link w:val="TableChar"/>
    <w:qFormat/>
    <w:rsid w:val="00C2588F"/>
    <w:pPr>
      <w:spacing w:before="20" w:after="20"/>
    </w:pPr>
    <w:rPr>
      <w:rFonts w:ascii="Times New Roman" w:hAnsi="Times New Roman"/>
      <w:color w:val="000000"/>
      <w:szCs w:val="24"/>
      <w:lang w:val="sv-SE" w:eastAsia="sv-SE"/>
    </w:rPr>
  </w:style>
  <w:style w:type="character" w:customStyle="1" w:styleId="FootnotesChar">
    <w:name w:val="Footnotes Char"/>
    <w:link w:val="Footnotes"/>
    <w:locked/>
    <w:rsid w:val="00C2588F"/>
  </w:style>
  <w:style w:type="paragraph" w:customStyle="1" w:styleId="Footnotes">
    <w:name w:val="Footnotes"/>
    <w:basedOn w:val="Fotnotstext"/>
    <w:link w:val="FootnotesChar"/>
    <w:qFormat/>
    <w:rsid w:val="00C2588F"/>
    <w:pPr>
      <w:jc w:val="both"/>
    </w:pPr>
    <w:rPr>
      <w:rFonts w:ascii="Times New Roman" w:hAnsi="Times New Roman"/>
      <w:position w:val="0"/>
      <w:lang w:val="sv-SE" w:eastAsia="sv-SE"/>
    </w:rPr>
  </w:style>
  <w:style w:type="character" w:customStyle="1" w:styleId="NumberingChar">
    <w:name w:val="Numbering Char"/>
    <w:link w:val="Numbering"/>
    <w:uiPriority w:val="11"/>
    <w:locked/>
    <w:rsid w:val="00C2588F"/>
    <w:rPr>
      <w:szCs w:val="24"/>
    </w:rPr>
  </w:style>
  <w:style w:type="paragraph" w:customStyle="1" w:styleId="Numbering">
    <w:name w:val="Numbering"/>
    <w:basedOn w:val="Liststycke"/>
    <w:link w:val="NumberingChar"/>
    <w:uiPriority w:val="11"/>
    <w:qFormat/>
    <w:rsid w:val="00C2588F"/>
    <w:pPr>
      <w:numPr>
        <w:numId w:val="12"/>
      </w:numPr>
      <w:spacing w:before="200"/>
      <w:ind w:left="714" w:hanging="357"/>
      <w:jc w:val="both"/>
    </w:pPr>
    <w:rPr>
      <w:rFonts w:ascii="Times New Roman" w:hAnsi="Times New Roman"/>
      <w:szCs w:val="24"/>
      <w:lang w:val="sv-SE" w:eastAsia="sv-SE"/>
    </w:rPr>
  </w:style>
  <w:style w:type="paragraph" w:styleId="Litteraturfrteckning">
    <w:name w:val="Bibliography"/>
    <w:basedOn w:val="Normal"/>
    <w:next w:val="Normal"/>
    <w:uiPriority w:val="37"/>
    <w:semiHidden/>
    <w:unhideWhenUsed/>
    <w:rsid w:val="004D124B"/>
  </w:style>
  <w:style w:type="paragraph" w:customStyle="1" w:styleId="pf0">
    <w:name w:val="pf0"/>
    <w:basedOn w:val="Normal"/>
    <w:rsid w:val="006E1988"/>
    <w:pPr>
      <w:spacing w:before="100" w:beforeAutospacing="1" w:after="100" w:afterAutospacing="1"/>
    </w:pPr>
    <w:rPr>
      <w:rFonts w:ascii="Times New Roman" w:hAnsi="Times New Roman"/>
      <w:sz w:val="24"/>
      <w:szCs w:val="24"/>
      <w:lang w:val="sv-SE" w:eastAsia="sv-SE"/>
    </w:rPr>
  </w:style>
  <w:style w:type="table" w:customStyle="1" w:styleId="Ljuslista-dekorfrg31">
    <w:name w:val="Ljus lista - dekorfärg 31"/>
    <w:basedOn w:val="Normaltabell"/>
    <w:next w:val="Ljuslista-dekorfrg3"/>
    <w:uiPriority w:val="61"/>
    <w:rsid w:val="00635F3E"/>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tabell7frgstark1">
    <w:name w:val="Listtabell 7 färgstark1"/>
    <w:basedOn w:val="Normaltabell"/>
    <w:next w:val="Listtabell7frgstark"/>
    <w:uiPriority w:val="52"/>
    <w:rsid w:val="00635F3E"/>
    <w:rPr>
      <w:rFonts w:ascii="Calibri" w:hAnsi="Calibri"/>
      <w:color w:val="000000"/>
      <w:sz w:val="22"/>
      <w:szCs w:val="22"/>
      <w:lang w:val="en-GB"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juslista-dekorfrg3">
    <w:name w:val="Light List Accent 3"/>
    <w:basedOn w:val="Normaltabell"/>
    <w:uiPriority w:val="61"/>
    <w:semiHidden/>
    <w:unhideWhenUsed/>
    <w:rsid w:val="00635F3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tabell7frgstark">
    <w:name w:val="List Table 7 Colorful"/>
    <w:basedOn w:val="Normaltabell"/>
    <w:uiPriority w:val="52"/>
    <w:rsid w:val="00635F3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tshllartext">
    <w:name w:val="Placeholder Text"/>
    <w:basedOn w:val="Standardstycketeckensnitt"/>
    <w:uiPriority w:val="99"/>
    <w:semiHidden/>
    <w:rsid w:val="009E404F"/>
    <w:rPr>
      <w:color w:val="808080"/>
    </w:rPr>
  </w:style>
  <w:style w:type="character" w:customStyle="1" w:styleId="cf01">
    <w:name w:val="cf01"/>
    <w:basedOn w:val="Standardstycketeckensnitt"/>
    <w:rsid w:val="002556C6"/>
    <w:rPr>
      <w:rFonts w:ascii="Segoe UI" w:hAnsi="Segoe UI" w:cs="Segoe UI" w:hint="default"/>
      <w:sz w:val="18"/>
      <w:szCs w:val="18"/>
    </w:rPr>
  </w:style>
  <w:style w:type="paragraph" w:styleId="Citat">
    <w:name w:val="Quote"/>
    <w:basedOn w:val="Normal"/>
    <w:next w:val="Normal"/>
    <w:link w:val="CitatChar"/>
    <w:uiPriority w:val="29"/>
    <w:qFormat/>
    <w:rsid w:val="004827C4"/>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827C4"/>
    <w:rPr>
      <w:rFonts w:ascii="Verdana" w:hAnsi="Verdana"/>
      <w:i/>
      <w:iCs/>
      <w:color w:val="404040" w:themeColor="text1" w:themeTint="BF"/>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6177">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59975346">
      <w:bodyDiv w:val="1"/>
      <w:marLeft w:val="0"/>
      <w:marRight w:val="0"/>
      <w:marTop w:val="0"/>
      <w:marBottom w:val="0"/>
      <w:divBdr>
        <w:top w:val="none" w:sz="0" w:space="0" w:color="auto"/>
        <w:left w:val="none" w:sz="0" w:space="0" w:color="auto"/>
        <w:bottom w:val="none" w:sz="0" w:space="0" w:color="auto"/>
        <w:right w:val="none" w:sz="0" w:space="0" w:color="auto"/>
      </w:divBdr>
      <w:divsChild>
        <w:div w:id="1083990039">
          <w:marLeft w:val="0"/>
          <w:marRight w:val="0"/>
          <w:marTop w:val="0"/>
          <w:marBottom w:val="0"/>
          <w:divBdr>
            <w:top w:val="none" w:sz="0" w:space="0" w:color="auto"/>
            <w:left w:val="none" w:sz="0" w:space="0" w:color="auto"/>
            <w:bottom w:val="none" w:sz="0" w:space="0" w:color="auto"/>
            <w:right w:val="none" w:sz="0" w:space="0" w:color="auto"/>
          </w:divBdr>
          <w:divsChild>
            <w:div w:id="2064674822">
              <w:marLeft w:val="0"/>
              <w:marRight w:val="0"/>
              <w:marTop w:val="0"/>
              <w:marBottom w:val="0"/>
              <w:divBdr>
                <w:top w:val="none" w:sz="0" w:space="0" w:color="auto"/>
                <w:left w:val="none" w:sz="0" w:space="0" w:color="auto"/>
                <w:bottom w:val="none" w:sz="0" w:space="0" w:color="auto"/>
                <w:right w:val="none" w:sz="0" w:space="0" w:color="auto"/>
              </w:divBdr>
              <w:divsChild>
                <w:div w:id="456337204">
                  <w:marLeft w:val="0"/>
                  <w:marRight w:val="0"/>
                  <w:marTop w:val="0"/>
                  <w:marBottom w:val="0"/>
                  <w:divBdr>
                    <w:top w:val="none" w:sz="0" w:space="0" w:color="auto"/>
                    <w:left w:val="none" w:sz="0" w:space="0" w:color="auto"/>
                    <w:bottom w:val="none" w:sz="0" w:space="0" w:color="auto"/>
                    <w:right w:val="none" w:sz="0" w:space="0" w:color="auto"/>
                  </w:divBdr>
                  <w:divsChild>
                    <w:div w:id="1845128150">
                      <w:marLeft w:val="0"/>
                      <w:marRight w:val="0"/>
                      <w:marTop w:val="0"/>
                      <w:marBottom w:val="0"/>
                      <w:divBdr>
                        <w:top w:val="none" w:sz="0" w:space="0" w:color="auto"/>
                        <w:left w:val="none" w:sz="0" w:space="0" w:color="auto"/>
                        <w:bottom w:val="none" w:sz="0" w:space="0" w:color="auto"/>
                        <w:right w:val="none" w:sz="0" w:space="0" w:color="auto"/>
                      </w:divBdr>
                      <w:divsChild>
                        <w:div w:id="405879331">
                          <w:marLeft w:val="0"/>
                          <w:marRight w:val="0"/>
                          <w:marTop w:val="0"/>
                          <w:marBottom w:val="0"/>
                          <w:divBdr>
                            <w:top w:val="none" w:sz="0" w:space="0" w:color="auto"/>
                            <w:left w:val="none" w:sz="0" w:space="0" w:color="auto"/>
                            <w:bottom w:val="none" w:sz="0" w:space="0" w:color="auto"/>
                            <w:right w:val="none" w:sz="0" w:space="0" w:color="auto"/>
                          </w:divBdr>
                          <w:divsChild>
                            <w:div w:id="835269136">
                              <w:marLeft w:val="2070"/>
                              <w:marRight w:val="3960"/>
                              <w:marTop w:val="0"/>
                              <w:marBottom w:val="0"/>
                              <w:divBdr>
                                <w:top w:val="none" w:sz="0" w:space="0" w:color="auto"/>
                                <w:left w:val="none" w:sz="0" w:space="0" w:color="auto"/>
                                <w:bottom w:val="none" w:sz="0" w:space="0" w:color="auto"/>
                                <w:right w:val="none" w:sz="0" w:space="0" w:color="auto"/>
                              </w:divBdr>
                              <w:divsChild>
                                <w:div w:id="1182548037">
                                  <w:marLeft w:val="0"/>
                                  <w:marRight w:val="0"/>
                                  <w:marTop w:val="0"/>
                                  <w:marBottom w:val="0"/>
                                  <w:divBdr>
                                    <w:top w:val="none" w:sz="0" w:space="0" w:color="auto"/>
                                    <w:left w:val="none" w:sz="0" w:space="0" w:color="auto"/>
                                    <w:bottom w:val="none" w:sz="0" w:space="0" w:color="auto"/>
                                    <w:right w:val="none" w:sz="0" w:space="0" w:color="auto"/>
                                  </w:divBdr>
                                  <w:divsChild>
                                    <w:div w:id="488793987">
                                      <w:marLeft w:val="0"/>
                                      <w:marRight w:val="0"/>
                                      <w:marTop w:val="0"/>
                                      <w:marBottom w:val="0"/>
                                      <w:divBdr>
                                        <w:top w:val="none" w:sz="0" w:space="0" w:color="auto"/>
                                        <w:left w:val="none" w:sz="0" w:space="0" w:color="auto"/>
                                        <w:bottom w:val="none" w:sz="0" w:space="0" w:color="auto"/>
                                        <w:right w:val="none" w:sz="0" w:space="0" w:color="auto"/>
                                      </w:divBdr>
                                      <w:divsChild>
                                        <w:div w:id="363139190">
                                          <w:marLeft w:val="0"/>
                                          <w:marRight w:val="0"/>
                                          <w:marTop w:val="0"/>
                                          <w:marBottom w:val="0"/>
                                          <w:divBdr>
                                            <w:top w:val="none" w:sz="0" w:space="0" w:color="auto"/>
                                            <w:left w:val="none" w:sz="0" w:space="0" w:color="auto"/>
                                            <w:bottom w:val="none" w:sz="0" w:space="0" w:color="auto"/>
                                            <w:right w:val="none" w:sz="0" w:space="0" w:color="auto"/>
                                          </w:divBdr>
                                          <w:divsChild>
                                            <w:div w:id="1135485558">
                                              <w:marLeft w:val="0"/>
                                              <w:marRight w:val="0"/>
                                              <w:marTop w:val="90"/>
                                              <w:marBottom w:val="0"/>
                                              <w:divBdr>
                                                <w:top w:val="none" w:sz="0" w:space="0" w:color="auto"/>
                                                <w:left w:val="none" w:sz="0" w:space="0" w:color="auto"/>
                                                <w:bottom w:val="none" w:sz="0" w:space="0" w:color="auto"/>
                                                <w:right w:val="none" w:sz="0" w:space="0" w:color="auto"/>
                                              </w:divBdr>
                                              <w:divsChild>
                                                <w:div w:id="1381636737">
                                                  <w:marLeft w:val="0"/>
                                                  <w:marRight w:val="0"/>
                                                  <w:marTop w:val="0"/>
                                                  <w:marBottom w:val="0"/>
                                                  <w:divBdr>
                                                    <w:top w:val="none" w:sz="0" w:space="0" w:color="auto"/>
                                                    <w:left w:val="none" w:sz="0" w:space="0" w:color="auto"/>
                                                    <w:bottom w:val="none" w:sz="0" w:space="0" w:color="auto"/>
                                                    <w:right w:val="none" w:sz="0" w:space="0" w:color="auto"/>
                                                  </w:divBdr>
                                                  <w:divsChild>
                                                    <w:div w:id="535124537">
                                                      <w:marLeft w:val="0"/>
                                                      <w:marRight w:val="0"/>
                                                      <w:marTop w:val="0"/>
                                                      <w:marBottom w:val="405"/>
                                                      <w:divBdr>
                                                        <w:top w:val="none" w:sz="0" w:space="0" w:color="auto"/>
                                                        <w:left w:val="none" w:sz="0" w:space="0" w:color="auto"/>
                                                        <w:bottom w:val="none" w:sz="0" w:space="0" w:color="auto"/>
                                                        <w:right w:val="none" w:sz="0" w:space="0" w:color="auto"/>
                                                      </w:divBdr>
                                                      <w:divsChild>
                                                        <w:div w:id="996227951">
                                                          <w:marLeft w:val="0"/>
                                                          <w:marRight w:val="0"/>
                                                          <w:marTop w:val="0"/>
                                                          <w:marBottom w:val="0"/>
                                                          <w:divBdr>
                                                            <w:top w:val="none" w:sz="0" w:space="0" w:color="auto"/>
                                                            <w:left w:val="none" w:sz="0" w:space="0" w:color="auto"/>
                                                            <w:bottom w:val="none" w:sz="0" w:space="0" w:color="auto"/>
                                                            <w:right w:val="none" w:sz="0" w:space="0" w:color="auto"/>
                                                          </w:divBdr>
                                                          <w:divsChild>
                                                            <w:div w:id="881677563">
                                                              <w:marLeft w:val="0"/>
                                                              <w:marRight w:val="0"/>
                                                              <w:marTop w:val="0"/>
                                                              <w:marBottom w:val="0"/>
                                                              <w:divBdr>
                                                                <w:top w:val="none" w:sz="0" w:space="0" w:color="auto"/>
                                                                <w:left w:val="none" w:sz="0" w:space="0" w:color="auto"/>
                                                                <w:bottom w:val="none" w:sz="0" w:space="0" w:color="auto"/>
                                                                <w:right w:val="none" w:sz="0" w:space="0" w:color="auto"/>
                                                              </w:divBdr>
                                                              <w:divsChild>
                                                                <w:div w:id="832721256">
                                                                  <w:marLeft w:val="0"/>
                                                                  <w:marRight w:val="0"/>
                                                                  <w:marTop w:val="0"/>
                                                                  <w:marBottom w:val="0"/>
                                                                  <w:divBdr>
                                                                    <w:top w:val="none" w:sz="0" w:space="0" w:color="auto"/>
                                                                    <w:left w:val="none" w:sz="0" w:space="0" w:color="auto"/>
                                                                    <w:bottom w:val="none" w:sz="0" w:space="0" w:color="auto"/>
                                                                    <w:right w:val="none" w:sz="0" w:space="0" w:color="auto"/>
                                                                  </w:divBdr>
                                                                  <w:divsChild>
                                                                    <w:div w:id="246692869">
                                                                      <w:marLeft w:val="0"/>
                                                                      <w:marRight w:val="0"/>
                                                                      <w:marTop w:val="0"/>
                                                                      <w:marBottom w:val="0"/>
                                                                      <w:divBdr>
                                                                        <w:top w:val="none" w:sz="0" w:space="0" w:color="auto"/>
                                                                        <w:left w:val="none" w:sz="0" w:space="0" w:color="auto"/>
                                                                        <w:bottom w:val="none" w:sz="0" w:space="0" w:color="auto"/>
                                                                        <w:right w:val="none" w:sz="0" w:space="0" w:color="auto"/>
                                                                      </w:divBdr>
                                                                      <w:divsChild>
                                                                        <w:div w:id="1485395140">
                                                                          <w:marLeft w:val="0"/>
                                                                          <w:marRight w:val="0"/>
                                                                          <w:marTop w:val="0"/>
                                                                          <w:marBottom w:val="0"/>
                                                                          <w:divBdr>
                                                                            <w:top w:val="none" w:sz="0" w:space="0" w:color="auto"/>
                                                                            <w:left w:val="none" w:sz="0" w:space="0" w:color="auto"/>
                                                                            <w:bottom w:val="none" w:sz="0" w:space="0" w:color="auto"/>
                                                                            <w:right w:val="none" w:sz="0" w:space="0" w:color="auto"/>
                                                                          </w:divBdr>
                                                                          <w:divsChild>
                                                                            <w:div w:id="1949265493">
                                                                              <w:marLeft w:val="0"/>
                                                                              <w:marRight w:val="0"/>
                                                                              <w:marTop w:val="0"/>
                                                                              <w:marBottom w:val="0"/>
                                                                              <w:divBdr>
                                                                                <w:top w:val="none" w:sz="0" w:space="0" w:color="auto"/>
                                                                                <w:left w:val="none" w:sz="0" w:space="0" w:color="auto"/>
                                                                                <w:bottom w:val="none" w:sz="0" w:space="0" w:color="auto"/>
                                                                                <w:right w:val="none" w:sz="0" w:space="0" w:color="auto"/>
                                                                              </w:divBdr>
                                                                              <w:divsChild>
                                                                                <w:div w:id="438449525">
                                                                                  <w:marLeft w:val="0"/>
                                                                                  <w:marRight w:val="0"/>
                                                                                  <w:marTop w:val="0"/>
                                                                                  <w:marBottom w:val="0"/>
                                                                                  <w:divBdr>
                                                                                    <w:top w:val="none" w:sz="0" w:space="0" w:color="auto"/>
                                                                                    <w:left w:val="none" w:sz="0" w:space="0" w:color="auto"/>
                                                                                    <w:bottom w:val="none" w:sz="0" w:space="0" w:color="auto"/>
                                                                                    <w:right w:val="none" w:sz="0" w:space="0" w:color="auto"/>
                                                                                  </w:divBdr>
                                                                                  <w:divsChild>
                                                                                    <w:div w:id="868108364">
                                                                                      <w:marLeft w:val="0"/>
                                                                                      <w:marRight w:val="0"/>
                                                                                      <w:marTop w:val="0"/>
                                                                                      <w:marBottom w:val="0"/>
                                                                                      <w:divBdr>
                                                                                        <w:top w:val="none" w:sz="0" w:space="0" w:color="auto"/>
                                                                                        <w:left w:val="none" w:sz="0" w:space="0" w:color="auto"/>
                                                                                        <w:bottom w:val="none" w:sz="0" w:space="0" w:color="auto"/>
                                                                                        <w:right w:val="none" w:sz="0" w:space="0" w:color="auto"/>
                                                                                      </w:divBdr>
                                                                                      <w:divsChild>
                                                                                        <w:div w:id="2774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1563">
      <w:bodyDiv w:val="1"/>
      <w:marLeft w:val="0"/>
      <w:marRight w:val="0"/>
      <w:marTop w:val="0"/>
      <w:marBottom w:val="0"/>
      <w:divBdr>
        <w:top w:val="none" w:sz="0" w:space="0" w:color="auto"/>
        <w:left w:val="none" w:sz="0" w:space="0" w:color="auto"/>
        <w:bottom w:val="none" w:sz="0" w:space="0" w:color="auto"/>
        <w:right w:val="none" w:sz="0" w:space="0" w:color="auto"/>
      </w:divBdr>
      <w:divsChild>
        <w:div w:id="943657522">
          <w:marLeft w:val="0"/>
          <w:marRight w:val="0"/>
          <w:marTop w:val="0"/>
          <w:marBottom w:val="0"/>
          <w:divBdr>
            <w:top w:val="none" w:sz="0" w:space="0" w:color="auto"/>
            <w:left w:val="none" w:sz="0" w:space="0" w:color="auto"/>
            <w:bottom w:val="none" w:sz="0" w:space="0" w:color="auto"/>
            <w:right w:val="none" w:sz="0" w:space="0" w:color="auto"/>
          </w:divBdr>
          <w:divsChild>
            <w:div w:id="495151236">
              <w:marLeft w:val="0"/>
              <w:marRight w:val="0"/>
              <w:marTop w:val="0"/>
              <w:marBottom w:val="0"/>
              <w:divBdr>
                <w:top w:val="none" w:sz="0" w:space="0" w:color="auto"/>
                <w:left w:val="none" w:sz="0" w:space="0" w:color="auto"/>
                <w:bottom w:val="none" w:sz="0" w:space="0" w:color="auto"/>
                <w:right w:val="none" w:sz="0" w:space="0" w:color="auto"/>
              </w:divBdr>
              <w:divsChild>
                <w:div w:id="880165983">
                  <w:marLeft w:val="0"/>
                  <w:marRight w:val="0"/>
                  <w:marTop w:val="0"/>
                  <w:marBottom w:val="0"/>
                  <w:divBdr>
                    <w:top w:val="none" w:sz="0" w:space="0" w:color="auto"/>
                    <w:left w:val="none" w:sz="0" w:space="0" w:color="auto"/>
                    <w:bottom w:val="none" w:sz="0" w:space="0" w:color="auto"/>
                    <w:right w:val="none" w:sz="0" w:space="0" w:color="auto"/>
                  </w:divBdr>
                  <w:divsChild>
                    <w:div w:id="1452673513">
                      <w:marLeft w:val="0"/>
                      <w:marRight w:val="0"/>
                      <w:marTop w:val="0"/>
                      <w:marBottom w:val="0"/>
                      <w:divBdr>
                        <w:top w:val="none" w:sz="0" w:space="0" w:color="auto"/>
                        <w:left w:val="none" w:sz="0" w:space="0" w:color="auto"/>
                        <w:bottom w:val="none" w:sz="0" w:space="0" w:color="auto"/>
                        <w:right w:val="none" w:sz="0" w:space="0" w:color="auto"/>
                      </w:divBdr>
                      <w:divsChild>
                        <w:div w:id="380374026">
                          <w:marLeft w:val="0"/>
                          <w:marRight w:val="0"/>
                          <w:marTop w:val="0"/>
                          <w:marBottom w:val="0"/>
                          <w:divBdr>
                            <w:top w:val="none" w:sz="0" w:space="0" w:color="auto"/>
                            <w:left w:val="none" w:sz="0" w:space="0" w:color="auto"/>
                            <w:bottom w:val="none" w:sz="0" w:space="0" w:color="auto"/>
                            <w:right w:val="none" w:sz="0" w:space="0" w:color="auto"/>
                          </w:divBdr>
                          <w:divsChild>
                            <w:div w:id="1743986467">
                              <w:marLeft w:val="2070"/>
                              <w:marRight w:val="3960"/>
                              <w:marTop w:val="0"/>
                              <w:marBottom w:val="0"/>
                              <w:divBdr>
                                <w:top w:val="none" w:sz="0" w:space="0" w:color="auto"/>
                                <w:left w:val="none" w:sz="0" w:space="0" w:color="auto"/>
                                <w:bottom w:val="none" w:sz="0" w:space="0" w:color="auto"/>
                                <w:right w:val="none" w:sz="0" w:space="0" w:color="auto"/>
                              </w:divBdr>
                              <w:divsChild>
                                <w:div w:id="866530637">
                                  <w:marLeft w:val="0"/>
                                  <w:marRight w:val="0"/>
                                  <w:marTop w:val="0"/>
                                  <w:marBottom w:val="0"/>
                                  <w:divBdr>
                                    <w:top w:val="none" w:sz="0" w:space="0" w:color="auto"/>
                                    <w:left w:val="none" w:sz="0" w:space="0" w:color="auto"/>
                                    <w:bottom w:val="none" w:sz="0" w:space="0" w:color="auto"/>
                                    <w:right w:val="none" w:sz="0" w:space="0" w:color="auto"/>
                                  </w:divBdr>
                                  <w:divsChild>
                                    <w:div w:id="1975866735">
                                      <w:marLeft w:val="0"/>
                                      <w:marRight w:val="0"/>
                                      <w:marTop w:val="0"/>
                                      <w:marBottom w:val="0"/>
                                      <w:divBdr>
                                        <w:top w:val="none" w:sz="0" w:space="0" w:color="auto"/>
                                        <w:left w:val="none" w:sz="0" w:space="0" w:color="auto"/>
                                        <w:bottom w:val="none" w:sz="0" w:space="0" w:color="auto"/>
                                        <w:right w:val="none" w:sz="0" w:space="0" w:color="auto"/>
                                      </w:divBdr>
                                      <w:divsChild>
                                        <w:div w:id="43991675">
                                          <w:marLeft w:val="0"/>
                                          <w:marRight w:val="0"/>
                                          <w:marTop w:val="0"/>
                                          <w:marBottom w:val="0"/>
                                          <w:divBdr>
                                            <w:top w:val="none" w:sz="0" w:space="0" w:color="auto"/>
                                            <w:left w:val="none" w:sz="0" w:space="0" w:color="auto"/>
                                            <w:bottom w:val="none" w:sz="0" w:space="0" w:color="auto"/>
                                            <w:right w:val="none" w:sz="0" w:space="0" w:color="auto"/>
                                          </w:divBdr>
                                          <w:divsChild>
                                            <w:div w:id="1074471221">
                                              <w:marLeft w:val="0"/>
                                              <w:marRight w:val="0"/>
                                              <w:marTop w:val="90"/>
                                              <w:marBottom w:val="0"/>
                                              <w:divBdr>
                                                <w:top w:val="none" w:sz="0" w:space="0" w:color="auto"/>
                                                <w:left w:val="none" w:sz="0" w:space="0" w:color="auto"/>
                                                <w:bottom w:val="none" w:sz="0" w:space="0" w:color="auto"/>
                                                <w:right w:val="none" w:sz="0" w:space="0" w:color="auto"/>
                                              </w:divBdr>
                                              <w:divsChild>
                                                <w:div w:id="1761217318">
                                                  <w:marLeft w:val="0"/>
                                                  <w:marRight w:val="0"/>
                                                  <w:marTop w:val="0"/>
                                                  <w:marBottom w:val="0"/>
                                                  <w:divBdr>
                                                    <w:top w:val="none" w:sz="0" w:space="0" w:color="auto"/>
                                                    <w:left w:val="none" w:sz="0" w:space="0" w:color="auto"/>
                                                    <w:bottom w:val="none" w:sz="0" w:space="0" w:color="auto"/>
                                                    <w:right w:val="none" w:sz="0" w:space="0" w:color="auto"/>
                                                  </w:divBdr>
                                                  <w:divsChild>
                                                    <w:div w:id="2062173408">
                                                      <w:marLeft w:val="0"/>
                                                      <w:marRight w:val="0"/>
                                                      <w:marTop w:val="0"/>
                                                      <w:marBottom w:val="405"/>
                                                      <w:divBdr>
                                                        <w:top w:val="none" w:sz="0" w:space="0" w:color="auto"/>
                                                        <w:left w:val="none" w:sz="0" w:space="0" w:color="auto"/>
                                                        <w:bottom w:val="none" w:sz="0" w:space="0" w:color="auto"/>
                                                        <w:right w:val="none" w:sz="0" w:space="0" w:color="auto"/>
                                                      </w:divBdr>
                                                      <w:divsChild>
                                                        <w:div w:id="1013654817">
                                                          <w:marLeft w:val="0"/>
                                                          <w:marRight w:val="0"/>
                                                          <w:marTop w:val="0"/>
                                                          <w:marBottom w:val="0"/>
                                                          <w:divBdr>
                                                            <w:top w:val="none" w:sz="0" w:space="0" w:color="auto"/>
                                                            <w:left w:val="none" w:sz="0" w:space="0" w:color="auto"/>
                                                            <w:bottom w:val="none" w:sz="0" w:space="0" w:color="auto"/>
                                                            <w:right w:val="none" w:sz="0" w:space="0" w:color="auto"/>
                                                          </w:divBdr>
                                                          <w:divsChild>
                                                            <w:div w:id="1556358879">
                                                              <w:marLeft w:val="0"/>
                                                              <w:marRight w:val="0"/>
                                                              <w:marTop w:val="0"/>
                                                              <w:marBottom w:val="0"/>
                                                              <w:divBdr>
                                                                <w:top w:val="none" w:sz="0" w:space="0" w:color="auto"/>
                                                                <w:left w:val="none" w:sz="0" w:space="0" w:color="auto"/>
                                                                <w:bottom w:val="none" w:sz="0" w:space="0" w:color="auto"/>
                                                                <w:right w:val="none" w:sz="0" w:space="0" w:color="auto"/>
                                                              </w:divBdr>
                                                              <w:divsChild>
                                                                <w:div w:id="1848592108">
                                                                  <w:marLeft w:val="0"/>
                                                                  <w:marRight w:val="0"/>
                                                                  <w:marTop w:val="0"/>
                                                                  <w:marBottom w:val="0"/>
                                                                  <w:divBdr>
                                                                    <w:top w:val="none" w:sz="0" w:space="0" w:color="auto"/>
                                                                    <w:left w:val="none" w:sz="0" w:space="0" w:color="auto"/>
                                                                    <w:bottom w:val="none" w:sz="0" w:space="0" w:color="auto"/>
                                                                    <w:right w:val="none" w:sz="0" w:space="0" w:color="auto"/>
                                                                  </w:divBdr>
                                                                  <w:divsChild>
                                                                    <w:div w:id="2124154286">
                                                                      <w:marLeft w:val="0"/>
                                                                      <w:marRight w:val="0"/>
                                                                      <w:marTop w:val="0"/>
                                                                      <w:marBottom w:val="0"/>
                                                                      <w:divBdr>
                                                                        <w:top w:val="none" w:sz="0" w:space="0" w:color="auto"/>
                                                                        <w:left w:val="none" w:sz="0" w:space="0" w:color="auto"/>
                                                                        <w:bottom w:val="none" w:sz="0" w:space="0" w:color="auto"/>
                                                                        <w:right w:val="none" w:sz="0" w:space="0" w:color="auto"/>
                                                                      </w:divBdr>
                                                                      <w:divsChild>
                                                                        <w:div w:id="1488278307">
                                                                          <w:marLeft w:val="0"/>
                                                                          <w:marRight w:val="0"/>
                                                                          <w:marTop w:val="0"/>
                                                                          <w:marBottom w:val="0"/>
                                                                          <w:divBdr>
                                                                            <w:top w:val="none" w:sz="0" w:space="0" w:color="auto"/>
                                                                            <w:left w:val="none" w:sz="0" w:space="0" w:color="auto"/>
                                                                            <w:bottom w:val="none" w:sz="0" w:space="0" w:color="auto"/>
                                                                            <w:right w:val="none" w:sz="0" w:space="0" w:color="auto"/>
                                                                          </w:divBdr>
                                                                          <w:divsChild>
                                                                            <w:div w:id="1865484541">
                                                                              <w:marLeft w:val="0"/>
                                                                              <w:marRight w:val="0"/>
                                                                              <w:marTop w:val="0"/>
                                                                              <w:marBottom w:val="0"/>
                                                                              <w:divBdr>
                                                                                <w:top w:val="none" w:sz="0" w:space="0" w:color="auto"/>
                                                                                <w:left w:val="none" w:sz="0" w:space="0" w:color="auto"/>
                                                                                <w:bottom w:val="none" w:sz="0" w:space="0" w:color="auto"/>
                                                                                <w:right w:val="none" w:sz="0" w:space="0" w:color="auto"/>
                                                                              </w:divBdr>
                                                                              <w:divsChild>
                                                                                <w:div w:id="1058168261">
                                                                                  <w:marLeft w:val="0"/>
                                                                                  <w:marRight w:val="0"/>
                                                                                  <w:marTop w:val="0"/>
                                                                                  <w:marBottom w:val="0"/>
                                                                                  <w:divBdr>
                                                                                    <w:top w:val="none" w:sz="0" w:space="0" w:color="auto"/>
                                                                                    <w:left w:val="none" w:sz="0" w:space="0" w:color="auto"/>
                                                                                    <w:bottom w:val="none" w:sz="0" w:space="0" w:color="auto"/>
                                                                                    <w:right w:val="none" w:sz="0" w:space="0" w:color="auto"/>
                                                                                  </w:divBdr>
                                                                                  <w:divsChild>
                                                                                    <w:div w:id="122819143">
                                                                                      <w:marLeft w:val="0"/>
                                                                                      <w:marRight w:val="0"/>
                                                                                      <w:marTop w:val="0"/>
                                                                                      <w:marBottom w:val="0"/>
                                                                                      <w:divBdr>
                                                                                        <w:top w:val="none" w:sz="0" w:space="0" w:color="auto"/>
                                                                                        <w:left w:val="none" w:sz="0" w:space="0" w:color="auto"/>
                                                                                        <w:bottom w:val="none" w:sz="0" w:space="0" w:color="auto"/>
                                                                                        <w:right w:val="none" w:sz="0" w:space="0" w:color="auto"/>
                                                                                      </w:divBdr>
                                                                                      <w:divsChild>
                                                                                        <w:div w:id="7836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78083">
      <w:bodyDiv w:val="1"/>
      <w:marLeft w:val="0"/>
      <w:marRight w:val="0"/>
      <w:marTop w:val="0"/>
      <w:marBottom w:val="0"/>
      <w:divBdr>
        <w:top w:val="none" w:sz="0" w:space="0" w:color="auto"/>
        <w:left w:val="none" w:sz="0" w:space="0" w:color="auto"/>
        <w:bottom w:val="none" w:sz="0" w:space="0" w:color="auto"/>
        <w:right w:val="none" w:sz="0" w:space="0" w:color="auto"/>
      </w:divBdr>
    </w:div>
    <w:div w:id="217669713">
      <w:bodyDiv w:val="1"/>
      <w:marLeft w:val="0"/>
      <w:marRight w:val="0"/>
      <w:marTop w:val="0"/>
      <w:marBottom w:val="0"/>
      <w:divBdr>
        <w:top w:val="none" w:sz="0" w:space="0" w:color="auto"/>
        <w:left w:val="none" w:sz="0" w:space="0" w:color="auto"/>
        <w:bottom w:val="none" w:sz="0" w:space="0" w:color="auto"/>
        <w:right w:val="none" w:sz="0" w:space="0" w:color="auto"/>
      </w:divBdr>
      <w:divsChild>
        <w:div w:id="127403526">
          <w:marLeft w:val="0"/>
          <w:marRight w:val="0"/>
          <w:marTop w:val="0"/>
          <w:marBottom w:val="0"/>
          <w:divBdr>
            <w:top w:val="none" w:sz="0" w:space="0" w:color="auto"/>
            <w:left w:val="none" w:sz="0" w:space="0" w:color="auto"/>
            <w:bottom w:val="none" w:sz="0" w:space="0" w:color="auto"/>
            <w:right w:val="none" w:sz="0" w:space="0" w:color="auto"/>
          </w:divBdr>
          <w:divsChild>
            <w:div w:id="1366910656">
              <w:marLeft w:val="0"/>
              <w:marRight w:val="0"/>
              <w:marTop w:val="0"/>
              <w:marBottom w:val="0"/>
              <w:divBdr>
                <w:top w:val="none" w:sz="0" w:space="0" w:color="auto"/>
                <w:left w:val="none" w:sz="0" w:space="0" w:color="auto"/>
                <w:bottom w:val="none" w:sz="0" w:space="0" w:color="auto"/>
                <w:right w:val="none" w:sz="0" w:space="0" w:color="auto"/>
              </w:divBdr>
              <w:divsChild>
                <w:div w:id="1582712145">
                  <w:marLeft w:val="0"/>
                  <w:marRight w:val="0"/>
                  <w:marTop w:val="0"/>
                  <w:marBottom w:val="0"/>
                  <w:divBdr>
                    <w:top w:val="none" w:sz="0" w:space="0" w:color="auto"/>
                    <w:left w:val="none" w:sz="0" w:space="0" w:color="auto"/>
                    <w:bottom w:val="none" w:sz="0" w:space="0" w:color="auto"/>
                    <w:right w:val="none" w:sz="0" w:space="0" w:color="auto"/>
                  </w:divBdr>
                  <w:divsChild>
                    <w:div w:id="943146365">
                      <w:marLeft w:val="0"/>
                      <w:marRight w:val="0"/>
                      <w:marTop w:val="0"/>
                      <w:marBottom w:val="0"/>
                      <w:divBdr>
                        <w:top w:val="none" w:sz="0" w:space="0" w:color="auto"/>
                        <w:left w:val="none" w:sz="0" w:space="0" w:color="auto"/>
                        <w:bottom w:val="none" w:sz="0" w:space="0" w:color="auto"/>
                        <w:right w:val="none" w:sz="0" w:space="0" w:color="auto"/>
                      </w:divBdr>
                      <w:divsChild>
                        <w:div w:id="956059918">
                          <w:marLeft w:val="0"/>
                          <w:marRight w:val="0"/>
                          <w:marTop w:val="0"/>
                          <w:marBottom w:val="0"/>
                          <w:divBdr>
                            <w:top w:val="none" w:sz="0" w:space="0" w:color="auto"/>
                            <w:left w:val="none" w:sz="0" w:space="0" w:color="auto"/>
                            <w:bottom w:val="none" w:sz="0" w:space="0" w:color="auto"/>
                            <w:right w:val="none" w:sz="0" w:space="0" w:color="auto"/>
                          </w:divBdr>
                          <w:divsChild>
                            <w:div w:id="834346818">
                              <w:marLeft w:val="2250"/>
                              <w:marRight w:val="3960"/>
                              <w:marTop w:val="0"/>
                              <w:marBottom w:val="0"/>
                              <w:divBdr>
                                <w:top w:val="none" w:sz="0" w:space="0" w:color="auto"/>
                                <w:left w:val="none" w:sz="0" w:space="0" w:color="auto"/>
                                <w:bottom w:val="none" w:sz="0" w:space="0" w:color="auto"/>
                                <w:right w:val="none" w:sz="0" w:space="0" w:color="auto"/>
                              </w:divBdr>
                              <w:divsChild>
                                <w:div w:id="1821381948">
                                  <w:marLeft w:val="0"/>
                                  <w:marRight w:val="0"/>
                                  <w:marTop w:val="0"/>
                                  <w:marBottom w:val="0"/>
                                  <w:divBdr>
                                    <w:top w:val="none" w:sz="0" w:space="0" w:color="auto"/>
                                    <w:left w:val="none" w:sz="0" w:space="0" w:color="auto"/>
                                    <w:bottom w:val="none" w:sz="0" w:space="0" w:color="auto"/>
                                    <w:right w:val="none" w:sz="0" w:space="0" w:color="auto"/>
                                  </w:divBdr>
                                  <w:divsChild>
                                    <w:div w:id="688219486">
                                      <w:marLeft w:val="0"/>
                                      <w:marRight w:val="0"/>
                                      <w:marTop w:val="0"/>
                                      <w:marBottom w:val="0"/>
                                      <w:divBdr>
                                        <w:top w:val="none" w:sz="0" w:space="0" w:color="auto"/>
                                        <w:left w:val="none" w:sz="0" w:space="0" w:color="auto"/>
                                        <w:bottom w:val="none" w:sz="0" w:space="0" w:color="auto"/>
                                        <w:right w:val="none" w:sz="0" w:space="0" w:color="auto"/>
                                      </w:divBdr>
                                      <w:divsChild>
                                        <w:div w:id="236669218">
                                          <w:marLeft w:val="0"/>
                                          <w:marRight w:val="0"/>
                                          <w:marTop w:val="0"/>
                                          <w:marBottom w:val="0"/>
                                          <w:divBdr>
                                            <w:top w:val="none" w:sz="0" w:space="0" w:color="auto"/>
                                            <w:left w:val="none" w:sz="0" w:space="0" w:color="auto"/>
                                            <w:bottom w:val="none" w:sz="0" w:space="0" w:color="auto"/>
                                            <w:right w:val="none" w:sz="0" w:space="0" w:color="auto"/>
                                          </w:divBdr>
                                          <w:divsChild>
                                            <w:div w:id="527988591">
                                              <w:marLeft w:val="0"/>
                                              <w:marRight w:val="0"/>
                                              <w:marTop w:val="90"/>
                                              <w:marBottom w:val="0"/>
                                              <w:divBdr>
                                                <w:top w:val="none" w:sz="0" w:space="0" w:color="auto"/>
                                                <w:left w:val="none" w:sz="0" w:space="0" w:color="auto"/>
                                                <w:bottom w:val="none" w:sz="0" w:space="0" w:color="auto"/>
                                                <w:right w:val="none" w:sz="0" w:space="0" w:color="auto"/>
                                              </w:divBdr>
                                              <w:divsChild>
                                                <w:div w:id="1410729845">
                                                  <w:marLeft w:val="0"/>
                                                  <w:marRight w:val="0"/>
                                                  <w:marTop w:val="0"/>
                                                  <w:marBottom w:val="0"/>
                                                  <w:divBdr>
                                                    <w:top w:val="none" w:sz="0" w:space="0" w:color="auto"/>
                                                    <w:left w:val="none" w:sz="0" w:space="0" w:color="auto"/>
                                                    <w:bottom w:val="none" w:sz="0" w:space="0" w:color="auto"/>
                                                    <w:right w:val="none" w:sz="0" w:space="0" w:color="auto"/>
                                                  </w:divBdr>
                                                  <w:divsChild>
                                                    <w:div w:id="1326932307">
                                                      <w:marLeft w:val="0"/>
                                                      <w:marRight w:val="0"/>
                                                      <w:marTop w:val="0"/>
                                                      <w:marBottom w:val="405"/>
                                                      <w:divBdr>
                                                        <w:top w:val="none" w:sz="0" w:space="0" w:color="auto"/>
                                                        <w:left w:val="none" w:sz="0" w:space="0" w:color="auto"/>
                                                        <w:bottom w:val="none" w:sz="0" w:space="0" w:color="auto"/>
                                                        <w:right w:val="none" w:sz="0" w:space="0" w:color="auto"/>
                                                      </w:divBdr>
                                                      <w:divsChild>
                                                        <w:div w:id="1686051363">
                                                          <w:marLeft w:val="0"/>
                                                          <w:marRight w:val="0"/>
                                                          <w:marTop w:val="0"/>
                                                          <w:marBottom w:val="0"/>
                                                          <w:divBdr>
                                                            <w:top w:val="none" w:sz="0" w:space="0" w:color="auto"/>
                                                            <w:left w:val="none" w:sz="0" w:space="0" w:color="auto"/>
                                                            <w:bottom w:val="none" w:sz="0" w:space="0" w:color="auto"/>
                                                            <w:right w:val="none" w:sz="0" w:space="0" w:color="auto"/>
                                                          </w:divBdr>
                                                          <w:divsChild>
                                                            <w:div w:id="1445534227">
                                                              <w:marLeft w:val="0"/>
                                                              <w:marRight w:val="0"/>
                                                              <w:marTop w:val="0"/>
                                                              <w:marBottom w:val="0"/>
                                                              <w:divBdr>
                                                                <w:top w:val="none" w:sz="0" w:space="0" w:color="auto"/>
                                                                <w:left w:val="none" w:sz="0" w:space="0" w:color="auto"/>
                                                                <w:bottom w:val="none" w:sz="0" w:space="0" w:color="auto"/>
                                                                <w:right w:val="none" w:sz="0" w:space="0" w:color="auto"/>
                                                              </w:divBdr>
                                                              <w:divsChild>
                                                                <w:div w:id="931208086">
                                                                  <w:marLeft w:val="0"/>
                                                                  <w:marRight w:val="0"/>
                                                                  <w:marTop w:val="0"/>
                                                                  <w:marBottom w:val="0"/>
                                                                  <w:divBdr>
                                                                    <w:top w:val="none" w:sz="0" w:space="0" w:color="auto"/>
                                                                    <w:left w:val="none" w:sz="0" w:space="0" w:color="auto"/>
                                                                    <w:bottom w:val="none" w:sz="0" w:space="0" w:color="auto"/>
                                                                    <w:right w:val="none" w:sz="0" w:space="0" w:color="auto"/>
                                                                  </w:divBdr>
                                                                  <w:divsChild>
                                                                    <w:div w:id="387385916">
                                                                      <w:marLeft w:val="0"/>
                                                                      <w:marRight w:val="0"/>
                                                                      <w:marTop w:val="0"/>
                                                                      <w:marBottom w:val="0"/>
                                                                      <w:divBdr>
                                                                        <w:top w:val="none" w:sz="0" w:space="0" w:color="auto"/>
                                                                        <w:left w:val="none" w:sz="0" w:space="0" w:color="auto"/>
                                                                        <w:bottom w:val="none" w:sz="0" w:space="0" w:color="auto"/>
                                                                        <w:right w:val="none" w:sz="0" w:space="0" w:color="auto"/>
                                                                      </w:divBdr>
                                                                      <w:divsChild>
                                                                        <w:div w:id="1643192800">
                                                                          <w:marLeft w:val="0"/>
                                                                          <w:marRight w:val="0"/>
                                                                          <w:marTop w:val="0"/>
                                                                          <w:marBottom w:val="0"/>
                                                                          <w:divBdr>
                                                                            <w:top w:val="none" w:sz="0" w:space="0" w:color="auto"/>
                                                                            <w:left w:val="none" w:sz="0" w:space="0" w:color="auto"/>
                                                                            <w:bottom w:val="none" w:sz="0" w:space="0" w:color="auto"/>
                                                                            <w:right w:val="none" w:sz="0" w:space="0" w:color="auto"/>
                                                                          </w:divBdr>
                                                                          <w:divsChild>
                                                                            <w:div w:id="1799838375">
                                                                              <w:marLeft w:val="0"/>
                                                                              <w:marRight w:val="0"/>
                                                                              <w:marTop w:val="0"/>
                                                                              <w:marBottom w:val="0"/>
                                                                              <w:divBdr>
                                                                                <w:top w:val="none" w:sz="0" w:space="0" w:color="auto"/>
                                                                                <w:left w:val="none" w:sz="0" w:space="0" w:color="auto"/>
                                                                                <w:bottom w:val="none" w:sz="0" w:space="0" w:color="auto"/>
                                                                                <w:right w:val="none" w:sz="0" w:space="0" w:color="auto"/>
                                                                              </w:divBdr>
                                                                              <w:divsChild>
                                                                                <w:div w:id="1032461830">
                                                                                  <w:marLeft w:val="0"/>
                                                                                  <w:marRight w:val="0"/>
                                                                                  <w:marTop w:val="0"/>
                                                                                  <w:marBottom w:val="0"/>
                                                                                  <w:divBdr>
                                                                                    <w:top w:val="none" w:sz="0" w:space="0" w:color="auto"/>
                                                                                    <w:left w:val="none" w:sz="0" w:space="0" w:color="auto"/>
                                                                                    <w:bottom w:val="none" w:sz="0" w:space="0" w:color="auto"/>
                                                                                    <w:right w:val="none" w:sz="0" w:space="0" w:color="auto"/>
                                                                                  </w:divBdr>
                                                                                  <w:divsChild>
                                                                                    <w:div w:id="1043408997">
                                                                                      <w:marLeft w:val="0"/>
                                                                                      <w:marRight w:val="0"/>
                                                                                      <w:marTop w:val="0"/>
                                                                                      <w:marBottom w:val="0"/>
                                                                                      <w:divBdr>
                                                                                        <w:top w:val="none" w:sz="0" w:space="0" w:color="auto"/>
                                                                                        <w:left w:val="none" w:sz="0" w:space="0" w:color="auto"/>
                                                                                        <w:bottom w:val="none" w:sz="0" w:space="0" w:color="auto"/>
                                                                                        <w:right w:val="none" w:sz="0" w:space="0" w:color="auto"/>
                                                                                      </w:divBdr>
                                                                                      <w:divsChild>
                                                                                        <w:div w:id="989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178791">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548538686">
      <w:bodyDiv w:val="1"/>
      <w:marLeft w:val="0"/>
      <w:marRight w:val="0"/>
      <w:marTop w:val="0"/>
      <w:marBottom w:val="0"/>
      <w:divBdr>
        <w:top w:val="none" w:sz="0" w:space="0" w:color="auto"/>
        <w:left w:val="none" w:sz="0" w:space="0" w:color="auto"/>
        <w:bottom w:val="none" w:sz="0" w:space="0" w:color="auto"/>
        <w:right w:val="none" w:sz="0" w:space="0" w:color="auto"/>
      </w:divBdr>
      <w:divsChild>
        <w:div w:id="1656837143">
          <w:marLeft w:val="0"/>
          <w:marRight w:val="0"/>
          <w:marTop w:val="0"/>
          <w:marBottom w:val="0"/>
          <w:divBdr>
            <w:top w:val="none" w:sz="0" w:space="0" w:color="auto"/>
            <w:left w:val="none" w:sz="0" w:space="0" w:color="auto"/>
            <w:bottom w:val="none" w:sz="0" w:space="0" w:color="auto"/>
            <w:right w:val="none" w:sz="0" w:space="0" w:color="auto"/>
          </w:divBdr>
          <w:divsChild>
            <w:div w:id="608513660">
              <w:marLeft w:val="0"/>
              <w:marRight w:val="0"/>
              <w:marTop w:val="0"/>
              <w:marBottom w:val="0"/>
              <w:divBdr>
                <w:top w:val="none" w:sz="0" w:space="0" w:color="auto"/>
                <w:left w:val="none" w:sz="0" w:space="0" w:color="auto"/>
                <w:bottom w:val="none" w:sz="0" w:space="0" w:color="auto"/>
                <w:right w:val="none" w:sz="0" w:space="0" w:color="auto"/>
              </w:divBdr>
              <w:divsChild>
                <w:div w:id="1227450953">
                  <w:marLeft w:val="0"/>
                  <w:marRight w:val="0"/>
                  <w:marTop w:val="0"/>
                  <w:marBottom w:val="0"/>
                  <w:divBdr>
                    <w:top w:val="none" w:sz="0" w:space="0" w:color="auto"/>
                    <w:left w:val="none" w:sz="0" w:space="0" w:color="auto"/>
                    <w:bottom w:val="none" w:sz="0" w:space="0" w:color="auto"/>
                    <w:right w:val="none" w:sz="0" w:space="0" w:color="auto"/>
                  </w:divBdr>
                  <w:divsChild>
                    <w:div w:id="1076706253">
                      <w:marLeft w:val="0"/>
                      <w:marRight w:val="0"/>
                      <w:marTop w:val="0"/>
                      <w:marBottom w:val="0"/>
                      <w:divBdr>
                        <w:top w:val="none" w:sz="0" w:space="0" w:color="auto"/>
                        <w:left w:val="none" w:sz="0" w:space="0" w:color="auto"/>
                        <w:bottom w:val="none" w:sz="0" w:space="0" w:color="auto"/>
                        <w:right w:val="none" w:sz="0" w:space="0" w:color="auto"/>
                      </w:divBdr>
                      <w:divsChild>
                        <w:div w:id="476411570">
                          <w:marLeft w:val="0"/>
                          <w:marRight w:val="0"/>
                          <w:marTop w:val="0"/>
                          <w:marBottom w:val="0"/>
                          <w:divBdr>
                            <w:top w:val="none" w:sz="0" w:space="0" w:color="auto"/>
                            <w:left w:val="none" w:sz="0" w:space="0" w:color="auto"/>
                            <w:bottom w:val="none" w:sz="0" w:space="0" w:color="auto"/>
                            <w:right w:val="none" w:sz="0" w:space="0" w:color="auto"/>
                          </w:divBdr>
                          <w:divsChild>
                            <w:div w:id="1843737995">
                              <w:marLeft w:val="2070"/>
                              <w:marRight w:val="3960"/>
                              <w:marTop w:val="0"/>
                              <w:marBottom w:val="0"/>
                              <w:divBdr>
                                <w:top w:val="none" w:sz="0" w:space="0" w:color="auto"/>
                                <w:left w:val="none" w:sz="0" w:space="0" w:color="auto"/>
                                <w:bottom w:val="none" w:sz="0" w:space="0" w:color="auto"/>
                                <w:right w:val="none" w:sz="0" w:space="0" w:color="auto"/>
                              </w:divBdr>
                              <w:divsChild>
                                <w:div w:id="1608078958">
                                  <w:marLeft w:val="0"/>
                                  <w:marRight w:val="0"/>
                                  <w:marTop w:val="0"/>
                                  <w:marBottom w:val="0"/>
                                  <w:divBdr>
                                    <w:top w:val="none" w:sz="0" w:space="0" w:color="auto"/>
                                    <w:left w:val="none" w:sz="0" w:space="0" w:color="auto"/>
                                    <w:bottom w:val="none" w:sz="0" w:space="0" w:color="auto"/>
                                    <w:right w:val="none" w:sz="0" w:space="0" w:color="auto"/>
                                  </w:divBdr>
                                  <w:divsChild>
                                    <w:div w:id="912927946">
                                      <w:marLeft w:val="0"/>
                                      <w:marRight w:val="0"/>
                                      <w:marTop w:val="0"/>
                                      <w:marBottom w:val="0"/>
                                      <w:divBdr>
                                        <w:top w:val="none" w:sz="0" w:space="0" w:color="auto"/>
                                        <w:left w:val="none" w:sz="0" w:space="0" w:color="auto"/>
                                        <w:bottom w:val="none" w:sz="0" w:space="0" w:color="auto"/>
                                        <w:right w:val="none" w:sz="0" w:space="0" w:color="auto"/>
                                      </w:divBdr>
                                      <w:divsChild>
                                        <w:div w:id="1580554985">
                                          <w:marLeft w:val="0"/>
                                          <w:marRight w:val="0"/>
                                          <w:marTop w:val="0"/>
                                          <w:marBottom w:val="0"/>
                                          <w:divBdr>
                                            <w:top w:val="none" w:sz="0" w:space="0" w:color="auto"/>
                                            <w:left w:val="none" w:sz="0" w:space="0" w:color="auto"/>
                                            <w:bottom w:val="none" w:sz="0" w:space="0" w:color="auto"/>
                                            <w:right w:val="none" w:sz="0" w:space="0" w:color="auto"/>
                                          </w:divBdr>
                                          <w:divsChild>
                                            <w:div w:id="702023629">
                                              <w:marLeft w:val="0"/>
                                              <w:marRight w:val="0"/>
                                              <w:marTop w:val="90"/>
                                              <w:marBottom w:val="0"/>
                                              <w:divBdr>
                                                <w:top w:val="none" w:sz="0" w:space="0" w:color="auto"/>
                                                <w:left w:val="none" w:sz="0" w:space="0" w:color="auto"/>
                                                <w:bottom w:val="none" w:sz="0" w:space="0" w:color="auto"/>
                                                <w:right w:val="none" w:sz="0" w:space="0" w:color="auto"/>
                                              </w:divBdr>
                                              <w:divsChild>
                                                <w:div w:id="1036932800">
                                                  <w:marLeft w:val="0"/>
                                                  <w:marRight w:val="0"/>
                                                  <w:marTop w:val="0"/>
                                                  <w:marBottom w:val="0"/>
                                                  <w:divBdr>
                                                    <w:top w:val="none" w:sz="0" w:space="0" w:color="auto"/>
                                                    <w:left w:val="none" w:sz="0" w:space="0" w:color="auto"/>
                                                    <w:bottom w:val="none" w:sz="0" w:space="0" w:color="auto"/>
                                                    <w:right w:val="none" w:sz="0" w:space="0" w:color="auto"/>
                                                  </w:divBdr>
                                                  <w:divsChild>
                                                    <w:div w:id="1066537757">
                                                      <w:marLeft w:val="0"/>
                                                      <w:marRight w:val="0"/>
                                                      <w:marTop w:val="0"/>
                                                      <w:marBottom w:val="405"/>
                                                      <w:divBdr>
                                                        <w:top w:val="none" w:sz="0" w:space="0" w:color="auto"/>
                                                        <w:left w:val="none" w:sz="0" w:space="0" w:color="auto"/>
                                                        <w:bottom w:val="none" w:sz="0" w:space="0" w:color="auto"/>
                                                        <w:right w:val="none" w:sz="0" w:space="0" w:color="auto"/>
                                                      </w:divBdr>
                                                      <w:divsChild>
                                                        <w:div w:id="600602430">
                                                          <w:marLeft w:val="0"/>
                                                          <w:marRight w:val="0"/>
                                                          <w:marTop w:val="0"/>
                                                          <w:marBottom w:val="0"/>
                                                          <w:divBdr>
                                                            <w:top w:val="none" w:sz="0" w:space="0" w:color="auto"/>
                                                            <w:left w:val="none" w:sz="0" w:space="0" w:color="auto"/>
                                                            <w:bottom w:val="none" w:sz="0" w:space="0" w:color="auto"/>
                                                            <w:right w:val="none" w:sz="0" w:space="0" w:color="auto"/>
                                                          </w:divBdr>
                                                          <w:divsChild>
                                                            <w:div w:id="726806245">
                                                              <w:marLeft w:val="0"/>
                                                              <w:marRight w:val="0"/>
                                                              <w:marTop w:val="0"/>
                                                              <w:marBottom w:val="0"/>
                                                              <w:divBdr>
                                                                <w:top w:val="none" w:sz="0" w:space="0" w:color="auto"/>
                                                                <w:left w:val="none" w:sz="0" w:space="0" w:color="auto"/>
                                                                <w:bottom w:val="none" w:sz="0" w:space="0" w:color="auto"/>
                                                                <w:right w:val="none" w:sz="0" w:space="0" w:color="auto"/>
                                                              </w:divBdr>
                                                              <w:divsChild>
                                                                <w:div w:id="318312837">
                                                                  <w:marLeft w:val="0"/>
                                                                  <w:marRight w:val="0"/>
                                                                  <w:marTop w:val="0"/>
                                                                  <w:marBottom w:val="0"/>
                                                                  <w:divBdr>
                                                                    <w:top w:val="none" w:sz="0" w:space="0" w:color="auto"/>
                                                                    <w:left w:val="none" w:sz="0" w:space="0" w:color="auto"/>
                                                                    <w:bottom w:val="none" w:sz="0" w:space="0" w:color="auto"/>
                                                                    <w:right w:val="none" w:sz="0" w:space="0" w:color="auto"/>
                                                                  </w:divBdr>
                                                                  <w:divsChild>
                                                                    <w:div w:id="1989284409">
                                                                      <w:marLeft w:val="0"/>
                                                                      <w:marRight w:val="0"/>
                                                                      <w:marTop w:val="0"/>
                                                                      <w:marBottom w:val="0"/>
                                                                      <w:divBdr>
                                                                        <w:top w:val="none" w:sz="0" w:space="0" w:color="auto"/>
                                                                        <w:left w:val="none" w:sz="0" w:space="0" w:color="auto"/>
                                                                        <w:bottom w:val="none" w:sz="0" w:space="0" w:color="auto"/>
                                                                        <w:right w:val="none" w:sz="0" w:space="0" w:color="auto"/>
                                                                      </w:divBdr>
                                                                      <w:divsChild>
                                                                        <w:div w:id="1114446816">
                                                                          <w:marLeft w:val="0"/>
                                                                          <w:marRight w:val="0"/>
                                                                          <w:marTop w:val="0"/>
                                                                          <w:marBottom w:val="0"/>
                                                                          <w:divBdr>
                                                                            <w:top w:val="none" w:sz="0" w:space="0" w:color="auto"/>
                                                                            <w:left w:val="none" w:sz="0" w:space="0" w:color="auto"/>
                                                                            <w:bottom w:val="none" w:sz="0" w:space="0" w:color="auto"/>
                                                                            <w:right w:val="none" w:sz="0" w:space="0" w:color="auto"/>
                                                                          </w:divBdr>
                                                                          <w:divsChild>
                                                                            <w:div w:id="626353080">
                                                                              <w:marLeft w:val="0"/>
                                                                              <w:marRight w:val="0"/>
                                                                              <w:marTop w:val="0"/>
                                                                              <w:marBottom w:val="0"/>
                                                                              <w:divBdr>
                                                                                <w:top w:val="none" w:sz="0" w:space="0" w:color="auto"/>
                                                                                <w:left w:val="none" w:sz="0" w:space="0" w:color="auto"/>
                                                                                <w:bottom w:val="none" w:sz="0" w:space="0" w:color="auto"/>
                                                                                <w:right w:val="none" w:sz="0" w:space="0" w:color="auto"/>
                                                                              </w:divBdr>
                                                                              <w:divsChild>
                                                                                <w:div w:id="1772428398">
                                                                                  <w:marLeft w:val="0"/>
                                                                                  <w:marRight w:val="0"/>
                                                                                  <w:marTop w:val="0"/>
                                                                                  <w:marBottom w:val="0"/>
                                                                                  <w:divBdr>
                                                                                    <w:top w:val="none" w:sz="0" w:space="0" w:color="auto"/>
                                                                                    <w:left w:val="none" w:sz="0" w:space="0" w:color="auto"/>
                                                                                    <w:bottom w:val="none" w:sz="0" w:space="0" w:color="auto"/>
                                                                                    <w:right w:val="none" w:sz="0" w:space="0" w:color="auto"/>
                                                                                  </w:divBdr>
                                                                                  <w:divsChild>
                                                                                    <w:div w:id="2082557583">
                                                                                      <w:marLeft w:val="0"/>
                                                                                      <w:marRight w:val="0"/>
                                                                                      <w:marTop w:val="0"/>
                                                                                      <w:marBottom w:val="0"/>
                                                                                      <w:divBdr>
                                                                                        <w:top w:val="none" w:sz="0" w:space="0" w:color="auto"/>
                                                                                        <w:left w:val="none" w:sz="0" w:space="0" w:color="auto"/>
                                                                                        <w:bottom w:val="none" w:sz="0" w:space="0" w:color="auto"/>
                                                                                        <w:right w:val="none" w:sz="0" w:space="0" w:color="auto"/>
                                                                                      </w:divBdr>
                                                                                      <w:divsChild>
                                                                                        <w:div w:id="206825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893321943">
      <w:bodyDiv w:val="1"/>
      <w:marLeft w:val="0"/>
      <w:marRight w:val="0"/>
      <w:marTop w:val="0"/>
      <w:marBottom w:val="0"/>
      <w:divBdr>
        <w:top w:val="none" w:sz="0" w:space="0" w:color="auto"/>
        <w:left w:val="none" w:sz="0" w:space="0" w:color="auto"/>
        <w:bottom w:val="none" w:sz="0" w:space="0" w:color="auto"/>
        <w:right w:val="none" w:sz="0" w:space="0" w:color="auto"/>
      </w:divBdr>
      <w:divsChild>
        <w:div w:id="77406498">
          <w:marLeft w:val="0"/>
          <w:marRight w:val="0"/>
          <w:marTop w:val="0"/>
          <w:marBottom w:val="0"/>
          <w:divBdr>
            <w:top w:val="none" w:sz="0" w:space="0" w:color="auto"/>
            <w:left w:val="none" w:sz="0" w:space="0" w:color="auto"/>
            <w:bottom w:val="none" w:sz="0" w:space="0" w:color="auto"/>
            <w:right w:val="none" w:sz="0" w:space="0" w:color="auto"/>
          </w:divBdr>
          <w:divsChild>
            <w:div w:id="1601375103">
              <w:marLeft w:val="0"/>
              <w:marRight w:val="0"/>
              <w:marTop w:val="0"/>
              <w:marBottom w:val="0"/>
              <w:divBdr>
                <w:top w:val="none" w:sz="0" w:space="0" w:color="auto"/>
                <w:left w:val="none" w:sz="0" w:space="0" w:color="auto"/>
                <w:bottom w:val="none" w:sz="0" w:space="0" w:color="auto"/>
                <w:right w:val="none" w:sz="0" w:space="0" w:color="auto"/>
              </w:divBdr>
              <w:divsChild>
                <w:div w:id="889997706">
                  <w:marLeft w:val="0"/>
                  <w:marRight w:val="0"/>
                  <w:marTop w:val="0"/>
                  <w:marBottom w:val="0"/>
                  <w:divBdr>
                    <w:top w:val="none" w:sz="0" w:space="0" w:color="auto"/>
                    <w:left w:val="none" w:sz="0" w:space="0" w:color="auto"/>
                    <w:bottom w:val="none" w:sz="0" w:space="0" w:color="auto"/>
                    <w:right w:val="none" w:sz="0" w:space="0" w:color="auto"/>
                  </w:divBdr>
                  <w:divsChild>
                    <w:div w:id="1849900982">
                      <w:marLeft w:val="0"/>
                      <w:marRight w:val="0"/>
                      <w:marTop w:val="0"/>
                      <w:marBottom w:val="0"/>
                      <w:divBdr>
                        <w:top w:val="none" w:sz="0" w:space="0" w:color="auto"/>
                        <w:left w:val="none" w:sz="0" w:space="0" w:color="auto"/>
                        <w:bottom w:val="none" w:sz="0" w:space="0" w:color="auto"/>
                        <w:right w:val="none" w:sz="0" w:space="0" w:color="auto"/>
                      </w:divBdr>
                      <w:divsChild>
                        <w:div w:id="1426342389">
                          <w:marLeft w:val="0"/>
                          <w:marRight w:val="0"/>
                          <w:marTop w:val="0"/>
                          <w:marBottom w:val="0"/>
                          <w:divBdr>
                            <w:top w:val="none" w:sz="0" w:space="0" w:color="auto"/>
                            <w:left w:val="none" w:sz="0" w:space="0" w:color="auto"/>
                            <w:bottom w:val="none" w:sz="0" w:space="0" w:color="auto"/>
                            <w:right w:val="none" w:sz="0" w:space="0" w:color="auto"/>
                          </w:divBdr>
                          <w:divsChild>
                            <w:div w:id="593250645">
                              <w:marLeft w:val="2070"/>
                              <w:marRight w:val="3960"/>
                              <w:marTop w:val="0"/>
                              <w:marBottom w:val="0"/>
                              <w:divBdr>
                                <w:top w:val="none" w:sz="0" w:space="0" w:color="auto"/>
                                <w:left w:val="none" w:sz="0" w:space="0" w:color="auto"/>
                                <w:bottom w:val="none" w:sz="0" w:space="0" w:color="auto"/>
                                <w:right w:val="none" w:sz="0" w:space="0" w:color="auto"/>
                              </w:divBdr>
                              <w:divsChild>
                                <w:div w:id="170071002">
                                  <w:marLeft w:val="0"/>
                                  <w:marRight w:val="0"/>
                                  <w:marTop w:val="0"/>
                                  <w:marBottom w:val="0"/>
                                  <w:divBdr>
                                    <w:top w:val="none" w:sz="0" w:space="0" w:color="auto"/>
                                    <w:left w:val="none" w:sz="0" w:space="0" w:color="auto"/>
                                    <w:bottom w:val="none" w:sz="0" w:space="0" w:color="auto"/>
                                    <w:right w:val="none" w:sz="0" w:space="0" w:color="auto"/>
                                  </w:divBdr>
                                  <w:divsChild>
                                    <w:div w:id="1962686224">
                                      <w:marLeft w:val="0"/>
                                      <w:marRight w:val="0"/>
                                      <w:marTop w:val="0"/>
                                      <w:marBottom w:val="0"/>
                                      <w:divBdr>
                                        <w:top w:val="none" w:sz="0" w:space="0" w:color="auto"/>
                                        <w:left w:val="none" w:sz="0" w:space="0" w:color="auto"/>
                                        <w:bottom w:val="none" w:sz="0" w:space="0" w:color="auto"/>
                                        <w:right w:val="none" w:sz="0" w:space="0" w:color="auto"/>
                                      </w:divBdr>
                                      <w:divsChild>
                                        <w:div w:id="242107603">
                                          <w:marLeft w:val="0"/>
                                          <w:marRight w:val="0"/>
                                          <w:marTop w:val="0"/>
                                          <w:marBottom w:val="0"/>
                                          <w:divBdr>
                                            <w:top w:val="none" w:sz="0" w:space="0" w:color="auto"/>
                                            <w:left w:val="none" w:sz="0" w:space="0" w:color="auto"/>
                                            <w:bottom w:val="none" w:sz="0" w:space="0" w:color="auto"/>
                                            <w:right w:val="none" w:sz="0" w:space="0" w:color="auto"/>
                                          </w:divBdr>
                                          <w:divsChild>
                                            <w:div w:id="830872271">
                                              <w:marLeft w:val="0"/>
                                              <w:marRight w:val="0"/>
                                              <w:marTop w:val="90"/>
                                              <w:marBottom w:val="0"/>
                                              <w:divBdr>
                                                <w:top w:val="none" w:sz="0" w:space="0" w:color="auto"/>
                                                <w:left w:val="none" w:sz="0" w:space="0" w:color="auto"/>
                                                <w:bottom w:val="none" w:sz="0" w:space="0" w:color="auto"/>
                                                <w:right w:val="none" w:sz="0" w:space="0" w:color="auto"/>
                                              </w:divBdr>
                                              <w:divsChild>
                                                <w:div w:id="923994267">
                                                  <w:marLeft w:val="0"/>
                                                  <w:marRight w:val="0"/>
                                                  <w:marTop w:val="0"/>
                                                  <w:marBottom w:val="0"/>
                                                  <w:divBdr>
                                                    <w:top w:val="none" w:sz="0" w:space="0" w:color="auto"/>
                                                    <w:left w:val="none" w:sz="0" w:space="0" w:color="auto"/>
                                                    <w:bottom w:val="none" w:sz="0" w:space="0" w:color="auto"/>
                                                    <w:right w:val="none" w:sz="0" w:space="0" w:color="auto"/>
                                                  </w:divBdr>
                                                  <w:divsChild>
                                                    <w:div w:id="167332160">
                                                      <w:marLeft w:val="0"/>
                                                      <w:marRight w:val="0"/>
                                                      <w:marTop w:val="0"/>
                                                      <w:marBottom w:val="405"/>
                                                      <w:divBdr>
                                                        <w:top w:val="none" w:sz="0" w:space="0" w:color="auto"/>
                                                        <w:left w:val="none" w:sz="0" w:space="0" w:color="auto"/>
                                                        <w:bottom w:val="none" w:sz="0" w:space="0" w:color="auto"/>
                                                        <w:right w:val="none" w:sz="0" w:space="0" w:color="auto"/>
                                                      </w:divBdr>
                                                      <w:divsChild>
                                                        <w:div w:id="503665376">
                                                          <w:marLeft w:val="0"/>
                                                          <w:marRight w:val="0"/>
                                                          <w:marTop w:val="0"/>
                                                          <w:marBottom w:val="0"/>
                                                          <w:divBdr>
                                                            <w:top w:val="none" w:sz="0" w:space="0" w:color="auto"/>
                                                            <w:left w:val="none" w:sz="0" w:space="0" w:color="auto"/>
                                                            <w:bottom w:val="none" w:sz="0" w:space="0" w:color="auto"/>
                                                            <w:right w:val="none" w:sz="0" w:space="0" w:color="auto"/>
                                                          </w:divBdr>
                                                          <w:divsChild>
                                                            <w:div w:id="1478381301">
                                                              <w:marLeft w:val="0"/>
                                                              <w:marRight w:val="0"/>
                                                              <w:marTop w:val="0"/>
                                                              <w:marBottom w:val="0"/>
                                                              <w:divBdr>
                                                                <w:top w:val="none" w:sz="0" w:space="0" w:color="auto"/>
                                                                <w:left w:val="none" w:sz="0" w:space="0" w:color="auto"/>
                                                                <w:bottom w:val="none" w:sz="0" w:space="0" w:color="auto"/>
                                                                <w:right w:val="none" w:sz="0" w:space="0" w:color="auto"/>
                                                              </w:divBdr>
                                                              <w:divsChild>
                                                                <w:div w:id="1535075861">
                                                                  <w:marLeft w:val="0"/>
                                                                  <w:marRight w:val="0"/>
                                                                  <w:marTop w:val="0"/>
                                                                  <w:marBottom w:val="0"/>
                                                                  <w:divBdr>
                                                                    <w:top w:val="none" w:sz="0" w:space="0" w:color="auto"/>
                                                                    <w:left w:val="none" w:sz="0" w:space="0" w:color="auto"/>
                                                                    <w:bottom w:val="none" w:sz="0" w:space="0" w:color="auto"/>
                                                                    <w:right w:val="none" w:sz="0" w:space="0" w:color="auto"/>
                                                                  </w:divBdr>
                                                                  <w:divsChild>
                                                                    <w:div w:id="1372459805">
                                                                      <w:marLeft w:val="0"/>
                                                                      <w:marRight w:val="0"/>
                                                                      <w:marTop w:val="0"/>
                                                                      <w:marBottom w:val="0"/>
                                                                      <w:divBdr>
                                                                        <w:top w:val="none" w:sz="0" w:space="0" w:color="auto"/>
                                                                        <w:left w:val="none" w:sz="0" w:space="0" w:color="auto"/>
                                                                        <w:bottom w:val="none" w:sz="0" w:space="0" w:color="auto"/>
                                                                        <w:right w:val="none" w:sz="0" w:space="0" w:color="auto"/>
                                                                      </w:divBdr>
                                                                      <w:divsChild>
                                                                        <w:div w:id="81530623">
                                                                          <w:marLeft w:val="0"/>
                                                                          <w:marRight w:val="0"/>
                                                                          <w:marTop w:val="0"/>
                                                                          <w:marBottom w:val="0"/>
                                                                          <w:divBdr>
                                                                            <w:top w:val="none" w:sz="0" w:space="0" w:color="auto"/>
                                                                            <w:left w:val="none" w:sz="0" w:space="0" w:color="auto"/>
                                                                            <w:bottom w:val="none" w:sz="0" w:space="0" w:color="auto"/>
                                                                            <w:right w:val="none" w:sz="0" w:space="0" w:color="auto"/>
                                                                          </w:divBdr>
                                                                          <w:divsChild>
                                                                            <w:div w:id="355040188">
                                                                              <w:marLeft w:val="0"/>
                                                                              <w:marRight w:val="0"/>
                                                                              <w:marTop w:val="0"/>
                                                                              <w:marBottom w:val="0"/>
                                                                              <w:divBdr>
                                                                                <w:top w:val="none" w:sz="0" w:space="0" w:color="auto"/>
                                                                                <w:left w:val="none" w:sz="0" w:space="0" w:color="auto"/>
                                                                                <w:bottom w:val="none" w:sz="0" w:space="0" w:color="auto"/>
                                                                                <w:right w:val="none" w:sz="0" w:space="0" w:color="auto"/>
                                                                              </w:divBdr>
                                                                              <w:divsChild>
                                                                                <w:div w:id="1983077660">
                                                                                  <w:marLeft w:val="0"/>
                                                                                  <w:marRight w:val="0"/>
                                                                                  <w:marTop w:val="0"/>
                                                                                  <w:marBottom w:val="0"/>
                                                                                  <w:divBdr>
                                                                                    <w:top w:val="none" w:sz="0" w:space="0" w:color="auto"/>
                                                                                    <w:left w:val="none" w:sz="0" w:space="0" w:color="auto"/>
                                                                                    <w:bottom w:val="none" w:sz="0" w:space="0" w:color="auto"/>
                                                                                    <w:right w:val="none" w:sz="0" w:space="0" w:color="auto"/>
                                                                                  </w:divBdr>
                                                                                  <w:divsChild>
                                                                                    <w:div w:id="713575412">
                                                                                      <w:marLeft w:val="0"/>
                                                                                      <w:marRight w:val="0"/>
                                                                                      <w:marTop w:val="0"/>
                                                                                      <w:marBottom w:val="0"/>
                                                                                      <w:divBdr>
                                                                                        <w:top w:val="none" w:sz="0" w:space="0" w:color="auto"/>
                                                                                        <w:left w:val="none" w:sz="0" w:space="0" w:color="auto"/>
                                                                                        <w:bottom w:val="none" w:sz="0" w:space="0" w:color="auto"/>
                                                                                        <w:right w:val="none" w:sz="0" w:space="0" w:color="auto"/>
                                                                                      </w:divBdr>
                                                                                      <w:divsChild>
                                                                                        <w:div w:id="6468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832996">
      <w:bodyDiv w:val="1"/>
      <w:marLeft w:val="0"/>
      <w:marRight w:val="0"/>
      <w:marTop w:val="0"/>
      <w:marBottom w:val="0"/>
      <w:divBdr>
        <w:top w:val="none" w:sz="0" w:space="0" w:color="auto"/>
        <w:left w:val="none" w:sz="0" w:space="0" w:color="auto"/>
        <w:bottom w:val="none" w:sz="0" w:space="0" w:color="auto"/>
        <w:right w:val="none" w:sz="0" w:space="0" w:color="auto"/>
      </w:divBdr>
    </w:div>
    <w:div w:id="1452244594">
      <w:bodyDiv w:val="1"/>
      <w:marLeft w:val="0"/>
      <w:marRight w:val="0"/>
      <w:marTop w:val="0"/>
      <w:marBottom w:val="0"/>
      <w:divBdr>
        <w:top w:val="none" w:sz="0" w:space="0" w:color="auto"/>
        <w:left w:val="none" w:sz="0" w:space="0" w:color="auto"/>
        <w:bottom w:val="none" w:sz="0" w:space="0" w:color="auto"/>
        <w:right w:val="none" w:sz="0" w:space="0" w:color="auto"/>
      </w:divBdr>
      <w:divsChild>
        <w:div w:id="803503712">
          <w:marLeft w:val="0"/>
          <w:marRight w:val="0"/>
          <w:marTop w:val="0"/>
          <w:marBottom w:val="0"/>
          <w:divBdr>
            <w:top w:val="none" w:sz="0" w:space="0" w:color="auto"/>
            <w:left w:val="none" w:sz="0" w:space="0" w:color="auto"/>
            <w:bottom w:val="none" w:sz="0" w:space="0" w:color="auto"/>
            <w:right w:val="none" w:sz="0" w:space="0" w:color="auto"/>
          </w:divBdr>
          <w:divsChild>
            <w:div w:id="1586068006">
              <w:marLeft w:val="0"/>
              <w:marRight w:val="0"/>
              <w:marTop w:val="0"/>
              <w:marBottom w:val="0"/>
              <w:divBdr>
                <w:top w:val="none" w:sz="0" w:space="0" w:color="auto"/>
                <w:left w:val="none" w:sz="0" w:space="0" w:color="auto"/>
                <w:bottom w:val="none" w:sz="0" w:space="0" w:color="auto"/>
                <w:right w:val="none" w:sz="0" w:space="0" w:color="auto"/>
              </w:divBdr>
              <w:divsChild>
                <w:div w:id="1564214888">
                  <w:marLeft w:val="0"/>
                  <w:marRight w:val="0"/>
                  <w:marTop w:val="0"/>
                  <w:marBottom w:val="0"/>
                  <w:divBdr>
                    <w:top w:val="none" w:sz="0" w:space="0" w:color="auto"/>
                    <w:left w:val="none" w:sz="0" w:space="0" w:color="auto"/>
                    <w:bottom w:val="none" w:sz="0" w:space="0" w:color="auto"/>
                    <w:right w:val="none" w:sz="0" w:space="0" w:color="auto"/>
                  </w:divBdr>
                  <w:divsChild>
                    <w:div w:id="1287155762">
                      <w:marLeft w:val="0"/>
                      <w:marRight w:val="0"/>
                      <w:marTop w:val="0"/>
                      <w:marBottom w:val="0"/>
                      <w:divBdr>
                        <w:top w:val="none" w:sz="0" w:space="0" w:color="auto"/>
                        <w:left w:val="none" w:sz="0" w:space="0" w:color="auto"/>
                        <w:bottom w:val="none" w:sz="0" w:space="0" w:color="auto"/>
                        <w:right w:val="none" w:sz="0" w:space="0" w:color="auto"/>
                      </w:divBdr>
                      <w:divsChild>
                        <w:div w:id="452333871">
                          <w:marLeft w:val="0"/>
                          <w:marRight w:val="0"/>
                          <w:marTop w:val="0"/>
                          <w:marBottom w:val="0"/>
                          <w:divBdr>
                            <w:top w:val="none" w:sz="0" w:space="0" w:color="auto"/>
                            <w:left w:val="none" w:sz="0" w:space="0" w:color="auto"/>
                            <w:bottom w:val="none" w:sz="0" w:space="0" w:color="auto"/>
                            <w:right w:val="none" w:sz="0" w:space="0" w:color="auto"/>
                          </w:divBdr>
                          <w:divsChild>
                            <w:div w:id="386294595">
                              <w:marLeft w:val="2070"/>
                              <w:marRight w:val="3960"/>
                              <w:marTop w:val="0"/>
                              <w:marBottom w:val="0"/>
                              <w:divBdr>
                                <w:top w:val="none" w:sz="0" w:space="0" w:color="auto"/>
                                <w:left w:val="none" w:sz="0" w:space="0" w:color="auto"/>
                                <w:bottom w:val="none" w:sz="0" w:space="0" w:color="auto"/>
                                <w:right w:val="none" w:sz="0" w:space="0" w:color="auto"/>
                              </w:divBdr>
                              <w:divsChild>
                                <w:div w:id="1973242849">
                                  <w:marLeft w:val="0"/>
                                  <w:marRight w:val="0"/>
                                  <w:marTop w:val="0"/>
                                  <w:marBottom w:val="0"/>
                                  <w:divBdr>
                                    <w:top w:val="none" w:sz="0" w:space="0" w:color="auto"/>
                                    <w:left w:val="none" w:sz="0" w:space="0" w:color="auto"/>
                                    <w:bottom w:val="none" w:sz="0" w:space="0" w:color="auto"/>
                                    <w:right w:val="none" w:sz="0" w:space="0" w:color="auto"/>
                                  </w:divBdr>
                                  <w:divsChild>
                                    <w:div w:id="843205737">
                                      <w:marLeft w:val="0"/>
                                      <w:marRight w:val="0"/>
                                      <w:marTop w:val="0"/>
                                      <w:marBottom w:val="0"/>
                                      <w:divBdr>
                                        <w:top w:val="none" w:sz="0" w:space="0" w:color="auto"/>
                                        <w:left w:val="none" w:sz="0" w:space="0" w:color="auto"/>
                                        <w:bottom w:val="none" w:sz="0" w:space="0" w:color="auto"/>
                                        <w:right w:val="none" w:sz="0" w:space="0" w:color="auto"/>
                                      </w:divBdr>
                                      <w:divsChild>
                                        <w:div w:id="1120997835">
                                          <w:marLeft w:val="0"/>
                                          <w:marRight w:val="0"/>
                                          <w:marTop w:val="0"/>
                                          <w:marBottom w:val="0"/>
                                          <w:divBdr>
                                            <w:top w:val="none" w:sz="0" w:space="0" w:color="auto"/>
                                            <w:left w:val="none" w:sz="0" w:space="0" w:color="auto"/>
                                            <w:bottom w:val="none" w:sz="0" w:space="0" w:color="auto"/>
                                            <w:right w:val="none" w:sz="0" w:space="0" w:color="auto"/>
                                          </w:divBdr>
                                          <w:divsChild>
                                            <w:div w:id="1073353514">
                                              <w:marLeft w:val="0"/>
                                              <w:marRight w:val="0"/>
                                              <w:marTop w:val="90"/>
                                              <w:marBottom w:val="0"/>
                                              <w:divBdr>
                                                <w:top w:val="none" w:sz="0" w:space="0" w:color="auto"/>
                                                <w:left w:val="none" w:sz="0" w:space="0" w:color="auto"/>
                                                <w:bottom w:val="none" w:sz="0" w:space="0" w:color="auto"/>
                                                <w:right w:val="none" w:sz="0" w:space="0" w:color="auto"/>
                                              </w:divBdr>
                                              <w:divsChild>
                                                <w:div w:id="805463956">
                                                  <w:marLeft w:val="0"/>
                                                  <w:marRight w:val="0"/>
                                                  <w:marTop w:val="0"/>
                                                  <w:marBottom w:val="0"/>
                                                  <w:divBdr>
                                                    <w:top w:val="none" w:sz="0" w:space="0" w:color="auto"/>
                                                    <w:left w:val="none" w:sz="0" w:space="0" w:color="auto"/>
                                                    <w:bottom w:val="none" w:sz="0" w:space="0" w:color="auto"/>
                                                    <w:right w:val="none" w:sz="0" w:space="0" w:color="auto"/>
                                                  </w:divBdr>
                                                  <w:divsChild>
                                                    <w:div w:id="71706948">
                                                      <w:marLeft w:val="0"/>
                                                      <w:marRight w:val="0"/>
                                                      <w:marTop w:val="0"/>
                                                      <w:marBottom w:val="405"/>
                                                      <w:divBdr>
                                                        <w:top w:val="none" w:sz="0" w:space="0" w:color="auto"/>
                                                        <w:left w:val="none" w:sz="0" w:space="0" w:color="auto"/>
                                                        <w:bottom w:val="none" w:sz="0" w:space="0" w:color="auto"/>
                                                        <w:right w:val="none" w:sz="0" w:space="0" w:color="auto"/>
                                                      </w:divBdr>
                                                      <w:divsChild>
                                                        <w:div w:id="2144686790">
                                                          <w:marLeft w:val="0"/>
                                                          <w:marRight w:val="0"/>
                                                          <w:marTop w:val="0"/>
                                                          <w:marBottom w:val="0"/>
                                                          <w:divBdr>
                                                            <w:top w:val="none" w:sz="0" w:space="0" w:color="auto"/>
                                                            <w:left w:val="none" w:sz="0" w:space="0" w:color="auto"/>
                                                            <w:bottom w:val="none" w:sz="0" w:space="0" w:color="auto"/>
                                                            <w:right w:val="none" w:sz="0" w:space="0" w:color="auto"/>
                                                          </w:divBdr>
                                                          <w:divsChild>
                                                            <w:div w:id="984119745">
                                                              <w:marLeft w:val="0"/>
                                                              <w:marRight w:val="0"/>
                                                              <w:marTop w:val="0"/>
                                                              <w:marBottom w:val="0"/>
                                                              <w:divBdr>
                                                                <w:top w:val="none" w:sz="0" w:space="0" w:color="auto"/>
                                                                <w:left w:val="none" w:sz="0" w:space="0" w:color="auto"/>
                                                                <w:bottom w:val="none" w:sz="0" w:space="0" w:color="auto"/>
                                                                <w:right w:val="none" w:sz="0" w:space="0" w:color="auto"/>
                                                              </w:divBdr>
                                                              <w:divsChild>
                                                                <w:div w:id="1335063675">
                                                                  <w:marLeft w:val="0"/>
                                                                  <w:marRight w:val="0"/>
                                                                  <w:marTop w:val="0"/>
                                                                  <w:marBottom w:val="0"/>
                                                                  <w:divBdr>
                                                                    <w:top w:val="none" w:sz="0" w:space="0" w:color="auto"/>
                                                                    <w:left w:val="none" w:sz="0" w:space="0" w:color="auto"/>
                                                                    <w:bottom w:val="none" w:sz="0" w:space="0" w:color="auto"/>
                                                                    <w:right w:val="none" w:sz="0" w:space="0" w:color="auto"/>
                                                                  </w:divBdr>
                                                                  <w:divsChild>
                                                                    <w:div w:id="292252141">
                                                                      <w:marLeft w:val="0"/>
                                                                      <w:marRight w:val="0"/>
                                                                      <w:marTop w:val="0"/>
                                                                      <w:marBottom w:val="0"/>
                                                                      <w:divBdr>
                                                                        <w:top w:val="none" w:sz="0" w:space="0" w:color="auto"/>
                                                                        <w:left w:val="none" w:sz="0" w:space="0" w:color="auto"/>
                                                                        <w:bottom w:val="none" w:sz="0" w:space="0" w:color="auto"/>
                                                                        <w:right w:val="none" w:sz="0" w:space="0" w:color="auto"/>
                                                                      </w:divBdr>
                                                                      <w:divsChild>
                                                                        <w:div w:id="1497038922">
                                                                          <w:marLeft w:val="0"/>
                                                                          <w:marRight w:val="0"/>
                                                                          <w:marTop w:val="0"/>
                                                                          <w:marBottom w:val="0"/>
                                                                          <w:divBdr>
                                                                            <w:top w:val="none" w:sz="0" w:space="0" w:color="auto"/>
                                                                            <w:left w:val="none" w:sz="0" w:space="0" w:color="auto"/>
                                                                            <w:bottom w:val="none" w:sz="0" w:space="0" w:color="auto"/>
                                                                            <w:right w:val="none" w:sz="0" w:space="0" w:color="auto"/>
                                                                          </w:divBdr>
                                                                          <w:divsChild>
                                                                            <w:div w:id="1692490821">
                                                                              <w:marLeft w:val="0"/>
                                                                              <w:marRight w:val="0"/>
                                                                              <w:marTop w:val="0"/>
                                                                              <w:marBottom w:val="0"/>
                                                                              <w:divBdr>
                                                                                <w:top w:val="none" w:sz="0" w:space="0" w:color="auto"/>
                                                                                <w:left w:val="none" w:sz="0" w:space="0" w:color="auto"/>
                                                                                <w:bottom w:val="none" w:sz="0" w:space="0" w:color="auto"/>
                                                                                <w:right w:val="none" w:sz="0" w:space="0" w:color="auto"/>
                                                                              </w:divBdr>
                                                                              <w:divsChild>
                                                                                <w:div w:id="204024220">
                                                                                  <w:marLeft w:val="0"/>
                                                                                  <w:marRight w:val="0"/>
                                                                                  <w:marTop w:val="0"/>
                                                                                  <w:marBottom w:val="0"/>
                                                                                  <w:divBdr>
                                                                                    <w:top w:val="none" w:sz="0" w:space="0" w:color="auto"/>
                                                                                    <w:left w:val="none" w:sz="0" w:space="0" w:color="auto"/>
                                                                                    <w:bottom w:val="none" w:sz="0" w:space="0" w:color="auto"/>
                                                                                    <w:right w:val="none" w:sz="0" w:space="0" w:color="auto"/>
                                                                                  </w:divBdr>
                                                                                  <w:divsChild>
                                                                                    <w:div w:id="9533202">
                                                                                      <w:marLeft w:val="0"/>
                                                                                      <w:marRight w:val="0"/>
                                                                                      <w:marTop w:val="0"/>
                                                                                      <w:marBottom w:val="0"/>
                                                                                      <w:divBdr>
                                                                                        <w:top w:val="none" w:sz="0" w:space="0" w:color="auto"/>
                                                                                        <w:left w:val="none" w:sz="0" w:space="0" w:color="auto"/>
                                                                                        <w:bottom w:val="none" w:sz="0" w:space="0" w:color="auto"/>
                                                                                        <w:right w:val="none" w:sz="0" w:space="0" w:color="auto"/>
                                                                                      </w:divBdr>
                                                                                      <w:divsChild>
                                                                                        <w:div w:id="4700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836584">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896888649">
      <w:bodyDiv w:val="1"/>
      <w:marLeft w:val="0"/>
      <w:marRight w:val="0"/>
      <w:marTop w:val="0"/>
      <w:marBottom w:val="0"/>
      <w:divBdr>
        <w:top w:val="none" w:sz="0" w:space="0" w:color="auto"/>
        <w:left w:val="none" w:sz="0" w:space="0" w:color="auto"/>
        <w:bottom w:val="none" w:sz="0" w:space="0" w:color="auto"/>
        <w:right w:val="none" w:sz="0" w:space="0" w:color="auto"/>
      </w:divBdr>
      <w:divsChild>
        <w:div w:id="2065642669">
          <w:marLeft w:val="0"/>
          <w:marRight w:val="0"/>
          <w:marTop w:val="0"/>
          <w:marBottom w:val="0"/>
          <w:divBdr>
            <w:top w:val="none" w:sz="0" w:space="0" w:color="auto"/>
            <w:left w:val="none" w:sz="0" w:space="0" w:color="auto"/>
            <w:bottom w:val="none" w:sz="0" w:space="0" w:color="auto"/>
            <w:right w:val="none" w:sz="0" w:space="0" w:color="auto"/>
          </w:divBdr>
          <w:divsChild>
            <w:div w:id="1454906683">
              <w:marLeft w:val="0"/>
              <w:marRight w:val="0"/>
              <w:marTop w:val="0"/>
              <w:marBottom w:val="0"/>
              <w:divBdr>
                <w:top w:val="none" w:sz="0" w:space="0" w:color="auto"/>
                <w:left w:val="none" w:sz="0" w:space="0" w:color="auto"/>
                <w:bottom w:val="none" w:sz="0" w:space="0" w:color="auto"/>
                <w:right w:val="none" w:sz="0" w:space="0" w:color="auto"/>
              </w:divBdr>
              <w:divsChild>
                <w:div w:id="1715956756">
                  <w:marLeft w:val="0"/>
                  <w:marRight w:val="0"/>
                  <w:marTop w:val="0"/>
                  <w:marBottom w:val="0"/>
                  <w:divBdr>
                    <w:top w:val="none" w:sz="0" w:space="0" w:color="auto"/>
                    <w:left w:val="none" w:sz="0" w:space="0" w:color="auto"/>
                    <w:bottom w:val="none" w:sz="0" w:space="0" w:color="auto"/>
                    <w:right w:val="none" w:sz="0" w:space="0" w:color="auto"/>
                  </w:divBdr>
                  <w:divsChild>
                    <w:div w:id="959148276">
                      <w:marLeft w:val="0"/>
                      <w:marRight w:val="0"/>
                      <w:marTop w:val="0"/>
                      <w:marBottom w:val="0"/>
                      <w:divBdr>
                        <w:top w:val="none" w:sz="0" w:space="0" w:color="auto"/>
                        <w:left w:val="none" w:sz="0" w:space="0" w:color="auto"/>
                        <w:bottom w:val="none" w:sz="0" w:space="0" w:color="auto"/>
                        <w:right w:val="none" w:sz="0" w:space="0" w:color="auto"/>
                      </w:divBdr>
                      <w:divsChild>
                        <w:div w:id="1173952271">
                          <w:marLeft w:val="0"/>
                          <w:marRight w:val="0"/>
                          <w:marTop w:val="0"/>
                          <w:marBottom w:val="0"/>
                          <w:divBdr>
                            <w:top w:val="none" w:sz="0" w:space="0" w:color="auto"/>
                            <w:left w:val="none" w:sz="0" w:space="0" w:color="auto"/>
                            <w:bottom w:val="none" w:sz="0" w:space="0" w:color="auto"/>
                            <w:right w:val="none" w:sz="0" w:space="0" w:color="auto"/>
                          </w:divBdr>
                          <w:divsChild>
                            <w:div w:id="1350451003">
                              <w:marLeft w:val="2250"/>
                              <w:marRight w:val="3960"/>
                              <w:marTop w:val="0"/>
                              <w:marBottom w:val="0"/>
                              <w:divBdr>
                                <w:top w:val="none" w:sz="0" w:space="0" w:color="auto"/>
                                <w:left w:val="none" w:sz="0" w:space="0" w:color="auto"/>
                                <w:bottom w:val="none" w:sz="0" w:space="0" w:color="auto"/>
                                <w:right w:val="none" w:sz="0" w:space="0" w:color="auto"/>
                              </w:divBdr>
                              <w:divsChild>
                                <w:div w:id="1727410208">
                                  <w:marLeft w:val="0"/>
                                  <w:marRight w:val="0"/>
                                  <w:marTop w:val="0"/>
                                  <w:marBottom w:val="0"/>
                                  <w:divBdr>
                                    <w:top w:val="none" w:sz="0" w:space="0" w:color="auto"/>
                                    <w:left w:val="none" w:sz="0" w:space="0" w:color="auto"/>
                                    <w:bottom w:val="none" w:sz="0" w:space="0" w:color="auto"/>
                                    <w:right w:val="none" w:sz="0" w:space="0" w:color="auto"/>
                                  </w:divBdr>
                                  <w:divsChild>
                                    <w:div w:id="2017076910">
                                      <w:marLeft w:val="0"/>
                                      <w:marRight w:val="0"/>
                                      <w:marTop w:val="0"/>
                                      <w:marBottom w:val="0"/>
                                      <w:divBdr>
                                        <w:top w:val="none" w:sz="0" w:space="0" w:color="auto"/>
                                        <w:left w:val="none" w:sz="0" w:space="0" w:color="auto"/>
                                        <w:bottom w:val="none" w:sz="0" w:space="0" w:color="auto"/>
                                        <w:right w:val="none" w:sz="0" w:space="0" w:color="auto"/>
                                      </w:divBdr>
                                      <w:divsChild>
                                        <w:div w:id="1698658529">
                                          <w:marLeft w:val="0"/>
                                          <w:marRight w:val="0"/>
                                          <w:marTop w:val="0"/>
                                          <w:marBottom w:val="0"/>
                                          <w:divBdr>
                                            <w:top w:val="none" w:sz="0" w:space="0" w:color="auto"/>
                                            <w:left w:val="none" w:sz="0" w:space="0" w:color="auto"/>
                                            <w:bottom w:val="none" w:sz="0" w:space="0" w:color="auto"/>
                                            <w:right w:val="none" w:sz="0" w:space="0" w:color="auto"/>
                                          </w:divBdr>
                                          <w:divsChild>
                                            <w:div w:id="854805332">
                                              <w:marLeft w:val="0"/>
                                              <w:marRight w:val="0"/>
                                              <w:marTop w:val="90"/>
                                              <w:marBottom w:val="0"/>
                                              <w:divBdr>
                                                <w:top w:val="none" w:sz="0" w:space="0" w:color="auto"/>
                                                <w:left w:val="none" w:sz="0" w:space="0" w:color="auto"/>
                                                <w:bottom w:val="none" w:sz="0" w:space="0" w:color="auto"/>
                                                <w:right w:val="none" w:sz="0" w:space="0" w:color="auto"/>
                                              </w:divBdr>
                                              <w:divsChild>
                                                <w:div w:id="1080640835">
                                                  <w:marLeft w:val="0"/>
                                                  <w:marRight w:val="0"/>
                                                  <w:marTop w:val="0"/>
                                                  <w:marBottom w:val="0"/>
                                                  <w:divBdr>
                                                    <w:top w:val="none" w:sz="0" w:space="0" w:color="auto"/>
                                                    <w:left w:val="none" w:sz="0" w:space="0" w:color="auto"/>
                                                    <w:bottom w:val="none" w:sz="0" w:space="0" w:color="auto"/>
                                                    <w:right w:val="none" w:sz="0" w:space="0" w:color="auto"/>
                                                  </w:divBdr>
                                                  <w:divsChild>
                                                    <w:div w:id="2113089614">
                                                      <w:marLeft w:val="0"/>
                                                      <w:marRight w:val="0"/>
                                                      <w:marTop w:val="0"/>
                                                      <w:marBottom w:val="405"/>
                                                      <w:divBdr>
                                                        <w:top w:val="none" w:sz="0" w:space="0" w:color="auto"/>
                                                        <w:left w:val="none" w:sz="0" w:space="0" w:color="auto"/>
                                                        <w:bottom w:val="none" w:sz="0" w:space="0" w:color="auto"/>
                                                        <w:right w:val="none" w:sz="0" w:space="0" w:color="auto"/>
                                                      </w:divBdr>
                                                      <w:divsChild>
                                                        <w:div w:id="648947037">
                                                          <w:marLeft w:val="0"/>
                                                          <w:marRight w:val="0"/>
                                                          <w:marTop w:val="0"/>
                                                          <w:marBottom w:val="0"/>
                                                          <w:divBdr>
                                                            <w:top w:val="none" w:sz="0" w:space="0" w:color="auto"/>
                                                            <w:left w:val="none" w:sz="0" w:space="0" w:color="auto"/>
                                                            <w:bottom w:val="none" w:sz="0" w:space="0" w:color="auto"/>
                                                            <w:right w:val="none" w:sz="0" w:space="0" w:color="auto"/>
                                                          </w:divBdr>
                                                          <w:divsChild>
                                                            <w:div w:id="1440023430">
                                                              <w:marLeft w:val="0"/>
                                                              <w:marRight w:val="0"/>
                                                              <w:marTop w:val="0"/>
                                                              <w:marBottom w:val="0"/>
                                                              <w:divBdr>
                                                                <w:top w:val="none" w:sz="0" w:space="0" w:color="auto"/>
                                                                <w:left w:val="none" w:sz="0" w:space="0" w:color="auto"/>
                                                                <w:bottom w:val="none" w:sz="0" w:space="0" w:color="auto"/>
                                                                <w:right w:val="none" w:sz="0" w:space="0" w:color="auto"/>
                                                              </w:divBdr>
                                                              <w:divsChild>
                                                                <w:div w:id="377902352">
                                                                  <w:marLeft w:val="0"/>
                                                                  <w:marRight w:val="0"/>
                                                                  <w:marTop w:val="0"/>
                                                                  <w:marBottom w:val="0"/>
                                                                  <w:divBdr>
                                                                    <w:top w:val="none" w:sz="0" w:space="0" w:color="auto"/>
                                                                    <w:left w:val="none" w:sz="0" w:space="0" w:color="auto"/>
                                                                    <w:bottom w:val="none" w:sz="0" w:space="0" w:color="auto"/>
                                                                    <w:right w:val="none" w:sz="0" w:space="0" w:color="auto"/>
                                                                  </w:divBdr>
                                                                  <w:divsChild>
                                                                    <w:div w:id="2009668560">
                                                                      <w:marLeft w:val="0"/>
                                                                      <w:marRight w:val="0"/>
                                                                      <w:marTop w:val="0"/>
                                                                      <w:marBottom w:val="0"/>
                                                                      <w:divBdr>
                                                                        <w:top w:val="none" w:sz="0" w:space="0" w:color="auto"/>
                                                                        <w:left w:val="none" w:sz="0" w:space="0" w:color="auto"/>
                                                                        <w:bottom w:val="none" w:sz="0" w:space="0" w:color="auto"/>
                                                                        <w:right w:val="none" w:sz="0" w:space="0" w:color="auto"/>
                                                                      </w:divBdr>
                                                                      <w:divsChild>
                                                                        <w:div w:id="340857970">
                                                                          <w:marLeft w:val="0"/>
                                                                          <w:marRight w:val="0"/>
                                                                          <w:marTop w:val="0"/>
                                                                          <w:marBottom w:val="0"/>
                                                                          <w:divBdr>
                                                                            <w:top w:val="none" w:sz="0" w:space="0" w:color="auto"/>
                                                                            <w:left w:val="none" w:sz="0" w:space="0" w:color="auto"/>
                                                                            <w:bottom w:val="none" w:sz="0" w:space="0" w:color="auto"/>
                                                                            <w:right w:val="none" w:sz="0" w:space="0" w:color="auto"/>
                                                                          </w:divBdr>
                                                                          <w:divsChild>
                                                                            <w:div w:id="834414195">
                                                                              <w:marLeft w:val="0"/>
                                                                              <w:marRight w:val="0"/>
                                                                              <w:marTop w:val="0"/>
                                                                              <w:marBottom w:val="0"/>
                                                                              <w:divBdr>
                                                                                <w:top w:val="none" w:sz="0" w:space="0" w:color="auto"/>
                                                                                <w:left w:val="none" w:sz="0" w:space="0" w:color="auto"/>
                                                                                <w:bottom w:val="none" w:sz="0" w:space="0" w:color="auto"/>
                                                                                <w:right w:val="none" w:sz="0" w:space="0" w:color="auto"/>
                                                                              </w:divBdr>
                                                                              <w:divsChild>
                                                                                <w:div w:id="1410809081">
                                                                                  <w:marLeft w:val="0"/>
                                                                                  <w:marRight w:val="0"/>
                                                                                  <w:marTop w:val="0"/>
                                                                                  <w:marBottom w:val="0"/>
                                                                                  <w:divBdr>
                                                                                    <w:top w:val="none" w:sz="0" w:space="0" w:color="auto"/>
                                                                                    <w:left w:val="none" w:sz="0" w:space="0" w:color="auto"/>
                                                                                    <w:bottom w:val="none" w:sz="0" w:space="0" w:color="auto"/>
                                                                                    <w:right w:val="none" w:sz="0" w:space="0" w:color="auto"/>
                                                                                  </w:divBdr>
                                                                                  <w:divsChild>
                                                                                    <w:div w:id="1239828851">
                                                                                      <w:marLeft w:val="0"/>
                                                                                      <w:marRight w:val="0"/>
                                                                                      <w:marTop w:val="0"/>
                                                                                      <w:marBottom w:val="0"/>
                                                                                      <w:divBdr>
                                                                                        <w:top w:val="none" w:sz="0" w:space="0" w:color="auto"/>
                                                                                        <w:left w:val="none" w:sz="0" w:space="0" w:color="auto"/>
                                                                                        <w:bottom w:val="none" w:sz="0" w:space="0" w:color="auto"/>
                                                                                        <w:right w:val="none" w:sz="0" w:space="0" w:color="auto"/>
                                                                                      </w:divBdr>
                                                                                      <w:divsChild>
                                                                                        <w:div w:id="7127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59100337">
      <w:bodyDiv w:val="1"/>
      <w:marLeft w:val="0"/>
      <w:marRight w:val="0"/>
      <w:marTop w:val="0"/>
      <w:marBottom w:val="0"/>
      <w:divBdr>
        <w:top w:val="none" w:sz="0" w:space="0" w:color="auto"/>
        <w:left w:val="none" w:sz="0" w:space="0" w:color="auto"/>
        <w:bottom w:val="none" w:sz="0" w:space="0" w:color="auto"/>
        <w:right w:val="none" w:sz="0" w:space="0" w:color="auto"/>
      </w:divBdr>
      <w:divsChild>
        <w:div w:id="526259491">
          <w:marLeft w:val="0"/>
          <w:marRight w:val="0"/>
          <w:marTop w:val="0"/>
          <w:marBottom w:val="0"/>
          <w:divBdr>
            <w:top w:val="none" w:sz="0" w:space="0" w:color="auto"/>
            <w:left w:val="none" w:sz="0" w:space="0" w:color="auto"/>
            <w:bottom w:val="none" w:sz="0" w:space="0" w:color="auto"/>
            <w:right w:val="none" w:sz="0" w:space="0" w:color="auto"/>
          </w:divBdr>
          <w:divsChild>
            <w:div w:id="438766597">
              <w:marLeft w:val="0"/>
              <w:marRight w:val="0"/>
              <w:marTop w:val="0"/>
              <w:marBottom w:val="0"/>
              <w:divBdr>
                <w:top w:val="none" w:sz="0" w:space="0" w:color="auto"/>
                <w:left w:val="none" w:sz="0" w:space="0" w:color="auto"/>
                <w:bottom w:val="none" w:sz="0" w:space="0" w:color="auto"/>
                <w:right w:val="none" w:sz="0" w:space="0" w:color="auto"/>
              </w:divBdr>
              <w:divsChild>
                <w:div w:id="1323663229">
                  <w:marLeft w:val="0"/>
                  <w:marRight w:val="0"/>
                  <w:marTop w:val="0"/>
                  <w:marBottom w:val="0"/>
                  <w:divBdr>
                    <w:top w:val="none" w:sz="0" w:space="0" w:color="auto"/>
                    <w:left w:val="none" w:sz="0" w:space="0" w:color="auto"/>
                    <w:bottom w:val="none" w:sz="0" w:space="0" w:color="auto"/>
                    <w:right w:val="none" w:sz="0" w:space="0" w:color="auto"/>
                  </w:divBdr>
                  <w:divsChild>
                    <w:div w:id="1112628162">
                      <w:marLeft w:val="0"/>
                      <w:marRight w:val="0"/>
                      <w:marTop w:val="0"/>
                      <w:marBottom w:val="0"/>
                      <w:divBdr>
                        <w:top w:val="none" w:sz="0" w:space="0" w:color="auto"/>
                        <w:left w:val="none" w:sz="0" w:space="0" w:color="auto"/>
                        <w:bottom w:val="none" w:sz="0" w:space="0" w:color="auto"/>
                        <w:right w:val="none" w:sz="0" w:space="0" w:color="auto"/>
                      </w:divBdr>
                      <w:divsChild>
                        <w:div w:id="499202400">
                          <w:marLeft w:val="0"/>
                          <w:marRight w:val="0"/>
                          <w:marTop w:val="0"/>
                          <w:marBottom w:val="0"/>
                          <w:divBdr>
                            <w:top w:val="none" w:sz="0" w:space="0" w:color="auto"/>
                            <w:left w:val="none" w:sz="0" w:space="0" w:color="auto"/>
                            <w:bottom w:val="none" w:sz="0" w:space="0" w:color="auto"/>
                            <w:right w:val="none" w:sz="0" w:space="0" w:color="auto"/>
                          </w:divBdr>
                          <w:divsChild>
                            <w:div w:id="661202791">
                              <w:marLeft w:val="2070"/>
                              <w:marRight w:val="3960"/>
                              <w:marTop w:val="0"/>
                              <w:marBottom w:val="0"/>
                              <w:divBdr>
                                <w:top w:val="none" w:sz="0" w:space="0" w:color="auto"/>
                                <w:left w:val="none" w:sz="0" w:space="0" w:color="auto"/>
                                <w:bottom w:val="none" w:sz="0" w:space="0" w:color="auto"/>
                                <w:right w:val="none" w:sz="0" w:space="0" w:color="auto"/>
                              </w:divBdr>
                              <w:divsChild>
                                <w:div w:id="524563537">
                                  <w:marLeft w:val="0"/>
                                  <w:marRight w:val="0"/>
                                  <w:marTop w:val="0"/>
                                  <w:marBottom w:val="0"/>
                                  <w:divBdr>
                                    <w:top w:val="none" w:sz="0" w:space="0" w:color="auto"/>
                                    <w:left w:val="none" w:sz="0" w:space="0" w:color="auto"/>
                                    <w:bottom w:val="none" w:sz="0" w:space="0" w:color="auto"/>
                                    <w:right w:val="none" w:sz="0" w:space="0" w:color="auto"/>
                                  </w:divBdr>
                                  <w:divsChild>
                                    <w:div w:id="1678193972">
                                      <w:marLeft w:val="0"/>
                                      <w:marRight w:val="0"/>
                                      <w:marTop w:val="0"/>
                                      <w:marBottom w:val="0"/>
                                      <w:divBdr>
                                        <w:top w:val="none" w:sz="0" w:space="0" w:color="auto"/>
                                        <w:left w:val="none" w:sz="0" w:space="0" w:color="auto"/>
                                        <w:bottom w:val="none" w:sz="0" w:space="0" w:color="auto"/>
                                        <w:right w:val="none" w:sz="0" w:space="0" w:color="auto"/>
                                      </w:divBdr>
                                      <w:divsChild>
                                        <w:div w:id="253588624">
                                          <w:marLeft w:val="0"/>
                                          <w:marRight w:val="0"/>
                                          <w:marTop w:val="0"/>
                                          <w:marBottom w:val="0"/>
                                          <w:divBdr>
                                            <w:top w:val="none" w:sz="0" w:space="0" w:color="auto"/>
                                            <w:left w:val="none" w:sz="0" w:space="0" w:color="auto"/>
                                            <w:bottom w:val="none" w:sz="0" w:space="0" w:color="auto"/>
                                            <w:right w:val="none" w:sz="0" w:space="0" w:color="auto"/>
                                          </w:divBdr>
                                          <w:divsChild>
                                            <w:div w:id="1443501661">
                                              <w:marLeft w:val="0"/>
                                              <w:marRight w:val="0"/>
                                              <w:marTop w:val="90"/>
                                              <w:marBottom w:val="0"/>
                                              <w:divBdr>
                                                <w:top w:val="none" w:sz="0" w:space="0" w:color="auto"/>
                                                <w:left w:val="none" w:sz="0" w:space="0" w:color="auto"/>
                                                <w:bottom w:val="none" w:sz="0" w:space="0" w:color="auto"/>
                                                <w:right w:val="none" w:sz="0" w:space="0" w:color="auto"/>
                                              </w:divBdr>
                                              <w:divsChild>
                                                <w:div w:id="851723274">
                                                  <w:marLeft w:val="0"/>
                                                  <w:marRight w:val="0"/>
                                                  <w:marTop w:val="0"/>
                                                  <w:marBottom w:val="0"/>
                                                  <w:divBdr>
                                                    <w:top w:val="none" w:sz="0" w:space="0" w:color="auto"/>
                                                    <w:left w:val="none" w:sz="0" w:space="0" w:color="auto"/>
                                                    <w:bottom w:val="none" w:sz="0" w:space="0" w:color="auto"/>
                                                    <w:right w:val="none" w:sz="0" w:space="0" w:color="auto"/>
                                                  </w:divBdr>
                                                  <w:divsChild>
                                                    <w:div w:id="796723979">
                                                      <w:marLeft w:val="0"/>
                                                      <w:marRight w:val="0"/>
                                                      <w:marTop w:val="0"/>
                                                      <w:marBottom w:val="405"/>
                                                      <w:divBdr>
                                                        <w:top w:val="none" w:sz="0" w:space="0" w:color="auto"/>
                                                        <w:left w:val="none" w:sz="0" w:space="0" w:color="auto"/>
                                                        <w:bottom w:val="none" w:sz="0" w:space="0" w:color="auto"/>
                                                        <w:right w:val="none" w:sz="0" w:space="0" w:color="auto"/>
                                                      </w:divBdr>
                                                      <w:divsChild>
                                                        <w:div w:id="2063559685">
                                                          <w:marLeft w:val="0"/>
                                                          <w:marRight w:val="0"/>
                                                          <w:marTop w:val="0"/>
                                                          <w:marBottom w:val="0"/>
                                                          <w:divBdr>
                                                            <w:top w:val="none" w:sz="0" w:space="0" w:color="auto"/>
                                                            <w:left w:val="none" w:sz="0" w:space="0" w:color="auto"/>
                                                            <w:bottom w:val="none" w:sz="0" w:space="0" w:color="auto"/>
                                                            <w:right w:val="none" w:sz="0" w:space="0" w:color="auto"/>
                                                          </w:divBdr>
                                                          <w:divsChild>
                                                            <w:div w:id="109134819">
                                                              <w:marLeft w:val="0"/>
                                                              <w:marRight w:val="0"/>
                                                              <w:marTop w:val="0"/>
                                                              <w:marBottom w:val="0"/>
                                                              <w:divBdr>
                                                                <w:top w:val="none" w:sz="0" w:space="0" w:color="auto"/>
                                                                <w:left w:val="none" w:sz="0" w:space="0" w:color="auto"/>
                                                                <w:bottom w:val="none" w:sz="0" w:space="0" w:color="auto"/>
                                                                <w:right w:val="none" w:sz="0" w:space="0" w:color="auto"/>
                                                              </w:divBdr>
                                                              <w:divsChild>
                                                                <w:div w:id="927999956">
                                                                  <w:marLeft w:val="0"/>
                                                                  <w:marRight w:val="0"/>
                                                                  <w:marTop w:val="0"/>
                                                                  <w:marBottom w:val="0"/>
                                                                  <w:divBdr>
                                                                    <w:top w:val="none" w:sz="0" w:space="0" w:color="auto"/>
                                                                    <w:left w:val="none" w:sz="0" w:space="0" w:color="auto"/>
                                                                    <w:bottom w:val="none" w:sz="0" w:space="0" w:color="auto"/>
                                                                    <w:right w:val="none" w:sz="0" w:space="0" w:color="auto"/>
                                                                  </w:divBdr>
                                                                  <w:divsChild>
                                                                    <w:div w:id="1341465881">
                                                                      <w:marLeft w:val="0"/>
                                                                      <w:marRight w:val="0"/>
                                                                      <w:marTop w:val="0"/>
                                                                      <w:marBottom w:val="0"/>
                                                                      <w:divBdr>
                                                                        <w:top w:val="none" w:sz="0" w:space="0" w:color="auto"/>
                                                                        <w:left w:val="none" w:sz="0" w:space="0" w:color="auto"/>
                                                                        <w:bottom w:val="none" w:sz="0" w:space="0" w:color="auto"/>
                                                                        <w:right w:val="none" w:sz="0" w:space="0" w:color="auto"/>
                                                                      </w:divBdr>
                                                                      <w:divsChild>
                                                                        <w:div w:id="1282610149">
                                                                          <w:marLeft w:val="0"/>
                                                                          <w:marRight w:val="0"/>
                                                                          <w:marTop w:val="0"/>
                                                                          <w:marBottom w:val="0"/>
                                                                          <w:divBdr>
                                                                            <w:top w:val="none" w:sz="0" w:space="0" w:color="auto"/>
                                                                            <w:left w:val="none" w:sz="0" w:space="0" w:color="auto"/>
                                                                            <w:bottom w:val="none" w:sz="0" w:space="0" w:color="auto"/>
                                                                            <w:right w:val="none" w:sz="0" w:space="0" w:color="auto"/>
                                                                          </w:divBdr>
                                                                          <w:divsChild>
                                                                            <w:div w:id="535779429">
                                                                              <w:marLeft w:val="0"/>
                                                                              <w:marRight w:val="0"/>
                                                                              <w:marTop w:val="0"/>
                                                                              <w:marBottom w:val="0"/>
                                                                              <w:divBdr>
                                                                                <w:top w:val="none" w:sz="0" w:space="0" w:color="auto"/>
                                                                                <w:left w:val="none" w:sz="0" w:space="0" w:color="auto"/>
                                                                                <w:bottom w:val="none" w:sz="0" w:space="0" w:color="auto"/>
                                                                                <w:right w:val="none" w:sz="0" w:space="0" w:color="auto"/>
                                                                              </w:divBdr>
                                                                              <w:divsChild>
                                                                                <w:div w:id="1593123703">
                                                                                  <w:marLeft w:val="0"/>
                                                                                  <w:marRight w:val="0"/>
                                                                                  <w:marTop w:val="0"/>
                                                                                  <w:marBottom w:val="0"/>
                                                                                  <w:divBdr>
                                                                                    <w:top w:val="none" w:sz="0" w:space="0" w:color="auto"/>
                                                                                    <w:left w:val="none" w:sz="0" w:space="0" w:color="auto"/>
                                                                                    <w:bottom w:val="none" w:sz="0" w:space="0" w:color="auto"/>
                                                                                    <w:right w:val="none" w:sz="0" w:space="0" w:color="auto"/>
                                                                                  </w:divBdr>
                                                                                  <w:divsChild>
                                                                                    <w:div w:id="1692146932">
                                                                                      <w:marLeft w:val="0"/>
                                                                                      <w:marRight w:val="0"/>
                                                                                      <w:marTop w:val="0"/>
                                                                                      <w:marBottom w:val="0"/>
                                                                                      <w:divBdr>
                                                                                        <w:top w:val="none" w:sz="0" w:space="0" w:color="auto"/>
                                                                                        <w:left w:val="none" w:sz="0" w:space="0" w:color="auto"/>
                                                                                        <w:bottom w:val="none" w:sz="0" w:space="0" w:color="auto"/>
                                                                                        <w:right w:val="none" w:sz="0" w:space="0" w:color="auto"/>
                                                                                      </w:divBdr>
                                                                                      <w:divsChild>
                                                                                        <w:div w:id="2067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214094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microsoft.com/office/2007/relationships/hdphoto" Target="media/hdphoto1.wdp"/><Relationship Id="rId38"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oleObject" Target="embeddings/oleObject2.bin"/><Relationship Id="R8429604d44cf48c1" Type="http://schemas.microsoft.com/office/2019/09/relationships/intelligence" Target="intelligenc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6.emf"/><Relationship Id="rId35" Type="http://schemas.openxmlformats.org/officeDocument/2006/relationships/image" Target="media/image1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2.xml><?xml version="1.0" encoding="utf-8"?>
<ds:datastoreItem xmlns:ds="http://schemas.openxmlformats.org/officeDocument/2006/customXml" ds:itemID="{9650A2D1-07C8-4CD2-92E8-FE027E8D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38099</Words>
  <Characters>228598</Characters>
  <Application>Microsoft Office Word</Application>
  <DocSecurity>0</DocSecurity>
  <Lines>7619</Lines>
  <Paragraphs>3604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2023-03-13T15:47:00Z</dcterms:created>
  <dcterms:modified xsi:type="dcterms:W3CDTF">2023-03-14T11:32:00Z</dcterms:modified>
</cp:coreProperties>
</file>