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6F" w:rsidRPr="00086F10" w:rsidRDefault="00EF5A58" w:rsidP="00CD296F">
      <w:pPr>
        <w:jc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086F10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569595" cy="647065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6F" w:rsidRPr="00086F10" w:rsidRDefault="00CD296F" w:rsidP="00CD296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D296F" w:rsidRPr="00086F10" w:rsidRDefault="00CD296F" w:rsidP="00CD296F">
      <w:pPr>
        <w:tabs>
          <w:tab w:val="left" w:pos="9720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NACIONALINIS VISUOMENĖS SVEIKATOS CENTRAS</w:t>
      </w:r>
    </w:p>
    <w:p w:rsidR="00CD296F" w:rsidRPr="00086F10" w:rsidRDefault="00CD296F" w:rsidP="00CD296F">
      <w:pPr>
        <w:tabs>
          <w:tab w:val="left" w:pos="9720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 xml:space="preserve">PRIE SVEIKATOS APSAUGOS MINISTERIJOS </w:t>
      </w: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</w:p>
    <w:p w:rsidR="00CD296F" w:rsidRPr="00086F10" w:rsidRDefault="00CD296F" w:rsidP="00CD296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BIOCIDINIO PRODUKTO AUTORIZACIJOS</w:t>
      </w:r>
    </w:p>
    <w:p w:rsidR="00CD296F" w:rsidRPr="00086F10" w:rsidRDefault="00CD296F" w:rsidP="00CD296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 xml:space="preserve">LIUDIJIMAS Nr. </w:t>
      </w:r>
      <w:r w:rsidR="00C11DC0" w:rsidRPr="00C11DC0">
        <w:rPr>
          <w:b/>
          <w:sz w:val="24"/>
          <w:szCs w:val="24"/>
          <w:lang w:val="pt-PT"/>
        </w:rPr>
        <w:t>(10-14 17.5)BSV-</w:t>
      </w:r>
      <w:r w:rsidR="00E77A66">
        <w:rPr>
          <w:b/>
          <w:sz w:val="24"/>
          <w:szCs w:val="24"/>
          <w:lang w:val="pt-PT"/>
        </w:rPr>
        <w:t>3282</w:t>
      </w:r>
      <w:r w:rsidR="00C11DC0" w:rsidRPr="00C11DC0">
        <w:rPr>
          <w:rFonts w:ascii="Times New Roman" w:hAnsi="Times New Roman"/>
          <w:b/>
          <w:sz w:val="24"/>
          <w:szCs w:val="24"/>
          <w:lang w:val="lt-LT"/>
        </w:rPr>
        <w:t>(</w:t>
      </w:r>
      <w:r w:rsidR="00C11DC0" w:rsidRPr="00C11DC0">
        <w:rPr>
          <w:rFonts w:ascii="Times New Roman" w:hAnsi="Times New Roman"/>
          <w:b/>
          <w:color w:val="000000"/>
          <w:sz w:val="24"/>
          <w:szCs w:val="24"/>
          <w:lang w:val="lt-LT"/>
        </w:rPr>
        <w:t>A-19BAP1</w:t>
      </w:r>
      <w:r w:rsidR="00C943FA">
        <w:rPr>
          <w:rFonts w:ascii="Times New Roman" w:hAnsi="Times New Roman"/>
          <w:b/>
          <w:color w:val="000000"/>
          <w:sz w:val="24"/>
          <w:szCs w:val="24"/>
          <w:lang w:val="lt-LT"/>
        </w:rPr>
        <w:t>10</w:t>
      </w:r>
      <w:r w:rsidR="007110A9" w:rsidRPr="007110A9">
        <w:rPr>
          <w:rFonts w:ascii="Times New Roman" w:hAnsi="Times New Roman"/>
          <w:b/>
          <w:color w:val="000000"/>
          <w:sz w:val="24"/>
          <w:szCs w:val="24"/>
          <w:lang w:val="lt-LT"/>
        </w:rPr>
        <w:t>2050-18-29</w:t>
      </w:r>
      <w:r w:rsidR="00C11DC0" w:rsidRPr="00C11DC0">
        <w:rPr>
          <w:rFonts w:ascii="Times New Roman" w:hAnsi="Times New Roman"/>
          <w:b/>
          <w:color w:val="000000"/>
          <w:sz w:val="24"/>
          <w:szCs w:val="24"/>
          <w:lang w:val="lt-LT"/>
        </w:rPr>
        <w:t>)</w:t>
      </w:r>
    </w:p>
    <w:p w:rsidR="00CD296F" w:rsidRPr="00086F10" w:rsidRDefault="00CD296F" w:rsidP="00CD296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D296F" w:rsidRPr="00086F10" w:rsidRDefault="00CD296F" w:rsidP="00CD296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Išduotas 20</w:t>
      </w:r>
      <w:r w:rsidR="00C11DC0">
        <w:rPr>
          <w:rFonts w:ascii="Times New Roman" w:hAnsi="Times New Roman"/>
          <w:b/>
          <w:sz w:val="24"/>
          <w:szCs w:val="24"/>
          <w:lang w:val="lt-LT"/>
        </w:rPr>
        <w:t>18</w:t>
      </w:r>
      <w:r w:rsidRPr="00086F10">
        <w:rPr>
          <w:rFonts w:ascii="Times New Roman" w:hAnsi="Times New Roman"/>
          <w:b/>
          <w:sz w:val="24"/>
          <w:szCs w:val="24"/>
          <w:lang w:val="lt-LT"/>
        </w:rPr>
        <w:t xml:space="preserve"> m.</w:t>
      </w:r>
      <w:r w:rsidR="00C11DC0">
        <w:rPr>
          <w:rFonts w:ascii="Times New Roman" w:hAnsi="Times New Roman"/>
          <w:b/>
          <w:sz w:val="24"/>
          <w:szCs w:val="24"/>
          <w:lang w:val="lt-LT"/>
        </w:rPr>
        <w:t xml:space="preserve"> sausio 25</w:t>
      </w:r>
      <w:r w:rsidRPr="00086F10">
        <w:rPr>
          <w:rFonts w:ascii="Times New Roman" w:hAnsi="Times New Roman"/>
          <w:b/>
          <w:sz w:val="24"/>
          <w:szCs w:val="24"/>
          <w:lang w:val="lt-LT"/>
        </w:rPr>
        <w:t xml:space="preserve"> d., galioja iki 20</w:t>
      </w:r>
      <w:r w:rsidR="00C11DC0">
        <w:rPr>
          <w:rFonts w:ascii="Times New Roman" w:hAnsi="Times New Roman"/>
          <w:b/>
          <w:sz w:val="24"/>
          <w:szCs w:val="24"/>
          <w:lang w:val="lt-LT"/>
        </w:rPr>
        <w:t>27</w:t>
      </w:r>
      <w:r w:rsidRPr="00086F10">
        <w:rPr>
          <w:rFonts w:ascii="Times New Roman" w:hAnsi="Times New Roman"/>
          <w:b/>
          <w:sz w:val="24"/>
          <w:szCs w:val="24"/>
          <w:lang w:val="lt-LT"/>
        </w:rPr>
        <w:t xml:space="preserve"> m.</w:t>
      </w:r>
      <w:r w:rsidR="00C11DC0">
        <w:rPr>
          <w:rFonts w:ascii="Times New Roman" w:hAnsi="Times New Roman"/>
          <w:b/>
          <w:sz w:val="24"/>
          <w:szCs w:val="24"/>
          <w:lang w:val="lt-LT"/>
        </w:rPr>
        <w:t xml:space="preserve"> vasario 20 </w:t>
      </w:r>
      <w:r w:rsidRPr="00086F10">
        <w:rPr>
          <w:rFonts w:ascii="Times New Roman" w:hAnsi="Times New Roman"/>
          <w:b/>
          <w:sz w:val="24"/>
          <w:szCs w:val="24"/>
          <w:lang w:val="lt-LT"/>
        </w:rPr>
        <w:t>d.</w:t>
      </w: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</w:p>
    <w:p w:rsidR="00CD296F" w:rsidRPr="00086F10" w:rsidRDefault="00CD296F" w:rsidP="00CD296F">
      <w:pPr>
        <w:rPr>
          <w:rFonts w:ascii="Times New Roman" w:hAnsi="Times New Roman"/>
          <w:b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Asmens, kuriam išduotas liudijimas, pavadinimas, adresas</w:t>
      </w:r>
    </w:p>
    <w:p w:rsidR="00CD296F" w:rsidRPr="003A7AD1" w:rsidRDefault="003A7AD1" w:rsidP="00CD296F">
      <w:pPr>
        <w:overflowPunct/>
        <w:rPr>
          <w:rFonts w:ascii="Times New Roman" w:hAnsi="Times New Roman"/>
          <w:bCs/>
          <w:sz w:val="24"/>
          <w:szCs w:val="24"/>
        </w:rPr>
      </w:pPr>
      <w:r w:rsidRPr="003A7AD1">
        <w:rPr>
          <w:rFonts w:ascii="Times New Roman" w:hAnsi="Times New Roman"/>
          <w:bCs/>
          <w:sz w:val="24"/>
          <w:szCs w:val="24"/>
        </w:rPr>
        <w:t>SC Johnson Europe SARL, Z.A. la Piece 8, 1180 Rolle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Šveicarija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3A7AD1" w:rsidRPr="00086F10" w:rsidRDefault="003A7AD1" w:rsidP="00CD296F">
      <w:pPr>
        <w:overflowPunct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CD296F" w:rsidRPr="00086F10" w:rsidRDefault="00CD296F" w:rsidP="00CD296F">
      <w:pPr>
        <w:rPr>
          <w:rFonts w:ascii="Times New Roman" w:hAnsi="Times New Roman"/>
          <w:b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 xml:space="preserve">Biocidinio produkto tipas </w:t>
      </w:r>
    </w:p>
    <w:p w:rsidR="00CD296F" w:rsidRPr="00086F10" w:rsidRDefault="00CD296F" w:rsidP="00CD296F">
      <w:pPr>
        <w:overflowPunct/>
        <w:rPr>
          <w:rFonts w:ascii="Times New Roman" w:hAnsi="Times New Roman"/>
          <w:sz w:val="24"/>
          <w:szCs w:val="24"/>
          <w:lang w:val="lt-LT" w:eastAsia="lt-LT"/>
        </w:rPr>
      </w:pPr>
      <w:r w:rsidRPr="00086F10">
        <w:rPr>
          <w:rFonts w:ascii="Times New Roman" w:hAnsi="Times New Roman"/>
          <w:sz w:val="24"/>
          <w:szCs w:val="24"/>
          <w:lang w:val="lt-LT" w:eastAsia="lt-LT"/>
        </w:rPr>
        <w:t xml:space="preserve">19 produktų tipas. </w:t>
      </w:r>
      <w:proofErr w:type="spellStart"/>
      <w:r w:rsidRPr="00086F10">
        <w:rPr>
          <w:rFonts w:ascii="Times New Roman" w:hAnsi="Times New Roman"/>
          <w:sz w:val="24"/>
          <w:szCs w:val="24"/>
          <w:lang w:val="lt-LT" w:eastAsia="lt-LT"/>
        </w:rPr>
        <w:t>Repelentai</w:t>
      </w:r>
      <w:proofErr w:type="spellEnd"/>
      <w:r w:rsidRPr="00086F10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Biocidinio produkto pavadinimas</w:t>
      </w:r>
      <w:r w:rsidRPr="00086F1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D296F" w:rsidRPr="00086F10" w:rsidRDefault="009A7FE7" w:rsidP="00CD296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A7FE7">
        <w:rPr>
          <w:rFonts w:ascii="Times New Roman" w:hAnsi="Times New Roman"/>
          <w:sz w:val="24"/>
          <w:szCs w:val="24"/>
          <w:lang w:val="lt-LT" w:eastAsia="lt-LT"/>
        </w:rPr>
        <w:t>Aerozolis nuo uod</w:t>
      </w:r>
      <w:r w:rsidR="00C11DC0">
        <w:rPr>
          <w:rFonts w:ascii="Times New Roman" w:hAnsi="Times New Roman"/>
          <w:sz w:val="24"/>
          <w:szCs w:val="24"/>
          <w:lang w:val="lt-LT" w:eastAsia="lt-LT"/>
        </w:rPr>
        <w:t>ų</w:t>
      </w:r>
      <w:r w:rsidRPr="009A7FE7">
        <w:rPr>
          <w:rFonts w:ascii="Times New Roman" w:hAnsi="Times New Roman"/>
          <w:sz w:val="24"/>
          <w:szCs w:val="24"/>
          <w:lang w:val="lt-LT" w:eastAsia="lt-LT"/>
        </w:rPr>
        <w:t xml:space="preserve"> "OFF! </w:t>
      </w:r>
      <w:proofErr w:type="spellStart"/>
      <w:r w:rsidRPr="009A7FE7">
        <w:rPr>
          <w:rFonts w:ascii="Times New Roman" w:hAnsi="Times New Roman"/>
          <w:sz w:val="24"/>
          <w:szCs w:val="24"/>
          <w:lang w:val="lt-LT" w:eastAsia="lt-LT"/>
        </w:rPr>
        <w:t>Active</w:t>
      </w:r>
      <w:proofErr w:type="spellEnd"/>
      <w:r w:rsidRPr="009A7FE7">
        <w:rPr>
          <w:rFonts w:ascii="Times New Roman" w:hAnsi="Times New Roman"/>
          <w:sz w:val="24"/>
          <w:szCs w:val="24"/>
          <w:lang w:val="lt-LT" w:eastAsia="lt-LT"/>
        </w:rPr>
        <w:t>"</w:t>
      </w:r>
      <w:r w:rsidR="00CD296F" w:rsidRPr="00086F10">
        <w:rPr>
          <w:rFonts w:ascii="Times New Roman" w:hAnsi="Times New Roman"/>
          <w:sz w:val="24"/>
          <w:szCs w:val="24"/>
          <w:lang w:val="lt-LT"/>
        </w:rPr>
        <w:t>.</w:t>
      </w:r>
    </w:p>
    <w:p w:rsidR="00CD296F" w:rsidRPr="00086F10" w:rsidRDefault="00CD296F" w:rsidP="00CD296F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Biocidinio produkto gamintojo pavadinimas, adresas</w:t>
      </w:r>
      <w:r w:rsidRPr="00086F1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D296F" w:rsidRPr="00086F10" w:rsidRDefault="009A7FE7" w:rsidP="00425F29">
      <w:pPr>
        <w:overflowPunct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proofErr w:type="spellStart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>Oy</w:t>
      </w:r>
      <w:proofErr w:type="spellEnd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>Transmeri</w:t>
      </w:r>
      <w:proofErr w:type="spellEnd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>Logistics</w:t>
      </w:r>
      <w:proofErr w:type="spellEnd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>Ab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, </w:t>
      </w:r>
      <w:proofErr w:type="spellStart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>Kis</w:t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>a</w:t>
      </w:r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>llintie</w:t>
      </w:r>
      <w:proofErr w:type="spellEnd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13, 01730 </w:t>
      </w:r>
      <w:proofErr w:type="spellStart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>Vantaa</w:t>
      </w:r>
      <w:proofErr w:type="spellEnd"/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>Finland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(</w:t>
      </w:r>
      <w:r w:rsidRPr="009A7FE7">
        <w:rPr>
          <w:rFonts w:ascii="Times New Roman" w:hAnsi="Times New Roman"/>
          <w:color w:val="000000"/>
          <w:sz w:val="24"/>
          <w:szCs w:val="24"/>
          <w:lang w:val="lt-LT" w:eastAsia="lt-LT"/>
        </w:rPr>
        <w:t>Suomija</w:t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>)</w:t>
      </w:r>
      <w:r w:rsidR="00425F29" w:rsidRPr="00086F10">
        <w:rPr>
          <w:rFonts w:ascii="Times New Roman" w:hAnsi="Times New Roman"/>
          <w:color w:val="000000"/>
          <w:sz w:val="24"/>
          <w:szCs w:val="24"/>
          <w:lang w:val="lt-LT" w:eastAsia="lt-LT"/>
        </w:rPr>
        <w:t>.</w:t>
      </w:r>
    </w:p>
    <w:p w:rsidR="00CD296F" w:rsidRPr="00086F10" w:rsidRDefault="00CD296F" w:rsidP="00CD296F">
      <w:pPr>
        <w:jc w:val="both"/>
        <w:rPr>
          <w:rFonts w:ascii="Times New Roman" w:hAnsi="Times New Roman"/>
          <w:caps/>
          <w:sz w:val="24"/>
          <w:szCs w:val="24"/>
          <w:lang w:val="lt-LT"/>
        </w:rPr>
      </w:pPr>
    </w:p>
    <w:p w:rsidR="00CD296F" w:rsidRPr="00086F10" w:rsidRDefault="00CD296F" w:rsidP="00CD296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Veikliųjų medžiagų pavadinimai, CAS ir EB numeriai</w:t>
      </w:r>
      <w:r w:rsidRPr="00086F1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sz w:val="24"/>
          <w:szCs w:val="24"/>
          <w:lang w:val="lt-LT"/>
        </w:rPr>
        <w:t>N,N-</w:t>
      </w:r>
      <w:proofErr w:type="spellStart"/>
      <w:r w:rsidRPr="00086F10">
        <w:rPr>
          <w:rFonts w:ascii="Times New Roman" w:hAnsi="Times New Roman"/>
          <w:sz w:val="24"/>
          <w:szCs w:val="24"/>
          <w:lang w:val="lt-LT"/>
        </w:rPr>
        <w:t>dietil</w:t>
      </w:r>
      <w:proofErr w:type="spellEnd"/>
      <w:r w:rsidRPr="00086F10">
        <w:rPr>
          <w:rFonts w:ascii="Times New Roman" w:hAnsi="Times New Roman"/>
          <w:sz w:val="24"/>
          <w:szCs w:val="24"/>
          <w:lang w:val="lt-LT"/>
        </w:rPr>
        <w:t>-meta-</w:t>
      </w:r>
      <w:proofErr w:type="spellStart"/>
      <w:r w:rsidRPr="00086F10">
        <w:rPr>
          <w:rFonts w:ascii="Times New Roman" w:hAnsi="Times New Roman"/>
          <w:sz w:val="24"/>
          <w:szCs w:val="24"/>
          <w:lang w:val="lt-LT"/>
        </w:rPr>
        <w:t>toluamidas</w:t>
      </w:r>
      <w:proofErr w:type="spellEnd"/>
      <w:r w:rsidRPr="00086F10">
        <w:rPr>
          <w:rFonts w:ascii="Times New Roman" w:hAnsi="Times New Roman"/>
          <w:sz w:val="24"/>
          <w:szCs w:val="24"/>
          <w:lang w:val="lt-LT"/>
        </w:rPr>
        <w:t xml:space="preserve"> (DEET), CAS 134-62-3, EB Nr. 205-149-7</w:t>
      </w:r>
      <w:r w:rsidRPr="00086F10"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CD296F" w:rsidRPr="00086F10" w:rsidRDefault="00CD296F" w:rsidP="00CD296F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CD296F" w:rsidRPr="00086F10" w:rsidRDefault="00CD296F" w:rsidP="00CD296F">
      <w:pPr>
        <w:rPr>
          <w:rFonts w:ascii="Times New Roman" w:hAnsi="Times New Roman"/>
          <w:b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Specialiosios autorizacijos sąlygos</w:t>
      </w:r>
    </w:p>
    <w:p w:rsidR="00CD296F" w:rsidRPr="00086F10" w:rsidRDefault="009A7FE7" w:rsidP="00CD296F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Uodams</w:t>
      </w:r>
      <w:r w:rsidR="00AA54E1" w:rsidRPr="00086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D296F" w:rsidRPr="00086F10">
        <w:rPr>
          <w:rFonts w:ascii="Times New Roman" w:hAnsi="Times New Roman"/>
          <w:sz w:val="24"/>
          <w:szCs w:val="24"/>
          <w:lang w:val="lt-LT"/>
        </w:rPr>
        <w:t>atbaidyti buityje.</w:t>
      </w:r>
    </w:p>
    <w:p w:rsidR="00CD296F" w:rsidRPr="00086F10" w:rsidRDefault="00CD296F" w:rsidP="00CD296F">
      <w:pPr>
        <w:overflowPunct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86F10">
        <w:rPr>
          <w:rFonts w:ascii="Times New Roman" w:hAnsi="Times New Roman"/>
          <w:sz w:val="24"/>
          <w:szCs w:val="24"/>
          <w:lang w:val="lt-LT"/>
        </w:rPr>
        <w:t>Kitos specialiosios autorizacijos są</w:t>
      </w:r>
      <w:r w:rsidR="00216C2F" w:rsidRPr="00086F10">
        <w:rPr>
          <w:rFonts w:ascii="Times New Roman" w:hAnsi="Times New Roman"/>
          <w:sz w:val="24"/>
          <w:szCs w:val="24"/>
          <w:lang w:val="lt-LT"/>
        </w:rPr>
        <w:t>lygos pateikiamos šio liudijimo</w:t>
      </w:r>
      <w:r w:rsidRPr="00086F10">
        <w:rPr>
          <w:rFonts w:ascii="Times New Roman" w:hAnsi="Times New Roman"/>
          <w:sz w:val="24"/>
          <w:szCs w:val="24"/>
          <w:lang w:val="lt-LT"/>
        </w:rPr>
        <w:t xml:space="preserve"> priede.</w:t>
      </w:r>
    </w:p>
    <w:p w:rsidR="00CD296F" w:rsidRPr="00086F10" w:rsidRDefault="00CD296F" w:rsidP="00CD296F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Biocidinio produkto ženklinimas</w:t>
      </w: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sz w:val="24"/>
          <w:szCs w:val="24"/>
          <w:lang w:val="lt-LT"/>
        </w:rPr>
        <w:t xml:space="preserve">Privaloma </w:t>
      </w:r>
      <w:proofErr w:type="spellStart"/>
      <w:r w:rsidRPr="00086F10">
        <w:rPr>
          <w:rFonts w:ascii="Times New Roman" w:hAnsi="Times New Roman"/>
          <w:sz w:val="24"/>
          <w:szCs w:val="24"/>
          <w:lang w:val="lt-LT"/>
        </w:rPr>
        <w:t>biocidinio</w:t>
      </w:r>
      <w:proofErr w:type="spellEnd"/>
      <w:r w:rsidRPr="00086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16C2F" w:rsidRPr="00086F10">
        <w:rPr>
          <w:rFonts w:ascii="Times New Roman" w:hAnsi="Times New Roman"/>
          <w:sz w:val="24"/>
          <w:szCs w:val="24"/>
          <w:lang w:val="lt-LT"/>
        </w:rPr>
        <w:t xml:space="preserve">produkto </w:t>
      </w:r>
      <w:r w:rsidRPr="00086F10">
        <w:rPr>
          <w:rFonts w:ascii="Times New Roman" w:hAnsi="Times New Roman"/>
          <w:sz w:val="24"/>
          <w:szCs w:val="24"/>
          <w:lang w:val="lt-LT"/>
        </w:rPr>
        <w:t>ženklinimo informacija pateikiama šio liudijimo priede.</w:t>
      </w: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</w:p>
    <w:p w:rsidR="00CD296F" w:rsidRPr="00086F1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sz w:val="24"/>
          <w:szCs w:val="24"/>
          <w:lang w:val="lt-LT"/>
        </w:rPr>
        <w:t>Biocidinio produkto autorizacijos liudijimo paieškos nuoroda</w:t>
      </w:r>
    </w:p>
    <w:p w:rsidR="00CD296F" w:rsidRPr="00C11DC0" w:rsidRDefault="00086F10" w:rsidP="00CD296F">
      <w:pPr>
        <w:rPr>
          <w:rFonts w:ascii="Times New Roman" w:hAnsi="Times New Roman"/>
          <w:sz w:val="24"/>
          <w:szCs w:val="24"/>
          <w:lang w:val="lt-LT"/>
        </w:rPr>
      </w:pPr>
      <w:r w:rsidRPr="00C11DC0">
        <w:rPr>
          <w:rFonts w:ascii="Times New Roman" w:hAnsi="Times New Roman"/>
          <w:sz w:val="24"/>
          <w:szCs w:val="24"/>
          <w:lang w:val="lt-LT"/>
        </w:rPr>
        <w:t>A-</w:t>
      </w:r>
      <w:r w:rsidRPr="007110A9">
        <w:rPr>
          <w:rFonts w:ascii="Times New Roman" w:hAnsi="Times New Roman"/>
          <w:sz w:val="24"/>
          <w:szCs w:val="24"/>
          <w:lang w:val="lt-LT"/>
        </w:rPr>
        <w:t>19BAP1</w:t>
      </w:r>
      <w:r w:rsidR="00C943FA">
        <w:rPr>
          <w:rFonts w:ascii="Times New Roman" w:hAnsi="Times New Roman"/>
          <w:sz w:val="24"/>
          <w:szCs w:val="24"/>
          <w:lang w:val="lt-LT"/>
        </w:rPr>
        <w:t>10</w:t>
      </w:r>
      <w:r w:rsidR="007110A9" w:rsidRPr="007110A9">
        <w:rPr>
          <w:rFonts w:ascii="Times New Roman" w:hAnsi="Times New Roman"/>
          <w:sz w:val="24"/>
          <w:szCs w:val="24"/>
          <w:lang w:val="lt-LT"/>
        </w:rPr>
        <w:t>2050.</w:t>
      </w:r>
    </w:p>
    <w:p w:rsidR="00C11DC0" w:rsidRPr="00086F10" w:rsidRDefault="00C11DC0" w:rsidP="00CD296F">
      <w:pPr>
        <w:rPr>
          <w:rFonts w:ascii="Times New Roman" w:hAnsi="Times New Roman"/>
          <w:sz w:val="24"/>
          <w:szCs w:val="24"/>
          <w:lang w:val="lt-LT"/>
        </w:rPr>
      </w:pPr>
    </w:p>
    <w:p w:rsidR="00425F29" w:rsidRPr="00086F10" w:rsidRDefault="00CD296F" w:rsidP="00425F29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086F10">
        <w:rPr>
          <w:rFonts w:ascii="Times New Roman" w:hAnsi="Times New Roman"/>
          <w:color w:val="000000"/>
          <w:sz w:val="24"/>
          <w:szCs w:val="24"/>
        </w:rPr>
        <w:t>Biocidinio</w:t>
      </w:r>
      <w:proofErr w:type="spellEnd"/>
      <w:r w:rsidRPr="00086F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6F10">
        <w:rPr>
          <w:rFonts w:ascii="Times New Roman" w:hAnsi="Times New Roman"/>
          <w:color w:val="000000"/>
          <w:sz w:val="24"/>
          <w:szCs w:val="24"/>
        </w:rPr>
        <w:t>produkto</w:t>
      </w:r>
      <w:proofErr w:type="spellEnd"/>
      <w:r w:rsidRPr="00086F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6F10">
        <w:rPr>
          <w:rFonts w:ascii="Times New Roman" w:hAnsi="Times New Roman"/>
          <w:color w:val="000000"/>
          <w:sz w:val="24"/>
          <w:szCs w:val="24"/>
        </w:rPr>
        <w:t>autorizacijos</w:t>
      </w:r>
      <w:proofErr w:type="spellEnd"/>
      <w:r w:rsidRPr="00086F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6F10">
        <w:rPr>
          <w:rFonts w:ascii="Times New Roman" w:hAnsi="Times New Roman"/>
          <w:color w:val="000000"/>
          <w:sz w:val="24"/>
          <w:szCs w:val="24"/>
        </w:rPr>
        <w:t>liudijimo</w:t>
      </w:r>
      <w:proofErr w:type="spellEnd"/>
      <w:r w:rsidRPr="00086F10">
        <w:rPr>
          <w:rFonts w:ascii="Times New Roman" w:hAnsi="Times New Roman"/>
          <w:color w:val="000000"/>
          <w:sz w:val="24"/>
          <w:szCs w:val="24"/>
        </w:rPr>
        <w:t xml:space="preserve"> Nr. </w:t>
      </w:r>
      <w:r w:rsidR="003D065C" w:rsidRPr="00086F10">
        <w:rPr>
          <w:rFonts w:ascii="Times New Roman" w:hAnsi="Times New Roman"/>
          <w:color w:val="000000"/>
          <w:sz w:val="24"/>
          <w:szCs w:val="24"/>
        </w:rPr>
        <w:t>UK-201</w:t>
      </w:r>
      <w:r w:rsidR="009A7FE7">
        <w:rPr>
          <w:rFonts w:ascii="Times New Roman" w:hAnsi="Times New Roman"/>
          <w:color w:val="000000"/>
          <w:sz w:val="24"/>
          <w:szCs w:val="24"/>
        </w:rPr>
        <w:t>7</w:t>
      </w:r>
      <w:r w:rsidR="003D065C" w:rsidRPr="00086F10">
        <w:rPr>
          <w:rFonts w:ascii="Times New Roman" w:hAnsi="Times New Roman"/>
          <w:color w:val="000000"/>
          <w:sz w:val="24"/>
          <w:szCs w:val="24"/>
        </w:rPr>
        <w:t>-</w:t>
      </w:r>
      <w:r w:rsidR="00425F29" w:rsidRPr="00086F10">
        <w:rPr>
          <w:rFonts w:ascii="Times New Roman" w:hAnsi="Times New Roman"/>
          <w:color w:val="000000"/>
          <w:sz w:val="24"/>
          <w:szCs w:val="24"/>
        </w:rPr>
        <w:t>10</w:t>
      </w:r>
      <w:r w:rsidR="009A7FE7">
        <w:rPr>
          <w:rFonts w:ascii="Times New Roman" w:hAnsi="Times New Roman"/>
          <w:color w:val="000000"/>
          <w:sz w:val="24"/>
          <w:szCs w:val="24"/>
        </w:rPr>
        <w:t>66</w:t>
      </w:r>
      <w:r w:rsidRPr="00086F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6F10">
        <w:rPr>
          <w:rFonts w:ascii="Times New Roman" w:hAnsi="Times New Roman"/>
          <w:color w:val="000000"/>
          <w:sz w:val="24"/>
          <w:szCs w:val="24"/>
        </w:rPr>
        <w:t>abipusis</w:t>
      </w:r>
      <w:proofErr w:type="spellEnd"/>
      <w:r w:rsidRPr="00086F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6F10">
        <w:rPr>
          <w:rFonts w:ascii="Times New Roman" w:hAnsi="Times New Roman"/>
          <w:color w:val="000000"/>
          <w:sz w:val="24"/>
          <w:szCs w:val="24"/>
        </w:rPr>
        <w:t>pripa</w:t>
      </w:r>
      <w:proofErr w:type="spellEnd"/>
      <w:r w:rsidRPr="00086F10">
        <w:rPr>
          <w:rFonts w:ascii="Times New Roman" w:hAnsi="Times New Roman"/>
          <w:color w:val="000000"/>
          <w:sz w:val="24"/>
          <w:szCs w:val="24"/>
          <w:lang w:val="lt-LT"/>
        </w:rPr>
        <w:t>žinimas.</w:t>
      </w:r>
      <w:r w:rsidR="003D065C" w:rsidRPr="00086F10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3D065C" w:rsidRPr="00086F10" w:rsidRDefault="003D065C" w:rsidP="003D065C">
      <w:pPr>
        <w:jc w:val="both"/>
        <w:rPr>
          <w:sz w:val="24"/>
          <w:szCs w:val="24"/>
          <w:lang w:val="lt-LT"/>
        </w:rPr>
      </w:pPr>
    </w:p>
    <w:p w:rsidR="00086F10" w:rsidRPr="00086F10" w:rsidRDefault="00086F10" w:rsidP="00CD296F">
      <w:pPr>
        <w:jc w:val="both"/>
        <w:rPr>
          <w:rFonts w:ascii="Times New Roman" w:hAnsi="Times New Roman"/>
          <w:b/>
          <w:color w:val="000000"/>
          <w:sz w:val="24"/>
          <w:szCs w:val="24"/>
          <w:lang w:val="lt-LT"/>
        </w:rPr>
      </w:pPr>
    </w:p>
    <w:p w:rsidR="00CD296F" w:rsidRPr="00086F10" w:rsidRDefault="00CD296F" w:rsidP="00CD296F">
      <w:pPr>
        <w:jc w:val="both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086F10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Vilniaus departamento </w:t>
      </w:r>
      <w:r w:rsidR="002A2066" w:rsidRPr="00086F10">
        <w:rPr>
          <w:rFonts w:ascii="Times New Roman" w:hAnsi="Times New Roman"/>
          <w:b/>
          <w:color w:val="000000"/>
          <w:sz w:val="24"/>
          <w:szCs w:val="24"/>
          <w:lang w:val="lt-LT"/>
        </w:rPr>
        <w:t>direktorė</w:t>
      </w:r>
      <w:r w:rsidRPr="00086F10">
        <w:rPr>
          <w:rFonts w:ascii="Times New Roman" w:hAnsi="Times New Roman"/>
          <w:b/>
          <w:color w:val="000000"/>
          <w:sz w:val="24"/>
          <w:szCs w:val="24"/>
          <w:lang w:val="lt-LT"/>
        </w:rPr>
        <w:tab/>
      </w:r>
      <w:r w:rsidRPr="00086F10">
        <w:rPr>
          <w:rFonts w:ascii="Times New Roman" w:hAnsi="Times New Roman"/>
          <w:b/>
          <w:color w:val="000000"/>
          <w:sz w:val="24"/>
          <w:szCs w:val="24"/>
          <w:lang w:val="lt-LT"/>
        </w:rPr>
        <w:tab/>
      </w:r>
      <w:r w:rsidR="002A2066" w:rsidRPr="00086F10">
        <w:rPr>
          <w:rFonts w:ascii="Times New Roman" w:hAnsi="Times New Roman"/>
          <w:b/>
          <w:color w:val="000000"/>
          <w:sz w:val="24"/>
          <w:szCs w:val="24"/>
          <w:lang w:val="lt-LT"/>
        </w:rPr>
        <w:tab/>
        <w:t>Rolanda Lingienė</w:t>
      </w:r>
    </w:p>
    <w:p w:rsidR="00CD296F" w:rsidRPr="00086F10" w:rsidRDefault="00CD296F" w:rsidP="00CD296F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086F10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Pr="00086F10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C11DC0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</w:t>
      </w:r>
      <w:r w:rsidRPr="00086F10">
        <w:rPr>
          <w:rFonts w:ascii="Times New Roman" w:hAnsi="Times New Roman"/>
          <w:b/>
          <w:sz w:val="24"/>
          <w:szCs w:val="24"/>
          <w:lang w:val="lt-LT"/>
        </w:rPr>
        <w:t xml:space="preserve">A.V.           </w:t>
      </w:r>
    </w:p>
    <w:p w:rsidR="00086F10" w:rsidRDefault="00086F10" w:rsidP="00425F2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086F10" w:rsidRDefault="00086F10" w:rsidP="00425F2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086F10" w:rsidRDefault="00086F10" w:rsidP="00425F2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086F10" w:rsidRDefault="00086F10" w:rsidP="00425F2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B8099C" w:rsidRDefault="00B8099C" w:rsidP="00425F2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3A7AD1" w:rsidRDefault="003D065C" w:rsidP="00C11DC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86F10">
        <w:rPr>
          <w:rFonts w:ascii="Times New Roman" w:hAnsi="Times New Roman"/>
          <w:sz w:val="24"/>
          <w:szCs w:val="24"/>
          <w:lang w:val="lt-LT"/>
        </w:rPr>
        <w:t>Liudijimą gava</w:t>
      </w:r>
      <w:r w:rsidR="00A051A2">
        <w:rPr>
          <w:rFonts w:ascii="Times New Roman" w:hAnsi="Times New Roman"/>
          <w:sz w:val="24"/>
          <w:szCs w:val="24"/>
          <w:lang w:val="lt-LT"/>
        </w:rPr>
        <w:t>u</w:t>
      </w:r>
    </w:p>
    <w:p w:rsidR="00C11DC0" w:rsidRDefault="00C11DC0" w:rsidP="00D346B6">
      <w:pPr>
        <w:ind w:left="3960" w:hanging="41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11DC0" w:rsidRDefault="00C11DC0" w:rsidP="00D346B6">
      <w:pPr>
        <w:ind w:left="3960" w:hanging="41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D065C" w:rsidRPr="00491C20" w:rsidRDefault="00CD296F" w:rsidP="00D346B6">
      <w:pPr>
        <w:ind w:left="3960" w:hanging="416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491C20">
        <w:rPr>
          <w:rFonts w:ascii="Times New Roman" w:hAnsi="Times New Roman"/>
          <w:sz w:val="24"/>
          <w:szCs w:val="24"/>
          <w:lang w:val="lt-LT"/>
        </w:rPr>
        <w:lastRenderedPageBreak/>
        <w:t>Biocidinio</w:t>
      </w:r>
      <w:proofErr w:type="spellEnd"/>
      <w:r w:rsidRPr="00491C20">
        <w:rPr>
          <w:rFonts w:ascii="Times New Roman" w:hAnsi="Times New Roman"/>
          <w:sz w:val="24"/>
          <w:szCs w:val="24"/>
          <w:lang w:val="lt-LT"/>
        </w:rPr>
        <w:t xml:space="preserve"> produkto autorizacijos liudijimo</w:t>
      </w:r>
      <w:r w:rsidR="003D065C" w:rsidRPr="00491C2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D296F" w:rsidRPr="00491C20" w:rsidRDefault="00CD296F" w:rsidP="00D346B6">
      <w:pPr>
        <w:ind w:left="3969" w:hanging="425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491C20">
        <w:rPr>
          <w:rFonts w:ascii="Times New Roman" w:hAnsi="Times New Roman"/>
          <w:sz w:val="24"/>
          <w:szCs w:val="24"/>
          <w:lang w:val="lt-LT"/>
        </w:rPr>
        <w:t xml:space="preserve">Nr. </w:t>
      </w:r>
      <w:r w:rsidR="00606981" w:rsidRPr="00C11DC0">
        <w:rPr>
          <w:sz w:val="24"/>
          <w:szCs w:val="24"/>
          <w:lang w:val="pt-PT"/>
        </w:rPr>
        <w:t>(10-14 17.5)BSV-</w:t>
      </w:r>
      <w:r w:rsidR="00E77A66">
        <w:rPr>
          <w:sz w:val="24"/>
          <w:szCs w:val="24"/>
          <w:lang w:val="pt-PT"/>
        </w:rPr>
        <w:t>3282</w:t>
      </w:r>
      <w:r w:rsidR="00D346B6" w:rsidRPr="00C11DC0">
        <w:rPr>
          <w:rFonts w:ascii="Times New Roman" w:hAnsi="Times New Roman"/>
          <w:sz w:val="24"/>
          <w:szCs w:val="24"/>
          <w:lang w:val="lt-LT"/>
        </w:rPr>
        <w:t>(</w:t>
      </w:r>
      <w:r w:rsidR="00D346B6" w:rsidRPr="00C11DC0">
        <w:rPr>
          <w:rFonts w:ascii="Times New Roman" w:hAnsi="Times New Roman"/>
          <w:color w:val="000000"/>
          <w:sz w:val="24"/>
          <w:szCs w:val="24"/>
          <w:lang w:val="lt-LT"/>
        </w:rPr>
        <w:t>A-19BAP</w:t>
      </w:r>
      <w:r w:rsidR="00086F10" w:rsidRPr="00C11DC0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C943FA">
        <w:rPr>
          <w:rFonts w:ascii="Times New Roman" w:hAnsi="Times New Roman"/>
          <w:color w:val="000000"/>
          <w:sz w:val="24"/>
          <w:szCs w:val="24"/>
          <w:lang w:val="lt-LT"/>
        </w:rPr>
        <w:t>10</w:t>
      </w:r>
      <w:r w:rsidR="00C943FA" w:rsidRPr="00C943FA">
        <w:rPr>
          <w:rFonts w:ascii="Times New Roman" w:hAnsi="Times New Roman"/>
          <w:color w:val="000000"/>
          <w:sz w:val="24"/>
          <w:szCs w:val="24"/>
          <w:lang w:val="lt-LT"/>
        </w:rPr>
        <w:t>2050-18-29</w:t>
      </w:r>
      <w:r w:rsidR="00D346B6" w:rsidRPr="00C11DC0">
        <w:rPr>
          <w:rFonts w:ascii="Times New Roman" w:hAnsi="Times New Roman"/>
          <w:color w:val="000000"/>
          <w:sz w:val="24"/>
          <w:szCs w:val="24"/>
          <w:lang w:val="lt-LT"/>
        </w:rPr>
        <w:t>)</w:t>
      </w:r>
    </w:p>
    <w:p w:rsidR="00CD296F" w:rsidRPr="00491C20" w:rsidRDefault="00CD296F" w:rsidP="00D346B6">
      <w:pPr>
        <w:ind w:left="4680" w:hanging="1136"/>
        <w:jc w:val="both"/>
        <w:rPr>
          <w:rFonts w:ascii="Times New Roman" w:hAnsi="Times New Roman"/>
          <w:sz w:val="24"/>
          <w:szCs w:val="24"/>
          <w:lang w:val="lt-LT"/>
        </w:rPr>
      </w:pPr>
      <w:r w:rsidRPr="00491C20">
        <w:rPr>
          <w:rFonts w:ascii="Times New Roman" w:hAnsi="Times New Roman"/>
          <w:sz w:val="24"/>
          <w:szCs w:val="24"/>
          <w:lang w:val="lt-LT"/>
        </w:rPr>
        <w:t>priedas</w:t>
      </w:r>
    </w:p>
    <w:p w:rsidR="00CD296F" w:rsidRPr="00491C20" w:rsidRDefault="00CD296F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D296F" w:rsidRPr="00491C20" w:rsidRDefault="00CD296F" w:rsidP="00CD296F">
      <w:pPr>
        <w:overflowPunct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91C20">
        <w:rPr>
          <w:rFonts w:ascii="Times New Roman" w:hAnsi="Times New Roman"/>
          <w:b/>
          <w:sz w:val="24"/>
          <w:szCs w:val="24"/>
          <w:lang w:val="lt-LT"/>
        </w:rPr>
        <w:t xml:space="preserve">AUTORIZACIJOS SĄLYGOS </w:t>
      </w:r>
    </w:p>
    <w:p w:rsidR="00CD296F" w:rsidRPr="00491C20" w:rsidRDefault="00CD296F" w:rsidP="00CD296F">
      <w:pPr>
        <w:overflowPunct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91C2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CD296F" w:rsidRPr="00491C20" w:rsidRDefault="00CD296F" w:rsidP="00CD296F">
      <w:pPr>
        <w:overflowPunct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91C20">
        <w:rPr>
          <w:rFonts w:ascii="Times New Roman" w:hAnsi="Times New Roman"/>
          <w:b/>
          <w:sz w:val="24"/>
          <w:szCs w:val="24"/>
          <w:lang w:val="lt-LT"/>
        </w:rPr>
        <w:t>BIOCIDINIO PRODUKTO CHARAKTERISTIKŲ SANTRAUKA</w:t>
      </w:r>
    </w:p>
    <w:p w:rsidR="00CD296F" w:rsidRPr="00491C20" w:rsidRDefault="00CD296F" w:rsidP="00CD296F">
      <w:pPr>
        <w:pStyle w:val="Heading1"/>
        <w:rPr>
          <w:rFonts w:ascii="Times New Roman" w:hAnsi="Times New Roman"/>
          <w:szCs w:val="24"/>
          <w:lang w:val="lt-LT"/>
        </w:rPr>
      </w:pPr>
      <w:bookmarkStart w:id="1" w:name="_Toc368997686"/>
      <w:bookmarkStart w:id="2" w:name="_Toc381886207"/>
      <w:bookmarkStart w:id="3" w:name="d0e7"/>
      <w:bookmarkStart w:id="4" w:name="d0e6"/>
      <w:r w:rsidRPr="00491C20">
        <w:rPr>
          <w:rFonts w:ascii="Times New Roman" w:hAnsi="Times New Roman"/>
          <w:b w:val="0"/>
          <w:szCs w:val="24"/>
          <w:lang w:val="lt-LT" w:eastAsia="lt-LT"/>
        </w:rPr>
        <w:t>1. Administracinė informacija</w:t>
      </w:r>
      <w:bookmarkEnd w:id="1"/>
      <w:bookmarkEnd w:id="2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</w:pPr>
      <w:bookmarkStart w:id="5" w:name="_Toc381967580"/>
      <w:bookmarkEnd w:id="3"/>
      <w:bookmarkEnd w:id="4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1.1. Produkto prekinis pavadinimas</w:t>
      </w:r>
      <w:bookmarkEnd w:id="5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820"/>
      </w:tblGrid>
      <w:tr w:rsidR="00CD296F" w:rsidRPr="00491C20" w:rsidTr="00946524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6" w:name="d0e13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Prekinis pavadinimas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Šalis (jeigu taikytina)</w:t>
            </w:r>
          </w:p>
        </w:tc>
      </w:tr>
      <w:tr w:rsidR="00CD296F" w:rsidRPr="00491C20" w:rsidTr="00946524"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9A7FE7" w:rsidP="00AF02A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7" w:name="d0e26"/>
            <w:bookmarkEnd w:id="6"/>
            <w:r w:rsidRPr="009A7F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Aerozolis nuo uod</w:t>
            </w:r>
            <w:r w:rsidR="006D66F1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Pr="009A7F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"OFF! </w:t>
            </w:r>
            <w:proofErr w:type="spellStart"/>
            <w:r w:rsidRPr="009A7F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Active</w:t>
            </w:r>
            <w:proofErr w:type="spellEnd"/>
            <w:r w:rsidRPr="009A7F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Lietuva</w:t>
            </w:r>
          </w:p>
        </w:tc>
      </w:tr>
    </w:tbl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8" w:name="d0e59"/>
      <w:bookmarkEnd w:id="7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9" w:name="_Toc381967581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1.2. Autorizacijos liudijimo turėtojas</w:t>
      </w:r>
      <w:bookmarkEnd w:id="9"/>
    </w:p>
    <w:tbl>
      <w:tblPr>
        <w:tblW w:w="945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605"/>
        <w:gridCol w:w="4243"/>
      </w:tblGrid>
      <w:tr w:rsidR="00CD296F" w:rsidRPr="00491C20" w:rsidTr="00946524"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Autorizacijos liudijimo turėtojo pavadinimas (vardas ir pavardė) ir adresas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Pavadinimas (vardas ir pavardė)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</w:tcPr>
          <w:p w:rsidR="00CD296F" w:rsidRPr="006D66F1" w:rsidRDefault="006D66F1" w:rsidP="00425F29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D66F1">
              <w:rPr>
                <w:rFonts w:ascii="Times New Roman" w:hAnsi="Times New Roman" w:cs="Times New Roman"/>
                <w:bCs w:val="0"/>
                <w:sz w:val="24"/>
                <w:szCs w:val="24"/>
              </w:rPr>
              <w:t>SC Johnson Europe SARL.</w:t>
            </w:r>
          </w:p>
        </w:tc>
      </w:tr>
      <w:tr w:rsidR="00CD296F" w:rsidRPr="00491C20" w:rsidTr="00946524">
        <w:tc>
          <w:tcPr>
            <w:tcW w:w="3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6F" w:rsidRPr="00491C20" w:rsidRDefault="00CD296F" w:rsidP="001C6D11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</w:tcPr>
          <w:p w:rsidR="00CD296F" w:rsidRPr="006D66F1" w:rsidRDefault="006D66F1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D66F1">
              <w:rPr>
                <w:rFonts w:ascii="Times New Roman" w:hAnsi="Times New Roman"/>
                <w:bCs/>
                <w:sz w:val="24"/>
                <w:szCs w:val="24"/>
              </w:rPr>
              <w:t>Z.A. la Piece 8, 1180 Rolle (</w:t>
            </w:r>
            <w:proofErr w:type="spellStart"/>
            <w:r w:rsidRPr="006D66F1">
              <w:rPr>
                <w:rFonts w:ascii="Times New Roman" w:hAnsi="Times New Roman"/>
                <w:bCs/>
                <w:sz w:val="24"/>
                <w:szCs w:val="24"/>
              </w:rPr>
              <w:t>Šveicarija</w:t>
            </w:r>
            <w:proofErr w:type="spellEnd"/>
            <w:r w:rsidRPr="006D66F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D296F" w:rsidRPr="00491C20" w:rsidTr="00946524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Autorizacijos liudijimo numeris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C11DC0" w:rsidRDefault="00C11DC0" w:rsidP="00D346B6">
            <w:pPr>
              <w:pStyle w:val="Special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11DC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(10-14 17.5)BSV-</w:t>
            </w:r>
            <w:r w:rsidR="00E77A6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3282</w:t>
            </w:r>
            <w:r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C11DC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A-19BAP1</w:t>
            </w:r>
            <w:r w:rsidR="00C943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102050-18-29</w:t>
            </w:r>
            <w:r w:rsidRPr="00C11DC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)</w:t>
            </w:r>
          </w:p>
        </w:tc>
      </w:tr>
      <w:tr w:rsidR="00CD296F" w:rsidRPr="00491C20" w:rsidTr="00946524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Autorizacijos liudijimo data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C11DC0" w:rsidRDefault="00CD296F" w:rsidP="00086F10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C11DC0"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C11DC0"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</w:t>
            </w:r>
            <w:r w:rsidR="00086F10"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A7FE7"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C11DC0"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9A7FE7"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2EC8"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C11D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CD296F" w:rsidRPr="00491C20" w:rsidTr="00946524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Autorizacijos liudijimo galiojimo pabaigos data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946524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9A7F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491C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9A7F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vasario 20</w:t>
            </w:r>
            <w:r w:rsidRPr="00491C2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d.</w:t>
            </w:r>
          </w:p>
        </w:tc>
      </w:tr>
    </w:tbl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10" w:name="d0e146"/>
      <w:bookmarkEnd w:id="8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11" w:name="_Toc381967582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1.3. Produkto gamintojas (-ai)</w:t>
      </w:r>
      <w:bookmarkEnd w:id="11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883"/>
      </w:tblGrid>
      <w:tr w:rsidR="00CD296F" w:rsidRPr="00491C20" w:rsidTr="00946524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2" w:name="d0e149"/>
            <w:bookmarkEnd w:id="10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pavadinimas</w:t>
            </w:r>
          </w:p>
        </w:tc>
        <w:tc>
          <w:tcPr>
            <w:tcW w:w="5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7FE7" w:rsidRPr="00086F10" w:rsidRDefault="009A7FE7" w:rsidP="009A7FE7">
            <w:pPr>
              <w:overflowPunc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Oy</w:t>
            </w:r>
            <w:proofErr w:type="spellEnd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Transmeri</w:t>
            </w:r>
            <w:proofErr w:type="spellEnd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Logistics</w:t>
            </w:r>
            <w:proofErr w:type="spellEnd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Ab</w:t>
            </w:r>
            <w:proofErr w:type="spellEnd"/>
          </w:p>
          <w:p w:rsidR="00CD296F" w:rsidRPr="00491C20" w:rsidRDefault="00CD296F" w:rsidP="00425F29">
            <w:pPr>
              <w:overflowPunc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bookmarkEnd w:id="12"/>
      <w:tr w:rsidR="00CD296F" w:rsidRPr="00491C20" w:rsidTr="00946524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adresas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9A7FE7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>Kisallintie</w:t>
            </w:r>
            <w:proofErr w:type="spellEnd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13, 01730 </w:t>
            </w:r>
            <w:proofErr w:type="spellStart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>Vantaa</w:t>
            </w:r>
            <w:proofErr w:type="spellEnd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>Finland</w:t>
            </w:r>
            <w:proofErr w:type="spellEnd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(Suomija).</w:t>
            </w:r>
          </w:p>
        </w:tc>
      </w:tr>
      <w:tr w:rsidR="00CD296F" w:rsidRPr="00491C20" w:rsidTr="0094652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Gamybos vietos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9A7FE7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Kis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a</w:t>
            </w:r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llintie</w:t>
            </w:r>
            <w:proofErr w:type="spellEnd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13, 01730 </w:t>
            </w:r>
            <w:proofErr w:type="spellStart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Vantaa</w:t>
            </w:r>
            <w:proofErr w:type="spellEnd"/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Finland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(</w:t>
            </w:r>
            <w:r w:rsidRPr="009A7FE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Suomija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)</w:t>
            </w:r>
            <w:r w:rsidRPr="00086F1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</w:tbl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13" w:name="d0e239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14" w:name="_Toc368997690"/>
      <w:bookmarkStart w:id="15" w:name="_Toc381967583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1.4. Veikliosios (-</w:t>
      </w:r>
      <w:proofErr w:type="spellStart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iųjų</w:t>
      </w:r>
      <w:proofErr w:type="spellEnd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) medžiagos (-ų) gamintojas (-ai)</w:t>
      </w:r>
      <w:bookmarkEnd w:id="14"/>
      <w:bookmarkEnd w:id="15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*</w:t>
      </w: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5883"/>
      </w:tblGrid>
      <w:tr w:rsidR="00CD296F" w:rsidRPr="00491C20" w:rsidTr="00946524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bookmarkStart w:id="16" w:name="d0e246"/>
            <w:bookmarkEnd w:id="13"/>
            <w:r w:rsidRPr="00491C2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Veiklioji medžiaga</w:t>
            </w:r>
          </w:p>
        </w:tc>
        <w:tc>
          <w:tcPr>
            <w:tcW w:w="5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N,N-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dietil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-meta-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toluamidas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(DEET)</w:t>
            </w:r>
          </w:p>
        </w:tc>
      </w:tr>
      <w:bookmarkEnd w:id="16"/>
      <w:tr w:rsidR="00CD296F" w:rsidRPr="00491C20" w:rsidTr="00946524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pavadinimas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814465" w:rsidRDefault="009A7FE7" w:rsidP="001C6D11">
            <w:pPr>
              <w:overflowPunct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814465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>Vertellus</w:t>
            </w:r>
            <w:proofErr w:type="spellEnd"/>
            <w:r w:rsidRPr="00814465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 xml:space="preserve"> </w:t>
            </w:r>
            <w:proofErr w:type="spellStart"/>
            <w:r w:rsidRPr="00814465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>Performance</w:t>
            </w:r>
            <w:proofErr w:type="spellEnd"/>
            <w:r w:rsidRPr="00814465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 xml:space="preserve"> </w:t>
            </w:r>
            <w:proofErr w:type="spellStart"/>
            <w:r w:rsidRPr="00814465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>Materials</w:t>
            </w:r>
            <w:proofErr w:type="spellEnd"/>
            <w:r w:rsidRPr="00814465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 xml:space="preserve"> </w:t>
            </w:r>
            <w:proofErr w:type="spellStart"/>
            <w:r w:rsidRPr="00814465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>Inc</w:t>
            </w:r>
            <w:proofErr w:type="spellEnd"/>
            <w:r w:rsidR="00814465" w:rsidRPr="00814465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>.</w:t>
            </w:r>
          </w:p>
        </w:tc>
      </w:tr>
      <w:tr w:rsidR="00CD296F" w:rsidRPr="00491C20" w:rsidTr="00946524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7" w:name="d0e269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adresas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9A7FE7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2110 </w:t>
            </w:r>
            <w:proofErr w:type="spellStart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>High</w:t>
            </w:r>
            <w:proofErr w:type="spellEnd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>Point</w:t>
            </w:r>
            <w:proofErr w:type="spellEnd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>Road</w:t>
            </w:r>
            <w:proofErr w:type="spellEnd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NC 27402, </w:t>
            </w:r>
            <w:proofErr w:type="spellStart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>Greensboro</w:t>
            </w:r>
            <w:proofErr w:type="spellEnd"/>
            <w:r w:rsidRPr="009A7FE7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8144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USA (JAV).</w:t>
            </w:r>
          </w:p>
        </w:tc>
      </w:tr>
      <w:bookmarkEnd w:id="17"/>
      <w:tr w:rsidR="00CD296F" w:rsidRPr="00491C20" w:rsidTr="0094652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Gamybos vietos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814465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4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2110 </w:t>
            </w:r>
            <w:proofErr w:type="spellStart"/>
            <w:r w:rsidRPr="00814465">
              <w:rPr>
                <w:rFonts w:ascii="Times New Roman" w:hAnsi="Times New Roman"/>
                <w:sz w:val="24"/>
                <w:szCs w:val="24"/>
                <w:lang w:val="lt-LT"/>
              </w:rPr>
              <w:t>High</w:t>
            </w:r>
            <w:proofErr w:type="spellEnd"/>
            <w:r w:rsidRPr="008144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14465">
              <w:rPr>
                <w:rFonts w:ascii="Times New Roman" w:hAnsi="Times New Roman"/>
                <w:sz w:val="24"/>
                <w:szCs w:val="24"/>
                <w:lang w:val="lt-LT"/>
              </w:rPr>
              <w:t>Point</w:t>
            </w:r>
            <w:proofErr w:type="spellEnd"/>
            <w:r w:rsidRPr="008144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14465">
              <w:rPr>
                <w:rFonts w:ascii="Times New Roman" w:hAnsi="Times New Roman"/>
                <w:sz w:val="24"/>
                <w:szCs w:val="24"/>
                <w:lang w:val="lt-LT"/>
              </w:rPr>
              <w:t>Road</w:t>
            </w:r>
            <w:proofErr w:type="spellEnd"/>
            <w:r w:rsidRPr="008144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NC 27402, </w:t>
            </w:r>
            <w:proofErr w:type="spellStart"/>
            <w:r w:rsidRPr="00814465">
              <w:rPr>
                <w:rFonts w:ascii="Times New Roman" w:hAnsi="Times New Roman"/>
                <w:sz w:val="24"/>
                <w:szCs w:val="24"/>
                <w:lang w:val="lt-LT"/>
              </w:rPr>
              <w:t>Greensboro</w:t>
            </w:r>
            <w:proofErr w:type="spellEnd"/>
            <w:r w:rsidRPr="00814465">
              <w:rPr>
                <w:rFonts w:ascii="Times New Roman" w:hAnsi="Times New Roman"/>
                <w:sz w:val="24"/>
                <w:szCs w:val="24"/>
                <w:lang w:val="lt-LT"/>
              </w:rPr>
              <w:t>, USA (JAV)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CD296F" w:rsidRPr="00491C20" w:rsidRDefault="00CD296F" w:rsidP="00CD296F">
      <w:pPr>
        <w:jc w:val="both"/>
        <w:rPr>
          <w:rFonts w:ascii="Times New Roman" w:hAnsi="Times New Roman"/>
          <w:sz w:val="24"/>
          <w:szCs w:val="24"/>
          <w:lang w:val="lt-LT"/>
        </w:rPr>
      </w:pPr>
      <w:bookmarkStart w:id="18" w:name="d0e350"/>
    </w:p>
    <w:p w:rsidR="00CD296F" w:rsidRPr="00491C20" w:rsidRDefault="00CD296F" w:rsidP="00CD296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491C20">
        <w:rPr>
          <w:rFonts w:ascii="Times New Roman" w:hAnsi="Times New Roman"/>
          <w:sz w:val="24"/>
          <w:szCs w:val="24"/>
          <w:lang w:val="lt-LT"/>
        </w:rPr>
        <w:t xml:space="preserve">*duomenys apie veikliųjų medžiagų gamintoją pateikiami asmens, kuriam išduotas </w:t>
      </w:r>
      <w:proofErr w:type="spellStart"/>
      <w:r w:rsidRPr="00491C20">
        <w:rPr>
          <w:rFonts w:ascii="Times New Roman" w:hAnsi="Times New Roman"/>
          <w:sz w:val="24"/>
          <w:szCs w:val="24"/>
          <w:lang w:val="lt-LT"/>
        </w:rPr>
        <w:t>biocidinio</w:t>
      </w:r>
      <w:proofErr w:type="spellEnd"/>
      <w:r w:rsidRPr="00491C20">
        <w:rPr>
          <w:rFonts w:ascii="Times New Roman" w:hAnsi="Times New Roman"/>
          <w:sz w:val="24"/>
          <w:szCs w:val="24"/>
          <w:lang w:val="lt-LT"/>
        </w:rPr>
        <w:t xml:space="preserve"> produkto autorizacijos liudijimas, sutikimu.</w:t>
      </w:r>
    </w:p>
    <w:p w:rsidR="00CD296F" w:rsidRPr="00491C20" w:rsidRDefault="00CD296F" w:rsidP="00CD296F">
      <w:pPr>
        <w:rPr>
          <w:rFonts w:ascii="Times New Roman" w:hAnsi="Times New Roman"/>
          <w:sz w:val="24"/>
          <w:szCs w:val="24"/>
          <w:lang w:val="lt-LT" w:eastAsia="de-DE"/>
        </w:rPr>
      </w:pPr>
    </w:p>
    <w:p w:rsidR="00CD296F" w:rsidRPr="00491C20" w:rsidRDefault="00CD296F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lt-LT"/>
        </w:rPr>
      </w:pPr>
      <w:bookmarkStart w:id="19" w:name="_Toc381967584"/>
      <w:r w:rsidRPr="00491C20">
        <w:rPr>
          <w:rFonts w:ascii="Times New Roman" w:hAnsi="Times New Roman"/>
          <w:b w:val="0"/>
          <w:szCs w:val="24"/>
          <w:lang w:val="lt-LT" w:eastAsia="lt-LT"/>
        </w:rPr>
        <w:t>2. Produkto sudėtis ir forma</w:t>
      </w:r>
      <w:bookmarkEnd w:id="19"/>
    </w:p>
    <w:p w:rsidR="00CD296F" w:rsidRPr="00491C2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20" w:name="_Toc381967585"/>
      <w:bookmarkEnd w:id="18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lastRenderedPageBreak/>
        <w:t>2.1. Kiekybinė ir kokybinė informacija apie produkto sudėtį</w:t>
      </w:r>
      <w:bookmarkEnd w:id="20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**</w:t>
      </w: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353"/>
        <w:gridCol w:w="1353"/>
        <w:gridCol w:w="1353"/>
        <w:gridCol w:w="1353"/>
        <w:gridCol w:w="1825"/>
      </w:tblGrid>
      <w:tr w:rsidR="00CD296F" w:rsidRPr="00491C20" w:rsidTr="00946524">
        <w:trPr>
          <w:tblHeader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21" w:name="d0e356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Bendrasis pavadinimas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IUPAC pavadinimas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Funkcinė paskirtis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CAS numeris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EB numeris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Kiekis (proc.)</w:t>
            </w:r>
          </w:p>
        </w:tc>
      </w:tr>
      <w:bookmarkEnd w:id="21"/>
      <w:tr w:rsidR="00CD296F" w:rsidRPr="00491C20" w:rsidTr="00946524"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DEET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N,N-dietil-3-metil-benzoamidas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C20">
              <w:rPr>
                <w:rFonts w:ascii="Times New Roman" w:hAnsi="Times New Roman"/>
                <w:sz w:val="24"/>
                <w:szCs w:val="24"/>
              </w:rPr>
              <w:t>Veiklioji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</w:rPr>
              <w:t>medžiaga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CAS Nr. 134-62-3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EB Nr. </w:t>
            </w:r>
            <w:r w:rsidRPr="00491C20">
              <w:rPr>
                <w:rFonts w:ascii="Times New Roman" w:hAnsi="Times New Roman"/>
                <w:sz w:val="24"/>
                <w:szCs w:val="24"/>
              </w:rPr>
              <w:t>205-149-7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814465" w:rsidP="001C6D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D296F" w:rsidRPr="0049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CD296F" w:rsidRPr="00491C20" w:rsidTr="00946524">
        <w:tc>
          <w:tcPr>
            <w:tcW w:w="949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22" w:name="d0e437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Pilna sudėtis pateikta R4BP</w:t>
            </w:r>
          </w:p>
        </w:tc>
      </w:tr>
    </w:tbl>
    <w:p w:rsidR="00CD296F" w:rsidRPr="00491C20" w:rsidRDefault="00CD296F" w:rsidP="00CD296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CD296F" w:rsidRPr="00491C20" w:rsidRDefault="00CD296F" w:rsidP="00CD296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491C20">
        <w:rPr>
          <w:rFonts w:ascii="Times New Roman" w:hAnsi="Times New Roman"/>
          <w:sz w:val="24"/>
          <w:szCs w:val="24"/>
          <w:lang w:val="lt-LT"/>
        </w:rPr>
        <w:t xml:space="preserve">**sudėtis tretiesiems asmenims pateikiama asmens, kuriam išduotas </w:t>
      </w:r>
      <w:proofErr w:type="spellStart"/>
      <w:r w:rsidRPr="00491C20">
        <w:rPr>
          <w:rFonts w:ascii="Times New Roman" w:hAnsi="Times New Roman"/>
          <w:sz w:val="24"/>
          <w:szCs w:val="24"/>
          <w:lang w:val="lt-LT"/>
        </w:rPr>
        <w:t>biocidinio</w:t>
      </w:r>
      <w:proofErr w:type="spellEnd"/>
      <w:r w:rsidRPr="00491C20">
        <w:rPr>
          <w:rFonts w:ascii="Times New Roman" w:hAnsi="Times New Roman"/>
          <w:sz w:val="24"/>
          <w:szCs w:val="24"/>
          <w:lang w:val="lt-LT"/>
        </w:rPr>
        <w:t xml:space="preserve"> produkto autorizacijos liudijimas, sutikimu.</w:t>
      </w:r>
    </w:p>
    <w:p w:rsidR="00CD296F" w:rsidRPr="00491C20" w:rsidRDefault="00CD296F" w:rsidP="00CD296F">
      <w:pPr>
        <w:pStyle w:val="Heading2"/>
        <w:spacing w:before="0" w:after="0"/>
        <w:rPr>
          <w:rFonts w:ascii="Times New Roman" w:hAnsi="Times New Roman"/>
          <w:b w:val="0"/>
          <w:sz w:val="24"/>
          <w:szCs w:val="24"/>
          <w:lang w:val="lt-LT"/>
        </w:rPr>
      </w:pPr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23" w:name="_Toc368997693"/>
      <w:bookmarkStart w:id="24" w:name="_Toc381967586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 xml:space="preserve">2.2. </w:t>
      </w:r>
      <w:proofErr w:type="spellStart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Formuliacijos</w:t>
      </w:r>
      <w:proofErr w:type="spellEnd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 xml:space="preserve"> tipas</w:t>
      </w:r>
      <w:bookmarkEnd w:id="23"/>
      <w:bookmarkEnd w:id="24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491C20" w:rsidTr="00946524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814465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bookmarkStart w:id="25" w:name="d0e440"/>
            <w:bookmarkEnd w:id="22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Aerozolis.</w:t>
            </w:r>
          </w:p>
        </w:tc>
      </w:tr>
      <w:bookmarkEnd w:id="25"/>
    </w:tbl>
    <w:p w:rsidR="00CD296F" w:rsidRPr="00491C20" w:rsidRDefault="00CD296F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lt-LT"/>
        </w:rPr>
      </w:pPr>
    </w:p>
    <w:p w:rsidR="00CD296F" w:rsidRPr="00491C20" w:rsidRDefault="00CD296F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lt-LT"/>
        </w:rPr>
      </w:pPr>
      <w:bookmarkStart w:id="26" w:name="_Toc368997694"/>
      <w:bookmarkStart w:id="27" w:name="_Toc381967587"/>
      <w:r w:rsidRPr="00491C20">
        <w:rPr>
          <w:rFonts w:ascii="Times New Roman" w:hAnsi="Times New Roman"/>
          <w:b w:val="0"/>
          <w:szCs w:val="24"/>
          <w:lang w:val="lt-LT" w:eastAsia="lt-LT"/>
        </w:rPr>
        <w:t>3. Autorizuotas (-i) naudojimas (-ai)</w:t>
      </w:r>
      <w:bookmarkEnd w:id="26"/>
      <w:bookmarkEnd w:id="27"/>
    </w:p>
    <w:p w:rsidR="00CD296F" w:rsidRPr="00491C20" w:rsidRDefault="00CD296F" w:rsidP="00CD296F">
      <w:pPr>
        <w:spacing w:after="120"/>
        <w:rPr>
          <w:rFonts w:ascii="Times New Roman" w:hAnsi="Times New Roman"/>
          <w:sz w:val="24"/>
          <w:szCs w:val="24"/>
          <w:lang w:val="lt-LT"/>
        </w:rPr>
      </w:pPr>
    </w:p>
    <w:bookmarkStart w:id="28" w:name="d0e455"/>
    <w:p w:rsidR="00CD296F" w:rsidRPr="00491C20" w:rsidRDefault="00CD296F" w:rsidP="00CD296F">
      <w:pPr>
        <w:pStyle w:val="Caption"/>
        <w:spacing w:after="120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 w:rsidRPr="00491C20">
        <w:rPr>
          <w:rFonts w:ascii="Times New Roman" w:hAnsi="Times New Roman" w:cs="Times New Roman"/>
          <w:b w:val="0"/>
          <w:sz w:val="24"/>
          <w:szCs w:val="24"/>
          <w:lang w:val="lt-LT"/>
        </w:rPr>
        <w:fldChar w:fldCharType="begin"/>
      </w:r>
      <w:r w:rsidRPr="00491C20">
        <w:rPr>
          <w:rFonts w:ascii="Times New Roman" w:hAnsi="Times New Roman" w:cs="Times New Roman"/>
          <w:b w:val="0"/>
          <w:sz w:val="24"/>
          <w:szCs w:val="24"/>
          <w:lang w:val="lt-LT"/>
        </w:rPr>
        <w:instrText xml:space="preserve"> SEQ Table \* ARABIC </w:instrText>
      </w:r>
      <w:r w:rsidRPr="00491C20">
        <w:rPr>
          <w:rFonts w:ascii="Times New Roman" w:hAnsi="Times New Roman" w:cs="Times New Roman"/>
          <w:b w:val="0"/>
          <w:sz w:val="24"/>
          <w:szCs w:val="24"/>
          <w:lang w:val="lt-LT"/>
        </w:rPr>
        <w:fldChar w:fldCharType="separate"/>
      </w:r>
      <w:r w:rsidR="00743A15">
        <w:rPr>
          <w:rFonts w:ascii="Times New Roman" w:hAnsi="Times New Roman" w:cs="Times New Roman"/>
          <w:b w:val="0"/>
          <w:noProof/>
          <w:sz w:val="24"/>
          <w:szCs w:val="24"/>
          <w:lang w:val="lt-LT"/>
        </w:rPr>
        <w:t>1</w:t>
      </w:r>
      <w:r w:rsidRPr="00491C20">
        <w:rPr>
          <w:rFonts w:ascii="Times New Roman" w:hAnsi="Times New Roman" w:cs="Times New Roman"/>
          <w:b w:val="0"/>
          <w:sz w:val="24"/>
          <w:szCs w:val="24"/>
          <w:lang w:val="lt-LT"/>
        </w:rPr>
        <w:fldChar w:fldCharType="end"/>
      </w:r>
      <w:r w:rsidRPr="00491C20">
        <w:rPr>
          <w:rFonts w:ascii="Times New Roman" w:hAnsi="Times New Roman" w:cs="Times New Roman"/>
          <w:b w:val="0"/>
          <w:sz w:val="24"/>
          <w:szCs w:val="24"/>
          <w:lang w:val="lt-LT" w:eastAsia="lt-LT"/>
        </w:rPr>
        <w:t xml:space="preserve"> lentelė. Naudojimas. Neprofesionalusis  naudojimas</w:t>
      </w:r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786"/>
      </w:tblGrid>
      <w:tr w:rsidR="00CD296F" w:rsidRPr="00491C20" w:rsidTr="00946524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28"/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Produkto tipas</w:t>
            </w: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9465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19 produktų tipas. 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Repelentai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CD296F" w:rsidRPr="00491C20" w:rsidTr="00946524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Jeigu taikytina, tikslus autorizuoto naudojimo  aprašas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proofErr w:type="spellStart"/>
            <w:r w:rsidRPr="00491C20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Repelentas</w:t>
            </w:r>
            <w:proofErr w:type="spellEnd"/>
            <w:r w:rsidRPr="00491C20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skirtas neprofesionaliajam naudojimui buityje. </w:t>
            </w:r>
          </w:p>
        </w:tc>
      </w:tr>
      <w:tr w:rsidR="00CD296F" w:rsidRPr="00DE7644" w:rsidTr="00946524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Kontroliuojamas organizmas (įskaitant 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vystimosi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stadiją)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946524" w:rsidP="00FB3997">
            <w:pPr>
              <w:spacing w:before="2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U</w:t>
            </w:r>
            <w:r w:rsidR="00CD296F" w:rsidRPr="00491C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odų šeimos (</w:t>
            </w:r>
            <w:proofErr w:type="spellStart"/>
            <w:r w:rsidR="00CD296F" w:rsidRPr="00491C20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Culicidae</w:t>
            </w:r>
            <w:proofErr w:type="spellEnd"/>
            <w:r w:rsidR="00CD296F" w:rsidRPr="00491C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  <w:r w:rsidR="00122E9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Vystymosi stadija: </w:t>
            </w:r>
            <w:r w:rsidR="00C11DC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suaugėlis</w:t>
            </w:r>
            <w:r w:rsidR="006108FB" w:rsidRPr="00491C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CD296F" w:rsidRPr="00491C20" w:rsidTr="00946524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Naudojimo sritis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5F6446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Viduje ir lauke. </w:t>
            </w:r>
            <w:r w:rsidR="005F6446" w:rsidRPr="00491C20">
              <w:rPr>
                <w:rFonts w:ascii="Times New Roman" w:hAnsi="Times New Roman"/>
                <w:sz w:val="24"/>
                <w:szCs w:val="24"/>
                <w:lang w:val="lt-LT"/>
              </w:rPr>
              <w:t>Tiesiogiai ant odos</w:t>
            </w: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CD296F" w:rsidRPr="00491C20" w:rsidTr="00946524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Naudojimo metodas (-ai)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2D21CC" w:rsidRDefault="00E827E8" w:rsidP="002D21C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Aerozolis</w:t>
            </w:r>
            <w:r w:rsidR="002D21CC" w:rsidRPr="002D21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naudojamas</w:t>
            </w:r>
            <w:r w:rsidR="00FB3997" w:rsidRPr="002D21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tiesiai ant žmogaus odos. </w:t>
            </w:r>
            <w:r w:rsidR="00C3211E" w:rsidRPr="002D21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CD296F" w:rsidRPr="00491C20" w:rsidTr="00946524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Naudojimo norma (-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) ir dažnis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A668A8" w:rsidRDefault="00E827E8" w:rsidP="002D21CC">
            <w:pPr>
              <w:pStyle w:val="Default"/>
              <w:jc w:val="both"/>
            </w:pPr>
            <w:r>
              <w:t>Aerozolis</w:t>
            </w:r>
            <w:r w:rsidR="002D21CC" w:rsidRPr="002D21CC">
              <w:t xml:space="preserve"> skirtas naudoti tiesiogiai ant odos. Naudo</w:t>
            </w:r>
            <w:r>
              <w:t>ti</w:t>
            </w:r>
            <w:r w:rsidR="002D21CC" w:rsidRPr="002D21CC">
              <w:t xml:space="preserve"> </w:t>
            </w:r>
            <w:r>
              <w:t>1 g</w:t>
            </w:r>
            <w:r w:rsidR="002D21CC" w:rsidRPr="002D21CC">
              <w:t xml:space="preserve"> produkto </w:t>
            </w:r>
            <w:r>
              <w:t>645</w:t>
            </w:r>
            <w:r w:rsidR="002D21CC" w:rsidRPr="002D21CC">
              <w:t xml:space="preserve"> cm</w:t>
            </w:r>
            <w:r w:rsidR="002D21CC" w:rsidRPr="002D21CC">
              <w:rPr>
                <w:vertAlign w:val="superscript"/>
              </w:rPr>
              <w:t>2</w:t>
            </w:r>
            <w:r>
              <w:t xml:space="preserve"> odos ploto </w:t>
            </w:r>
            <w:r w:rsidR="002D21CC" w:rsidRPr="002D21CC">
              <w:t>(atitinka 0,2</w:t>
            </w:r>
            <w:r>
              <w:t>3</w:t>
            </w:r>
            <w:r w:rsidR="002D21CC" w:rsidRPr="002D21CC">
              <w:t xml:space="preserve"> mg DEET/cm</w:t>
            </w:r>
            <w:r w:rsidR="002D21CC" w:rsidRPr="002D21CC">
              <w:rPr>
                <w:vertAlign w:val="superscript"/>
              </w:rPr>
              <w:t>2</w:t>
            </w:r>
            <w:r w:rsidR="002D21CC" w:rsidRPr="002D21CC">
              <w:t>). Produkt</w:t>
            </w:r>
            <w:r w:rsidR="00A668A8">
              <w:t xml:space="preserve">o nenaudoti daugiau nei du kartus per 24 valandų periodą. </w:t>
            </w:r>
          </w:p>
        </w:tc>
      </w:tr>
      <w:tr w:rsidR="00CD296F" w:rsidRPr="00491C20" w:rsidTr="00946524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Vartotojų kategorija (-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2D21CC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1CC">
              <w:rPr>
                <w:rFonts w:ascii="Times New Roman" w:hAnsi="Times New Roman"/>
                <w:sz w:val="24"/>
                <w:szCs w:val="24"/>
                <w:lang w:val="lt-LT"/>
              </w:rPr>
              <w:t>Neprofesionalūs vartotojai</w:t>
            </w:r>
          </w:p>
        </w:tc>
      </w:tr>
      <w:tr w:rsidR="00CD296F" w:rsidRPr="00491C20" w:rsidTr="00946524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Pakuočių dydžiai ir pakuočių medžiaga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A668A8" w:rsidRDefault="00A668A8" w:rsidP="002D21C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668A8">
              <w:rPr>
                <w:rFonts w:ascii="Times New Roman" w:eastAsia="Calibri" w:hAnsi="Times New Roman"/>
                <w:bCs/>
                <w:sz w:val="24"/>
                <w:szCs w:val="24"/>
                <w:lang w:val="lt-LT" w:eastAsia="fi-FI"/>
              </w:rPr>
              <w:t>65 ml/</w:t>
            </w:r>
            <w:r w:rsidRPr="00A668A8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 xml:space="preserve">100 ml </w:t>
            </w:r>
            <w:r w:rsidRPr="00A668A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aliumininiai aerozolių balionėlis</w:t>
            </w:r>
            <w:r w:rsidR="002D21CC" w:rsidRPr="00A668A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:rsidR="00CD296F" w:rsidRPr="00491C20" w:rsidRDefault="00CD296F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lt-LT"/>
        </w:rPr>
      </w:pPr>
      <w:bookmarkStart w:id="29" w:name="d0e1044"/>
    </w:p>
    <w:p w:rsidR="00CD296F" w:rsidRPr="00491C20" w:rsidRDefault="00CD296F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lt-LT"/>
        </w:rPr>
      </w:pPr>
      <w:bookmarkStart w:id="30" w:name="_Toc368997695"/>
      <w:bookmarkStart w:id="31" w:name="_Toc381967588"/>
      <w:r w:rsidRPr="00491C20">
        <w:rPr>
          <w:rFonts w:ascii="Times New Roman" w:hAnsi="Times New Roman"/>
          <w:b w:val="0"/>
          <w:szCs w:val="24"/>
          <w:lang w:val="lt-LT" w:eastAsia="lt-LT"/>
        </w:rPr>
        <w:t>4. Pavojingumo ir atsargumo frazės</w:t>
      </w:r>
      <w:bookmarkEnd w:id="30"/>
      <w:bookmarkEnd w:id="31"/>
    </w:p>
    <w:p w:rsidR="00CD296F" w:rsidRPr="00491C2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bookmarkStart w:id="32" w:name="d0e1047"/>
      <w:bookmarkEnd w:id="29"/>
    </w:p>
    <w:p w:rsidR="00CD296F" w:rsidRPr="00491C2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r w:rsidRPr="00491C20">
        <w:rPr>
          <w:rFonts w:ascii="Times New Roman" w:hAnsi="Times New Roman"/>
          <w:sz w:val="24"/>
          <w:szCs w:val="24"/>
          <w:lang w:val="lt-LT" w:eastAsia="lt-LT"/>
        </w:rPr>
        <w:t>4.1. Produkto klasifikavimas ir ženklinimas pagal Reglamentą (EB) Nr. 1272/2008</w:t>
      </w:r>
    </w:p>
    <w:p w:rsidR="00CD296F" w:rsidRPr="00491C2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  <w:bookmarkStart w:id="33" w:name="d0e1781"/>
      <w:bookmarkEnd w:id="32"/>
    </w:p>
    <w:tbl>
      <w:tblPr>
        <w:tblW w:w="9686" w:type="dxa"/>
        <w:jc w:val="center"/>
        <w:tblLayout w:type="fixed"/>
        <w:tblLook w:val="04A0" w:firstRow="1" w:lastRow="0" w:firstColumn="1" w:lastColumn="0" w:noHBand="0" w:noVBand="1"/>
      </w:tblPr>
      <w:tblGrid>
        <w:gridCol w:w="3406"/>
        <w:gridCol w:w="6280"/>
      </w:tblGrid>
      <w:tr w:rsidR="00CD296F" w:rsidRPr="00491C20" w:rsidTr="00946524">
        <w:trPr>
          <w:cantSplit/>
          <w:tblHeader/>
          <w:jc w:val="center"/>
        </w:trPr>
        <w:tc>
          <w:tcPr>
            <w:tcW w:w="9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lastRenderedPageBreak/>
              <w:t>Klasifikavimas</w:t>
            </w:r>
          </w:p>
        </w:tc>
      </w:tr>
      <w:tr w:rsidR="00CD296F" w:rsidRPr="00491C20" w:rsidTr="00946524">
        <w:trPr>
          <w:cantSplit/>
          <w:tblHeader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Pavojingumo kategorija</w:t>
            </w:r>
          </w:p>
        </w:tc>
        <w:tc>
          <w:tcPr>
            <w:tcW w:w="6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Netaikoma</w:t>
            </w:r>
          </w:p>
        </w:tc>
      </w:tr>
      <w:tr w:rsidR="00CD296F" w:rsidRPr="00491C20" w:rsidTr="00946524">
        <w:trPr>
          <w:cantSplit/>
          <w:tblHeader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Pavojingumo frazė</w:t>
            </w:r>
          </w:p>
        </w:tc>
        <w:tc>
          <w:tcPr>
            <w:tcW w:w="6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Netaikoma</w:t>
            </w:r>
          </w:p>
        </w:tc>
      </w:tr>
      <w:tr w:rsidR="00CD296F" w:rsidRPr="00491C20" w:rsidTr="00946524">
        <w:trPr>
          <w:cantSplit/>
          <w:tblHeader/>
          <w:jc w:val="center"/>
        </w:trPr>
        <w:tc>
          <w:tcPr>
            <w:tcW w:w="9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CD296F" w:rsidRPr="00491C20" w:rsidTr="00946524">
        <w:trPr>
          <w:cantSplit/>
          <w:tblHeader/>
          <w:jc w:val="center"/>
        </w:trPr>
        <w:tc>
          <w:tcPr>
            <w:tcW w:w="9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Ženklinimas</w:t>
            </w:r>
          </w:p>
        </w:tc>
      </w:tr>
      <w:tr w:rsidR="00CD296F" w:rsidRPr="00491C20" w:rsidTr="00946524">
        <w:trPr>
          <w:cantSplit/>
          <w:tblHeader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Signaliniai žodžiai</w:t>
            </w:r>
          </w:p>
        </w:tc>
        <w:tc>
          <w:tcPr>
            <w:tcW w:w="6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7E8" w:rsidRPr="004B7A02" w:rsidRDefault="004B7A02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A02">
              <w:rPr>
                <w:rFonts w:ascii="Times New Roman" w:hAnsi="Times New Roman"/>
                <w:sz w:val="24"/>
                <w:szCs w:val="24"/>
                <w:lang w:val="lt-LT"/>
              </w:rPr>
              <w:t>Pavojinga</w:t>
            </w:r>
          </w:p>
        </w:tc>
      </w:tr>
      <w:tr w:rsidR="00CD296F" w:rsidRPr="00491C20" w:rsidTr="00946524">
        <w:trPr>
          <w:cantSplit/>
          <w:tblHeader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Pavojingumo frazės</w:t>
            </w:r>
          </w:p>
        </w:tc>
        <w:tc>
          <w:tcPr>
            <w:tcW w:w="6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FB3997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H</w:t>
            </w:r>
            <w:r w:rsidR="0081446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222</w:t>
            </w:r>
            <w:r w:rsidR="00DD04F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Ypač degus aerozolis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;</w:t>
            </w:r>
          </w:p>
          <w:p w:rsidR="00247016" w:rsidRPr="00491C20" w:rsidRDefault="00FB3997" w:rsidP="00FB3997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H</w:t>
            </w:r>
            <w:r w:rsidR="0081446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229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Slėginė talpykla. Kaitinama gali sprogti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CD296F" w:rsidRPr="00491C20" w:rsidTr="00946524">
        <w:trPr>
          <w:cantSplit/>
          <w:tblHeader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Atsargumo frazės</w:t>
            </w:r>
          </w:p>
        </w:tc>
        <w:tc>
          <w:tcPr>
            <w:tcW w:w="6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465" w:rsidRDefault="00814465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P101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Jeigu reikalinga gydytojo konsultacija, su savimi turėkite produkto talpyklą ar jo etiketę; </w:t>
            </w:r>
          </w:p>
          <w:p w:rsidR="00247016" w:rsidRDefault="00247016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P102 Laikyti vaikams neprieinamoje vietoje;</w:t>
            </w:r>
          </w:p>
          <w:p w:rsidR="00814465" w:rsidRDefault="00814465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P103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Prieš naudojimą perskaityti etiketę;</w:t>
            </w:r>
          </w:p>
          <w:p w:rsidR="00814465" w:rsidRDefault="00814465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P210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laikyti atokiau nuo šilumos šaltinių, karštų paviršių, žiežirbų, atviros liepsnos ir kitų uždegimo šaltinių. Nerūkyti;</w:t>
            </w:r>
          </w:p>
          <w:p w:rsidR="004B7A02" w:rsidRDefault="00814465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P211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Nepurkšti į atvirą liepsną ar kitus degimo šaltinius;</w:t>
            </w:r>
          </w:p>
          <w:p w:rsidR="00814465" w:rsidRDefault="00814465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P251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Nepradurti ir nedeginti net panaudoto;</w:t>
            </w:r>
          </w:p>
          <w:p w:rsidR="00247016" w:rsidRPr="00814465" w:rsidRDefault="00814465" w:rsidP="001C6D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P410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+412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Saugoti nuo saulės šviesos. Nelaikyti aukštesnėje nei </w:t>
            </w:r>
            <w:r w:rsidR="004B7A02" w:rsidRP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50 °C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/122 </w:t>
            </w:r>
            <w:r w:rsidR="004B7A02" w:rsidRP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°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F </w:t>
            </w:r>
            <w:r w:rsidR="004B7A02" w:rsidRP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temperatūroje</w:t>
            </w:r>
            <w:r w:rsidR="004B7A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CD296F" w:rsidRPr="00491C20" w:rsidTr="00946524">
        <w:trPr>
          <w:cantSplit/>
          <w:tblHeader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Piktogramos</w:t>
            </w:r>
          </w:p>
        </w:tc>
        <w:tc>
          <w:tcPr>
            <w:tcW w:w="6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EF5A58" w:rsidP="00FB3997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BE0A8C">
              <w:rPr>
                <w:noProof/>
              </w:rPr>
              <w:drawing>
                <wp:inline distT="0" distB="0" distL="0" distR="0">
                  <wp:extent cx="1388745" cy="138874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96F" w:rsidRPr="00491C20" w:rsidTr="00946524">
        <w:trPr>
          <w:cantSplit/>
          <w:tblHeader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CD296F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Pastaba</w:t>
            </w:r>
          </w:p>
        </w:tc>
        <w:tc>
          <w:tcPr>
            <w:tcW w:w="6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6F" w:rsidRPr="00491C20" w:rsidRDefault="0058026B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Netaikoma</w:t>
            </w:r>
            <w:r w:rsidR="0081446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CD296F" w:rsidRPr="00491C20" w:rsidRDefault="00CD296F" w:rsidP="00CD296F">
      <w:pPr>
        <w:rPr>
          <w:rFonts w:ascii="Times New Roman" w:hAnsi="Times New Roman"/>
          <w:color w:val="FF0000"/>
          <w:sz w:val="24"/>
          <w:szCs w:val="24"/>
          <w:lang w:val="lt-LT"/>
        </w:rPr>
      </w:pPr>
    </w:p>
    <w:p w:rsidR="00CD296F" w:rsidRPr="00491C20" w:rsidRDefault="00CD296F" w:rsidP="0058026B">
      <w:pPr>
        <w:tabs>
          <w:tab w:val="left" w:pos="500"/>
        </w:tabs>
        <w:rPr>
          <w:rFonts w:ascii="Times New Roman" w:hAnsi="Times New Roman"/>
          <w:bCs/>
          <w:snapToGrid w:val="0"/>
          <w:sz w:val="24"/>
          <w:szCs w:val="24"/>
          <w:lang w:val="lt-LT" w:eastAsia="fr-LU"/>
        </w:rPr>
      </w:pPr>
    </w:p>
    <w:p w:rsidR="00CD296F" w:rsidRPr="00491C20" w:rsidRDefault="00CD296F" w:rsidP="00CD296F">
      <w:pPr>
        <w:tabs>
          <w:tab w:val="left" w:pos="500"/>
        </w:tabs>
        <w:ind w:left="500" w:hanging="500"/>
        <w:rPr>
          <w:rFonts w:ascii="Times New Roman" w:hAnsi="Times New Roman"/>
          <w:bCs/>
          <w:snapToGrid w:val="0"/>
          <w:sz w:val="24"/>
          <w:szCs w:val="24"/>
          <w:lang w:val="lt-LT" w:eastAsia="fr-LU"/>
        </w:rPr>
      </w:pPr>
      <w:r w:rsidRPr="00491C20">
        <w:rPr>
          <w:rFonts w:ascii="Times New Roman" w:hAnsi="Times New Roman"/>
          <w:bCs/>
          <w:snapToGrid w:val="0"/>
          <w:sz w:val="24"/>
          <w:szCs w:val="24"/>
          <w:lang w:val="lt-LT" w:eastAsia="fr-LU"/>
        </w:rPr>
        <w:t>Pastabos:</w:t>
      </w:r>
    </w:p>
    <w:p w:rsidR="00CD296F" w:rsidRPr="00491C20" w:rsidRDefault="00CD296F" w:rsidP="00CD296F">
      <w:pPr>
        <w:spacing w:before="200"/>
        <w:rPr>
          <w:rFonts w:ascii="Times New Roman" w:hAnsi="Times New Roman"/>
          <w:bCs/>
          <w:snapToGrid w:val="0"/>
          <w:sz w:val="24"/>
          <w:szCs w:val="24"/>
          <w:lang w:val="lt-LT" w:eastAsia="fr-LU"/>
        </w:rPr>
      </w:pPr>
      <w:r w:rsidRPr="00491C20">
        <w:rPr>
          <w:rFonts w:ascii="Times New Roman" w:hAnsi="Times New Roman"/>
          <w:bCs/>
          <w:snapToGrid w:val="0"/>
          <w:sz w:val="24"/>
          <w:szCs w:val="24"/>
          <w:lang w:val="lt-LT" w:eastAsia="fr-LU"/>
        </w:rPr>
        <w:t>Ženklinimas:</w:t>
      </w:r>
      <w:r w:rsidRPr="00491C20">
        <w:rPr>
          <w:rFonts w:ascii="Times New Roman" w:hAnsi="Times New Roman"/>
          <w:b/>
          <w:bCs/>
          <w:sz w:val="24"/>
          <w:szCs w:val="24"/>
          <w:lang w:val="lt-LT" w:eastAsia="fr-LU"/>
        </w:rPr>
        <w:t xml:space="preserve"> </w:t>
      </w:r>
      <w:r w:rsidRPr="00491C20">
        <w:rPr>
          <w:rFonts w:ascii="Times New Roman" w:hAnsi="Times New Roman"/>
          <w:bCs/>
          <w:sz w:val="24"/>
          <w:szCs w:val="24"/>
          <w:lang w:val="lt-LT" w:eastAsia="fr-LU"/>
        </w:rPr>
        <w:t xml:space="preserve">žr. 4.1. </w:t>
      </w:r>
      <w:r w:rsidR="0058026B" w:rsidRPr="00491C20">
        <w:rPr>
          <w:rFonts w:ascii="Times New Roman" w:hAnsi="Times New Roman"/>
          <w:bCs/>
          <w:sz w:val="24"/>
          <w:szCs w:val="24"/>
          <w:lang w:val="lt-LT" w:eastAsia="fr-LU"/>
        </w:rPr>
        <w:t>punktą</w:t>
      </w:r>
    </w:p>
    <w:p w:rsidR="00CD296F" w:rsidRPr="00491C20" w:rsidRDefault="00CD296F" w:rsidP="00CD296F">
      <w:pPr>
        <w:tabs>
          <w:tab w:val="left" w:pos="500"/>
        </w:tabs>
        <w:ind w:left="500" w:hanging="500"/>
        <w:rPr>
          <w:rFonts w:ascii="Times New Roman" w:hAnsi="Times New Roman"/>
          <w:bCs/>
          <w:snapToGrid w:val="0"/>
          <w:sz w:val="24"/>
          <w:szCs w:val="24"/>
          <w:lang w:val="lt-LT" w:eastAsia="fr-LU"/>
        </w:rPr>
      </w:pPr>
    </w:p>
    <w:p w:rsidR="00CD296F" w:rsidRPr="00491C20" w:rsidRDefault="00CD296F" w:rsidP="00CD296F">
      <w:pPr>
        <w:pStyle w:val="Heading1"/>
        <w:rPr>
          <w:rFonts w:ascii="Times New Roman" w:hAnsi="Times New Roman"/>
          <w:b w:val="0"/>
          <w:szCs w:val="24"/>
          <w:lang w:val="lt-LT"/>
        </w:rPr>
      </w:pPr>
      <w:bookmarkStart w:id="34" w:name="_Toc368997696"/>
      <w:bookmarkStart w:id="35" w:name="_Toc381967590"/>
      <w:bookmarkStart w:id="36" w:name="d0e1873"/>
      <w:bookmarkEnd w:id="33"/>
      <w:r w:rsidRPr="00491C20">
        <w:rPr>
          <w:rFonts w:ascii="Times New Roman" w:hAnsi="Times New Roman"/>
          <w:b w:val="0"/>
          <w:szCs w:val="24"/>
          <w:lang w:val="lt-LT" w:eastAsia="lt-LT"/>
        </w:rPr>
        <w:t>5. Naudojimo taisyklės</w:t>
      </w:r>
      <w:bookmarkEnd w:id="34"/>
      <w:bookmarkEnd w:id="35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37" w:name="d0e1879"/>
      <w:bookmarkEnd w:id="36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38" w:name="_Toc368997697"/>
      <w:bookmarkStart w:id="39" w:name="_Toc381967591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5.1. Naudojimo instrukcijos</w:t>
      </w:r>
      <w:bookmarkEnd w:id="37"/>
      <w:bookmarkEnd w:id="38"/>
      <w:bookmarkEnd w:id="39"/>
    </w:p>
    <w:p w:rsidR="00CD296F" w:rsidRPr="00491C20" w:rsidRDefault="00CD296F" w:rsidP="00CD296F">
      <w:pPr>
        <w:spacing w:after="120"/>
        <w:rPr>
          <w:rFonts w:ascii="Times New Roman" w:hAnsi="Times New Roman"/>
          <w:bCs/>
          <w:sz w:val="24"/>
          <w:szCs w:val="24"/>
          <w:lang w:val="lt-LT"/>
        </w:rPr>
      </w:pPr>
    </w:p>
    <w:p w:rsidR="00CD296F" w:rsidRPr="00491C20" w:rsidRDefault="00CD296F" w:rsidP="00CD296F">
      <w:pPr>
        <w:spacing w:after="120"/>
        <w:rPr>
          <w:rFonts w:ascii="Times New Roman" w:hAnsi="Times New Roman"/>
          <w:bCs/>
          <w:sz w:val="24"/>
          <w:szCs w:val="24"/>
          <w:lang w:val="lt-LT"/>
        </w:rPr>
      </w:pPr>
      <w:r w:rsidRPr="00491C20">
        <w:rPr>
          <w:rFonts w:ascii="Times New Roman" w:hAnsi="Times New Roman"/>
          <w:b/>
          <w:sz w:val="24"/>
          <w:szCs w:val="24"/>
          <w:lang w:val="lt-LT" w:eastAsia="lt-LT"/>
        </w:rPr>
        <w:t>Neprofesional</w:t>
      </w:r>
      <w:r w:rsidR="00A668A8">
        <w:rPr>
          <w:rFonts w:ascii="Times New Roman" w:hAnsi="Times New Roman"/>
          <w:b/>
          <w:sz w:val="24"/>
          <w:szCs w:val="24"/>
          <w:lang w:val="lt-LT" w:eastAsia="lt-LT"/>
        </w:rPr>
        <w:t>usis</w:t>
      </w:r>
      <w:r w:rsidRPr="00491C20">
        <w:rPr>
          <w:rFonts w:ascii="Times New Roman" w:hAnsi="Times New Roman"/>
          <w:b/>
          <w:sz w:val="24"/>
          <w:szCs w:val="24"/>
          <w:lang w:val="lt-LT" w:eastAsia="lt-LT"/>
        </w:rPr>
        <w:t xml:space="preserve"> naudojim</w:t>
      </w:r>
      <w:r w:rsidR="00A668A8">
        <w:rPr>
          <w:rFonts w:ascii="Times New Roman" w:hAnsi="Times New Roman"/>
          <w:b/>
          <w:sz w:val="24"/>
          <w:szCs w:val="24"/>
          <w:lang w:val="lt-LT" w:eastAsia="lt-LT"/>
        </w:rPr>
        <w:t>as</w:t>
      </w:r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DE7644" w:rsidTr="00946524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68A8" w:rsidRDefault="004F50A8" w:rsidP="00A668A8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40" w:name="d0e1894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Produktą draudžiama naudoti jaunesniems nei 3 metų vaikams.</w:t>
            </w:r>
            <w:r w:rsidR="002A4E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>Prieš naudo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jant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gerai supurty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>. Laik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yti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skardinę vertikaliai, 15–20 cm atstumu nuo purškimo angos, nukreip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us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 paviršių, ant kurio 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aerozolis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turi būti purškiamas. Purkš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tolygiai lėtu judesiu maždaug 1 sekundę ant atviros odos šiose srityse: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uaugusiems: 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>eido, kaklo, rankų, apatinių rankų dalių ir viršutinių kojų dalių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; trejų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metų ir vyresni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ems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vaika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ms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A668A8" w:rsidRPr="00A668A8">
              <w:rPr>
                <w:rFonts w:ascii="Times New Roman" w:hAnsi="Times New Roman"/>
                <w:sz w:val="24"/>
                <w:szCs w:val="24"/>
                <w:lang w:val="lt-LT"/>
              </w:rPr>
              <w:t>eido, kaklo ir viršutinių kojų dalių.</w:t>
            </w:r>
            <w:r w:rsid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A668A8" w:rsidRDefault="00A668A8" w:rsidP="00A668A8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Produktą naudojant ant v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>eid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purkšti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ant suaugusiojo rankų ir saikingai tep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ant suaugusiojo arba vaiko veido, veng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akių ir burnos sričių.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Produkto n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>epurkškite ant jaunesnių negu 12 metų vaikų rankų. Nenaudoti po drabužiais.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>Neįkvėpti aerozolio.</w:t>
            </w:r>
            <w:r w:rsidR="004503E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>Grįž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us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 patalpas, išteptą odą gerai nuplau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muilu ir vandeniu. Naudoti tik lauke arba gerai vėdinamoje patalpoje. Prieš valgydami, po naudojimo nusiplaukite rankas ir odą, ant kurios pateko produkto.</w:t>
            </w:r>
            <w:r w:rsidR="00D407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668A8">
              <w:rPr>
                <w:rFonts w:ascii="Times New Roman" w:hAnsi="Times New Roman"/>
                <w:sz w:val="24"/>
                <w:szCs w:val="24"/>
                <w:lang w:val="lt-LT"/>
              </w:rPr>
              <w:t>Rekomenduojama uždengti visas odos sritis, kurios nebuvo išpurkštos, drabužiais, taip apribojant prieigą kandantiems vabzdžiams.</w:t>
            </w:r>
          </w:p>
          <w:p w:rsidR="00586D8D" w:rsidRDefault="00586D8D" w:rsidP="00A668A8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586D8D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lastRenderedPageBreak/>
              <w:t>Specifinės rizikos valdymo priemonės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.</w:t>
            </w:r>
          </w:p>
          <w:p w:rsidR="00CD296F" w:rsidRPr="00491C20" w:rsidRDefault="00586D8D" w:rsidP="00586D8D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Produkto nenaudoti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daugiau negu du kartus per 24 valandas, nenaudo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per didelio produkto kiekio.</w:t>
            </w:r>
            <w:r>
              <w:t xml:space="preserve"> 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>Laikyti vaikams neprieinamoje vietoje. Laiky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saugioje vietoje.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>Prieš valg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>, po naudojimo nusiplau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rankas ir odą, ant kurios pateko produkto.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>Laikyti atokiau nuo uždegimo šaltinių - Nerūkyti.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>Neužterš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maisto produktų, valgymo įrankių arba paviršių, ant kurių dedamas maistas.</w:t>
            </w:r>
          </w:p>
        </w:tc>
      </w:tr>
    </w:tbl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41" w:name="d0e2020"/>
      <w:bookmarkEnd w:id="40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42" w:name="_Toc368997698"/>
      <w:bookmarkStart w:id="43" w:name="_Toc381967592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5.2. Išsami informacija apie galimą tiesioginį arba netiesioginį neigiamą poveikį, pirmosios pagalbos instrukcijos ir neatidėliotinos priemonės, skirtos apsaugoti aplinką</w:t>
      </w:r>
      <w:bookmarkEnd w:id="41"/>
      <w:bookmarkEnd w:id="42"/>
      <w:bookmarkEnd w:id="43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491C20" w:rsidTr="00946524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586D8D" w:rsidP="001C6D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4" w:name="d0e2023"/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Prarijus: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>rarijus neskatinti vėmimo: nedelsiant kreiptis į gydytoją ir parodyti šią pakuotę arba etiketę. Skalauti burną vandeniu. Jei simptomai išlieka, kviesti gydytoją.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D296F" w:rsidRPr="004B707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Daugiau informacijos: Apsinuodijimų kontrolės ir informacijos biuro tel. </w:t>
            </w:r>
            <w:r w:rsidR="00CD296F" w:rsidRPr="00491C20">
              <w:rPr>
                <w:rFonts w:ascii="Times New Roman" w:hAnsi="Times New Roman"/>
                <w:sz w:val="24"/>
                <w:szCs w:val="24"/>
              </w:rPr>
              <w:t xml:space="preserve">(8 5) 236 2052, mob. 8687 53 378, faksas 8~5 236 21 42, el. </w:t>
            </w:r>
            <w:proofErr w:type="spellStart"/>
            <w:r w:rsidR="00CD296F" w:rsidRPr="00491C20">
              <w:rPr>
                <w:rFonts w:ascii="Times New Roman" w:hAnsi="Times New Roman"/>
                <w:sz w:val="24"/>
                <w:szCs w:val="24"/>
              </w:rPr>
              <w:t>paštas</w:t>
            </w:r>
            <w:proofErr w:type="spellEnd"/>
            <w:r w:rsidR="00CD296F" w:rsidRPr="00491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CD296F" w:rsidRPr="00491C2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akib@sam.lt</w:t>
              </w:r>
            </w:hyperlink>
            <w:r w:rsidR="00CD296F" w:rsidRPr="00491C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D296F" w:rsidRPr="00491C20" w:rsidRDefault="00CD296F" w:rsidP="00CD296F">
      <w:pPr>
        <w:pStyle w:val="Heading2"/>
        <w:spacing w:before="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45" w:name="d0e2078"/>
      <w:bookmarkEnd w:id="44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46" w:name="_Toc368997699"/>
      <w:bookmarkStart w:id="47" w:name="_Toc381967593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5.3. Produkto ir jo pakuotės saugaus šalinimo instrukcijos</w:t>
      </w:r>
      <w:bookmarkEnd w:id="45"/>
      <w:bookmarkEnd w:id="46"/>
      <w:bookmarkEnd w:id="47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DE7644" w:rsidTr="00D407D5">
        <w:trPr>
          <w:trHeight w:val="174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6D8D" w:rsidRPr="00586D8D" w:rsidRDefault="00586D8D" w:rsidP="00586D8D">
            <w:pPr>
              <w:spacing w:before="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48" w:name="d0e2081"/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Neleisti produktui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jo pakuot</w:t>
            </w:r>
            <w:r w:rsidR="00D407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 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>patekti į nuotekų sistemą</w:t>
            </w:r>
            <w:r w:rsidR="00D407D5">
              <w:rPr>
                <w:rFonts w:ascii="Times New Roman" w:hAnsi="Times New Roman"/>
                <w:sz w:val="24"/>
                <w:szCs w:val="24"/>
                <w:lang w:val="lt-LT"/>
              </w:rPr>
              <w:t>, vandens telkinius</w:t>
            </w: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>. Produktu ar jo talpykla neteršti žemės, grunto, vandens. Antrą kartą nenaudoti tuščios talpyklos.  Turinį/pakuotę šalinti pagal vietos teisės akt</w:t>
            </w:r>
            <w:r w:rsidR="00D407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ų reikalavimus. Produktas ir jo talpykla/pakuotė turi būti šalinami saugiai. </w:t>
            </w:r>
          </w:p>
          <w:p w:rsidR="00586D8D" w:rsidRDefault="00586D8D" w:rsidP="00586D8D">
            <w:pPr>
              <w:spacing w:before="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86D8D">
              <w:rPr>
                <w:rFonts w:ascii="Times New Roman" w:hAnsi="Times New Roman"/>
                <w:sz w:val="24"/>
                <w:szCs w:val="24"/>
                <w:lang w:val="lt-LT"/>
              </w:rPr>
              <w:t>Tuščių buteliukų pakartotinai nenaudokite.</w:t>
            </w:r>
          </w:p>
          <w:p w:rsidR="00CD296F" w:rsidRPr="00491C20" w:rsidRDefault="00586D8D" w:rsidP="00216C2F">
            <w:pPr>
              <w:spacing w:before="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07D5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Bendrieji a</w:t>
            </w:r>
            <w:r w:rsidR="00CD296F" w:rsidRPr="00D407D5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tliekų tvarkymo reikalavimai</w:t>
            </w:r>
            <w:r w:rsidR="00CD296F" w:rsidRPr="00491C20">
              <w:rPr>
                <w:rFonts w:ascii="Times New Roman" w:hAnsi="Times New Roman"/>
                <w:sz w:val="24"/>
                <w:szCs w:val="24"/>
                <w:lang w:val="lt-LT"/>
              </w:rPr>
              <w:t>: laikantis atliekų hierarchijos nustatytųjų prioritetų, pirmiausia turi būti vengiama atliekų susidarymo ir taikomos kitos atliekų prevencijos priemonės, o atliekos, kurių neįmanoma išvengti, paruošiamos pakartotiniam naudojimui, perdirbamos ar kitaip naudojamos tokiais būdais, kad kuo mažiau jų būtų šalinama sąvartynuose ir kituose atliekų šalinimo įrenginiuose.</w:t>
            </w:r>
          </w:p>
        </w:tc>
      </w:tr>
    </w:tbl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lt-LT"/>
        </w:rPr>
      </w:pPr>
      <w:bookmarkStart w:id="49" w:name="d0e2096"/>
      <w:bookmarkEnd w:id="48"/>
    </w:p>
    <w:p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bookmarkStart w:id="50" w:name="_Toc368997700"/>
      <w:bookmarkStart w:id="51" w:name="_Toc381967594"/>
      <w:r w:rsidRPr="00491C20">
        <w:rPr>
          <w:rFonts w:ascii="Times New Roman" w:hAnsi="Times New Roman"/>
          <w:b w:val="0"/>
          <w:i w:val="0"/>
          <w:sz w:val="24"/>
          <w:szCs w:val="24"/>
          <w:lang w:val="lt-LT" w:eastAsia="lt-LT"/>
        </w:rPr>
        <w:t>5.4. Produkto saugojimo sąlygos ir galiojimo laikas laikant įprastomis saugojimo sąlygomis</w:t>
      </w:r>
      <w:bookmarkEnd w:id="49"/>
      <w:bookmarkEnd w:id="50"/>
      <w:bookmarkEnd w:id="51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DE7644" w:rsidTr="00946524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07D5" w:rsidRPr="00D407D5" w:rsidRDefault="00D407D5" w:rsidP="00D407D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52" w:name="d0e2099"/>
            <w:r w:rsidRPr="00D407D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Saugoti nuo saulės šviesos. Nelaikyti aukštesnėje kaip 50 °C temperatūroje.</w:t>
            </w:r>
            <w:r w:rsidRPr="00D407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Saugoti nuo šalčio.</w:t>
            </w:r>
          </w:p>
          <w:p w:rsidR="00CD296F" w:rsidRPr="00491C20" w:rsidRDefault="00CD296F" w:rsidP="00491C2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07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Biocidinio produkto tinkamumo laikas yra </w:t>
            </w:r>
            <w:r w:rsidR="00491C20" w:rsidRPr="00D407D5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  <w:r w:rsidRPr="00D407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mėnesiai. Laikyti </w:t>
            </w:r>
            <w:r w:rsidR="00527607" w:rsidRPr="00D407D5">
              <w:rPr>
                <w:rFonts w:ascii="Times New Roman" w:hAnsi="Times New Roman"/>
                <w:sz w:val="24"/>
                <w:szCs w:val="24"/>
                <w:lang w:val="lt-LT"/>
              </w:rPr>
              <w:t>originalioje talpykloje</w:t>
            </w:r>
            <w:r w:rsidR="00491C20" w:rsidRPr="00D407D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CD296F" w:rsidRPr="00491C20" w:rsidRDefault="00CD296F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lt-LT"/>
        </w:rPr>
      </w:pPr>
      <w:bookmarkStart w:id="53" w:name="d0e2119"/>
      <w:bookmarkEnd w:id="52"/>
    </w:p>
    <w:p w:rsidR="00CD296F" w:rsidRPr="00491C20" w:rsidRDefault="00CD296F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lt-LT"/>
        </w:rPr>
      </w:pPr>
      <w:bookmarkStart w:id="54" w:name="_Toc368997701"/>
      <w:bookmarkStart w:id="55" w:name="_Toc381967595"/>
      <w:r w:rsidRPr="00491C20">
        <w:rPr>
          <w:rFonts w:ascii="Times New Roman" w:hAnsi="Times New Roman"/>
          <w:b w:val="0"/>
          <w:szCs w:val="24"/>
          <w:lang w:val="lt-LT" w:eastAsia="lt-LT"/>
        </w:rPr>
        <w:t>6. Kita informacija</w:t>
      </w:r>
      <w:bookmarkEnd w:id="53"/>
      <w:bookmarkEnd w:id="54"/>
      <w:bookmarkEnd w:id="55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491C20" w:rsidTr="00946524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96F" w:rsidRPr="00491C20" w:rsidRDefault="00CD296F" w:rsidP="001C6D1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lt-LT"/>
              </w:rPr>
            </w:pPr>
            <w:bookmarkStart w:id="56" w:name="d0e2122"/>
            <w:r w:rsidRPr="00491C2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lt-LT"/>
              </w:rPr>
              <w:t>Etiketėje turi būti nurodoma:</w:t>
            </w:r>
          </w:p>
          <w:p w:rsidR="00CD296F" w:rsidRPr="00491C20" w:rsidRDefault="00CD296F" w:rsidP="001C6D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Sudėtis: </w:t>
            </w: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N,N-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dietil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-meta-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toluamidas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(DEET), CAS 134-62-3, EB Nr. 205-149-7, </w:t>
            </w:r>
            <w:r w:rsidR="00E827E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15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%.</w:t>
            </w:r>
          </w:p>
          <w:p w:rsidR="00CD296F" w:rsidRPr="00491C20" w:rsidRDefault="00CD296F" w:rsidP="001C6D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Partijos numeris:</w:t>
            </w:r>
          </w:p>
          <w:p w:rsidR="00CD296F" w:rsidRPr="00491C20" w:rsidRDefault="00CD296F" w:rsidP="001C6D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Galiojimo laikas: </w:t>
            </w:r>
            <w:r w:rsidR="00491C20"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24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mėnesiai nuo pagaminimo datos.</w:t>
            </w:r>
          </w:p>
          <w:p w:rsidR="00CD296F" w:rsidRPr="00491C20" w:rsidRDefault="00CD296F" w:rsidP="001C6D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Pakuotė (</w:t>
            </w:r>
            <w:r w:rsidR="00D407D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ml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/</w:t>
            </w:r>
            <w:r w:rsidR="00D407D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l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): </w:t>
            </w:r>
          </w:p>
          <w:p w:rsidR="00CD296F" w:rsidRPr="00491C20" w:rsidRDefault="00CD296F" w:rsidP="00D407D5">
            <w:pPr>
              <w:overflowPunc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Gamintojas: </w:t>
            </w:r>
            <w:proofErr w:type="spellStart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Oy</w:t>
            </w:r>
            <w:proofErr w:type="spellEnd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Transmeri</w:t>
            </w:r>
            <w:proofErr w:type="spellEnd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Logistics</w:t>
            </w:r>
            <w:proofErr w:type="spellEnd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Ab</w:t>
            </w:r>
            <w:proofErr w:type="spellEnd"/>
            <w:r w:rsid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, </w:t>
            </w:r>
            <w:proofErr w:type="spellStart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Kisallintie</w:t>
            </w:r>
            <w:proofErr w:type="spellEnd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13, 01730 </w:t>
            </w:r>
            <w:proofErr w:type="spellStart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Vantaa</w:t>
            </w:r>
            <w:proofErr w:type="spellEnd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, </w:t>
            </w:r>
            <w:proofErr w:type="spellStart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Finland</w:t>
            </w:r>
            <w:proofErr w:type="spellEnd"/>
            <w:r w:rsidR="00D407D5" w:rsidRP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(Suomija)</w:t>
            </w:r>
            <w:r w:rsid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  <w:p w:rsidR="00C11DC0" w:rsidRPr="003A7AD1" w:rsidRDefault="00CD296F" w:rsidP="00C11DC0">
            <w:pPr>
              <w:overflowPunct/>
              <w:rPr>
                <w:rFonts w:ascii="Times New Roman" w:hAnsi="Times New Roman"/>
                <w:bCs/>
                <w:sz w:val="24"/>
                <w:szCs w:val="24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Liudijimas išduotas: </w:t>
            </w:r>
            <w:r w:rsidR="00C11DC0" w:rsidRPr="003A7AD1">
              <w:rPr>
                <w:rFonts w:ascii="Times New Roman" w:hAnsi="Times New Roman"/>
                <w:bCs/>
                <w:sz w:val="24"/>
                <w:szCs w:val="24"/>
              </w:rPr>
              <w:t>SC Johnson Europe SARL, Z.A. la Piece 8, 1180 Rolle</w:t>
            </w:r>
            <w:r w:rsidR="00C11DC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C11DC0">
              <w:rPr>
                <w:rFonts w:ascii="Times New Roman" w:hAnsi="Times New Roman"/>
                <w:bCs/>
                <w:sz w:val="24"/>
                <w:szCs w:val="24"/>
              </w:rPr>
              <w:t>Šveicarija</w:t>
            </w:r>
            <w:proofErr w:type="spellEnd"/>
            <w:r w:rsidR="00C11DC0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CD296F" w:rsidRPr="00491C20" w:rsidRDefault="00CD296F" w:rsidP="001C6D11">
            <w:pPr>
              <w:tabs>
                <w:tab w:val="left" w:pos="5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Biocidinio</w:t>
            </w:r>
            <w:proofErr w:type="spellEnd"/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produkto autorizacijos </w:t>
            </w:r>
          </w:p>
          <w:p w:rsidR="00CD296F" w:rsidRPr="00491C20" w:rsidRDefault="00CD296F" w:rsidP="00086F10">
            <w:pPr>
              <w:tabs>
                <w:tab w:val="left" w:pos="50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liudijimas Nr</w:t>
            </w:r>
            <w:r w:rsidR="00C11DC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. </w:t>
            </w:r>
            <w:r w:rsidR="00C11DC0" w:rsidRPr="00C11DC0">
              <w:rPr>
                <w:sz w:val="24"/>
                <w:szCs w:val="24"/>
                <w:lang w:val="pt-PT"/>
              </w:rPr>
              <w:t>(10-14 17.5)BSV-</w:t>
            </w:r>
            <w:r w:rsidR="00E77A66">
              <w:rPr>
                <w:sz w:val="24"/>
                <w:szCs w:val="24"/>
                <w:lang w:val="pt-PT"/>
              </w:rPr>
              <w:t>3282</w:t>
            </w:r>
            <w:r w:rsidR="00C11DC0" w:rsidRPr="00C11DC0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="00C11DC0" w:rsidRPr="00C11DC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A-19BAP</w:t>
            </w:r>
            <w:r w:rsidR="00C943FA" w:rsidRPr="00C11DC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</w:t>
            </w:r>
            <w:r w:rsidR="00C943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102050-18-29</w:t>
            </w:r>
            <w:r w:rsidR="00C11DC0" w:rsidRPr="00C11DC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)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 galioja iki 202</w:t>
            </w:r>
            <w:r w:rsid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-0</w:t>
            </w:r>
            <w:r w:rsid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-</w:t>
            </w:r>
            <w:r w:rsidR="00491C20" w:rsidRPr="00491C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 w:rsidR="00D407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0</w:t>
            </w:r>
          </w:p>
        </w:tc>
      </w:tr>
      <w:bookmarkEnd w:id="56"/>
    </w:tbl>
    <w:p w:rsidR="00CD296F" w:rsidRPr="00425F29" w:rsidRDefault="00CD296F" w:rsidP="00CD296F">
      <w:pPr>
        <w:rPr>
          <w:sz w:val="24"/>
          <w:szCs w:val="24"/>
          <w:lang w:val="lt-LT"/>
        </w:rPr>
      </w:pPr>
    </w:p>
    <w:p w:rsidR="00CD296F" w:rsidRDefault="00CD296F">
      <w:pPr>
        <w:rPr>
          <w:sz w:val="24"/>
          <w:szCs w:val="24"/>
        </w:rPr>
      </w:pPr>
    </w:p>
    <w:p w:rsidR="00DE7644" w:rsidRDefault="00DE7644">
      <w:pPr>
        <w:rPr>
          <w:sz w:val="24"/>
          <w:szCs w:val="24"/>
        </w:rPr>
      </w:pPr>
    </w:p>
    <w:p w:rsidR="00DE7644" w:rsidRDefault="00DE7644">
      <w:pPr>
        <w:rPr>
          <w:sz w:val="24"/>
          <w:szCs w:val="24"/>
        </w:rPr>
      </w:pPr>
    </w:p>
    <w:p w:rsidR="00DE7644" w:rsidRDefault="00DE7644">
      <w:pPr>
        <w:rPr>
          <w:sz w:val="24"/>
          <w:szCs w:val="24"/>
        </w:rPr>
      </w:pPr>
    </w:p>
    <w:p w:rsidR="00DE7644" w:rsidRDefault="00DE7644">
      <w:pPr>
        <w:rPr>
          <w:sz w:val="24"/>
          <w:szCs w:val="24"/>
        </w:rPr>
      </w:pPr>
    </w:p>
    <w:p w:rsidR="00DE7644" w:rsidRDefault="00DE7644">
      <w:pPr>
        <w:rPr>
          <w:sz w:val="24"/>
          <w:szCs w:val="24"/>
        </w:rPr>
      </w:pPr>
    </w:p>
    <w:p w:rsidR="00DE7644" w:rsidRPr="00901332" w:rsidRDefault="00DE7644" w:rsidP="00DE7644">
      <w:pPr>
        <w:rPr>
          <w:rFonts w:ascii="Times New Roman" w:hAnsi="Times New Roman"/>
          <w:sz w:val="23"/>
          <w:szCs w:val="23"/>
          <w:lang w:val="lt-LT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DE7644" w:rsidRPr="00901332" w:rsidTr="00CD2C2C">
        <w:trPr>
          <w:cantSplit/>
          <w:trHeight w:val="1149"/>
        </w:trPr>
        <w:tc>
          <w:tcPr>
            <w:tcW w:w="9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644" w:rsidRDefault="00DE7644" w:rsidP="00CD2C2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Nacionalinio visuomenės sveikatos centro</w:t>
            </w:r>
          </w:p>
          <w:p w:rsidR="00DE7644" w:rsidRDefault="00DE7644" w:rsidP="00CD2C2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prie Sveikatos apsaugos ministerijos</w:t>
            </w:r>
          </w:p>
          <w:p w:rsidR="00DE7644" w:rsidRPr="00901332" w:rsidRDefault="00DE7644" w:rsidP="00CD2C2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Vilniaus departamento</w:t>
            </w:r>
          </w:p>
          <w:p w:rsidR="00DE7644" w:rsidRPr="00901332" w:rsidRDefault="00DE7644" w:rsidP="00CD2C2C">
            <w:pPr>
              <w:jc w:val="center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Produktų vertinimo skyrius</w:t>
            </w:r>
          </w:p>
          <w:p w:rsidR="00DE7644" w:rsidRPr="00901332" w:rsidRDefault="00DE7644" w:rsidP="00CD2C2C">
            <w:pPr>
              <w:spacing w:before="40"/>
              <w:jc w:val="center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</w:tc>
      </w:tr>
      <w:tr w:rsidR="00DE7644" w:rsidRPr="00901332" w:rsidTr="00CD2C2C">
        <w:trPr>
          <w:cantSplit/>
          <w:trHeight w:val="983"/>
        </w:trPr>
        <w:tc>
          <w:tcPr>
            <w:tcW w:w="97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44" w:rsidRPr="00901332" w:rsidRDefault="00DE7644" w:rsidP="00CD2C2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spacing w:before="200"/>
              <w:jc w:val="center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BIOCIDINIO PRODUKTO VERTINIMO PAŽYMA</w:t>
            </w:r>
          </w:p>
        </w:tc>
      </w:tr>
    </w:tbl>
    <w:p w:rsidR="00DE7644" w:rsidRPr="00901332" w:rsidRDefault="00DE7644" w:rsidP="00DE7644">
      <w:pPr>
        <w:rPr>
          <w:rFonts w:ascii="Times New Roman" w:hAnsi="Times New Roman"/>
          <w:sz w:val="23"/>
          <w:szCs w:val="23"/>
          <w:lang w:val="lt-LT"/>
        </w:rPr>
      </w:pPr>
    </w:p>
    <w:p w:rsidR="00DE7644" w:rsidRPr="00901332" w:rsidRDefault="00DE7644" w:rsidP="00DE7644">
      <w:pPr>
        <w:rPr>
          <w:rFonts w:ascii="Times New Roman" w:hAnsi="Times New Roman"/>
          <w:sz w:val="23"/>
          <w:szCs w:val="23"/>
          <w:lang w:val="lt-LT"/>
        </w:rPr>
      </w:pPr>
    </w:p>
    <w:p w:rsidR="00DE7644" w:rsidRPr="00C3607F" w:rsidRDefault="00DE7644" w:rsidP="00DE7644">
      <w:pPr>
        <w:ind w:firstLine="180"/>
        <w:rPr>
          <w:sz w:val="24"/>
          <w:szCs w:val="24"/>
          <w:lang w:val="lt-LT"/>
        </w:rPr>
      </w:pPr>
      <w:r w:rsidRPr="00C3607F">
        <w:rPr>
          <w:sz w:val="24"/>
          <w:szCs w:val="24"/>
          <w:lang w:val="lt-LT"/>
        </w:rPr>
        <w:t>2018-01-</w:t>
      </w:r>
      <w:r>
        <w:rPr>
          <w:sz w:val="24"/>
          <w:szCs w:val="24"/>
          <w:lang w:val="lt-LT"/>
        </w:rPr>
        <w:t>24</w:t>
      </w:r>
      <w:r w:rsidRPr="00C3607F">
        <w:rPr>
          <w:sz w:val="24"/>
          <w:szCs w:val="24"/>
          <w:lang w:val="lt-LT"/>
        </w:rPr>
        <w:tab/>
      </w:r>
      <w:r w:rsidRPr="00C3607F">
        <w:rPr>
          <w:sz w:val="24"/>
          <w:szCs w:val="24"/>
          <w:lang w:val="lt-LT"/>
        </w:rPr>
        <w:tab/>
        <w:t xml:space="preserve">                  Nr. </w:t>
      </w:r>
      <w:r w:rsidRPr="00C3607F">
        <w:rPr>
          <w:sz w:val="24"/>
          <w:szCs w:val="24"/>
          <w:lang w:val="pt-PT"/>
        </w:rPr>
        <w:t>(10-14 17.5)BSV-</w:t>
      </w:r>
      <w:r>
        <w:rPr>
          <w:sz w:val="24"/>
          <w:szCs w:val="24"/>
          <w:lang w:val="pt-PT"/>
        </w:rPr>
        <w:t>3237</w:t>
      </w:r>
    </w:p>
    <w:p w:rsidR="00DE7644" w:rsidRPr="00901332" w:rsidRDefault="00DE7644" w:rsidP="00DE7644">
      <w:pPr>
        <w:rPr>
          <w:rFonts w:ascii="Times New Roman" w:hAnsi="Times New Roman"/>
          <w:sz w:val="23"/>
          <w:szCs w:val="23"/>
          <w:lang w:val="lt-L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E7644" w:rsidRPr="00901332" w:rsidTr="00CD2C2C"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644" w:rsidRPr="00901332" w:rsidRDefault="00DE7644" w:rsidP="00CD2C2C">
            <w:pPr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1. Produktų tipas, </w:t>
            </w:r>
            <w:proofErr w:type="spellStart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biocidinio</w:t>
            </w:r>
            <w:proofErr w:type="spellEnd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 produkto pavadinimas</w:t>
            </w:r>
          </w:p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overflowPunct/>
              <w:jc w:val="center"/>
              <w:rPr>
                <w:rFonts w:ascii="Times New Roman" w:hAnsi="Times New Roman"/>
                <w:sz w:val="23"/>
                <w:szCs w:val="23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lt-LT" w:eastAsia="lt-LT"/>
              </w:rPr>
              <w:t>Repelentai</w:t>
            </w:r>
            <w:proofErr w:type="spellEnd"/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(19 produktų tipas)</w:t>
            </w:r>
          </w:p>
          <w:p w:rsidR="00DE7644" w:rsidRPr="0090482D" w:rsidRDefault="00DE7644" w:rsidP="00CD2C2C">
            <w:pPr>
              <w:overflowPunct/>
              <w:jc w:val="center"/>
              <w:rPr>
                <w:rFonts w:ascii="Times New Roman" w:hAnsi="Times New Roman"/>
                <w:sz w:val="23"/>
                <w:szCs w:val="23"/>
                <w:lang w:val="lt-LT" w:eastAsia="lt-LT"/>
              </w:rPr>
            </w:pPr>
            <w:r w:rsidRPr="0090482D">
              <w:rPr>
                <w:rFonts w:ascii="Times New Roman" w:hAnsi="Times New Roman"/>
                <w:sz w:val="23"/>
                <w:szCs w:val="23"/>
                <w:lang w:val="lt-LT" w:eastAsia="lt-LT"/>
              </w:rPr>
              <w:t>Aerozolis nuo uod</w:t>
            </w:r>
            <w:r>
              <w:rPr>
                <w:rFonts w:ascii="Times New Roman" w:hAnsi="Times New Roman"/>
                <w:sz w:val="23"/>
                <w:szCs w:val="23"/>
                <w:lang w:val="lt-LT" w:eastAsia="lt-LT"/>
              </w:rPr>
              <w:t>ų</w:t>
            </w:r>
            <w:r w:rsidRPr="0090482D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"OFF! </w:t>
            </w:r>
            <w:proofErr w:type="spellStart"/>
            <w:r w:rsidRPr="0090482D">
              <w:rPr>
                <w:rFonts w:ascii="Times New Roman" w:hAnsi="Times New Roman"/>
                <w:sz w:val="23"/>
                <w:szCs w:val="23"/>
                <w:lang w:val="lt-LT" w:eastAsia="lt-LT"/>
              </w:rPr>
              <w:t>Active</w:t>
            </w:r>
            <w:proofErr w:type="spellEnd"/>
            <w:r w:rsidRPr="0090482D">
              <w:rPr>
                <w:rFonts w:ascii="Times New Roman" w:hAnsi="Times New Roman"/>
                <w:sz w:val="23"/>
                <w:szCs w:val="23"/>
                <w:lang w:val="lt-LT" w:eastAsia="lt-LT"/>
              </w:rPr>
              <w:t>"</w:t>
            </w:r>
          </w:p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</w:tc>
      </w:tr>
      <w:tr w:rsidR="00DE7644" w:rsidRPr="00901332" w:rsidTr="00CD2C2C">
        <w:trPr>
          <w:cantSplit/>
        </w:trPr>
        <w:tc>
          <w:tcPr>
            <w:tcW w:w="9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644" w:rsidRPr="00901332" w:rsidRDefault="00DE7644" w:rsidP="00CD2C2C">
            <w:pPr>
              <w:rPr>
                <w:rFonts w:ascii="Times New Roman" w:hAnsi="Times New Roman"/>
                <w:i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2. </w:t>
            </w:r>
            <w:proofErr w:type="spellStart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Biocidinio</w:t>
            </w:r>
            <w:proofErr w:type="spellEnd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 produkto gamintojas</w:t>
            </w:r>
            <w:r w:rsidRPr="00901332">
              <w:rPr>
                <w:rFonts w:ascii="Times New Roman" w:hAnsi="Times New Roman"/>
                <w:i/>
                <w:sz w:val="23"/>
                <w:szCs w:val="23"/>
                <w:lang w:val="lt-LT"/>
              </w:rPr>
              <w:t xml:space="preserve"> (pavadinimas, adresas)</w:t>
            </w:r>
          </w:p>
          <w:p w:rsidR="00DE7644" w:rsidRPr="00901332" w:rsidRDefault="00DE7644" w:rsidP="00CD2C2C">
            <w:pPr>
              <w:rPr>
                <w:rFonts w:ascii="Times New Roman" w:hAnsi="Times New Roman"/>
                <w:i/>
                <w:sz w:val="23"/>
                <w:szCs w:val="23"/>
                <w:lang w:val="lt-LT"/>
              </w:rPr>
            </w:pPr>
          </w:p>
          <w:p w:rsidR="00DE7644" w:rsidRPr="0090482D" w:rsidRDefault="00DE7644" w:rsidP="00CD2C2C">
            <w:pPr>
              <w:overflowPunct/>
              <w:jc w:val="center"/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</w:pPr>
            <w:proofErr w:type="spellStart"/>
            <w:r w:rsidRPr="0090482D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>Oy</w:t>
            </w:r>
            <w:proofErr w:type="spellEnd"/>
            <w:r w:rsidRPr="0090482D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 xml:space="preserve"> </w:t>
            </w:r>
            <w:proofErr w:type="spellStart"/>
            <w:r w:rsidRPr="0090482D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>Transmeri</w:t>
            </w:r>
            <w:proofErr w:type="spellEnd"/>
            <w:r w:rsidRPr="0090482D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 xml:space="preserve"> </w:t>
            </w:r>
            <w:proofErr w:type="spellStart"/>
            <w:r w:rsidRPr="0090482D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>Logistics</w:t>
            </w:r>
            <w:proofErr w:type="spellEnd"/>
            <w:r w:rsidRPr="0090482D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 xml:space="preserve"> </w:t>
            </w:r>
            <w:proofErr w:type="spellStart"/>
            <w:r w:rsidRPr="0090482D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>Ab</w:t>
            </w:r>
            <w:proofErr w:type="spellEnd"/>
            <w:r w:rsidRPr="0090482D"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  <w:t xml:space="preserve"> </w:t>
            </w:r>
          </w:p>
          <w:p w:rsidR="00DE7644" w:rsidRPr="0090482D" w:rsidRDefault="00DE7644" w:rsidP="00CD2C2C">
            <w:pPr>
              <w:overflowPunct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90482D">
              <w:rPr>
                <w:rFonts w:ascii="Times New Roman" w:hAnsi="Times New Roman"/>
                <w:sz w:val="24"/>
                <w:szCs w:val="24"/>
                <w:lang w:val="lt-LT"/>
              </w:rPr>
              <w:t>Kisallintie</w:t>
            </w:r>
            <w:proofErr w:type="spellEnd"/>
            <w:r w:rsidRPr="009048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13, 01730 </w:t>
            </w:r>
            <w:proofErr w:type="spellStart"/>
            <w:r w:rsidRPr="0090482D">
              <w:rPr>
                <w:rFonts w:ascii="Times New Roman" w:hAnsi="Times New Roman"/>
                <w:sz w:val="24"/>
                <w:szCs w:val="24"/>
                <w:lang w:val="lt-LT"/>
              </w:rPr>
              <w:t>Vantaa</w:t>
            </w:r>
            <w:proofErr w:type="spellEnd"/>
            <w:r w:rsidRPr="009048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</w:p>
          <w:p w:rsidR="00DE7644" w:rsidRPr="0090482D" w:rsidRDefault="00DE7644" w:rsidP="00CD2C2C">
            <w:pPr>
              <w:overflowPunct/>
              <w:jc w:val="center"/>
              <w:rPr>
                <w:rFonts w:ascii="Times New Roman" w:eastAsia="Calibri" w:hAnsi="Times New Roman"/>
                <w:sz w:val="24"/>
                <w:szCs w:val="24"/>
                <w:lang w:val="lt-LT" w:eastAsia="fi-FI"/>
              </w:rPr>
            </w:pPr>
            <w:proofErr w:type="spellStart"/>
            <w:r w:rsidRPr="0090482D">
              <w:rPr>
                <w:rFonts w:ascii="Times New Roman" w:hAnsi="Times New Roman"/>
                <w:sz w:val="24"/>
                <w:szCs w:val="24"/>
                <w:lang w:val="lt-LT"/>
              </w:rPr>
              <w:t>Finland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Pr="0090482D">
              <w:rPr>
                <w:rFonts w:ascii="Times New Roman" w:hAnsi="Times New Roman"/>
                <w:sz w:val="24"/>
                <w:szCs w:val="24"/>
                <w:lang w:val="lt-LT"/>
              </w:rPr>
              <w:t>Suomija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Pr="009048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</w:tc>
      </w:tr>
      <w:tr w:rsidR="00DE7644" w:rsidRPr="00901332" w:rsidTr="00CD2C2C">
        <w:trPr>
          <w:cantSplit/>
          <w:trHeight w:val="1598"/>
        </w:trPr>
        <w:tc>
          <w:tcPr>
            <w:tcW w:w="9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3. Pareiškėjas </w:t>
            </w:r>
            <w:r w:rsidRPr="00901332">
              <w:rPr>
                <w:rFonts w:ascii="Times New Roman" w:hAnsi="Times New Roman"/>
                <w:i/>
                <w:sz w:val="23"/>
                <w:szCs w:val="23"/>
                <w:lang w:val="lt-LT"/>
              </w:rPr>
              <w:t>(pavadinimas arba vardas ir pavardė, adresas)</w:t>
            </w:r>
          </w:p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A94F36" w:rsidRDefault="00DE7644" w:rsidP="00CD2C2C">
            <w:pPr>
              <w:overflowPunct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SC </w:t>
            </w:r>
            <w:proofErr w:type="spellStart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Johnson</w:t>
            </w:r>
            <w:proofErr w:type="spellEnd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EurAFNE</w:t>
            </w:r>
            <w:proofErr w:type="spellEnd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Ltd.</w:t>
            </w:r>
          </w:p>
          <w:p w:rsidR="00DE7644" w:rsidRPr="00A94F36" w:rsidRDefault="00DE7644" w:rsidP="00CD2C2C">
            <w:pPr>
              <w:overflowPunct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Frimley</w:t>
            </w:r>
            <w:proofErr w:type="spellEnd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Green</w:t>
            </w:r>
            <w:proofErr w:type="spellEnd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Road</w:t>
            </w:r>
            <w:proofErr w:type="spellEnd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, GU16 7AJ</w:t>
            </w:r>
          </w:p>
          <w:p w:rsidR="00DE7644" w:rsidRPr="00A94F36" w:rsidRDefault="00DE7644" w:rsidP="00CD2C2C">
            <w:pPr>
              <w:overflowPunct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Camberley</w:t>
            </w:r>
            <w:proofErr w:type="spellEnd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, United </w:t>
            </w:r>
            <w:proofErr w:type="spellStart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Kingdom</w:t>
            </w:r>
            <w:proofErr w:type="spellEnd"/>
            <w:r w:rsidRPr="00A94F3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(Jungtinė Karalystė)</w:t>
            </w:r>
          </w:p>
          <w:p w:rsidR="00DE7644" w:rsidRPr="00901332" w:rsidRDefault="00DE7644" w:rsidP="00CD2C2C">
            <w:pPr>
              <w:overflowPunct/>
              <w:jc w:val="center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overflowPunct/>
              <w:jc w:val="center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</w:tc>
      </w:tr>
      <w:tr w:rsidR="00DE7644" w:rsidRPr="00901332" w:rsidTr="00CD2C2C">
        <w:trPr>
          <w:cantSplit/>
          <w:trHeight w:val="2380"/>
        </w:trPr>
        <w:tc>
          <w:tcPr>
            <w:tcW w:w="9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644" w:rsidRPr="00901332" w:rsidRDefault="00DE7644" w:rsidP="00CD2C2C">
            <w:pPr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4. Vertinimui pateikti dokumentai:</w:t>
            </w:r>
          </w:p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4.1. Prašymas.</w:t>
            </w:r>
          </w:p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4.2. Paraiška.</w:t>
            </w:r>
          </w:p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4.3. Sutikimo raštai.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</w:tc>
      </w:tr>
      <w:tr w:rsidR="00DE7644" w:rsidRPr="00901332" w:rsidTr="00CD2C2C">
        <w:trPr>
          <w:cantSplit/>
          <w:trHeight w:hRule="exact" w:val="1361"/>
        </w:trPr>
        <w:tc>
          <w:tcPr>
            <w:tcW w:w="9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44" w:rsidRPr="00901332" w:rsidRDefault="00DE7644" w:rsidP="00CD2C2C">
            <w:pPr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5. Dokumentai gauti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: </w:t>
            </w:r>
            <w:r w:rsidRPr="0090482D">
              <w:rPr>
                <w:rFonts w:ascii="Times New Roman" w:hAnsi="Times New Roman"/>
                <w:sz w:val="23"/>
                <w:szCs w:val="23"/>
                <w:lang w:val="lt-LT"/>
              </w:rPr>
              <w:t>2012-07-19</w:t>
            </w:r>
            <w:r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</w:t>
            </w:r>
            <w:r w:rsidRPr="0090482D">
              <w:rPr>
                <w:rFonts w:ascii="Times New Roman" w:hAnsi="Times New Roman"/>
                <w:sz w:val="23"/>
                <w:szCs w:val="23"/>
                <w:lang w:val="lt-LT"/>
              </w:rPr>
              <w:t>G-3997</w:t>
            </w:r>
            <w:r>
              <w:rPr>
                <w:rFonts w:ascii="Times New Roman" w:hAnsi="Times New Roman"/>
                <w:sz w:val="23"/>
                <w:szCs w:val="23"/>
                <w:lang w:val="lt-LT"/>
              </w:rPr>
              <w:t xml:space="preserve">, </w:t>
            </w:r>
            <w:r w:rsidRPr="0090482D">
              <w:rPr>
                <w:rFonts w:ascii="Times New Roman" w:hAnsi="Times New Roman"/>
                <w:sz w:val="23"/>
                <w:szCs w:val="23"/>
                <w:lang w:val="lt-LT"/>
              </w:rPr>
              <w:t>G-4000</w:t>
            </w:r>
            <w:r>
              <w:rPr>
                <w:rFonts w:ascii="Times New Roman" w:hAnsi="Times New Roman"/>
                <w:sz w:val="23"/>
                <w:szCs w:val="23"/>
                <w:lang w:val="lt-LT"/>
              </w:rPr>
              <w:t xml:space="preserve">, </w:t>
            </w:r>
            <w:r w:rsidRPr="0090482D">
              <w:rPr>
                <w:rFonts w:ascii="Times New Roman" w:hAnsi="Times New Roman"/>
                <w:sz w:val="23"/>
                <w:szCs w:val="23"/>
                <w:lang w:val="lt-LT"/>
              </w:rPr>
              <w:t>2012-08-01</w:t>
            </w:r>
            <w:r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G-</w:t>
            </w:r>
            <w:r w:rsidRPr="0090482D">
              <w:rPr>
                <w:rFonts w:ascii="Times New Roman" w:hAnsi="Times New Roman"/>
                <w:sz w:val="23"/>
                <w:szCs w:val="23"/>
                <w:lang w:val="lt-LT"/>
              </w:rPr>
              <w:t>1388</w:t>
            </w:r>
            <w:r>
              <w:rPr>
                <w:rFonts w:ascii="Times New Roman" w:hAnsi="Times New Roman"/>
                <w:sz w:val="23"/>
                <w:szCs w:val="23"/>
                <w:lang w:val="lt-LT"/>
              </w:rPr>
              <w:t>.</w:t>
            </w:r>
          </w:p>
        </w:tc>
      </w:tr>
    </w:tbl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</w:p>
    <w:p w:rsidR="00DE7644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</w:p>
    <w:p w:rsidR="00DE7644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</w:p>
    <w:p w:rsidR="00DE7644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</w:p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  <w:r w:rsidRPr="00901332">
        <w:rPr>
          <w:rFonts w:ascii="Times New Roman" w:hAnsi="Times New Roman"/>
          <w:sz w:val="23"/>
          <w:szCs w:val="23"/>
          <w:lang w:val="lt-LT"/>
        </w:rPr>
        <w:lastRenderedPageBreak/>
        <w:t>6. Vertinimo aprašymas, išvados ir pasiūlymai:</w:t>
      </w:r>
    </w:p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E7644" w:rsidRPr="00DE7644" w:rsidTr="00CD2C2C">
        <w:trPr>
          <w:trHeight w:val="6454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44" w:rsidRPr="00381DE5" w:rsidRDefault="00DE7644" w:rsidP="00CD2C2C">
            <w:pPr>
              <w:overflowPunct/>
              <w:jc w:val="both"/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</w:pPr>
            <w:r w:rsidRPr="0090482D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>Aerozolis nuo uod</w:t>
            </w:r>
            <w:r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>ų</w:t>
            </w:r>
            <w:r w:rsidRPr="0090482D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 xml:space="preserve"> "OFF! </w:t>
            </w:r>
            <w:proofErr w:type="spellStart"/>
            <w:r w:rsidRPr="0090482D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>Active</w:t>
            </w:r>
            <w:proofErr w:type="spellEnd"/>
            <w:r w:rsidRPr="0090482D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>"</w:t>
            </w:r>
            <w:r w:rsidRPr="00381DE5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 xml:space="preserve"> </w:t>
            </w:r>
          </w:p>
          <w:p w:rsidR="00DE7644" w:rsidRDefault="00DE7644" w:rsidP="00CD2C2C">
            <w:pPr>
              <w:overflowPunct/>
              <w:jc w:val="both"/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>(aerozolis)</w:t>
            </w:r>
          </w:p>
          <w:p w:rsidR="00DE7644" w:rsidRPr="00901332" w:rsidRDefault="00DE7644" w:rsidP="00CD2C2C">
            <w:pPr>
              <w:overflowPunct/>
              <w:jc w:val="both"/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</w:pPr>
          </w:p>
          <w:p w:rsidR="00DE7644" w:rsidRDefault="00DE7644" w:rsidP="00CD2C2C">
            <w:pPr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Veiklioji medžiaga N,N-</w:t>
            </w:r>
            <w:proofErr w:type="spellStart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dietil</w:t>
            </w:r>
            <w:proofErr w:type="spellEnd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-meta-</w:t>
            </w:r>
            <w:proofErr w:type="spellStart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toluamidas</w:t>
            </w:r>
            <w:proofErr w:type="spellEnd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 (DEET), CAS 134-62-3, EB Nr. 205-149-7, 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 xml:space="preserve">15 </w:t>
            </w:r>
            <w:r w:rsidRPr="00901332"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>%.</w:t>
            </w:r>
          </w:p>
          <w:p w:rsidR="00DE7644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Vei</w:t>
            </w:r>
            <w:r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kl</w:t>
            </w: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ioji medžiaga įtraukta į Sąjungos patvirtintų veikliųjų medžiagų sąrašą, 19 produktų tipui.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</w:p>
          <w:p w:rsidR="00DE7644" w:rsidRPr="00B8099C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>Sudėtyje yra (tiksli sudėtis yra konfidenciali informacija</w:t>
            </w:r>
            <w:r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) etanolio.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proofErr w:type="spellStart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Biocidinis</w:t>
            </w:r>
            <w:proofErr w:type="spellEnd"/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 produktas autorizuojamas, taikant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2012 m. gegužės 22 d. Europos Parlamento ir Tarybos reglamento (ES) Nr. 528/2012 dėl </w:t>
            </w:r>
            <w:proofErr w:type="spellStart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biocidinių</w:t>
            </w:r>
            <w:proofErr w:type="spellEnd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produktų tiekimo rinkai ir jų naudojimo (toliau – Reglamentas (ES) Nr. 528/2012) </w:t>
            </w:r>
            <w:r w:rsidRPr="00A94F36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 xml:space="preserve">34 straipsnį - </w:t>
            </w:r>
            <w:r w:rsidRPr="00A94F36"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>Lygiagretus abipusis pripažinimas.</w:t>
            </w: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 Pagal referencinės valstybės narės </w:t>
            </w:r>
            <w:r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Jungtinės Karalystės</w:t>
            </w: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 kompetentingos institucijos </w:t>
            </w:r>
            <w:r w:rsidRPr="00901332"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>7</w:t>
            </w:r>
            <w:r w:rsidRPr="00901332"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 xml:space="preserve"> m. 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>vasario</w:t>
            </w:r>
            <w:r w:rsidRPr="00901332"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lt-LT"/>
              </w:rPr>
              <w:t>20</w:t>
            </w: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 d. išduoto autorizacijos liudijimo Nr. </w:t>
            </w:r>
            <w:r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UK-2017-1066</w:t>
            </w: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 xml:space="preserve"> charakteristikų santrauką. 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1. Poveikio žmonių sveikatai vertinimas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Poveikio profesionaliesiems, neprofesionaliesiems vartotojams, poveikio žmonėms, kurie gali būti paveikti netiesiogiai per aplinką, įvertinimas atitinka 2012 m. gegužės 22 d. Europos Parlamento ir Tarybos reglamento (ES) Nr. 528/2012 dėl </w:t>
            </w:r>
            <w:proofErr w:type="spellStart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biocidinių</w:t>
            </w:r>
            <w:proofErr w:type="spellEnd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produktų tiekimo rinkai ir jų naudojimo (toliau – Reglamentas (ES) Nr. 528/2012), VI priedo 22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–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35 punktus.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Poveikio gyvūnų sveikatai vertinimas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Tiesioginio ir netiesioginio poveikio gyvūnams įvertinimas atitinka Reglamento (ES) Nr. 528/2012 VI priedo 36 punktą.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3. Poveikio aplinkai vertinimas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Poveikio orui, dirvožemiui, vandeniui (įskaitant nuosėdas), florai ir faunai įvertinimas atitinka Reglamento (ES) Nr. 528/2012 VI priedo 37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–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48 punktus.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Poveikio kontroliuojamiems organizmams vertinimas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Nereikalingų kontroliuojamų stuburinių organizmų kančių, atsparumo, kito nepageidaujamo poveikio įvertinimas atitinka Reglamento (ES) Nr. 528/2012 VI priedo 49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–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50 punktus.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Efektyvumo vertinimas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Efektyvumo įvertinimas atitinka Reglamento (ES) Nr. 528/2012 VI priedo 51 – 52 punktus.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Išvados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Išvadų pateikimas atitinka Reglamento (ES) Nr. 528/2012 VI priedo 55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–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58 punktus.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Poveikio žmonių sveikatai vertinimo išvados atitinka Reglamento (ES) Nr. 528/2012 VI priedo 59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–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63 punktus.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Poveikio gyvūnų sveikatai vertinimo išvados atitinka Reglamento (ES) Nr. 528/2012 VI priedo 64 punktą.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Poveikio aplinkai vertinimo išvados atitinka Reglamento (ES) Nr. 528/2012 VI priedo 65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–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74 punktus.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lastRenderedPageBreak/>
              <w:t>Poveikio kontroliuojamiems organizmams vertinimo išvados atitinka Reglamento (ES) Nr. 528/2012 VI priedo 75 –</w:t>
            </w:r>
            <w:r w:rsidRPr="00901332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76 punktus.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Efektyvumo vertinimo išvados atitinka Reglamento (ES) Nr. 528/2012 VI priedo 77 punktą.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Rekomendacijos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overflowPunct/>
              <w:jc w:val="both"/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</w:pPr>
            <w:bookmarkStart w:id="57" w:name="_Hlk501716260"/>
            <w:r w:rsidRPr="0090482D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>Aerozolis nuo uod</w:t>
            </w:r>
            <w:r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>ų</w:t>
            </w:r>
            <w:r w:rsidRPr="0090482D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 xml:space="preserve"> "OFF! </w:t>
            </w:r>
            <w:proofErr w:type="spellStart"/>
            <w:r w:rsidRPr="0090482D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>Active</w:t>
            </w:r>
            <w:proofErr w:type="spellEnd"/>
            <w:r w:rsidRPr="0090482D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>"</w:t>
            </w:r>
            <w:bookmarkEnd w:id="57"/>
            <w:r w:rsidRPr="00381DE5">
              <w:rPr>
                <w:rFonts w:ascii="Times New Roman" w:hAnsi="Times New Roman"/>
                <w:b/>
                <w:sz w:val="23"/>
                <w:szCs w:val="23"/>
                <w:lang w:val="lt-LT" w:eastAsia="lt-LT"/>
              </w:rPr>
              <w:t xml:space="preserve">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(19 produktų tipas) atitinka </w:t>
            </w:r>
            <w:proofErr w:type="spellStart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biocidinių</w:t>
            </w:r>
            <w:proofErr w:type="spellEnd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produktų tiekimą į rinką reglamentuojančių teisės aktų reikalavimus. Tikslinga išduoti </w:t>
            </w:r>
            <w:proofErr w:type="spellStart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biocidinio</w:t>
            </w:r>
            <w:proofErr w:type="spellEnd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produkto autorizacijos liudijimą pagal autorizacijos liudijimo Nr. </w:t>
            </w:r>
            <w:r>
              <w:rPr>
                <w:rFonts w:ascii="Times New Roman" w:hAnsi="Times New Roman"/>
                <w:sz w:val="23"/>
                <w:szCs w:val="23"/>
                <w:lang w:val="lt-LT"/>
              </w:rPr>
              <w:t>UK-2017-1066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charakteristikų santrauką, iki datos, nurodytos </w:t>
            </w:r>
            <w:proofErr w:type="spellStart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biocidinio</w:t>
            </w:r>
            <w:proofErr w:type="spellEnd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produkto autorizacijos liudijimo Nr. </w:t>
            </w:r>
            <w:r>
              <w:rPr>
                <w:rFonts w:ascii="Times New Roman" w:hAnsi="Times New Roman"/>
                <w:sz w:val="23"/>
                <w:szCs w:val="23"/>
                <w:lang w:val="lt-LT"/>
              </w:rPr>
              <w:t>UK-2017-1066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byloje (</w:t>
            </w:r>
            <w:proofErr w:type="spellStart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Biocidinių</w:t>
            </w:r>
            <w:proofErr w:type="spellEnd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produktų registre Nr. </w:t>
            </w:r>
            <w:r w:rsidRPr="00D346B6">
              <w:rPr>
                <w:rFonts w:ascii="Times New Roman" w:hAnsi="Times New Roman"/>
                <w:sz w:val="24"/>
                <w:szCs w:val="24"/>
              </w:rPr>
              <w:t>UK-0008</w:t>
            </w:r>
            <w:r>
              <w:rPr>
                <w:rFonts w:ascii="Times New Roman" w:hAnsi="Times New Roman"/>
                <w:sz w:val="24"/>
                <w:szCs w:val="24"/>
              </w:rPr>
              <w:t>776</w:t>
            </w:r>
            <w:r w:rsidRPr="00D346B6">
              <w:rPr>
                <w:rFonts w:ascii="Times New Roman" w:hAnsi="Times New Roman"/>
                <w:sz w:val="24"/>
                <w:szCs w:val="24"/>
              </w:rPr>
              <w:t>-0000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), ir nustatyti autorizacijos sąlygas.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b/>
                <w:sz w:val="23"/>
                <w:szCs w:val="23"/>
                <w:lang w:val="lt-LT"/>
              </w:rPr>
              <w:t>Pasiūlymai dėl autorizacijos sąlygų</w:t>
            </w: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</w:p>
          <w:p w:rsidR="00DE7644" w:rsidRPr="00901332" w:rsidRDefault="00DE7644" w:rsidP="00CD2C2C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lt-LT"/>
              </w:rPr>
            </w:pP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Siūloma nustatyti autorizacijos sąlygas pagal </w:t>
            </w:r>
            <w:proofErr w:type="spellStart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biocidinio</w:t>
            </w:r>
            <w:proofErr w:type="spellEnd"/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 produkto autorizacijos liudijimo Nr. </w:t>
            </w:r>
            <w:r>
              <w:rPr>
                <w:rFonts w:ascii="Times New Roman" w:hAnsi="Times New Roman"/>
                <w:sz w:val="23"/>
                <w:szCs w:val="23"/>
                <w:lang w:val="lt-LT"/>
              </w:rPr>
              <w:t xml:space="preserve">UK-2017-1066 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 xml:space="preserve">charakteristikų santrauką. </w:t>
            </w:r>
            <w:r w:rsidRPr="0071285B">
              <w:rPr>
                <w:rFonts w:ascii="Times New Roman" w:hAnsi="Times New Roman"/>
                <w:sz w:val="24"/>
                <w:szCs w:val="24"/>
                <w:lang w:val="lt-LT"/>
              </w:rPr>
              <w:t>Autorizacijos liudijime siūloma įrašyti tokias autorizacijos sąlygas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 xml:space="preserve">: „Uodams </w:t>
            </w:r>
            <w:r w:rsidRPr="00901332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atbaidyt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i buityje</w:t>
            </w:r>
            <w:r w:rsidRPr="00901332">
              <w:rPr>
                <w:rFonts w:ascii="Times New Roman" w:hAnsi="Times New Roman"/>
                <w:sz w:val="23"/>
                <w:szCs w:val="23"/>
                <w:lang w:val="lt-LT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lt-LT"/>
              </w:rPr>
              <w:t>“</w:t>
            </w:r>
          </w:p>
        </w:tc>
      </w:tr>
    </w:tbl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</w:p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  <w:r w:rsidRPr="00901332">
        <w:rPr>
          <w:rFonts w:ascii="Times New Roman" w:hAnsi="Times New Roman"/>
          <w:sz w:val="23"/>
          <w:szCs w:val="23"/>
          <w:lang w:val="lt-LT"/>
        </w:rPr>
        <w:t>Vertinimą atliko:</w:t>
      </w:r>
    </w:p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</w:p>
    <w:p w:rsidR="00DE7644" w:rsidRPr="00B8099C" w:rsidRDefault="00DE7644" w:rsidP="00DE7644">
      <w:pPr>
        <w:jc w:val="both"/>
        <w:rPr>
          <w:rFonts w:ascii="Times New Roman" w:hAnsi="Times New Roman"/>
          <w:color w:val="FF0000"/>
          <w:sz w:val="23"/>
          <w:szCs w:val="23"/>
          <w:lang w:val="lt-LT"/>
        </w:rPr>
      </w:pPr>
      <w:r w:rsidRPr="00C11DC0">
        <w:rPr>
          <w:rFonts w:ascii="Times New Roman" w:hAnsi="Times New Roman"/>
          <w:sz w:val="23"/>
          <w:szCs w:val="23"/>
          <w:lang w:val="lt-LT"/>
        </w:rPr>
        <w:t>vyriausioji specialistė</w:t>
      </w:r>
      <w:r>
        <w:rPr>
          <w:rFonts w:ascii="Times New Roman" w:hAnsi="Times New Roman"/>
          <w:color w:val="FF0000"/>
          <w:sz w:val="23"/>
          <w:szCs w:val="23"/>
          <w:lang w:val="lt-LT"/>
        </w:rPr>
        <w:tab/>
      </w:r>
      <w:r>
        <w:rPr>
          <w:rFonts w:ascii="Times New Roman" w:hAnsi="Times New Roman"/>
          <w:color w:val="FF0000"/>
          <w:sz w:val="23"/>
          <w:szCs w:val="23"/>
          <w:lang w:val="lt-LT"/>
        </w:rPr>
        <w:tab/>
      </w:r>
      <w:r>
        <w:rPr>
          <w:rFonts w:ascii="Times New Roman" w:hAnsi="Times New Roman"/>
          <w:color w:val="FF0000"/>
          <w:sz w:val="23"/>
          <w:szCs w:val="23"/>
          <w:lang w:val="lt-LT"/>
        </w:rPr>
        <w:tab/>
      </w:r>
      <w:r>
        <w:rPr>
          <w:rFonts w:ascii="Times New Roman" w:hAnsi="Times New Roman"/>
          <w:color w:val="FF0000"/>
          <w:sz w:val="23"/>
          <w:szCs w:val="23"/>
          <w:lang w:val="lt-LT"/>
        </w:rPr>
        <w:tab/>
      </w:r>
      <w:r w:rsidRPr="007110A9">
        <w:rPr>
          <w:rFonts w:ascii="Times New Roman" w:hAnsi="Times New Roman"/>
          <w:sz w:val="23"/>
          <w:szCs w:val="23"/>
          <w:lang w:val="lt-LT"/>
        </w:rPr>
        <w:t>N. Umbrasienė</w:t>
      </w:r>
    </w:p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</w:p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  <w:r>
        <w:rPr>
          <w:rFonts w:ascii="Times New Roman" w:hAnsi="Times New Roman"/>
          <w:sz w:val="23"/>
          <w:szCs w:val="23"/>
          <w:lang w:val="lt-LT"/>
        </w:rPr>
        <w:t>vyriausioji specialistė</w:t>
      </w:r>
      <w:r>
        <w:rPr>
          <w:rFonts w:ascii="Times New Roman" w:hAnsi="Times New Roman"/>
          <w:sz w:val="23"/>
          <w:szCs w:val="23"/>
          <w:lang w:val="lt-LT"/>
        </w:rPr>
        <w:tab/>
      </w:r>
      <w:r>
        <w:rPr>
          <w:rFonts w:ascii="Times New Roman" w:hAnsi="Times New Roman"/>
          <w:sz w:val="23"/>
          <w:szCs w:val="23"/>
          <w:lang w:val="lt-LT"/>
        </w:rPr>
        <w:tab/>
      </w:r>
      <w:r>
        <w:rPr>
          <w:rFonts w:ascii="Times New Roman" w:hAnsi="Times New Roman"/>
          <w:sz w:val="23"/>
          <w:szCs w:val="23"/>
          <w:lang w:val="lt-LT"/>
        </w:rPr>
        <w:tab/>
      </w:r>
      <w:r>
        <w:rPr>
          <w:rFonts w:ascii="Times New Roman" w:hAnsi="Times New Roman"/>
          <w:sz w:val="23"/>
          <w:szCs w:val="23"/>
          <w:lang w:val="lt-LT"/>
        </w:rPr>
        <w:tab/>
        <w:t xml:space="preserve">P. </w:t>
      </w:r>
      <w:proofErr w:type="spellStart"/>
      <w:r>
        <w:rPr>
          <w:rFonts w:ascii="Times New Roman" w:hAnsi="Times New Roman"/>
          <w:sz w:val="23"/>
          <w:szCs w:val="23"/>
          <w:lang w:val="lt-LT"/>
        </w:rPr>
        <w:t>Hakaitė</w:t>
      </w:r>
      <w:proofErr w:type="spellEnd"/>
    </w:p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</w:p>
    <w:p w:rsidR="00DE7644" w:rsidRPr="00901332" w:rsidRDefault="00DE7644" w:rsidP="00DE7644">
      <w:pPr>
        <w:jc w:val="both"/>
        <w:rPr>
          <w:rFonts w:ascii="Times New Roman" w:hAnsi="Times New Roman"/>
          <w:sz w:val="23"/>
          <w:szCs w:val="23"/>
          <w:lang w:val="lt-LT"/>
        </w:rPr>
      </w:pPr>
      <w:r w:rsidRPr="00901332">
        <w:rPr>
          <w:rFonts w:ascii="Times New Roman" w:hAnsi="Times New Roman"/>
          <w:sz w:val="23"/>
          <w:szCs w:val="23"/>
          <w:lang w:val="lt-LT"/>
        </w:rPr>
        <w:t>vedėjas</w:t>
      </w:r>
      <w:r w:rsidRPr="00901332">
        <w:rPr>
          <w:rFonts w:ascii="Times New Roman" w:hAnsi="Times New Roman"/>
          <w:sz w:val="23"/>
          <w:szCs w:val="23"/>
          <w:lang w:val="lt-LT"/>
        </w:rPr>
        <w:tab/>
      </w:r>
      <w:r w:rsidRPr="00901332">
        <w:rPr>
          <w:rFonts w:ascii="Times New Roman" w:hAnsi="Times New Roman"/>
          <w:sz w:val="23"/>
          <w:szCs w:val="23"/>
          <w:lang w:val="lt-LT"/>
        </w:rPr>
        <w:tab/>
      </w:r>
      <w:r w:rsidRPr="00901332">
        <w:rPr>
          <w:rFonts w:ascii="Times New Roman" w:hAnsi="Times New Roman"/>
          <w:sz w:val="23"/>
          <w:szCs w:val="23"/>
          <w:lang w:val="lt-LT"/>
        </w:rPr>
        <w:tab/>
      </w:r>
      <w:r w:rsidRPr="00901332">
        <w:rPr>
          <w:rFonts w:ascii="Times New Roman" w:hAnsi="Times New Roman"/>
          <w:sz w:val="23"/>
          <w:szCs w:val="23"/>
          <w:lang w:val="lt-LT"/>
        </w:rPr>
        <w:tab/>
      </w:r>
      <w:r w:rsidRPr="00901332">
        <w:rPr>
          <w:rFonts w:ascii="Times New Roman" w:hAnsi="Times New Roman"/>
          <w:sz w:val="23"/>
          <w:szCs w:val="23"/>
          <w:lang w:val="lt-LT"/>
        </w:rPr>
        <w:tab/>
        <w:t>S.</w:t>
      </w:r>
      <w:r w:rsidRPr="00901332">
        <w:rPr>
          <w:rFonts w:ascii="Times New Roman" w:hAnsi="Times New Roman"/>
          <w:i/>
          <w:sz w:val="23"/>
          <w:szCs w:val="23"/>
          <w:lang w:val="lt-LT"/>
        </w:rPr>
        <w:t xml:space="preserve"> </w:t>
      </w:r>
      <w:r w:rsidRPr="00901332">
        <w:rPr>
          <w:rFonts w:ascii="Times New Roman" w:hAnsi="Times New Roman"/>
          <w:sz w:val="23"/>
          <w:szCs w:val="23"/>
          <w:lang w:val="lt-LT"/>
        </w:rPr>
        <w:t>Majus</w:t>
      </w:r>
    </w:p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Default="00DE7644" w:rsidP="00DE7644"/>
    <w:p w:rsidR="00DE7644" w:rsidRPr="00425F29" w:rsidRDefault="00DE7644">
      <w:pPr>
        <w:rPr>
          <w:sz w:val="24"/>
          <w:szCs w:val="24"/>
        </w:rPr>
      </w:pPr>
    </w:p>
    <w:sectPr w:rsidR="00DE7644" w:rsidRPr="00425F29" w:rsidSect="003D065C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A20"/>
    <w:multiLevelType w:val="singleLevel"/>
    <w:tmpl w:val="7816823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68BC3B5B"/>
    <w:multiLevelType w:val="singleLevel"/>
    <w:tmpl w:val="BD18B7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6EA628C2"/>
    <w:multiLevelType w:val="singleLevel"/>
    <w:tmpl w:val="8C5ACB3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4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8C"/>
    <w:rsid w:val="00041CA4"/>
    <w:rsid w:val="00082B3F"/>
    <w:rsid w:val="00086F10"/>
    <w:rsid w:val="000B1E29"/>
    <w:rsid w:val="000F46FB"/>
    <w:rsid w:val="000F5F2A"/>
    <w:rsid w:val="00102EC8"/>
    <w:rsid w:val="0010770D"/>
    <w:rsid w:val="00114615"/>
    <w:rsid w:val="00122E9D"/>
    <w:rsid w:val="001313BD"/>
    <w:rsid w:val="00147F49"/>
    <w:rsid w:val="001C6D11"/>
    <w:rsid w:val="00216C2F"/>
    <w:rsid w:val="00247016"/>
    <w:rsid w:val="002A2066"/>
    <w:rsid w:val="002A4E57"/>
    <w:rsid w:val="002C0A73"/>
    <w:rsid w:val="002D21CC"/>
    <w:rsid w:val="00375C25"/>
    <w:rsid w:val="00381DE5"/>
    <w:rsid w:val="003A7AD1"/>
    <w:rsid w:val="003D065C"/>
    <w:rsid w:val="003E1FC7"/>
    <w:rsid w:val="00425F29"/>
    <w:rsid w:val="00440AD8"/>
    <w:rsid w:val="004503E3"/>
    <w:rsid w:val="004729DA"/>
    <w:rsid w:val="00491C20"/>
    <w:rsid w:val="004A0DEB"/>
    <w:rsid w:val="004B7074"/>
    <w:rsid w:val="004B7A02"/>
    <w:rsid w:val="004B7DF4"/>
    <w:rsid w:val="004F3D2A"/>
    <w:rsid w:val="004F50A8"/>
    <w:rsid w:val="00527607"/>
    <w:rsid w:val="0058026B"/>
    <w:rsid w:val="00586D8D"/>
    <w:rsid w:val="005B0A5F"/>
    <w:rsid w:val="005F6446"/>
    <w:rsid w:val="00606981"/>
    <w:rsid w:val="006108FB"/>
    <w:rsid w:val="006D66F1"/>
    <w:rsid w:val="007110A9"/>
    <w:rsid w:val="00743A15"/>
    <w:rsid w:val="00776AE9"/>
    <w:rsid w:val="007D495D"/>
    <w:rsid w:val="00814465"/>
    <w:rsid w:val="00837B43"/>
    <w:rsid w:val="008B01C3"/>
    <w:rsid w:val="008C6A46"/>
    <w:rsid w:val="0090482D"/>
    <w:rsid w:val="00946524"/>
    <w:rsid w:val="0095156E"/>
    <w:rsid w:val="009559AF"/>
    <w:rsid w:val="00963158"/>
    <w:rsid w:val="00995302"/>
    <w:rsid w:val="009A7FE7"/>
    <w:rsid w:val="00A051A2"/>
    <w:rsid w:val="00A360D9"/>
    <w:rsid w:val="00A54A2C"/>
    <w:rsid w:val="00A60CCA"/>
    <w:rsid w:val="00A64DFE"/>
    <w:rsid w:val="00A668A8"/>
    <w:rsid w:val="00A80196"/>
    <w:rsid w:val="00A94F36"/>
    <w:rsid w:val="00AA4236"/>
    <w:rsid w:val="00AA54E1"/>
    <w:rsid w:val="00AF02AA"/>
    <w:rsid w:val="00AF73E9"/>
    <w:rsid w:val="00B26AB3"/>
    <w:rsid w:val="00B8099C"/>
    <w:rsid w:val="00B85B62"/>
    <w:rsid w:val="00C11DC0"/>
    <w:rsid w:val="00C3211E"/>
    <w:rsid w:val="00C3607F"/>
    <w:rsid w:val="00C943FA"/>
    <w:rsid w:val="00CB7C8A"/>
    <w:rsid w:val="00CD296F"/>
    <w:rsid w:val="00CE7634"/>
    <w:rsid w:val="00D346B6"/>
    <w:rsid w:val="00D3688C"/>
    <w:rsid w:val="00D407D5"/>
    <w:rsid w:val="00DC7E84"/>
    <w:rsid w:val="00DD04F5"/>
    <w:rsid w:val="00DE7644"/>
    <w:rsid w:val="00E67356"/>
    <w:rsid w:val="00E77A66"/>
    <w:rsid w:val="00E827E8"/>
    <w:rsid w:val="00EC763F"/>
    <w:rsid w:val="00EE22B8"/>
    <w:rsid w:val="00EF5A58"/>
    <w:rsid w:val="00F5790F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F2D86-E58B-4988-B081-9C14BBB6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88C"/>
    <w:pPr>
      <w:overflowPunct w:val="0"/>
      <w:autoSpaceDE w:val="0"/>
      <w:autoSpaceDN w:val="0"/>
      <w:adjustRightInd w:val="0"/>
    </w:pPr>
    <w:rPr>
      <w:rFonts w:ascii="TimesLT" w:eastAsia="Times New Roman" w:hAnsi="TimesLT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296F"/>
    <w:pPr>
      <w:keepNext/>
      <w:widowControl w:val="0"/>
      <w:overflowPunct/>
      <w:spacing w:before="240" w:after="60"/>
      <w:outlineLvl w:val="0"/>
    </w:pPr>
    <w:rPr>
      <w:rFonts w:ascii="Verdana" w:hAnsi="Verdana"/>
      <w:b/>
      <w:bCs/>
      <w:kern w:val="32"/>
      <w:sz w:val="24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CD296F"/>
    <w:pPr>
      <w:keepNext/>
      <w:widowControl w:val="0"/>
      <w:overflowPunct/>
      <w:spacing w:before="240" w:after="60"/>
      <w:outlineLvl w:val="1"/>
    </w:pPr>
    <w:rPr>
      <w:rFonts w:ascii="Verdana" w:hAnsi="Verdana"/>
      <w:b/>
      <w:bCs/>
      <w:i/>
      <w:iCs/>
      <w:sz w:val="22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296F"/>
    <w:rPr>
      <w:rFonts w:ascii="Verdana" w:eastAsia="Times New Roman" w:hAnsi="Verdana" w:cs="Times New Roman"/>
      <w:b/>
      <w:bCs/>
      <w:kern w:val="32"/>
      <w:sz w:val="24"/>
      <w:szCs w:val="32"/>
      <w:lang w:val="de-DE" w:eastAsia="de-DE"/>
    </w:rPr>
  </w:style>
  <w:style w:type="character" w:customStyle="1" w:styleId="Heading2Char">
    <w:name w:val="Heading 2 Char"/>
    <w:link w:val="Heading2"/>
    <w:rsid w:val="00CD296F"/>
    <w:rPr>
      <w:rFonts w:ascii="Verdana" w:eastAsia="Times New Roman" w:hAnsi="Verdana" w:cs="Times New Roman"/>
      <w:b/>
      <w:bCs/>
      <w:i/>
      <w:iCs/>
      <w:szCs w:val="28"/>
      <w:lang w:val="de-DE" w:eastAsia="de-DE"/>
    </w:rPr>
  </w:style>
  <w:style w:type="character" w:styleId="Hyperlink">
    <w:name w:val="Hyperlink"/>
    <w:rsid w:val="00CD296F"/>
    <w:rPr>
      <w:color w:val="0000FF"/>
      <w:u w:val="single"/>
    </w:rPr>
  </w:style>
  <w:style w:type="paragraph" w:customStyle="1" w:styleId="Special">
    <w:name w:val="Special"/>
    <w:basedOn w:val="Normal"/>
    <w:next w:val="Normal"/>
    <w:qFormat/>
    <w:rsid w:val="00CD296F"/>
    <w:pPr>
      <w:widowControl w:val="0"/>
      <w:overflowPunct/>
    </w:pPr>
    <w:rPr>
      <w:rFonts w:ascii="Verdana" w:hAnsi="Verdana" w:cs="Times"/>
      <w:bCs/>
      <w:sz w:val="16"/>
      <w:szCs w:val="29"/>
      <w:lang w:val="de-DE" w:eastAsia="de-DE"/>
    </w:rPr>
  </w:style>
  <w:style w:type="paragraph" w:styleId="Caption">
    <w:name w:val="caption"/>
    <w:basedOn w:val="Normal"/>
    <w:next w:val="Normal"/>
    <w:qFormat/>
    <w:rsid w:val="00CD296F"/>
    <w:pPr>
      <w:widowControl w:val="0"/>
      <w:overflowPunct/>
    </w:pPr>
    <w:rPr>
      <w:rFonts w:ascii="Verdana" w:hAnsi="Verdana" w:cs="Times"/>
      <w:b/>
      <w:bCs/>
      <w:lang w:val="de-DE" w:eastAsia="de-DE"/>
    </w:rPr>
  </w:style>
  <w:style w:type="paragraph" w:customStyle="1" w:styleId="Nessunaspaziatura">
    <w:name w:val="Nessuna spaziatura"/>
    <w:qFormat/>
    <w:rsid w:val="00CD296F"/>
    <w:rPr>
      <w:rFonts w:ascii="Georgia" w:hAnsi="Georgia"/>
      <w:szCs w:val="22"/>
      <w:lang w:val="en-GB" w:eastAsia="en-US"/>
    </w:rPr>
  </w:style>
  <w:style w:type="character" w:customStyle="1" w:styleId="xbe">
    <w:name w:val="_xbe"/>
    <w:basedOn w:val="DefaultParagraphFont"/>
    <w:rsid w:val="00CD296F"/>
  </w:style>
  <w:style w:type="paragraph" w:styleId="BalloonText">
    <w:name w:val="Balloon Text"/>
    <w:basedOn w:val="Normal"/>
    <w:link w:val="BalloonTextChar"/>
    <w:uiPriority w:val="99"/>
    <w:semiHidden/>
    <w:unhideWhenUsed/>
    <w:rsid w:val="00CD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96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3D065C"/>
    <w:pPr>
      <w:tabs>
        <w:tab w:val="center" w:pos="4153"/>
        <w:tab w:val="right" w:pos="8306"/>
      </w:tabs>
      <w:textAlignment w:val="baseline"/>
    </w:pPr>
    <w:rPr>
      <w:lang w:eastAsia="ru-RU"/>
    </w:rPr>
  </w:style>
  <w:style w:type="character" w:customStyle="1" w:styleId="HeaderChar">
    <w:name w:val="Header Char"/>
    <w:link w:val="Header"/>
    <w:rsid w:val="003D065C"/>
    <w:rPr>
      <w:rFonts w:ascii="TimesLT" w:eastAsia="Times New Roman" w:hAnsi="TimesLT" w:cs="Times New Roman"/>
      <w:sz w:val="20"/>
      <w:szCs w:val="20"/>
      <w:lang w:val="en-US" w:eastAsia="ru-RU"/>
    </w:rPr>
  </w:style>
  <w:style w:type="paragraph" w:customStyle="1" w:styleId="Default">
    <w:name w:val="Default"/>
    <w:rsid w:val="00F579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b@sa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8203</Words>
  <Characters>4676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Links>
    <vt:vector size="6" baseType="variant">
      <vt:variant>
        <vt:i4>1114161</vt:i4>
      </vt:variant>
      <vt:variant>
        <vt:i4>3</vt:i4>
      </vt:variant>
      <vt:variant>
        <vt:i4>0</vt:i4>
      </vt:variant>
      <vt:variant>
        <vt:i4>5</vt:i4>
      </vt:variant>
      <vt:variant>
        <vt:lpwstr>mailto:akib@sam.lt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evelina.vzesniauskaite</dc:creator>
  <cp:keywords/>
  <dc:description/>
  <cp:lastModifiedBy>Natalja Umbrasienė</cp:lastModifiedBy>
  <cp:revision>2</cp:revision>
  <cp:lastPrinted>2018-01-24T13:05:00Z</cp:lastPrinted>
  <dcterms:created xsi:type="dcterms:W3CDTF">2019-02-18T09:19:00Z</dcterms:created>
  <dcterms:modified xsi:type="dcterms:W3CDTF">2019-02-18T09:19:00Z</dcterms:modified>
</cp:coreProperties>
</file>