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</w:tblGrid>
      <w:tr w:rsidR="00D65E69" w:rsidRPr="002C06DE" w14:paraId="399BDA87" w14:textId="77777777" w:rsidTr="00AA1251">
        <w:trPr>
          <w:cantSplit/>
          <w:trHeight w:val="1936"/>
        </w:trPr>
        <w:tc>
          <w:tcPr>
            <w:tcW w:w="7655" w:type="dxa"/>
          </w:tcPr>
          <w:p w14:paraId="20566256" w14:textId="77777777" w:rsidR="00AD5A52" w:rsidRPr="000F6D48" w:rsidRDefault="00AD5A52" w:rsidP="00AD5A52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0F6D48">
              <w:rPr>
                <w:rFonts w:asciiTheme="minorHAnsi" w:hAnsiTheme="minorHAnsi"/>
                <w:lang w:val="en-US"/>
              </w:rPr>
              <w:t>Akzo</w:t>
            </w:r>
            <w:proofErr w:type="spellEnd"/>
            <w:r w:rsidRPr="000F6D48">
              <w:rPr>
                <w:rFonts w:asciiTheme="minorHAnsi" w:hAnsiTheme="minorHAnsi"/>
                <w:lang w:val="en-US"/>
              </w:rPr>
              <w:t xml:space="preserve"> Nobel Decorative Coatings B.V </w:t>
            </w:r>
          </w:p>
          <w:p w14:paraId="2D072F5F" w14:textId="77777777" w:rsidR="00AD5A52" w:rsidRPr="000F6D48" w:rsidRDefault="00AD5A52" w:rsidP="00AD5A52">
            <w:pPr>
              <w:rPr>
                <w:rFonts w:asciiTheme="minorHAnsi" w:hAnsiTheme="minorHAnsi"/>
              </w:rPr>
            </w:pPr>
            <w:r w:rsidRPr="000F6D48">
              <w:rPr>
                <w:rFonts w:asciiTheme="minorHAnsi" w:hAnsiTheme="minorHAnsi"/>
              </w:rPr>
              <w:t xml:space="preserve">Christian </w:t>
            </w:r>
            <w:proofErr w:type="spellStart"/>
            <w:r w:rsidRPr="000F6D48">
              <w:rPr>
                <w:rFonts w:asciiTheme="minorHAnsi" w:hAnsiTheme="minorHAnsi"/>
              </w:rPr>
              <w:t>Neefestraat</w:t>
            </w:r>
            <w:proofErr w:type="spellEnd"/>
            <w:r w:rsidRPr="000F6D48">
              <w:rPr>
                <w:rFonts w:asciiTheme="minorHAnsi" w:hAnsiTheme="minorHAnsi"/>
              </w:rPr>
              <w:t xml:space="preserve"> 2</w:t>
            </w:r>
          </w:p>
          <w:p w14:paraId="07B116D9" w14:textId="77777777" w:rsidR="00AD5A52" w:rsidRPr="000F6D48" w:rsidRDefault="00AD5A52" w:rsidP="00AD5A52">
            <w:pPr>
              <w:rPr>
                <w:rFonts w:asciiTheme="minorHAnsi" w:hAnsiTheme="minorHAnsi"/>
              </w:rPr>
            </w:pPr>
            <w:r w:rsidRPr="000F6D48">
              <w:rPr>
                <w:rFonts w:asciiTheme="minorHAnsi" w:hAnsiTheme="minorHAnsi"/>
              </w:rPr>
              <w:t>1077 WW Amsterdam</w:t>
            </w:r>
          </w:p>
          <w:p w14:paraId="2FC63350" w14:textId="77777777" w:rsidR="00AD5A52" w:rsidRPr="000F6D48" w:rsidRDefault="00AD5A52" w:rsidP="00AD5A52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0F6D48">
              <w:rPr>
                <w:rFonts w:asciiTheme="minorHAnsi" w:hAnsiTheme="minorHAnsi"/>
                <w:szCs w:val="22"/>
              </w:rPr>
              <w:t>Netherlands</w:t>
            </w:r>
            <w:proofErr w:type="spellEnd"/>
          </w:p>
          <w:p w14:paraId="1C8F4BAE" w14:textId="5ADB0B89" w:rsidR="00D65E69" w:rsidRPr="002C06DE" w:rsidRDefault="00D65E69" w:rsidP="009E1D9E">
            <w:pPr>
              <w:rPr>
                <w:rFonts w:cs="Arial"/>
                <w:szCs w:val="22"/>
              </w:rPr>
            </w:pPr>
            <w:r w:rsidRPr="002C06DE">
              <w:rPr>
                <w:rFonts w:cs="Arial"/>
                <w:szCs w:val="22"/>
              </w:rPr>
              <w:t xml:space="preserve">  </w:t>
            </w:r>
          </w:p>
          <w:p w14:paraId="40571858" w14:textId="77777777" w:rsidR="00D65E69" w:rsidRPr="002C06DE" w:rsidRDefault="00D65E69" w:rsidP="009E1D9E">
            <w:pPr>
              <w:rPr>
                <w:rFonts w:cs="Arial"/>
                <w:szCs w:val="22"/>
              </w:rPr>
            </w:pPr>
            <w:r w:rsidRPr="002C06DE">
              <w:rPr>
                <w:rFonts w:cs="Arial"/>
                <w:szCs w:val="22"/>
              </w:rPr>
              <w:t xml:space="preserve">  </w:t>
            </w:r>
          </w:p>
          <w:p w14:paraId="684DC268" w14:textId="77777777" w:rsidR="001E63D8" w:rsidRPr="002C06DE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2C06DE">
              <w:rPr>
                <w:rFonts w:cs="Arial"/>
                <w:szCs w:val="22"/>
              </w:rPr>
              <w:t xml:space="preserve"> </w:t>
            </w:r>
          </w:p>
          <w:p w14:paraId="0A27F2D7" w14:textId="77777777" w:rsidR="0077532B" w:rsidRPr="002C06DE" w:rsidRDefault="0077532B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</w:tc>
      </w:tr>
    </w:tbl>
    <w:p w14:paraId="2B1B3E44" w14:textId="3A9F032D" w:rsidR="00A85ECD" w:rsidRPr="000F6D48" w:rsidRDefault="00FA2CF2" w:rsidP="00944EE8">
      <w:pPr>
        <w:pStyle w:val="DocumentHeading"/>
        <w:rPr>
          <w:rFonts w:asciiTheme="majorHAnsi" w:hAnsiTheme="majorHAnsi"/>
          <w:sz w:val="28"/>
        </w:rPr>
      </w:pPr>
      <w:r w:rsidRPr="000F6D48">
        <w:rPr>
          <w:rFonts w:asciiTheme="majorHAnsi" w:hAnsiTheme="majorHAnsi"/>
          <w:sz w:val="28"/>
        </w:rPr>
        <w:t>Ændring af</w:t>
      </w:r>
      <w:r w:rsidR="004B6DAE" w:rsidRPr="000F6D48">
        <w:rPr>
          <w:rFonts w:asciiTheme="majorHAnsi" w:hAnsiTheme="majorHAnsi"/>
          <w:sz w:val="28"/>
        </w:rPr>
        <w:t xml:space="preserve"> godkendelsen af biocidproduktet </w:t>
      </w:r>
      <w:r w:rsidR="00AD5A52" w:rsidRPr="000F6D48">
        <w:rPr>
          <w:rFonts w:asciiTheme="majorHAnsi" w:hAnsiTheme="majorHAnsi" w:cs="Times New Roman"/>
          <w:sz w:val="28"/>
        </w:rPr>
        <w:t>NORDSJÖ TINOVA WOOD BASE OIL</w:t>
      </w:r>
      <w:r w:rsidR="00AD5A52" w:rsidRPr="000F6D48">
        <w:rPr>
          <w:rFonts w:asciiTheme="majorHAnsi" w:hAnsiTheme="majorHAnsi" w:cs="Times New Roman"/>
          <w:sz w:val="28"/>
          <w:vertAlign w:val="superscript"/>
        </w:rPr>
        <w:t>BPR</w:t>
      </w:r>
      <w:r w:rsidR="00AD5A52" w:rsidRPr="000F6D48">
        <w:rPr>
          <w:rFonts w:asciiTheme="majorHAnsi" w:hAnsiTheme="majorHAnsi" w:cs="Times New Roman"/>
          <w:sz w:val="28"/>
        </w:rPr>
        <w:t>,</w:t>
      </w:r>
      <w:r w:rsidR="00AD5A52" w:rsidRPr="000F6D48">
        <w:rPr>
          <w:rFonts w:asciiTheme="majorHAnsi" w:hAnsiTheme="majorHAnsi"/>
          <w:sz w:val="28"/>
        </w:rPr>
        <w:t xml:space="preserve"> </w:t>
      </w:r>
      <w:r w:rsidR="004B6DAE" w:rsidRPr="000F6D48">
        <w:rPr>
          <w:rFonts w:asciiTheme="majorHAnsi" w:hAnsiTheme="majorHAnsi"/>
          <w:sz w:val="28"/>
        </w:rPr>
        <w:t xml:space="preserve">reg.nr. </w:t>
      </w:r>
      <w:r w:rsidR="00AD5A52" w:rsidRPr="000F6D48">
        <w:rPr>
          <w:rFonts w:asciiTheme="majorHAnsi" w:hAnsiTheme="majorHAnsi" w:cs="Times New Roman"/>
          <w:sz w:val="28"/>
        </w:rPr>
        <w:t>782-117</w:t>
      </w:r>
    </w:p>
    <w:p w14:paraId="4F308CA5" w14:textId="77777777" w:rsidR="004830C6" w:rsidRPr="002C06DE" w:rsidRDefault="004830C6" w:rsidP="00FE7E77"/>
    <w:p w14:paraId="38A17423" w14:textId="12CF7724" w:rsidR="00BB5AC5" w:rsidRDefault="00BB5AC5" w:rsidP="00BB5AC5">
      <w:pPr>
        <w:rPr>
          <w:b/>
          <w:sz w:val="28"/>
        </w:rPr>
      </w:pPr>
      <w:r w:rsidRPr="00D10DD2">
        <w:rPr>
          <w:szCs w:val="22"/>
        </w:rPr>
        <w:t xml:space="preserve">Miljøstyrelsen godkendte med brev af </w:t>
      </w:r>
      <w:r>
        <w:rPr>
          <w:szCs w:val="22"/>
        </w:rPr>
        <w:t>17</w:t>
      </w:r>
      <w:r w:rsidRPr="00D10DD2">
        <w:rPr>
          <w:szCs w:val="22"/>
        </w:rPr>
        <w:t xml:space="preserve">. </w:t>
      </w:r>
      <w:r>
        <w:rPr>
          <w:szCs w:val="22"/>
        </w:rPr>
        <w:t>november 2017</w:t>
      </w:r>
      <w:r w:rsidRPr="00D10DD2">
        <w:rPr>
          <w:szCs w:val="22"/>
        </w:rPr>
        <w:t xml:space="preserve"> det biocidholdige produkt som national godkendelse med Danmark som modtagende kompetent mynd</w:t>
      </w:r>
      <w:r>
        <w:rPr>
          <w:szCs w:val="22"/>
        </w:rPr>
        <w:t xml:space="preserve">ighed efter </w:t>
      </w:r>
      <w:r w:rsidRPr="00D10DD2">
        <w:rPr>
          <w:szCs w:val="22"/>
        </w:rPr>
        <w:t>forordning (EU) nr. 528/2</w:t>
      </w:r>
      <w:r>
        <w:rPr>
          <w:szCs w:val="22"/>
        </w:rPr>
        <w:t>012</w:t>
      </w:r>
      <w:r>
        <w:rPr>
          <w:rStyle w:val="Fodnotehenvisning"/>
          <w:szCs w:val="22"/>
        </w:rPr>
        <w:footnoteReference w:id="1"/>
      </w:r>
      <w:r>
        <w:rPr>
          <w:szCs w:val="22"/>
        </w:rPr>
        <w:t xml:space="preserve"> (biocidforordningen)</w:t>
      </w:r>
      <w:r w:rsidRPr="00D10DD2">
        <w:rPr>
          <w:szCs w:val="22"/>
        </w:rPr>
        <w:t>.</w:t>
      </w:r>
      <w:r w:rsidR="0092537A">
        <w:rPr>
          <w:szCs w:val="22"/>
        </w:rPr>
        <w:t xml:space="preserve"> Godkendelsen blev givet i henhold til artikel 19, stk. 1.</w:t>
      </w:r>
    </w:p>
    <w:p w14:paraId="0D332556" w14:textId="77777777" w:rsidR="00BB5AC5" w:rsidRDefault="00BB5AC5" w:rsidP="00A21E23">
      <w:pPr>
        <w:rPr>
          <w:b/>
          <w:sz w:val="28"/>
        </w:rPr>
      </w:pPr>
      <w:bookmarkStart w:id="0" w:name="_GoBack"/>
      <w:bookmarkEnd w:id="0"/>
    </w:p>
    <w:p w14:paraId="75D0B727" w14:textId="36E90111" w:rsidR="00522641" w:rsidRDefault="00522641" w:rsidP="00A21E23">
      <w:pPr>
        <w:rPr>
          <w:b/>
          <w:sz w:val="28"/>
        </w:rPr>
      </w:pPr>
      <w:r w:rsidRPr="005C43AE">
        <w:rPr>
          <w:b/>
          <w:sz w:val="28"/>
        </w:rPr>
        <w:t>Afgørelse</w:t>
      </w:r>
    </w:p>
    <w:p w14:paraId="71FF8AA4" w14:textId="11620B70" w:rsidR="00FA672A" w:rsidRDefault="00FA672A" w:rsidP="00FA672A">
      <w:pPr>
        <w:rPr>
          <w:rFonts w:asciiTheme="majorHAnsi" w:hAnsiTheme="majorHAnsi"/>
        </w:rPr>
      </w:pPr>
      <w:r w:rsidRPr="00AA1251">
        <w:rPr>
          <w:rFonts w:asciiTheme="majorHAnsi" w:hAnsiTheme="majorHAnsi"/>
        </w:rPr>
        <w:t>Godkendelsen af NORDSJÖ TINOVA WOOD BASE OIL</w:t>
      </w:r>
      <w:r w:rsidRPr="00AA1251">
        <w:rPr>
          <w:rFonts w:asciiTheme="majorHAnsi" w:hAnsiTheme="majorHAnsi"/>
          <w:vertAlign w:val="superscript"/>
        </w:rPr>
        <w:t>BPR</w:t>
      </w:r>
      <w:r w:rsidRPr="00AA1251">
        <w:rPr>
          <w:rFonts w:asciiTheme="majorHAnsi" w:hAnsiTheme="majorHAnsi"/>
        </w:rPr>
        <w:t xml:space="preserve">, reg.nr 782-117 gives i henhold til </w:t>
      </w:r>
      <w:r w:rsidR="0092537A" w:rsidRPr="00AA1251">
        <w:rPr>
          <w:rFonts w:asciiTheme="majorHAnsi" w:hAnsiTheme="majorHAnsi"/>
        </w:rPr>
        <w:t xml:space="preserve">artikel </w:t>
      </w:r>
      <w:r w:rsidRPr="00AA1251">
        <w:rPr>
          <w:rFonts w:asciiTheme="majorHAnsi" w:hAnsiTheme="majorHAnsi"/>
        </w:rPr>
        <w:t>19, stk. 5.</w:t>
      </w:r>
    </w:p>
    <w:p w14:paraId="7376BB79" w14:textId="77777777" w:rsidR="00FA672A" w:rsidRDefault="00FA672A" w:rsidP="00FA672A">
      <w:pPr>
        <w:rPr>
          <w:rFonts w:asciiTheme="majorHAnsi" w:hAnsiTheme="majorHAnsi"/>
        </w:rPr>
      </w:pPr>
    </w:p>
    <w:p w14:paraId="2D030193" w14:textId="77777777" w:rsidR="00FA672A" w:rsidRDefault="00FA672A" w:rsidP="00FA672A">
      <w:pPr>
        <w:rPr>
          <w:rFonts w:asciiTheme="majorHAnsi" w:hAnsiTheme="majorHAnsi"/>
        </w:rPr>
      </w:pPr>
      <w:r>
        <w:t xml:space="preserve">Grundet ændringen af godkendelsen vurderer Miljøstyrelsen, at produktet ikke længere lever op til kravene i artikel 19, stk. 1, men i stedet opfylder kravene i artikel 19 stk. 5. </w:t>
      </w:r>
    </w:p>
    <w:p w14:paraId="23DAAA97" w14:textId="77777777" w:rsidR="00FA672A" w:rsidRPr="005C43AE" w:rsidRDefault="00FA672A" w:rsidP="00A21E23">
      <w:pPr>
        <w:rPr>
          <w:b/>
          <w:sz w:val="28"/>
        </w:rPr>
      </w:pPr>
    </w:p>
    <w:p w14:paraId="5AABF342" w14:textId="47C18B9E" w:rsidR="00522641" w:rsidRDefault="00FA672A" w:rsidP="00A21E23">
      <w:r>
        <w:t>Ændringen af g</w:t>
      </w:r>
      <w:r w:rsidR="00522641">
        <w:t xml:space="preserve">odkendelsen af </w:t>
      </w:r>
      <w:r w:rsidR="00522641" w:rsidRPr="00560A86">
        <w:rPr>
          <w:rFonts w:asciiTheme="majorHAnsi" w:hAnsiTheme="majorHAnsi"/>
        </w:rPr>
        <w:t>NORDSJÖ TINOVA WOOD BASE OIL</w:t>
      </w:r>
      <w:r w:rsidR="00522641" w:rsidRPr="00560A86">
        <w:rPr>
          <w:rFonts w:asciiTheme="majorHAnsi" w:hAnsiTheme="majorHAnsi"/>
          <w:vertAlign w:val="superscript"/>
        </w:rPr>
        <w:t>BPR</w:t>
      </w:r>
      <w:r w:rsidR="009E0222">
        <w:rPr>
          <w:rFonts w:asciiTheme="majorHAnsi" w:hAnsiTheme="majorHAnsi"/>
        </w:rPr>
        <w:t>, reg.nr 782-117</w:t>
      </w:r>
      <w:r w:rsidR="00522641">
        <w:rPr>
          <w:rFonts w:asciiTheme="majorHAnsi" w:hAnsiTheme="majorHAnsi"/>
        </w:rPr>
        <w:t xml:space="preserve"> begrænses til kun at omfatte erhvervsmæssig </w:t>
      </w:r>
      <w:r w:rsidR="00F2748B">
        <w:rPr>
          <w:rFonts w:asciiTheme="majorHAnsi" w:hAnsiTheme="majorHAnsi"/>
        </w:rPr>
        <w:t xml:space="preserve">anvendelse </w:t>
      </w:r>
      <w:r w:rsidR="00522641">
        <w:rPr>
          <w:rFonts w:asciiTheme="majorHAnsi" w:hAnsiTheme="majorHAnsi"/>
        </w:rPr>
        <w:t xml:space="preserve">ved pensling mod </w:t>
      </w:r>
      <w:r w:rsidR="00F2748B">
        <w:rPr>
          <w:rFonts w:asciiTheme="majorHAnsi" w:hAnsiTheme="majorHAnsi"/>
        </w:rPr>
        <w:t>træødelæggende svamp og blåsplint</w:t>
      </w:r>
      <w:r w:rsidR="00522641">
        <w:rPr>
          <w:rFonts w:asciiTheme="majorHAnsi" w:hAnsiTheme="majorHAnsi"/>
        </w:rPr>
        <w:t xml:space="preserve"> i brugsklasse 2 og 3. Biocidproduktet kan derfor ikke længere gøres tilgængelig på det danske marked for den brede offentlighed.  Endvidere begrænses anvendelsen </w:t>
      </w:r>
      <w:r w:rsidR="00F2748B">
        <w:rPr>
          <w:rFonts w:asciiTheme="majorHAnsi" w:hAnsiTheme="majorHAnsi"/>
        </w:rPr>
        <w:t>af biocidproduktet til arbejdsforhold, hvor særlige sikkerhedsforanstaltninger kan anvendes til at sikre begrænsning af eksponering til mennesker og miljøet. De særlige sikkerhedsforanstaltninger er nærmere beskre</w:t>
      </w:r>
      <w:r w:rsidR="00DC6036">
        <w:rPr>
          <w:rFonts w:asciiTheme="majorHAnsi" w:hAnsiTheme="majorHAnsi"/>
        </w:rPr>
        <w:t>vet herunder og inkluderet i de</w:t>
      </w:r>
      <w:r w:rsidR="00F2748B">
        <w:rPr>
          <w:rFonts w:asciiTheme="majorHAnsi" w:hAnsiTheme="majorHAnsi"/>
        </w:rPr>
        <w:t xml:space="preserve"> opdaterede </w:t>
      </w:r>
      <w:r w:rsidR="00DC6036">
        <w:rPr>
          <w:rFonts w:eastAsia="Georgia" w:cs="Georgia"/>
        </w:rPr>
        <w:t xml:space="preserve">resume af det biocidholdige produkt </w:t>
      </w:r>
      <w:r w:rsidR="00DC6036">
        <w:rPr>
          <w:rFonts w:asciiTheme="majorHAnsi" w:hAnsiTheme="majorHAnsi"/>
        </w:rPr>
        <w:t>(SPC)</w:t>
      </w:r>
      <w:r w:rsidR="00F2748B">
        <w:rPr>
          <w:rFonts w:asciiTheme="majorHAnsi" w:hAnsiTheme="majorHAnsi"/>
        </w:rPr>
        <w:t xml:space="preserve">. Træ behandlet med </w:t>
      </w:r>
      <w:r w:rsidR="00F2748B" w:rsidRPr="00560A86">
        <w:rPr>
          <w:rFonts w:asciiTheme="majorHAnsi" w:hAnsiTheme="majorHAnsi"/>
        </w:rPr>
        <w:t>NORDSJÖ TINOVA WOOD BASE OIL</w:t>
      </w:r>
      <w:r w:rsidR="00F2748B" w:rsidRPr="00560A86">
        <w:rPr>
          <w:rFonts w:asciiTheme="majorHAnsi" w:hAnsiTheme="majorHAnsi"/>
          <w:vertAlign w:val="superscript"/>
        </w:rPr>
        <w:t>BPR</w:t>
      </w:r>
      <w:r w:rsidR="00F2748B">
        <w:rPr>
          <w:rFonts w:asciiTheme="majorHAnsi" w:hAnsiTheme="majorHAnsi"/>
        </w:rPr>
        <w:t xml:space="preserve"> må desuden ikke længere </w:t>
      </w:r>
      <w:r w:rsidR="00F2748B">
        <w:t>bringes i omsætning til fremstilling af møbler og legeredskaber.</w:t>
      </w:r>
    </w:p>
    <w:p w14:paraId="02D49AD0" w14:textId="6703036C" w:rsidR="00BB5AC5" w:rsidRPr="0092537A" w:rsidRDefault="005C43AE" w:rsidP="005C43AE">
      <w:pPr>
        <w:rPr>
          <w:rFonts w:asciiTheme="majorHAnsi" w:hAnsiTheme="majorHAnsi"/>
          <w:b/>
          <w:sz w:val="28"/>
        </w:rPr>
      </w:pPr>
      <w:r w:rsidRPr="005C43AE">
        <w:rPr>
          <w:rFonts w:asciiTheme="majorHAnsi" w:hAnsiTheme="majorHAnsi"/>
          <w:b/>
          <w:sz w:val="28"/>
        </w:rPr>
        <w:t xml:space="preserve"> </w:t>
      </w:r>
    </w:p>
    <w:p w14:paraId="49DB716D" w14:textId="154451B7" w:rsidR="005C43AE" w:rsidRDefault="005C43AE" w:rsidP="005C43AE">
      <w:pPr>
        <w:rPr>
          <w:rFonts w:asciiTheme="majorHAnsi" w:hAnsiTheme="majorHAnsi"/>
        </w:rPr>
      </w:pPr>
      <w:r w:rsidRPr="005C43AE">
        <w:rPr>
          <w:rFonts w:asciiTheme="majorHAnsi" w:hAnsiTheme="majorHAnsi"/>
        </w:rPr>
        <w:t xml:space="preserve">Med denne afgørelse </w:t>
      </w:r>
      <w:r w:rsidR="008E4725">
        <w:rPr>
          <w:rFonts w:asciiTheme="majorHAnsi" w:hAnsiTheme="majorHAnsi"/>
        </w:rPr>
        <w:t xml:space="preserve">ændres </w:t>
      </w:r>
      <w:r w:rsidR="00EC0EB5">
        <w:rPr>
          <w:rFonts w:asciiTheme="majorHAnsi" w:hAnsiTheme="majorHAnsi"/>
        </w:rPr>
        <w:t xml:space="preserve">anvendelsen </w:t>
      </w:r>
      <w:r w:rsidR="003633FD">
        <w:rPr>
          <w:rFonts w:asciiTheme="majorHAnsi" w:hAnsiTheme="majorHAnsi"/>
        </w:rPr>
        <w:t>således</w:t>
      </w:r>
      <w:r w:rsidR="008E4725">
        <w:rPr>
          <w:rFonts w:asciiTheme="majorHAnsi" w:hAnsiTheme="majorHAnsi"/>
        </w:rPr>
        <w:t xml:space="preserve"> </w:t>
      </w:r>
      <w:r w:rsidRPr="005C43AE">
        <w:rPr>
          <w:rFonts w:asciiTheme="majorHAnsi" w:hAnsiTheme="majorHAnsi"/>
        </w:rPr>
        <w:t>for dette biocidholdige produkt</w:t>
      </w:r>
      <w:r w:rsidR="003633FD">
        <w:rPr>
          <w:rFonts w:asciiTheme="majorHAnsi" w:hAnsiTheme="majorHAnsi"/>
        </w:rPr>
        <w:t xml:space="preserve"> til ovenstående begrænsning</w:t>
      </w:r>
      <w:r w:rsidRPr="005C43AE">
        <w:rPr>
          <w:rFonts w:asciiTheme="majorHAnsi" w:hAnsiTheme="majorHAnsi"/>
        </w:rPr>
        <w:t xml:space="preserve">. Import, </w:t>
      </w:r>
      <w:r w:rsidRPr="008A32C4">
        <w:rPr>
          <w:rFonts w:asciiTheme="majorHAnsi" w:hAnsiTheme="majorHAnsi"/>
        </w:rPr>
        <w:t xml:space="preserve">produktion og salg </w:t>
      </w:r>
      <w:r w:rsidR="008E4725" w:rsidRPr="008A32C4">
        <w:rPr>
          <w:rFonts w:asciiTheme="majorHAnsi" w:hAnsiTheme="majorHAnsi"/>
        </w:rPr>
        <w:t>af produkt</w:t>
      </w:r>
      <w:r w:rsidR="009E0222" w:rsidRPr="008A32C4">
        <w:rPr>
          <w:rFonts w:asciiTheme="majorHAnsi" w:hAnsiTheme="majorHAnsi"/>
        </w:rPr>
        <w:t>et</w:t>
      </w:r>
      <w:r w:rsidR="008E4725" w:rsidRPr="008A32C4">
        <w:rPr>
          <w:rFonts w:asciiTheme="majorHAnsi" w:hAnsiTheme="majorHAnsi"/>
        </w:rPr>
        <w:t xml:space="preserve"> i alle led under tidligere afgørelse </w:t>
      </w:r>
      <w:r w:rsidRPr="008A32C4">
        <w:rPr>
          <w:rFonts w:asciiTheme="majorHAnsi" w:hAnsiTheme="majorHAnsi"/>
        </w:rPr>
        <w:t xml:space="preserve">kan fortsætte frem til </w:t>
      </w:r>
      <w:r w:rsidR="008A32C4" w:rsidRPr="008A32C4">
        <w:rPr>
          <w:rFonts w:asciiTheme="majorHAnsi" w:hAnsiTheme="majorHAnsi"/>
        </w:rPr>
        <w:t>30.11</w:t>
      </w:r>
      <w:r w:rsidRPr="008A32C4">
        <w:rPr>
          <w:rFonts w:asciiTheme="majorHAnsi" w:hAnsiTheme="majorHAnsi"/>
        </w:rPr>
        <w:t>.</w:t>
      </w:r>
      <w:r w:rsidR="008A32C4" w:rsidRPr="008A32C4">
        <w:rPr>
          <w:rFonts w:asciiTheme="majorHAnsi" w:hAnsiTheme="majorHAnsi"/>
        </w:rPr>
        <w:t xml:space="preserve">2024. </w:t>
      </w:r>
      <w:r w:rsidRPr="008A32C4">
        <w:rPr>
          <w:rFonts w:asciiTheme="majorHAnsi" w:hAnsiTheme="majorHAnsi"/>
        </w:rPr>
        <w:t>Anvendelse</w:t>
      </w:r>
      <w:r w:rsidRPr="005C43AE">
        <w:rPr>
          <w:rFonts w:asciiTheme="majorHAnsi" w:hAnsiTheme="majorHAnsi"/>
        </w:rPr>
        <w:t xml:space="preserve">, oplagring og besiddelse af det tidligere godkendte produkt kan fortsætte frem til </w:t>
      </w:r>
      <w:r w:rsidR="008A32C4">
        <w:rPr>
          <w:rFonts w:asciiTheme="majorHAnsi" w:hAnsiTheme="majorHAnsi"/>
        </w:rPr>
        <w:t>30.5.2025.</w:t>
      </w:r>
      <w:r w:rsidRPr="005C43AE">
        <w:rPr>
          <w:rFonts w:asciiTheme="majorHAnsi" w:hAnsiTheme="majorHAnsi"/>
        </w:rPr>
        <w:t xml:space="preserve"> Efter den sidstnævnte dato skal alle beholdninger af det tidligere godkendte produkt være brugt op eller destrueret</w:t>
      </w:r>
      <w:r w:rsidR="008E4725">
        <w:rPr>
          <w:rFonts w:asciiTheme="majorHAnsi" w:hAnsiTheme="majorHAnsi"/>
        </w:rPr>
        <w:t xml:space="preserve">, medmindre det kan sikres, at alle produkter i hele forsyningskæden bliver opdaterede med ovenstående oplysninger, </w:t>
      </w:r>
      <w:r w:rsidR="008E4725">
        <w:rPr>
          <w:rFonts w:asciiTheme="majorHAnsi" w:hAnsiTheme="majorHAnsi"/>
        </w:rPr>
        <w:lastRenderedPageBreak/>
        <w:t>herunder at etiket og sikkerhedsdatablad bliver opdaterede til at afspejle de nye vilkår.</w:t>
      </w:r>
    </w:p>
    <w:p w14:paraId="029B3639" w14:textId="77777777" w:rsidR="005C43AE" w:rsidRDefault="005C43AE" w:rsidP="005C43AE">
      <w:pPr>
        <w:rPr>
          <w:rFonts w:asciiTheme="majorHAnsi" w:hAnsiTheme="majorHAnsi"/>
        </w:rPr>
      </w:pPr>
    </w:p>
    <w:p w14:paraId="2C1B1C66" w14:textId="6C4BCF88" w:rsidR="005C43AE" w:rsidRPr="005C43AE" w:rsidRDefault="005C43AE" w:rsidP="00A21E23">
      <w:pPr>
        <w:rPr>
          <w:color w:val="FF0000"/>
        </w:rPr>
      </w:pPr>
      <w:r w:rsidRPr="008B7D26">
        <w:t xml:space="preserve">Øvrige vilkår til godkendelsen i brev </w:t>
      </w:r>
      <w:r>
        <w:t>af 17. november 2017</w:t>
      </w:r>
      <w:r w:rsidRPr="00F067C9">
        <w:rPr>
          <w:color w:val="FF0000"/>
        </w:rPr>
        <w:t xml:space="preserve"> </w:t>
      </w:r>
      <w:r w:rsidRPr="008B7D26">
        <w:t>er fortsat gældende.</w:t>
      </w:r>
    </w:p>
    <w:p w14:paraId="556416AE" w14:textId="77777777" w:rsidR="005C43AE" w:rsidRDefault="005C43AE" w:rsidP="005C43AE">
      <w:pPr>
        <w:rPr>
          <w:rFonts w:eastAsia="Georgia" w:cs="Georgia"/>
        </w:rPr>
      </w:pPr>
    </w:p>
    <w:p w14:paraId="7BC6E8E0" w14:textId="77777777" w:rsidR="005C43AE" w:rsidRDefault="005C43AE" w:rsidP="005C43AE">
      <w:pPr>
        <w:rPr>
          <w:rFonts w:eastAsia="Georgia" w:cs="Georgia"/>
        </w:rPr>
      </w:pPr>
      <w:r w:rsidRPr="005145CE">
        <w:rPr>
          <w:rFonts w:eastAsia="Georgia" w:cs="Georgia"/>
        </w:rPr>
        <w:t xml:space="preserve">Bemærk, at aktivstoffet i biocidproduktet skal stamme fra en leverandør, der er opført på </w:t>
      </w:r>
      <w:proofErr w:type="spellStart"/>
      <w:r w:rsidRPr="005145CE">
        <w:rPr>
          <w:rFonts w:eastAsia="Georgia" w:cs="Georgia"/>
        </w:rPr>
        <w:t>ECHAs</w:t>
      </w:r>
      <w:proofErr w:type="spellEnd"/>
      <w:r w:rsidRPr="005145CE">
        <w:rPr>
          <w:rFonts w:eastAsia="Georgia" w:cs="Georgia"/>
        </w:rPr>
        <w:t xml:space="preserve"> liste over aktivstofleverandører, jf. biocidforordningens artikel 95, stk. 3. Alternativt skal leverandøren af det konkrete produkt fremgå af denne liste</w:t>
      </w:r>
      <w:r>
        <w:rPr>
          <w:rFonts w:eastAsia="Georgia" w:cs="Georgia"/>
        </w:rPr>
        <w:t>.</w:t>
      </w:r>
    </w:p>
    <w:p w14:paraId="54D9F2E9" w14:textId="77777777" w:rsidR="005C43AE" w:rsidRDefault="005C43AE" w:rsidP="00A21E23"/>
    <w:p w14:paraId="4DE24B2A" w14:textId="45613A65" w:rsidR="00522641" w:rsidRPr="005C43AE" w:rsidRDefault="00BE576C" w:rsidP="00A21E23">
      <w:pPr>
        <w:rPr>
          <w:b/>
          <w:sz w:val="28"/>
        </w:rPr>
      </w:pPr>
      <w:r w:rsidRPr="005C43AE">
        <w:rPr>
          <w:b/>
          <w:sz w:val="28"/>
        </w:rPr>
        <w:t>Begrundelse</w:t>
      </w:r>
    </w:p>
    <w:p w14:paraId="519530B8" w14:textId="21377A0E" w:rsidR="00410840" w:rsidRDefault="00410840" w:rsidP="00410840">
      <w:r>
        <w:t xml:space="preserve">Aktivstoffet </w:t>
      </w:r>
      <w:proofErr w:type="spellStart"/>
      <w:r>
        <w:t>propiconazol</w:t>
      </w:r>
      <w:proofErr w:type="spellEnd"/>
      <w:r>
        <w:t xml:space="preserve"> anses for at have hormonforstyrrende egenskaber og er klassificeret som reproduktionstoksisk i kategori 1B i overensstemmelse med </w:t>
      </w:r>
      <w:r w:rsidR="005C43AE">
        <w:t>k</w:t>
      </w:r>
      <w:r>
        <w:t>lassificeringsforordningen</w:t>
      </w:r>
      <w:r>
        <w:rPr>
          <w:rStyle w:val="Fodnotehenvisning"/>
        </w:rPr>
        <w:footnoteReference w:id="2"/>
      </w:r>
      <w:r>
        <w:t xml:space="preserve"> og opfylder derfor udelukkelseskriterierne i artikel 5, stk. 1, litra c) og d) i </w:t>
      </w:r>
      <w:r w:rsidR="00DC6036">
        <w:t>forordning (EU) nr. 528/2012</w:t>
      </w:r>
      <w:r w:rsidR="00DC6036">
        <w:rPr>
          <w:rStyle w:val="Fodnotehenvisning"/>
        </w:rPr>
        <w:footnoteReference w:id="3"/>
      </w:r>
      <w:r w:rsidR="00DC6036">
        <w:t xml:space="preserve"> (biocidforordningen)</w:t>
      </w:r>
      <w:r>
        <w:t xml:space="preserve">. </w:t>
      </w:r>
    </w:p>
    <w:p w14:paraId="46A4B605" w14:textId="77777777" w:rsidR="00410840" w:rsidRDefault="00410840" w:rsidP="00410840"/>
    <w:p w14:paraId="4021DC9A" w14:textId="43BC7EB7" w:rsidR="00410840" w:rsidRDefault="00410840" w:rsidP="00410840">
      <w:r>
        <w:t xml:space="preserve">Ved fornyelsen af godkendelsen af </w:t>
      </w:r>
      <w:proofErr w:type="spellStart"/>
      <w:r>
        <w:t>propiconazol</w:t>
      </w:r>
      <w:proofErr w:type="spellEnd"/>
      <w:r>
        <w:t xml:space="preserve"> som aktivstof i produkttype 8 gennemførte Kommissionen en offentlig høring i henhold til, hvorvidt betingelserne i artikel 5, stk. 2 i biocidforordningen var opfyldt for </w:t>
      </w:r>
      <w:proofErr w:type="spellStart"/>
      <w:r>
        <w:t>propiconazol</w:t>
      </w:r>
      <w:proofErr w:type="spellEnd"/>
      <w:r>
        <w:t xml:space="preserve"> som aktivstof. Fra denne offentlige høring fremgik det, at visse anvendelsesformål opfylder betingelsen i artikel 5, stk. 2, litra c) for undtagelse om udelukkelse som aktivstof. Godkendelsen af </w:t>
      </w:r>
      <w:proofErr w:type="spellStart"/>
      <w:r>
        <w:t>propiconazol</w:t>
      </w:r>
      <w:proofErr w:type="spellEnd"/>
      <w:r>
        <w:t xml:space="preserve"> blev derfor fornyet ved gennemførselsforordning (EU) nr. 2023/2596</w:t>
      </w:r>
      <w:r>
        <w:rPr>
          <w:rStyle w:val="Fodnotehenvisning"/>
        </w:rPr>
        <w:footnoteReference w:id="4"/>
      </w:r>
      <w:r>
        <w:t xml:space="preserve"> i november 2023.</w:t>
      </w:r>
    </w:p>
    <w:p w14:paraId="15E8C6DD" w14:textId="77777777" w:rsidR="00410840" w:rsidRDefault="00410840" w:rsidP="00410840"/>
    <w:p w14:paraId="60508FB7" w14:textId="60FB9C5A" w:rsidR="00A21E23" w:rsidRDefault="00AD5A52" w:rsidP="00A21E23">
      <w:r>
        <w:t xml:space="preserve">Som følge af fornyelsen af godkendelsen af </w:t>
      </w:r>
      <w:proofErr w:type="spellStart"/>
      <w:r w:rsidR="00A21E23">
        <w:t>propiconazol</w:t>
      </w:r>
      <w:proofErr w:type="spellEnd"/>
      <w:r>
        <w:t xml:space="preserve"> </w:t>
      </w:r>
      <w:r w:rsidR="003767CF">
        <w:t xml:space="preserve">i produkttype 8 </w:t>
      </w:r>
      <w:r w:rsidR="00560A86">
        <w:t>overholder</w:t>
      </w:r>
      <w:r>
        <w:t xml:space="preserve"> biocidprod</w:t>
      </w:r>
      <w:r w:rsidR="00410840">
        <w:t xml:space="preserve">ukter indeholdende </w:t>
      </w:r>
      <w:proofErr w:type="spellStart"/>
      <w:r w:rsidR="00410840">
        <w:t>propiconazol</w:t>
      </w:r>
      <w:proofErr w:type="spellEnd"/>
      <w:r>
        <w:t xml:space="preserve"> som aktivstof ikke længer</w:t>
      </w:r>
      <w:r w:rsidR="00560A86">
        <w:t xml:space="preserve">e betingelserne for godkendelse under artikel 19, stk. 1 af </w:t>
      </w:r>
      <w:r w:rsidR="00DC6036">
        <w:t>biocidforordningen</w:t>
      </w:r>
      <w:r w:rsidR="00A21E23">
        <w:t>.</w:t>
      </w:r>
    </w:p>
    <w:p w14:paraId="2E73B02E" w14:textId="27B01F6A" w:rsidR="00750611" w:rsidRDefault="00750611" w:rsidP="00A21E23"/>
    <w:p w14:paraId="2AB1DD68" w14:textId="7E332778" w:rsidR="00750611" w:rsidRDefault="00750611" w:rsidP="00A21E23">
      <w:r>
        <w:t>Ifølge artikel 48</w:t>
      </w:r>
      <w:r w:rsidR="00F2748B">
        <w:t>, stk. 1</w:t>
      </w:r>
      <w:r>
        <w:t xml:space="preserve"> </w:t>
      </w:r>
      <w:r w:rsidR="00F2748B">
        <w:t xml:space="preserve">af biocidforordningen </w:t>
      </w:r>
      <w:r>
        <w:t>skal et medlemsland tilbagekalde eller ændre en allerede meddelt godkendelse, hvis betingelserne i artikel 19, stk. 1</w:t>
      </w:r>
      <w:r w:rsidR="00F2748B">
        <w:t xml:space="preserve"> i nævnte forordning</w:t>
      </w:r>
      <w:r>
        <w:t xml:space="preserve"> ikke længere er opfyldt for godkendelsen. </w:t>
      </w:r>
    </w:p>
    <w:p w14:paraId="73CBF94C" w14:textId="095D7B1A" w:rsidR="00750611" w:rsidRDefault="00750611" w:rsidP="00A21E23"/>
    <w:p w14:paraId="62484632" w14:textId="40D9BBC3" w:rsidR="00750611" w:rsidRDefault="00750611" w:rsidP="00A21E23">
      <w:r>
        <w:t>Betingelserne i artikel 19, stk. 1</w:t>
      </w:r>
      <w:r w:rsidR="00DC6036">
        <w:t>, litra b</w:t>
      </w:r>
      <w:r w:rsidR="00F2748B">
        <w:t>)</w:t>
      </w:r>
      <w:r w:rsidR="00BB5AC5">
        <w:t xml:space="preserve"> </w:t>
      </w:r>
      <w:r w:rsidR="00DC6036">
        <w:t>(iii) og (iv)</w:t>
      </w:r>
      <w:r>
        <w:t xml:space="preserve"> er ikke længere opfyldt for </w:t>
      </w:r>
      <w:r w:rsidRPr="00560A86">
        <w:t>NORDSJÖ TINOVA WOOD BASE OIL</w:t>
      </w:r>
      <w:r w:rsidRPr="00560A86">
        <w:rPr>
          <w:vertAlign w:val="superscript"/>
        </w:rPr>
        <w:t>BPR</w:t>
      </w:r>
      <w:r>
        <w:t xml:space="preserve">. </w:t>
      </w:r>
    </w:p>
    <w:p w14:paraId="17A5F9A4" w14:textId="12E058AD" w:rsidR="00BE576C" w:rsidRPr="00A21E23" w:rsidRDefault="0092537A" w:rsidP="00BE576C">
      <w:r>
        <w:br/>
      </w:r>
      <w:r w:rsidR="00BE576C">
        <w:t xml:space="preserve">Gennemførselsforordning (EU) nr. 2023/5296 anviser, at de anvendelsesformål, der blev anset for at opfylde betingelserne i artikel 5, stk. 2, litra c) kan anses som at opfylde betingelserne </w:t>
      </w:r>
      <w:r w:rsidR="00B36B9E">
        <w:t>fastsat i artikel 19, stk. 5 i biocidforordningen</w:t>
      </w:r>
      <w:r w:rsidR="00BE576C">
        <w:t xml:space="preserve">.  </w:t>
      </w:r>
    </w:p>
    <w:p w14:paraId="349184EE" w14:textId="77777777" w:rsidR="00BE576C" w:rsidRDefault="00BE576C" w:rsidP="00A21E23"/>
    <w:p w14:paraId="3DB846E3" w14:textId="1A771611" w:rsidR="00BE576C" w:rsidRPr="00BA5006" w:rsidRDefault="00BE576C" w:rsidP="00BE576C">
      <w:pPr>
        <w:rPr>
          <w:rFonts w:asciiTheme="majorHAnsi" w:hAnsiTheme="majorHAnsi"/>
        </w:rPr>
      </w:pPr>
      <w:r w:rsidRPr="00560A86">
        <w:rPr>
          <w:rFonts w:asciiTheme="majorHAnsi" w:hAnsiTheme="majorHAnsi"/>
        </w:rPr>
        <w:t>NORDSJÖ TINOVA WOOD BASE OIL</w:t>
      </w:r>
      <w:r w:rsidRPr="00560A86">
        <w:rPr>
          <w:rFonts w:asciiTheme="majorHAnsi" w:hAnsiTheme="majorHAnsi"/>
          <w:vertAlign w:val="superscript"/>
        </w:rPr>
        <w:t>BPR</w:t>
      </w:r>
      <w:r w:rsidRPr="00560A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er godkendt til </w:t>
      </w:r>
      <w:r w:rsidR="00B36B9E">
        <w:rPr>
          <w:rFonts w:asciiTheme="majorHAnsi" w:hAnsiTheme="majorHAnsi"/>
        </w:rPr>
        <w:t xml:space="preserve">erhvervsmæssig anvendelse og til anvendelse af </w:t>
      </w:r>
      <w:r>
        <w:rPr>
          <w:rFonts w:asciiTheme="majorHAnsi" w:hAnsiTheme="majorHAnsi"/>
        </w:rPr>
        <w:t>den brede offentlighed i brugsklasse 2 og 3</w:t>
      </w:r>
      <w:r w:rsidR="00B36B9E">
        <w:rPr>
          <w:rFonts w:asciiTheme="majorHAnsi" w:hAnsiTheme="majorHAnsi"/>
        </w:rPr>
        <w:t xml:space="preserve"> ved pensling mod træødelæggende svamp og blåsplint</w:t>
      </w:r>
      <w:r>
        <w:rPr>
          <w:rFonts w:asciiTheme="majorHAnsi" w:hAnsiTheme="majorHAnsi"/>
        </w:rPr>
        <w:t xml:space="preserve">. Som konsekvens af </w:t>
      </w:r>
      <w:proofErr w:type="spellStart"/>
      <w:r>
        <w:rPr>
          <w:rFonts w:asciiTheme="majorHAnsi" w:hAnsiTheme="majorHAnsi"/>
        </w:rPr>
        <w:t>propiconazols</w:t>
      </w:r>
      <w:proofErr w:type="spellEnd"/>
      <w:r>
        <w:rPr>
          <w:rFonts w:asciiTheme="majorHAnsi" w:hAnsiTheme="majorHAnsi"/>
        </w:rPr>
        <w:t xml:space="preserve"> status som værende hormonforstyrrende, opfylder </w:t>
      </w:r>
      <w:r w:rsidRPr="00560A86">
        <w:rPr>
          <w:rFonts w:asciiTheme="majorHAnsi" w:hAnsiTheme="majorHAnsi"/>
        </w:rPr>
        <w:t>NORDSJÖ TINOVA WOOD BASE OIL</w:t>
      </w:r>
      <w:r w:rsidRPr="00560A86">
        <w:rPr>
          <w:rFonts w:asciiTheme="majorHAnsi" w:hAnsiTheme="majorHAnsi"/>
          <w:vertAlign w:val="superscript"/>
        </w:rPr>
        <w:t>BPR</w:t>
      </w:r>
      <w:r>
        <w:rPr>
          <w:rFonts w:asciiTheme="majorHAnsi" w:hAnsiTheme="majorHAnsi"/>
        </w:rPr>
        <w:t xml:space="preserve"> betingelsen i artikel 19, stk. 4, litra d) i biocidforordningen og kan derfor ikke længere gøres tilgængeligt på det danske marked til </w:t>
      </w:r>
      <w:r w:rsidR="00B36B9E">
        <w:rPr>
          <w:rFonts w:asciiTheme="majorHAnsi" w:hAnsiTheme="majorHAnsi"/>
        </w:rPr>
        <w:t>anvendelse af</w:t>
      </w:r>
      <w:r>
        <w:rPr>
          <w:rFonts w:asciiTheme="majorHAnsi" w:hAnsiTheme="majorHAnsi"/>
        </w:rPr>
        <w:t xml:space="preserve"> den brede offentlighed. Denne anvendelse tilbagetrækkes hermed. </w:t>
      </w:r>
    </w:p>
    <w:p w14:paraId="61844509" w14:textId="77777777" w:rsidR="00BE576C" w:rsidRDefault="00BE576C" w:rsidP="00BE576C"/>
    <w:p w14:paraId="2A594A8E" w14:textId="538B2B38" w:rsidR="00BE576C" w:rsidRDefault="00BE576C" w:rsidP="00BE576C">
      <w:pPr>
        <w:rPr>
          <w:rFonts w:asciiTheme="majorHAnsi" w:hAnsiTheme="majorHAnsi"/>
        </w:rPr>
      </w:pPr>
      <w:r>
        <w:t xml:space="preserve">Da erhvervsmæssig anvendelse af </w:t>
      </w:r>
      <w:r w:rsidRPr="00560A86">
        <w:rPr>
          <w:rFonts w:asciiTheme="majorHAnsi" w:hAnsiTheme="majorHAnsi"/>
        </w:rPr>
        <w:t>NORDSJÖ TINOVA WOOD BASE OIL</w:t>
      </w:r>
      <w:r w:rsidRPr="00560A86">
        <w:rPr>
          <w:rFonts w:asciiTheme="majorHAnsi" w:hAnsiTheme="majorHAnsi"/>
          <w:vertAlign w:val="superscript"/>
        </w:rPr>
        <w:t>BPR</w:t>
      </w:r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>mod træødelæggende svamp ved pensling i brugsklasse 2 og 3 er en af anvendelser, som i gennemførselsf</w:t>
      </w:r>
      <w:r w:rsidR="00B36B9E">
        <w:rPr>
          <w:rFonts w:asciiTheme="majorHAnsi" w:hAnsiTheme="majorHAnsi"/>
        </w:rPr>
        <w:t>orordning (EU) nr. 2023/2596</w:t>
      </w:r>
      <w:r>
        <w:rPr>
          <w:rFonts w:asciiTheme="majorHAnsi" w:hAnsiTheme="majorHAnsi"/>
        </w:rPr>
        <w:t xml:space="preserve"> op</w:t>
      </w:r>
      <w:r w:rsidR="00B36B9E">
        <w:rPr>
          <w:rFonts w:asciiTheme="majorHAnsi" w:hAnsiTheme="majorHAnsi"/>
        </w:rPr>
        <w:t xml:space="preserve">fylder artikel 5, stk. 2, litra </w:t>
      </w:r>
      <w:r>
        <w:rPr>
          <w:rFonts w:asciiTheme="majorHAnsi" w:hAnsiTheme="majorHAnsi"/>
        </w:rPr>
        <w:t xml:space="preserve">c) i biocidforordningen og hermed også artikel 19, stk. 5, bibeholdes denne.  </w:t>
      </w:r>
    </w:p>
    <w:p w14:paraId="3E8DECB9" w14:textId="77777777" w:rsidR="00BE576C" w:rsidRPr="00BA5006" w:rsidRDefault="00BE576C" w:rsidP="00BE576C"/>
    <w:p w14:paraId="65BF4574" w14:textId="54AA66D9" w:rsidR="00BE576C" w:rsidRDefault="00BE576C" w:rsidP="00BE576C">
      <w:r>
        <w:t xml:space="preserve">Da </w:t>
      </w:r>
      <w:proofErr w:type="spellStart"/>
      <w:r>
        <w:t>propiconazol</w:t>
      </w:r>
      <w:proofErr w:type="spellEnd"/>
      <w:r>
        <w:t xml:space="preserve"> opfylder undtagelseskriteriet i artikel 5, stk. 2, litra c) i biocidforordningen, skal anvendelsen af biocidholdige produkter indeholdende </w:t>
      </w:r>
      <w:proofErr w:type="spellStart"/>
      <w:r>
        <w:t>propiconazol</w:t>
      </w:r>
      <w:proofErr w:type="spellEnd"/>
      <w:r>
        <w:t xml:space="preserve"> underlægges særlige sikkerhedsforanstaltninger under hensyntagen til begrænsningen af human og miljømæssig eksponering. Foranstaltningerne er beskrevet i bilag 1, kolonne 6 i gennemførselsforordning (EU) nr. 2023/2596. Med denne ændring af godkendelse af </w:t>
      </w:r>
      <w:r w:rsidRPr="00560A86">
        <w:rPr>
          <w:rFonts w:asciiTheme="majorHAnsi" w:hAnsiTheme="majorHAnsi"/>
        </w:rPr>
        <w:t>NORDSJÖ TINOVA WOOD BASE OIL</w:t>
      </w:r>
      <w:r w:rsidRPr="00560A86">
        <w:rPr>
          <w:rFonts w:asciiTheme="majorHAnsi" w:hAnsiTheme="majorHAnsi"/>
          <w:vertAlign w:val="superscript"/>
        </w:rPr>
        <w:t>BPR</w:t>
      </w:r>
      <w:r>
        <w:rPr>
          <w:rFonts w:asciiTheme="majorHAnsi" w:hAnsiTheme="majorHAnsi"/>
        </w:rPr>
        <w:t xml:space="preserve"> opdateres </w:t>
      </w:r>
      <w:r>
        <w:t xml:space="preserve">dennes SPC derfor med disse. Endvidere foreskriver nævnte forordning, at træ behandlet med biocidprodukter indeholde </w:t>
      </w:r>
      <w:proofErr w:type="spellStart"/>
      <w:r>
        <w:t>propiconazol</w:t>
      </w:r>
      <w:proofErr w:type="spellEnd"/>
      <w:r>
        <w:t xml:space="preserve"> som aktivstof ikke længere må bringes i omsætning til fremstilling af møbler og legeredskaber. Biocidproduktets SPC opdateres derfor også med denne information. </w:t>
      </w:r>
    </w:p>
    <w:p w14:paraId="75D86195" w14:textId="77777777" w:rsidR="00BE576C" w:rsidRDefault="00BE576C" w:rsidP="00BE576C"/>
    <w:p w14:paraId="0924874B" w14:textId="1BCEBBF7" w:rsidR="00BE576C" w:rsidRDefault="00BE576C" w:rsidP="00BE576C">
      <w:pPr>
        <w:rPr>
          <w:rFonts w:asciiTheme="majorHAnsi" w:hAnsiTheme="majorHAnsi"/>
        </w:rPr>
      </w:pPr>
      <w:r>
        <w:t xml:space="preserve">I forbindelse med denne ændring af godkendelsen har Miljøstyrelsen desuden foretaget en sammenlignende vurdering af </w:t>
      </w:r>
      <w:r w:rsidRPr="00560A86">
        <w:rPr>
          <w:rFonts w:asciiTheme="majorHAnsi" w:hAnsiTheme="majorHAnsi"/>
        </w:rPr>
        <w:t>NORDSJÖ TINOVA WOOD BASE OIL</w:t>
      </w:r>
      <w:r w:rsidRPr="00560A86">
        <w:rPr>
          <w:rFonts w:asciiTheme="majorHAnsi" w:hAnsiTheme="majorHAnsi"/>
          <w:vertAlign w:val="superscript"/>
        </w:rPr>
        <w:t>BPR</w:t>
      </w:r>
      <w:r>
        <w:rPr>
          <w:rFonts w:asciiTheme="majorHAnsi" w:hAnsiTheme="majorHAnsi"/>
        </w:rPr>
        <w:t xml:space="preserve"> for det danske marked i henhold til artikel 23 af biocidforordningen. Her blev lagt vægt på, at gennemførselsforordning (EU) nr. 2023/2596 er nylig (november 2023), og at konklusionerne herfra stadig er gældende, herunder, at der ikke findes egnede alternativer til brug af </w:t>
      </w:r>
      <w:proofErr w:type="spellStart"/>
      <w:r>
        <w:rPr>
          <w:rFonts w:asciiTheme="majorHAnsi" w:hAnsiTheme="majorHAnsi"/>
        </w:rPr>
        <w:t>propiconazol</w:t>
      </w:r>
      <w:proofErr w:type="spellEnd"/>
      <w:r>
        <w:rPr>
          <w:rFonts w:asciiTheme="majorHAnsi" w:hAnsiTheme="majorHAnsi"/>
        </w:rPr>
        <w:t xml:space="preserve"> til forebyggende behandling af træ mod træødelæggende svamp, hvilket anses for </w:t>
      </w:r>
      <w:r w:rsidR="00B36B9E">
        <w:rPr>
          <w:rFonts w:asciiTheme="majorHAnsi" w:hAnsiTheme="majorHAnsi"/>
        </w:rPr>
        <w:t xml:space="preserve">også </w:t>
      </w:r>
      <w:r>
        <w:rPr>
          <w:rFonts w:asciiTheme="majorHAnsi" w:hAnsiTheme="majorHAnsi"/>
        </w:rPr>
        <w:t>at være gældende for det danske marked.</w:t>
      </w:r>
    </w:p>
    <w:p w14:paraId="59670CF4" w14:textId="77777777" w:rsidR="00BE576C" w:rsidRDefault="00BE576C" w:rsidP="00BE576C">
      <w:pPr>
        <w:rPr>
          <w:rFonts w:asciiTheme="majorHAnsi" w:hAnsiTheme="majorHAnsi"/>
        </w:rPr>
      </w:pPr>
    </w:p>
    <w:p w14:paraId="6168DC22" w14:textId="4BC73B76" w:rsidR="00BE576C" w:rsidRDefault="00BE576C" w:rsidP="00BE576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Fortsat godkendelse af </w:t>
      </w:r>
      <w:r w:rsidRPr="00560A86">
        <w:rPr>
          <w:rFonts w:asciiTheme="majorHAnsi" w:hAnsiTheme="majorHAnsi"/>
        </w:rPr>
        <w:t>NORDSJÖ TINOVA WOOD BASE OIL</w:t>
      </w:r>
      <w:r w:rsidRPr="00560A86">
        <w:rPr>
          <w:rFonts w:asciiTheme="majorHAnsi" w:hAnsiTheme="majorHAnsi"/>
          <w:vertAlign w:val="superscript"/>
        </w:rPr>
        <w:t>BPR</w:t>
      </w:r>
      <w:r>
        <w:rPr>
          <w:rFonts w:asciiTheme="majorHAnsi" w:hAnsiTheme="majorHAnsi"/>
        </w:rPr>
        <w:t xml:space="preserve"> er derfor mulig for anvendelsen som forebyggende behandling mod træødelæggende svamp og blåsplint ved pensling i brugsklasse 2 og 3 ved erhvervsmæssig brug. </w:t>
      </w:r>
      <w:r w:rsidR="00BB5AC5">
        <w:rPr>
          <w:rFonts w:asciiTheme="majorHAnsi" w:hAnsiTheme="majorHAnsi"/>
        </w:rPr>
        <w:t xml:space="preserve">Miljøstyrelsen ser derfor ikke et behov for at tilbagekalde den fulde godkendelse, men i stedet begrænse </w:t>
      </w:r>
      <w:r w:rsidR="00F90376">
        <w:rPr>
          <w:rFonts w:asciiTheme="majorHAnsi" w:hAnsiTheme="majorHAnsi"/>
        </w:rPr>
        <w:t xml:space="preserve">godkendelsen </w:t>
      </w:r>
      <w:r w:rsidR="00BB5AC5">
        <w:rPr>
          <w:rFonts w:asciiTheme="majorHAnsi" w:hAnsiTheme="majorHAnsi"/>
        </w:rPr>
        <w:t xml:space="preserve">til den nævnte anvendelse samt brug under forhold, der kan sikre de i bilag 1 af gennemførselsforordning EU) nr. 2023/2596 foreskrevne sikkerhedsforanstaltninger. Træ behandlet med </w:t>
      </w:r>
      <w:r w:rsidR="00BB5AC5" w:rsidRPr="00560A86">
        <w:rPr>
          <w:rFonts w:asciiTheme="majorHAnsi" w:hAnsiTheme="majorHAnsi"/>
        </w:rPr>
        <w:t>NORDSJÖ TINOVA WOOD BASE OIL</w:t>
      </w:r>
      <w:r w:rsidR="00BB5AC5" w:rsidRPr="00560A86">
        <w:rPr>
          <w:rFonts w:asciiTheme="majorHAnsi" w:hAnsiTheme="majorHAnsi"/>
          <w:vertAlign w:val="superscript"/>
        </w:rPr>
        <w:t>BPR</w:t>
      </w:r>
      <w:r w:rsidR="00BB5AC5">
        <w:rPr>
          <w:rFonts w:asciiTheme="majorHAnsi" w:hAnsiTheme="majorHAnsi"/>
        </w:rPr>
        <w:t xml:space="preserve"> må ikke længere anvendes til fremstilling af møbler og legeredskaber.</w:t>
      </w:r>
    </w:p>
    <w:p w14:paraId="3BBE726B" w14:textId="4CF82D46" w:rsidR="00750611" w:rsidRDefault="00750611" w:rsidP="00A21E23"/>
    <w:p w14:paraId="66DE330C" w14:textId="06754812" w:rsidR="005C43AE" w:rsidRPr="0092537A" w:rsidRDefault="00BE576C" w:rsidP="00A21E23">
      <w:pPr>
        <w:rPr>
          <w:b/>
          <w:sz w:val="28"/>
        </w:rPr>
      </w:pPr>
      <w:r w:rsidRPr="005C43AE">
        <w:rPr>
          <w:b/>
          <w:sz w:val="28"/>
        </w:rPr>
        <w:t>Sagens oplysninger</w:t>
      </w:r>
      <w:r w:rsidR="0092537A">
        <w:rPr>
          <w:b/>
          <w:sz w:val="28"/>
        </w:rPr>
        <w:br/>
      </w:r>
      <w:r>
        <w:t xml:space="preserve">Som følge af fornyelsen af </w:t>
      </w:r>
      <w:proofErr w:type="spellStart"/>
      <w:r>
        <w:t>propiconazol</w:t>
      </w:r>
      <w:proofErr w:type="spellEnd"/>
      <w:r>
        <w:t xml:space="preserve"> som aktivstof i produkttype 8, er der ændrede vilkår til biocidholdige produkter indeholdende </w:t>
      </w:r>
      <w:proofErr w:type="spellStart"/>
      <w:r>
        <w:t>propiconazol</w:t>
      </w:r>
      <w:proofErr w:type="spellEnd"/>
      <w:r>
        <w:t xml:space="preserve"> som aktivstof grundet dets status som kandidat til substitution og de særlige </w:t>
      </w:r>
      <w:r>
        <w:lastRenderedPageBreak/>
        <w:t xml:space="preserve">sikkerhedsforanstaltninger og begrænsninger i anvendelse som beskrevet i bilag 1 af gennemførselsforordning (EU) nr. 2023/2596. </w:t>
      </w:r>
    </w:p>
    <w:p w14:paraId="7A16B28C" w14:textId="77777777" w:rsidR="005C43AE" w:rsidRDefault="005C43AE" w:rsidP="00A21E23"/>
    <w:p w14:paraId="67EDAA46" w14:textId="041207B8" w:rsidR="00750611" w:rsidRDefault="005C43AE" w:rsidP="00A21E23">
      <w:pPr>
        <w:rPr>
          <w:rFonts w:asciiTheme="majorHAnsi" w:hAnsiTheme="majorHAnsi"/>
        </w:rPr>
      </w:pPr>
      <w:r>
        <w:t>Grundet dette</w:t>
      </w:r>
      <w:r w:rsidR="00750611">
        <w:t xml:space="preserve"> orienterede Miljøstyrelsen med brev af 4. marts 2024 godkendelsesindehaver om at ville gøre brug af artikel 48, stk. 1</w:t>
      </w:r>
      <w:r w:rsidR="007D057C">
        <w:t>, litra a)</w:t>
      </w:r>
      <w:r w:rsidR="00750611">
        <w:t xml:space="preserve"> og herunder ændre godkendelsen af </w:t>
      </w:r>
      <w:r w:rsidR="00750611" w:rsidRPr="00560A86">
        <w:rPr>
          <w:rFonts w:asciiTheme="majorHAnsi" w:hAnsiTheme="majorHAnsi"/>
        </w:rPr>
        <w:t>NORDSJÖ TINOVA WOOD BASE OIL</w:t>
      </w:r>
      <w:r w:rsidR="00750611" w:rsidRPr="00560A86">
        <w:rPr>
          <w:rFonts w:asciiTheme="majorHAnsi" w:hAnsiTheme="majorHAnsi"/>
          <w:vertAlign w:val="superscript"/>
        </w:rPr>
        <w:t>BPR</w:t>
      </w:r>
      <w:r w:rsidR="00750611">
        <w:rPr>
          <w:rFonts w:asciiTheme="majorHAnsi" w:hAnsiTheme="majorHAnsi"/>
        </w:rPr>
        <w:t xml:space="preserve">, således at denne afspejler de særlige fastsatte betingelser fastsat i bilag 1, kolonne 6 i gennemførselsforordning (EU) nr. 2023/5296. Miljøstyrelsen gav endvidere godkendelsesindehaver mulighed for at indsende skriftlige kommentarer og yderligere information til brug ved ændringen af godkendelsen. I samme øjemed bad Miljøstyrelsen godkendelsesindehaver om at opdatere </w:t>
      </w:r>
      <w:r w:rsidR="00410840">
        <w:rPr>
          <w:rFonts w:asciiTheme="majorHAnsi" w:hAnsiTheme="majorHAnsi"/>
        </w:rPr>
        <w:t xml:space="preserve">biocidproduktets </w:t>
      </w:r>
      <w:r w:rsidR="007D057C">
        <w:rPr>
          <w:rFonts w:asciiTheme="majorHAnsi" w:hAnsiTheme="majorHAnsi"/>
        </w:rPr>
        <w:t>SPC</w:t>
      </w:r>
      <w:r w:rsidR="00750611">
        <w:rPr>
          <w:rFonts w:asciiTheme="majorHAnsi" w:hAnsiTheme="majorHAnsi"/>
        </w:rPr>
        <w:t xml:space="preserve"> og indsende denne i en engelsk og dansk version.</w:t>
      </w:r>
      <w:r w:rsidR="007D057C">
        <w:rPr>
          <w:rFonts w:asciiTheme="majorHAnsi" w:hAnsiTheme="majorHAnsi"/>
        </w:rPr>
        <w:t xml:space="preserve"> Slutteligt gav Miljøstyrelsen godkendelsesindehaver mulighed for at indsende en sammenlignende vurdering, som Miljøstyrelsen kunne tage udgangspunkt i ved dennes vurdering af biocidproduktet på det danske marked</w:t>
      </w:r>
      <w:r w:rsidR="00410840">
        <w:rPr>
          <w:rFonts w:asciiTheme="majorHAnsi" w:hAnsiTheme="majorHAnsi"/>
        </w:rPr>
        <w:t>, som påkrævet ved godkendelse af et biocidprodukt indeholde</w:t>
      </w:r>
      <w:r>
        <w:rPr>
          <w:rFonts w:asciiTheme="majorHAnsi" w:hAnsiTheme="majorHAnsi"/>
        </w:rPr>
        <w:t>nde</w:t>
      </w:r>
      <w:r w:rsidR="00410840">
        <w:rPr>
          <w:rFonts w:asciiTheme="majorHAnsi" w:hAnsiTheme="majorHAnsi"/>
        </w:rPr>
        <w:t xml:space="preserve"> et aktivstof, der er kandidat til substitution</w:t>
      </w:r>
      <w:r w:rsidR="007D057C">
        <w:rPr>
          <w:rFonts w:asciiTheme="majorHAnsi" w:hAnsiTheme="majorHAnsi"/>
        </w:rPr>
        <w:t>.</w:t>
      </w:r>
    </w:p>
    <w:p w14:paraId="685E5FE2" w14:textId="5243CEE2" w:rsidR="00750611" w:rsidRDefault="00750611" w:rsidP="00A21E23">
      <w:pPr>
        <w:rPr>
          <w:rFonts w:asciiTheme="majorHAnsi" w:hAnsiTheme="majorHAnsi"/>
        </w:rPr>
      </w:pPr>
    </w:p>
    <w:p w14:paraId="0E648481" w14:textId="455BE7C1" w:rsidR="00750611" w:rsidRDefault="00750611" w:rsidP="00A21E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Med </w:t>
      </w:r>
      <w:r w:rsidRPr="001E07C0">
        <w:rPr>
          <w:rFonts w:asciiTheme="majorHAnsi" w:hAnsiTheme="majorHAnsi"/>
        </w:rPr>
        <w:t>brev af 2</w:t>
      </w:r>
      <w:r w:rsidR="001E07C0" w:rsidRPr="001E07C0">
        <w:rPr>
          <w:rFonts w:asciiTheme="majorHAnsi" w:hAnsiTheme="majorHAnsi"/>
        </w:rPr>
        <w:t>4</w:t>
      </w:r>
      <w:r w:rsidRPr="001E07C0">
        <w:rPr>
          <w:rFonts w:asciiTheme="majorHAnsi" w:hAnsiTheme="majorHAnsi"/>
        </w:rPr>
        <w:t>. april 2024 indsendte</w:t>
      </w:r>
      <w:r>
        <w:rPr>
          <w:rFonts w:asciiTheme="majorHAnsi" w:hAnsiTheme="majorHAnsi"/>
        </w:rPr>
        <w:t xml:space="preserve"> godkendelsesindehaver kommentarer, yderligere information, en sammenlignende vurdering samt en opdateret SPC i en dansk og engelsk version. </w:t>
      </w:r>
    </w:p>
    <w:p w14:paraId="568CBAD9" w14:textId="2546800C" w:rsidR="00522641" w:rsidRDefault="00522641" w:rsidP="00A21E23">
      <w:pPr>
        <w:rPr>
          <w:rFonts w:asciiTheme="majorHAnsi" w:hAnsiTheme="majorHAnsi"/>
        </w:rPr>
      </w:pPr>
    </w:p>
    <w:p w14:paraId="2C94FD2E" w14:textId="28564345" w:rsidR="00BE576C" w:rsidRPr="0092537A" w:rsidRDefault="00522641" w:rsidP="00794B21">
      <w:r>
        <w:rPr>
          <w:rFonts w:asciiTheme="majorHAnsi" w:hAnsiTheme="majorHAnsi"/>
        </w:rPr>
        <w:t xml:space="preserve">Ved udfærdigelse af </w:t>
      </w:r>
      <w:r w:rsidR="007D057C">
        <w:rPr>
          <w:rFonts w:asciiTheme="majorHAnsi" w:hAnsiTheme="majorHAnsi"/>
        </w:rPr>
        <w:t xml:space="preserve">denne </w:t>
      </w:r>
      <w:r>
        <w:rPr>
          <w:rFonts w:asciiTheme="majorHAnsi" w:hAnsiTheme="majorHAnsi"/>
        </w:rPr>
        <w:t xml:space="preserve">afgørelse blev alle elementer indsendt af godkendelsesindehaver taget i betragtning. </w:t>
      </w:r>
    </w:p>
    <w:p w14:paraId="0C7C791F" w14:textId="77777777" w:rsidR="005C43AE" w:rsidRDefault="005C43AE" w:rsidP="00794B21">
      <w:pPr>
        <w:rPr>
          <w:rFonts w:asciiTheme="majorHAnsi" w:hAnsiTheme="majorHAnsi"/>
        </w:rPr>
      </w:pPr>
    </w:p>
    <w:p w14:paraId="7B10C895" w14:textId="77777777" w:rsidR="00BE576C" w:rsidRDefault="00BE576C" w:rsidP="00BE576C">
      <w:pPr>
        <w:keepNext/>
        <w:rPr>
          <w:rFonts w:eastAsia="Georgia" w:cs="Georgia"/>
          <w:b/>
          <w:sz w:val="28"/>
          <w:szCs w:val="28"/>
        </w:rPr>
      </w:pPr>
      <w:r>
        <w:rPr>
          <w:rFonts w:eastAsia="Georgia" w:cs="Georgia"/>
          <w:b/>
          <w:sz w:val="28"/>
          <w:szCs w:val="28"/>
        </w:rPr>
        <w:t>Bilag til afgørelsen</w:t>
      </w:r>
    </w:p>
    <w:p w14:paraId="04EAE9CE" w14:textId="622ADF80" w:rsidR="00BE576C" w:rsidRDefault="00BE576C" w:rsidP="00794B21">
      <w:pPr>
        <w:rPr>
          <w:rFonts w:eastAsia="Georgia" w:cs="Georgia"/>
        </w:rPr>
      </w:pPr>
      <w:r>
        <w:rPr>
          <w:rFonts w:asciiTheme="majorHAnsi" w:hAnsiTheme="majorHAnsi"/>
        </w:rPr>
        <w:t>1</w:t>
      </w:r>
      <w:r w:rsidR="00DC6036">
        <w:rPr>
          <w:rFonts w:asciiTheme="majorHAnsi" w:hAnsiTheme="majorHAnsi"/>
        </w:rPr>
        <w:t xml:space="preserve">. </w:t>
      </w:r>
      <w:r w:rsidR="00DC6036">
        <w:rPr>
          <w:rFonts w:eastAsia="Georgia" w:cs="Georgia"/>
        </w:rPr>
        <w:t xml:space="preserve">Miljøstyrelsens </w:t>
      </w:r>
      <w:r w:rsidR="00B4740B">
        <w:rPr>
          <w:rFonts w:eastAsia="Georgia" w:cs="Georgia"/>
        </w:rPr>
        <w:t xml:space="preserve">opdaterede </w:t>
      </w:r>
      <w:r w:rsidR="00DC6036">
        <w:rPr>
          <w:rFonts w:eastAsia="Georgia" w:cs="Georgia"/>
        </w:rPr>
        <w:t xml:space="preserve">resume af det biocidholdige produkt (Summary of Product </w:t>
      </w:r>
      <w:proofErr w:type="spellStart"/>
      <w:r w:rsidR="00DC6036">
        <w:rPr>
          <w:rFonts w:eastAsia="Georgia" w:cs="Georgia"/>
        </w:rPr>
        <w:t>Characteristics</w:t>
      </w:r>
      <w:proofErr w:type="spellEnd"/>
      <w:r w:rsidR="00DC6036">
        <w:rPr>
          <w:rFonts w:eastAsia="Georgia" w:cs="Georgia"/>
        </w:rPr>
        <w:t>)</w:t>
      </w:r>
      <w:r w:rsidR="00B4740B">
        <w:rPr>
          <w:rFonts w:eastAsia="Georgia" w:cs="Georgia"/>
        </w:rPr>
        <w:t xml:space="preserve"> på dansk</w:t>
      </w:r>
    </w:p>
    <w:p w14:paraId="21CD0ABE" w14:textId="65C76489" w:rsidR="00B4740B" w:rsidRDefault="00B4740B" w:rsidP="00794B21">
      <w:pPr>
        <w:rPr>
          <w:rFonts w:asciiTheme="majorHAnsi" w:hAnsiTheme="majorHAnsi"/>
        </w:rPr>
      </w:pPr>
      <w:r>
        <w:rPr>
          <w:rFonts w:eastAsia="Georgia" w:cs="Georgia"/>
        </w:rPr>
        <w:t xml:space="preserve">2. Miljøstyrelsens opdaterede resume af det biocidholdige produkt (Summary of Product </w:t>
      </w:r>
      <w:proofErr w:type="spellStart"/>
      <w:r>
        <w:rPr>
          <w:rFonts w:eastAsia="Georgia" w:cs="Georgia"/>
        </w:rPr>
        <w:t>Characteristics</w:t>
      </w:r>
      <w:proofErr w:type="spellEnd"/>
      <w:r>
        <w:rPr>
          <w:rFonts w:eastAsia="Georgia" w:cs="Georgia"/>
        </w:rPr>
        <w:t>) på engelsk</w:t>
      </w:r>
    </w:p>
    <w:p w14:paraId="29DC7088" w14:textId="5FFC897A" w:rsidR="00B5486E" w:rsidRDefault="00B5486E" w:rsidP="00FE7E77"/>
    <w:p w14:paraId="7CA7ECF8" w14:textId="77777777" w:rsidR="0087510F" w:rsidRDefault="0087510F" w:rsidP="0087510F">
      <w:pPr>
        <w:keepNext/>
        <w:rPr>
          <w:rFonts w:eastAsia="Georgia" w:cs="Arial"/>
          <w:b/>
          <w:sz w:val="28"/>
          <w:szCs w:val="28"/>
        </w:rPr>
      </w:pPr>
      <w:bookmarkStart w:id="1" w:name="LAN_YoursSincerely"/>
      <w:r>
        <w:rPr>
          <w:rFonts w:eastAsia="Georgia" w:cs="Arial"/>
          <w:b/>
          <w:sz w:val="28"/>
          <w:szCs w:val="28"/>
        </w:rPr>
        <w:t>Klagevejledning m.v.</w:t>
      </w:r>
    </w:p>
    <w:p w14:paraId="378962D2" w14:textId="77777777" w:rsidR="0092537A" w:rsidRDefault="0087510F" w:rsidP="0092537A">
      <w:pPr>
        <w:rPr>
          <w:rFonts w:eastAsia="Georgia" w:cs="Arial"/>
          <w:szCs w:val="22"/>
        </w:rPr>
      </w:pPr>
      <w:r>
        <w:rPr>
          <w:rFonts w:eastAsia="Georgia" w:cs="Arial"/>
          <w:szCs w:val="22"/>
        </w:rPr>
        <w:t>Denne afgørelse kan ikke påklages til anden administrativ myndighed, jf. §</w:t>
      </w:r>
      <w:r w:rsidR="00C73C70">
        <w:rPr>
          <w:rFonts w:eastAsia="Georgia" w:cs="Arial"/>
          <w:szCs w:val="22"/>
        </w:rPr>
        <w:t> 67</w:t>
      </w:r>
      <w:r>
        <w:rPr>
          <w:rFonts w:eastAsia="Georgia" w:cs="Arial"/>
          <w:szCs w:val="22"/>
        </w:rPr>
        <w:t xml:space="preserve"> i bekendtgørelse om bekæmpelsesmidler</w:t>
      </w:r>
      <w:r>
        <w:rPr>
          <w:rStyle w:val="Fodnotehenvisning"/>
          <w:szCs w:val="22"/>
        </w:rPr>
        <w:footnoteReference w:id="5"/>
      </w:r>
      <w:r>
        <w:rPr>
          <w:rFonts w:eastAsia="Georgia" w:cs="Arial"/>
          <w:szCs w:val="22"/>
        </w:rPr>
        <w:t>. Afskæring af klagemuligheden berører ikke retten til at anlægge civilt søgsmål efter retsplejelovens almindelige regler, men retssag skal være anlagt senest seks måneder efter at denne afgørelse er meddelt, jf. § 54 i kemikalieloven</w:t>
      </w:r>
      <w:r>
        <w:rPr>
          <w:rStyle w:val="Fodnotehenvisning"/>
          <w:szCs w:val="22"/>
        </w:rPr>
        <w:footnoteReference w:id="6"/>
      </w:r>
      <w:r>
        <w:rPr>
          <w:rFonts w:eastAsia="Georgia" w:cs="Arial"/>
          <w:szCs w:val="22"/>
        </w:rPr>
        <w:t>.</w:t>
      </w:r>
      <w:r w:rsidR="0092537A">
        <w:rPr>
          <w:rFonts w:eastAsia="Georgia" w:cs="Arial"/>
          <w:szCs w:val="22"/>
        </w:rPr>
        <w:br/>
      </w:r>
    </w:p>
    <w:p w14:paraId="7ABC5841" w14:textId="37E06B83" w:rsidR="00EE0137" w:rsidRPr="0092537A" w:rsidRDefault="0092537A" w:rsidP="0092537A">
      <w:pPr>
        <w:rPr>
          <w:rFonts w:eastAsia="Georgia" w:cs="Arial"/>
          <w:szCs w:val="22"/>
        </w:rPr>
      </w:pPr>
      <w:r>
        <w:rPr>
          <w:szCs w:val="22"/>
        </w:rPr>
        <w:t>M</w:t>
      </w:r>
      <w:r w:rsidR="002C06DE" w:rsidRPr="002C06DE">
        <w:rPr>
          <w:szCs w:val="22"/>
        </w:rPr>
        <w:t>ed venlig hilsen</w:t>
      </w:r>
      <w:bookmarkEnd w:id="1"/>
    </w:p>
    <w:p w14:paraId="2692B1D9" w14:textId="333F12D8" w:rsidR="00EE0137" w:rsidRPr="002C06DE" w:rsidRDefault="0092537A" w:rsidP="00EE0137">
      <w:pPr>
        <w:keepNext/>
        <w:keepLines/>
        <w:rPr>
          <w:szCs w:val="22"/>
        </w:rPr>
      </w:pPr>
      <w:r>
        <w:rPr>
          <w:noProof/>
        </w:rPr>
        <w:drawing>
          <wp:inline distT="0" distB="0" distL="0" distR="0" wp14:anchorId="15C2B799" wp14:editId="6A0A14DD">
            <wp:extent cx="1704340" cy="6477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0496" cy="6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949B8" w14:textId="182F1B9B" w:rsidR="00EE0137" w:rsidRPr="002C06DE" w:rsidRDefault="00AD5A52" w:rsidP="00EE0137">
      <w:pPr>
        <w:keepNext/>
        <w:keepLines/>
        <w:rPr>
          <w:szCs w:val="22"/>
        </w:rPr>
      </w:pPr>
      <w:bookmarkStart w:id="2" w:name="USR_Name_HIF"/>
      <w:r>
        <w:rPr>
          <w:szCs w:val="22"/>
        </w:rPr>
        <w:t>Stine Jensen</w:t>
      </w:r>
    </w:p>
    <w:p w14:paraId="072DDF2E" w14:textId="01723EC2" w:rsidR="00A77855" w:rsidRPr="002C06DE" w:rsidRDefault="00AD5A52" w:rsidP="00EE0137">
      <w:pPr>
        <w:keepNext/>
        <w:keepLines/>
        <w:rPr>
          <w:szCs w:val="22"/>
        </w:rPr>
      </w:pPr>
      <w:bookmarkStart w:id="3" w:name="USR_Title_HIF"/>
      <w:bookmarkEnd w:id="2"/>
      <w:r>
        <w:rPr>
          <w:szCs w:val="22"/>
        </w:rPr>
        <w:t>Specialkonsulent</w:t>
      </w:r>
    </w:p>
    <w:p w14:paraId="05D79832" w14:textId="0B5A62AF" w:rsidR="00EE0137" w:rsidRPr="002C06DE" w:rsidRDefault="002C06DE" w:rsidP="00EE0137">
      <w:pPr>
        <w:keepNext/>
        <w:keepLines/>
        <w:rPr>
          <w:szCs w:val="22"/>
        </w:rPr>
      </w:pPr>
      <w:bookmarkStart w:id="4" w:name="USR_DirectPhone"/>
      <w:bookmarkStart w:id="5" w:name="USR_DirectPhone_HIF"/>
      <w:bookmarkEnd w:id="3"/>
      <w:r w:rsidRPr="002C06DE">
        <w:rPr>
          <w:szCs w:val="22"/>
        </w:rPr>
        <w:t>+45 72 5</w:t>
      </w:r>
      <w:bookmarkEnd w:id="4"/>
      <w:r w:rsidR="00AD5A52">
        <w:rPr>
          <w:szCs w:val="22"/>
        </w:rPr>
        <w:t>2 71 67 41</w:t>
      </w:r>
    </w:p>
    <w:p w14:paraId="177F49F0" w14:textId="0BCAF96F" w:rsidR="00EC1285" w:rsidRPr="002C06DE" w:rsidRDefault="00AD5A52" w:rsidP="001A4D56">
      <w:pPr>
        <w:rPr>
          <w:szCs w:val="22"/>
        </w:rPr>
      </w:pPr>
      <w:bookmarkStart w:id="6" w:name="USR_Email"/>
      <w:bookmarkEnd w:id="5"/>
      <w:r>
        <w:rPr>
          <w:szCs w:val="22"/>
        </w:rPr>
        <w:t>stije</w:t>
      </w:r>
      <w:r w:rsidR="002C06DE" w:rsidRPr="002C06DE">
        <w:rPr>
          <w:szCs w:val="22"/>
        </w:rPr>
        <w:t>@mst.dk</w:t>
      </w:r>
      <w:bookmarkEnd w:id="6"/>
    </w:p>
    <w:sectPr w:rsidR="00EC1285" w:rsidRPr="002C06DE" w:rsidSect="004866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031CE" w14:textId="77777777" w:rsidR="00FA6FB4" w:rsidRDefault="00FA6FB4">
      <w:r>
        <w:separator/>
      </w:r>
    </w:p>
  </w:endnote>
  <w:endnote w:type="continuationSeparator" w:id="0">
    <w:p w14:paraId="6101275F" w14:textId="77777777" w:rsidR="00FA6FB4" w:rsidRDefault="00FA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BEE1F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C06DE">
      <w:rPr>
        <w:rStyle w:val="Sidetal"/>
        <w:noProof/>
      </w:rPr>
      <w:t>1</w:t>
    </w:r>
    <w:r>
      <w:rPr>
        <w:rStyle w:val="Sidetal"/>
      </w:rPr>
      <w:fldChar w:fldCharType="end"/>
    </w:r>
  </w:p>
  <w:p w14:paraId="1D4AFDA5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737B2" w14:textId="6A23E30F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DF1C49">
      <w:rPr>
        <w:rStyle w:val="Sidetal"/>
        <w:noProof/>
      </w:rPr>
      <w:t>4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90FEE" w14:textId="77777777" w:rsidR="00EE0137" w:rsidRPr="002C06DE" w:rsidRDefault="002C06DE" w:rsidP="00EE0137">
    <w:pPr>
      <w:pStyle w:val="Template-Address"/>
    </w:pPr>
    <w:bookmarkStart w:id="24" w:name="OFF_Institution"/>
    <w:bookmarkStart w:id="25" w:name="OFF_InstitutionHIF"/>
    <w:bookmarkStart w:id="26" w:name="XIF_MMFirstAddressLine"/>
    <w:r w:rsidRPr="002C06DE">
      <w:t>Miljøstyrelsen</w:t>
    </w:r>
    <w:bookmarkEnd w:id="24"/>
    <w:r w:rsidR="00EE0137" w:rsidRPr="002C06DE">
      <w:t xml:space="preserve"> </w:t>
    </w:r>
    <w:bookmarkEnd w:id="25"/>
    <w:r w:rsidR="00EE0137" w:rsidRPr="002C06DE">
      <w:t xml:space="preserve">• </w:t>
    </w:r>
    <w:bookmarkStart w:id="27" w:name="OFF_AddressA"/>
    <w:bookmarkStart w:id="28" w:name="OFF_AddressAHIF"/>
    <w:r w:rsidRPr="002C06DE">
      <w:t>Tolderlundsvej 5</w:t>
    </w:r>
    <w:bookmarkEnd w:id="27"/>
    <w:r w:rsidR="00EE0137" w:rsidRPr="002C06DE">
      <w:t xml:space="preserve"> </w:t>
    </w:r>
    <w:bookmarkEnd w:id="28"/>
    <w:r w:rsidR="00EE0137" w:rsidRPr="002C06DE">
      <w:rPr>
        <w:vanish/>
      </w:rPr>
      <w:t xml:space="preserve">• </w:t>
    </w:r>
    <w:bookmarkStart w:id="29" w:name="OFF_AddressB"/>
    <w:bookmarkStart w:id="30" w:name="OFF_AddressBHIF"/>
    <w:bookmarkEnd w:id="29"/>
    <w:r w:rsidR="00EE0137" w:rsidRPr="002C06DE">
      <w:rPr>
        <w:vanish/>
      </w:rPr>
      <w:t xml:space="preserve"> </w:t>
    </w:r>
    <w:bookmarkEnd w:id="30"/>
    <w:r w:rsidR="00EE0137" w:rsidRPr="002C06DE">
      <w:rPr>
        <w:vanish/>
      </w:rPr>
      <w:t xml:space="preserve">• </w:t>
    </w:r>
    <w:bookmarkStart w:id="31" w:name="OFF_AddressC"/>
    <w:bookmarkStart w:id="32" w:name="OFF_AddressCHIF"/>
    <w:bookmarkEnd w:id="31"/>
    <w:r w:rsidR="00EE0137" w:rsidRPr="002C06DE">
      <w:rPr>
        <w:vanish/>
      </w:rPr>
      <w:t xml:space="preserve"> </w:t>
    </w:r>
    <w:bookmarkEnd w:id="32"/>
    <w:r w:rsidR="00EE0137" w:rsidRPr="002C06DE">
      <w:t xml:space="preserve">• </w:t>
    </w:r>
    <w:bookmarkStart w:id="33" w:name="OFF_AddressD"/>
    <w:bookmarkStart w:id="34" w:name="OFF_AddressDHIF"/>
    <w:r w:rsidRPr="002C06DE">
      <w:t>5000</w:t>
    </w:r>
    <w:bookmarkEnd w:id="33"/>
    <w:r w:rsidR="00EE0137" w:rsidRPr="002C06DE">
      <w:t xml:space="preserve"> </w:t>
    </w:r>
    <w:bookmarkStart w:id="35" w:name="OFF_City"/>
    <w:r>
      <w:t>Odense C</w:t>
    </w:r>
    <w:bookmarkEnd w:id="35"/>
    <w:r w:rsidR="00EE0137" w:rsidRPr="002C06DE">
      <w:t xml:space="preserve"> </w:t>
    </w:r>
    <w:bookmarkEnd w:id="34"/>
  </w:p>
  <w:p w14:paraId="1974DBA7" w14:textId="77777777" w:rsidR="00EE0137" w:rsidRPr="00956D3A" w:rsidRDefault="002C06DE" w:rsidP="00EE0137">
    <w:pPr>
      <w:pStyle w:val="Template-Address"/>
    </w:pPr>
    <w:bookmarkStart w:id="36" w:name="LAN_Phone"/>
    <w:bookmarkStart w:id="37" w:name="OFF_PhoneHIF"/>
    <w:bookmarkStart w:id="38" w:name="XIF_MMSecondAddressLine"/>
    <w:bookmarkEnd w:id="26"/>
    <w:r w:rsidRPr="002C06DE">
      <w:t>Tlf.</w:t>
    </w:r>
    <w:bookmarkEnd w:id="36"/>
    <w:r w:rsidR="00EE0137" w:rsidRPr="002C06DE">
      <w:t xml:space="preserve"> </w:t>
    </w:r>
    <w:bookmarkStart w:id="39" w:name="OFF_Phone"/>
    <w:r w:rsidRPr="002C06DE">
      <w:t>72 54 40 00</w:t>
    </w:r>
    <w:bookmarkEnd w:id="39"/>
    <w:r w:rsidR="00EE0137" w:rsidRPr="002C06DE">
      <w:t xml:space="preserve"> </w:t>
    </w:r>
    <w:bookmarkEnd w:id="37"/>
    <w:r w:rsidR="00EE0137" w:rsidRPr="002C06DE">
      <w:rPr>
        <w:vanish/>
      </w:rPr>
      <w:t xml:space="preserve">• </w:t>
    </w:r>
    <w:bookmarkStart w:id="40" w:name="LAN_Fax"/>
    <w:bookmarkStart w:id="41" w:name="OFF_FaxHIF"/>
    <w:r w:rsidRPr="002C06DE">
      <w:rPr>
        <w:vanish/>
      </w:rPr>
      <w:t>Fax</w:t>
    </w:r>
    <w:bookmarkEnd w:id="40"/>
    <w:r w:rsidR="00EE0137" w:rsidRPr="002C06DE">
      <w:rPr>
        <w:vanish/>
      </w:rPr>
      <w:t xml:space="preserve"> </w:t>
    </w:r>
    <w:bookmarkStart w:id="42" w:name="OFF_Fax"/>
    <w:bookmarkEnd w:id="42"/>
    <w:r w:rsidR="00EE0137" w:rsidRPr="002C06DE">
      <w:rPr>
        <w:vanish/>
      </w:rPr>
      <w:t xml:space="preserve"> </w:t>
    </w:r>
    <w:bookmarkEnd w:id="41"/>
    <w:r w:rsidR="00EE0137" w:rsidRPr="002C06DE">
      <w:t xml:space="preserve">• </w:t>
    </w:r>
    <w:bookmarkStart w:id="43" w:name="OFF_CVRHIF"/>
    <w:r w:rsidR="00EE0137" w:rsidRPr="002C06DE">
      <w:t xml:space="preserve">CVR </w:t>
    </w:r>
    <w:bookmarkStart w:id="44" w:name="OFF_CVR"/>
    <w:r w:rsidRPr="002C06DE">
      <w:t>25798376</w:t>
    </w:r>
    <w:bookmarkEnd w:id="44"/>
    <w:r w:rsidR="00EE0137" w:rsidRPr="002C06DE">
      <w:t xml:space="preserve"> </w:t>
    </w:r>
    <w:bookmarkEnd w:id="43"/>
    <w:r w:rsidR="00EE0137" w:rsidRPr="002C06DE">
      <w:t xml:space="preserve">• </w:t>
    </w:r>
    <w:bookmarkStart w:id="45" w:name="OFF_EANHIF"/>
    <w:r w:rsidR="00EE0137" w:rsidRPr="002C06DE">
      <w:t xml:space="preserve">EAN </w:t>
    </w:r>
    <w:bookmarkStart w:id="46" w:name="OFF_EAN"/>
    <w:r w:rsidRPr="002C06DE">
      <w:t>5798000860810</w:t>
    </w:r>
    <w:bookmarkEnd w:id="46"/>
    <w:r w:rsidR="00EE0137" w:rsidRPr="002C06DE">
      <w:t xml:space="preserve"> </w:t>
    </w:r>
    <w:bookmarkEnd w:id="45"/>
    <w:r w:rsidR="00EE0137" w:rsidRPr="002C06DE">
      <w:t xml:space="preserve">• </w:t>
    </w:r>
    <w:bookmarkStart w:id="47" w:name="OFF_Email"/>
    <w:bookmarkStart w:id="48" w:name="OFF_EmailHIF"/>
    <w:r w:rsidRPr="002C06DE">
      <w:t>mst@mst.dk</w:t>
    </w:r>
    <w:bookmarkEnd w:id="47"/>
    <w:r w:rsidR="00EE0137" w:rsidRPr="002C06DE">
      <w:t xml:space="preserve"> </w:t>
    </w:r>
    <w:bookmarkEnd w:id="48"/>
    <w:r w:rsidR="00EE0137" w:rsidRPr="002C06DE">
      <w:t xml:space="preserve">• </w:t>
    </w:r>
    <w:bookmarkStart w:id="49" w:name="OFF_Web"/>
    <w:bookmarkStart w:id="50" w:name="OFF_WebHIF"/>
    <w:r w:rsidRPr="002C06DE">
      <w:t>www.mst.dk</w:t>
    </w:r>
    <w:bookmarkEnd w:id="49"/>
    <w:r w:rsidR="00EE0137" w:rsidRPr="002C06DE">
      <w:t xml:space="preserve"> </w:t>
    </w:r>
    <w:bookmarkEnd w:id="38"/>
    <w:bookmarkEnd w:id="50"/>
  </w:p>
  <w:p w14:paraId="331B665F" w14:textId="77777777" w:rsidR="0048667B" w:rsidRPr="00EE0137" w:rsidRDefault="0048667B" w:rsidP="00EE0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7D9D" w14:textId="77777777" w:rsidR="00FA6FB4" w:rsidRDefault="00FA6FB4">
      <w:r>
        <w:separator/>
      </w:r>
    </w:p>
  </w:footnote>
  <w:footnote w:type="continuationSeparator" w:id="0">
    <w:p w14:paraId="7214E23E" w14:textId="77777777" w:rsidR="00FA6FB4" w:rsidRDefault="00FA6FB4">
      <w:r>
        <w:continuationSeparator/>
      </w:r>
    </w:p>
  </w:footnote>
  <w:footnote w:id="1">
    <w:p w14:paraId="24F13750" w14:textId="77777777" w:rsidR="00BB5AC5" w:rsidRDefault="00BB5AC5" w:rsidP="00BB5AC5">
      <w:pPr>
        <w:pStyle w:val="Fodnotetekst"/>
      </w:pPr>
      <w:r>
        <w:rPr>
          <w:rStyle w:val="Fodnotehenvisning"/>
        </w:rPr>
        <w:footnoteRef/>
      </w:r>
      <w:r>
        <w:t xml:space="preserve"> Europa-Parlamentets og Rådets forordning (EU) Nr. 528/2012</w:t>
      </w:r>
    </w:p>
    <w:p w14:paraId="54E3AE4F" w14:textId="77777777" w:rsidR="00BB5AC5" w:rsidRDefault="00BB5AC5" w:rsidP="00BB5AC5">
      <w:pPr>
        <w:pStyle w:val="Fodnotetekst"/>
      </w:pPr>
      <w:r>
        <w:t>af 22. maj 2012 om tilgængeliggørelse på markedet og anvendelse af biocidholdige produkter</w:t>
      </w:r>
    </w:p>
  </w:footnote>
  <w:footnote w:id="2">
    <w:p w14:paraId="6E18D716" w14:textId="77777777" w:rsidR="00410840" w:rsidRDefault="00410840" w:rsidP="00410840">
      <w:pPr>
        <w:pStyle w:val="Fodnotetekst"/>
      </w:pPr>
      <w:r>
        <w:rPr>
          <w:rStyle w:val="Fodnotehenvisning"/>
        </w:rPr>
        <w:footnoteRef/>
      </w:r>
      <w:r>
        <w:t xml:space="preserve"> Europa-Parlamentets og Rådets forordning (EF) nr. 1272/2008 af 16. december 2008 om klassificering, mærkning og emballering af stoffer og blandinger og om ændring og ophævelse af direktiv 67/548/EØF og 1999/45/EF og om ændring af forordning (EF) nr. 1907/2006</w:t>
      </w:r>
    </w:p>
  </w:footnote>
  <w:footnote w:id="3">
    <w:p w14:paraId="31257BBA" w14:textId="649F9498" w:rsidR="00DC6036" w:rsidRDefault="00DC6036" w:rsidP="00DC603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C43AE">
        <w:t xml:space="preserve">Europa-Parlamentets og Rådets forordning </w:t>
      </w:r>
      <w:r>
        <w:t>(EU) Nr. 528/2012</w:t>
      </w:r>
    </w:p>
    <w:p w14:paraId="0B275AFE" w14:textId="6421C6DC" w:rsidR="00DC6036" w:rsidRDefault="00DC6036" w:rsidP="00DC6036">
      <w:pPr>
        <w:pStyle w:val="Fodnotetekst"/>
      </w:pPr>
      <w:r>
        <w:t>af 22. maj 2012 om tilgængeliggørelse på markedet og anvendelse af biocidholdige produkter</w:t>
      </w:r>
    </w:p>
  </w:footnote>
  <w:footnote w:id="4">
    <w:p w14:paraId="5A7303F1" w14:textId="4441760E" w:rsidR="00410840" w:rsidRDefault="0041084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Kommisionens</w:t>
      </w:r>
      <w:proofErr w:type="spellEnd"/>
      <w:r>
        <w:t xml:space="preserve"> gennemførselsforordning (EU) 2023/2596 af 21. november 2023 om fornyelse af godkendelsen af </w:t>
      </w:r>
      <w:proofErr w:type="spellStart"/>
      <w:r>
        <w:t>propiconazol</w:t>
      </w:r>
      <w:proofErr w:type="spellEnd"/>
      <w:r>
        <w:t xml:space="preserve"> som et aktivstof til anvendelse i biocidholdige produkter af produkttype 8 i henhold til Europa-Parlamentets og Rådets forordning (EU) nr. 528/2012</w:t>
      </w:r>
    </w:p>
  </w:footnote>
  <w:footnote w:id="5">
    <w:p w14:paraId="6B771915" w14:textId="48B79447" w:rsidR="0087510F" w:rsidRPr="000109F5" w:rsidRDefault="0087510F" w:rsidP="0087510F">
      <w:pPr>
        <w:pStyle w:val="Fodnotetekst"/>
        <w:rPr>
          <w:sz w:val="17"/>
          <w:szCs w:val="17"/>
        </w:rPr>
      </w:pPr>
      <w:r>
        <w:rPr>
          <w:rStyle w:val="Fodnotehenvisning"/>
        </w:rPr>
        <w:footnoteRef/>
      </w:r>
      <w:r>
        <w:t xml:space="preserve"> B</w:t>
      </w:r>
      <w:r w:rsidRPr="000109F5">
        <w:rPr>
          <w:sz w:val="17"/>
          <w:szCs w:val="17"/>
        </w:rPr>
        <w:t xml:space="preserve">ekendtgørelse </w:t>
      </w:r>
      <w:r w:rsidR="00C73C70" w:rsidRPr="00C73C70">
        <w:rPr>
          <w:sz w:val="17"/>
          <w:szCs w:val="17"/>
        </w:rPr>
        <w:t>nr</w:t>
      </w:r>
      <w:r w:rsidR="00C73C70">
        <w:rPr>
          <w:sz w:val="17"/>
          <w:szCs w:val="17"/>
        </w:rPr>
        <w:t>.</w:t>
      </w:r>
      <w:r w:rsidR="00C73C70" w:rsidRPr="00C73C70">
        <w:rPr>
          <w:sz w:val="17"/>
          <w:szCs w:val="17"/>
        </w:rPr>
        <w:t xml:space="preserve"> 961 af 26/06/2023</w:t>
      </w:r>
    </w:p>
  </w:footnote>
  <w:footnote w:id="6">
    <w:p w14:paraId="530A385C" w14:textId="62B7370F" w:rsidR="0087510F" w:rsidRPr="000109F5" w:rsidRDefault="0087510F" w:rsidP="0087510F">
      <w:pPr>
        <w:pStyle w:val="Fodnotetekst"/>
        <w:rPr>
          <w:sz w:val="17"/>
          <w:szCs w:val="17"/>
        </w:rPr>
      </w:pPr>
      <w:r w:rsidRPr="000109F5">
        <w:rPr>
          <w:rStyle w:val="Fodnotehenvisning"/>
        </w:rPr>
        <w:footnoteRef/>
      </w:r>
      <w:r w:rsidR="00545598">
        <w:rPr>
          <w:sz w:val="17"/>
          <w:szCs w:val="17"/>
        </w:rPr>
        <w:t xml:space="preserve"> L</w:t>
      </w:r>
      <w:r w:rsidRPr="000109F5">
        <w:rPr>
          <w:sz w:val="17"/>
          <w:szCs w:val="17"/>
        </w:rPr>
        <w:t xml:space="preserve">ovbekendtgørelse </w:t>
      </w:r>
      <w:r w:rsidRPr="00D22EB1">
        <w:rPr>
          <w:sz w:val="17"/>
          <w:szCs w:val="17"/>
        </w:rPr>
        <w:t xml:space="preserve">nr. </w:t>
      </w:r>
      <w:r w:rsidR="003767CF" w:rsidRPr="003767CF">
        <w:rPr>
          <w:sz w:val="17"/>
          <w:szCs w:val="17"/>
        </w:rPr>
        <w:t>6 af 04/01/2023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8A2A6" w14:textId="77777777" w:rsidR="000E717B" w:rsidRDefault="000E717B">
    <w:pPr>
      <w:pStyle w:val="Sidehoved"/>
    </w:pPr>
    <w:bookmarkStart w:id="7" w:name="BIT_PrimaryHeader"/>
  </w:p>
  <w:bookmarkEnd w:id="7"/>
  <w:p w14:paraId="0724B005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01731" w14:textId="0040F4E0" w:rsidR="00EE0137" w:rsidRPr="00E959A5" w:rsidRDefault="00F80DD3" w:rsidP="00EE0137">
    <w:r>
      <w:rPr>
        <w:noProof/>
      </w:rPr>
      <w:drawing>
        <wp:anchor distT="0" distB="0" distL="114300" distR="114300" simplePos="0" relativeHeight="251661312" behindDoc="1" locked="0" layoutInCell="1" allowOverlap="1" wp14:anchorId="72F42EA6" wp14:editId="06BEDDD8">
          <wp:simplePos x="0" y="0"/>
          <wp:positionH relativeFrom="column">
            <wp:posOffset>4219575</wp:posOffset>
          </wp:positionH>
          <wp:positionV relativeFrom="paragraph">
            <wp:posOffset>161290</wp:posOffset>
          </wp:positionV>
          <wp:extent cx="2120265" cy="541655"/>
          <wp:effectExtent l="0" t="0" r="0" b="0"/>
          <wp:wrapTight wrapText="bothSides">
            <wp:wrapPolygon edited="0">
              <wp:start x="0" y="0"/>
              <wp:lineTo x="0" y="20511"/>
              <wp:lineTo x="21348" y="20511"/>
              <wp:lineTo x="21348" y="0"/>
              <wp:lineTo x="0" y="0"/>
            </wp:wrapPolygon>
          </wp:wrapTight>
          <wp:docPr id="2" name="Billede 2" descr="C:\Users\B039922\Desktop\MST_D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C:\Users\B039922\Desktop\MST_D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0137"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280C0E" wp14:editId="4A1B59DB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 w14:paraId="05AF01A8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6D291876" w14:textId="6A17B7A5" w:rsidR="00EE0137" w:rsidRPr="002C06DE" w:rsidRDefault="00F80DD3">
                                <w:pPr>
                                  <w:pStyle w:val="Kolofontekst"/>
                                </w:pPr>
                                <w:bookmarkStart w:id="8" w:name="OFF_Department"/>
                                <w:bookmarkStart w:id="9" w:name="OFF_DepartmentHIF"/>
                                <w:r>
                                  <w:t>Kemikalier</w:t>
                                </w:r>
                                <w:r w:rsidR="002C06DE" w:rsidRPr="002C06DE">
                                  <w:t xml:space="preserve"> og Biocider</w:t>
                                </w:r>
                                <w:bookmarkEnd w:id="8"/>
                              </w:p>
                              <w:p w14:paraId="5C9C46D9" w14:textId="77777777" w:rsidR="00EE0137" w:rsidRPr="002C06DE" w:rsidRDefault="002C06DE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10" w:name="LAN_CaseNo"/>
                                <w:bookmarkStart w:id="11" w:name="dossier_f2casenumberHIF"/>
                                <w:bookmarkEnd w:id="9"/>
                                <w:r w:rsidRPr="002C06DE">
                                  <w:rPr>
                                    <w:vanish/>
                                  </w:rPr>
                                  <w:t>J.nr.</w:t>
                                </w:r>
                                <w:bookmarkEnd w:id="10"/>
                                <w:r w:rsidR="00EE0137" w:rsidRPr="002C06DE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2" w:name="dossier_f2casenumber"/>
                                <w:bookmarkEnd w:id="12"/>
                                <w:r w:rsidR="00EE0137" w:rsidRPr="002C06DE">
                                  <w:rPr>
                                    <w:vanish/>
                                  </w:rPr>
                                  <w:t xml:space="preserve">  </w:t>
                                </w:r>
                              </w:p>
                              <w:p w14:paraId="7256E6E5" w14:textId="6C35C43C" w:rsidR="00EE0137" w:rsidRDefault="002C06DE">
                                <w:pPr>
                                  <w:pStyle w:val="Kolofontekst"/>
                                </w:pPr>
                                <w:bookmarkStart w:id="13" w:name="LAN_Ref"/>
                                <w:bookmarkStart w:id="14" w:name="USR_InitialsHIF"/>
                                <w:bookmarkEnd w:id="11"/>
                                <w:r w:rsidRPr="002C06DE">
                                  <w:t>Ref.</w:t>
                                </w:r>
                                <w:bookmarkEnd w:id="13"/>
                                <w:r w:rsidR="00EE0137" w:rsidRPr="002C06DE">
                                  <w:t xml:space="preserve"> </w:t>
                                </w:r>
                                <w:r w:rsidR="00F80DD3">
                                  <w:t>STIJE</w:t>
                                </w:r>
                              </w:p>
                              <w:p w14:paraId="65B614A0" w14:textId="6EBB9F8C" w:rsidR="008D29C8" w:rsidRPr="002C06DE" w:rsidRDefault="005C43AE">
                                <w:pPr>
                                  <w:pStyle w:val="Kolofontekst"/>
                                </w:pPr>
                                <w:r>
                                  <w:t>J. nr. 2024 - 15954</w:t>
                                </w:r>
                              </w:p>
                              <w:p w14:paraId="0AE4C6E5" w14:textId="69A49779" w:rsidR="00EE0137" w:rsidRDefault="008A32C4" w:rsidP="00F80DD3">
                                <w:pPr>
                                  <w:pStyle w:val="Kolofontekst"/>
                                </w:pPr>
                                <w:bookmarkStart w:id="15" w:name="FLD_DocumentDate"/>
                                <w:bookmarkEnd w:id="14"/>
                                <w:r>
                                  <w:t>Den 30.</w:t>
                                </w:r>
                                <w:r w:rsidR="00F80DD3">
                                  <w:t xml:space="preserve"> maj</w:t>
                                </w:r>
                                <w:r w:rsidR="002C06DE">
                                  <w:t xml:space="preserve"> 202</w:t>
                                </w:r>
                                <w:bookmarkEnd w:id="15"/>
                                <w:r w:rsidR="00F80DD3">
                                  <w:t>4</w:t>
                                </w:r>
                              </w:p>
                            </w:tc>
                          </w:tr>
                        </w:tbl>
                        <w:p w14:paraId="25DF41EE" w14:textId="77777777"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80C0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 w14:paraId="05AF01A8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6D291876" w14:textId="6A17B7A5" w:rsidR="00EE0137" w:rsidRPr="002C06DE" w:rsidRDefault="00F80DD3">
                          <w:pPr>
                            <w:pStyle w:val="Kolofontekst"/>
                          </w:pPr>
                          <w:bookmarkStart w:id="16" w:name="OFF_Department"/>
                          <w:bookmarkStart w:id="17" w:name="OFF_DepartmentHIF"/>
                          <w:r>
                            <w:t>Kemikalier</w:t>
                          </w:r>
                          <w:r w:rsidR="002C06DE" w:rsidRPr="002C06DE">
                            <w:t xml:space="preserve"> og Biocider</w:t>
                          </w:r>
                          <w:bookmarkEnd w:id="16"/>
                        </w:p>
                        <w:p w14:paraId="5C9C46D9" w14:textId="77777777" w:rsidR="00EE0137" w:rsidRPr="002C06DE" w:rsidRDefault="002C06DE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8" w:name="LAN_CaseNo"/>
                          <w:bookmarkStart w:id="19" w:name="dossier_f2casenumberHIF"/>
                          <w:bookmarkEnd w:id="17"/>
                          <w:r w:rsidRPr="002C06DE">
                            <w:rPr>
                              <w:vanish/>
                            </w:rPr>
                            <w:t>J.nr.</w:t>
                          </w:r>
                          <w:bookmarkEnd w:id="18"/>
                          <w:r w:rsidR="00EE0137" w:rsidRPr="002C06DE">
                            <w:rPr>
                              <w:vanish/>
                            </w:rPr>
                            <w:t xml:space="preserve"> </w:t>
                          </w:r>
                          <w:bookmarkStart w:id="20" w:name="dossier_f2casenumber"/>
                          <w:bookmarkEnd w:id="20"/>
                          <w:r w:rsidR="00EE0137" w:rsidRPr="002C06DE">
                            <w:rPr>
                              <w:vanish/>
                            </w:rPr>
                            <w:t xml:space="preserve">  </w:t>
                          </w:r>
                        </w:p>
                        <w:p w14:paraId="7256E6E5" w14:textId="6C35C43C" w:rsidR="00EE0137" w:rsidRDefault="002C06DE">
                          <w:pPr>
                            <w:pStyle w:val="Kolofontekst"/>
                          </w:pPr>
                          <w:bookmarkStart w:id="21" w:name="LAN_Ref"/>
                          <w:bookmarkStart w:id="22" w:name="USR_InitialsHIF"/>
                          <w:bookmarkEnd w:id="19"/>
                          <w:r w:rsidRPr="002C06DE">
                            <w:t>Ref.</w:t>
                          </w:r>
                          <w:bookmarkEnd w:id="21"/>
                          <w:r w:rsidR="00EE0137" w:rsidRPr="002C06DE">
                            <w:t xml:space="preserve"> </w:t>
                          </w:r>
                          <w:r w:rsidR="00F80DD3">
                            <w:t>STIJE</w:t>
                          </w:r>
                        </w:p>
                        <w:p w14:paraId="65B614A0" w14:textId="6EBB9F8C" w:rsidR="008D29C8" w:rsidRPr="002C06DE" w:rsidRDefault="005C43AE">
                          <w:pPr>
                            <w:pStyle w:val="Kolofontekst"/>
                          </w:pPr>
                          <w:r>
                            <w:t>J. nr. 2024 - 15954</w:t>
                          </w:r>
                        </w:p>
                        <w:p w14:paraId="0AE4C6E5" w14:textId="69A49779" w:rsidR="00EE0137" w:rsidRDefault="008A32C4" w:rsidP="00F80DD3">
                          <w:pPr>
                            <w:pStyle w:val="Kolofontekst"/>
                          </w:pPr>
                          <w:bookmarkStart w:id="23" w:name="FLD_DocumentDate"/>
                          <w:bookmarkEnd w:id="22"/>
                          <w:r>
                            <w:t>Den 30.</w:t>
                          </w:r>
                          <w:r w:rsidR="00F80DD3">
                            <w:t xml:space="preserve"> maj</w:t>
                          </w:r>
                          <w:r w:rsidR="002C06DE">
                            <w:t xml:space="preserve"> 202</w:t>
                          </w:r>
                          <w:bookmarkEnd w:id="23"/>
                          <w:r w:rsidR="00F80DD3">
                            <w:t>4</w:t>
                          </w:r>
                        </w:p>
                      </w:tc>
                    </w:tr>
                  </w:tbl>
                  <w:p w14:paraId="25DF41EE" w14:textId="77777777"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D9698C6" w14:textId="061C2195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E"/>
    <w:rsid w:val="00002EA0"/>
    <w:rsid w:val="00003636"/>
    <w:rsid w:val="00005FAA"/>
    <w:rsid w:val="0001457C"/>
    <w:rsid w:val="0001528D"/>
    <w:rsid w:val="000166A0"/>
    <w:rsid w:val="00030051"/>
    <w:rsid w:val="00035CBA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2DC3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0F6D48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4300"/>
    <w:rsid w:val="00156908"/>
    <w:rsid w:val="00160721"/>
    <w:rsid w:val="001743E7"/>
    <w:rsid w:val="0018769C"/>
    <w:rsid w:val="0019350A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07C0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16D30"/>
    <w:rsid w:val="002239C6"/>
    <w:rsid w:val="00225534"/>
    <w:rsid w:val="002306F8"/>
    <w:rsid w:val="00235C1F"/>
    <w:rsid w:val="00236655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06DE"/>
    <w:rsid w:val="002C4595"/>
    <w:rsid w:val="002C4D00"/>
    <w:rsid w:val="002D00C9"/>
    <w:rsid w:val="002D03C2"/>
    <w:rsid w:val="002D268E"/>
    <w:rsid w:val="002D7F0F"/>
    <w:rsid w:val="003001A2"/>
    <w:rsid w:val="00301230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33FD"/>
    <w:rsid w:val="00365BC4"/>
    <w:rsid w:val="00365D17"/>
    <w:rsid w:val="003767CF"/>
    <w:rsid w:val="003819FF"/>
    <w:rsid w:val="00385C06"/>
    <w:rsid w:val="00386D0C"/>
    <w:rsid w:val="003973C6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8A4"/>
    <w:rsid w:val="003F0D75"/>
    <w:rsid w:val="0040506D"/>
    <w:rsid w:val="00406784"/>
    <w:rsid w:val="00406AF1"/>
    <w:rsid w:val="00407A11"/>
    <w:rsid w:val="00407C2F"/>
    <w:rsid w:val="00410840"/>
    <w:rsid w:val="0041385B"/>
    <w:rsid w:val="00414BA2"/>
    <w:rsid w:val="00415BC0"/>
    <w:rsid w:val="00415C45"/>
    <w:rsid w:val="004208E6"/>
    <w:rsid w:val="004232F9"/>
    <w:rsid w:val="00433A1E"/>
    <w:rsid w:val="00440668"/>
    <w:rsid w:val="004421D7"/>
    <w:rsid w:val="00447B83"/>
    <w:rsid w:val="00450475"/>
    <w:rsid w:val="00457882"/>
    <w:rsid w:val="0046015B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6DAE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2641"/>
    <w:rsid w:val="005267CB"/>
    <w:rsid w:val="00531869"/>
    <w:rsid w:val="00535B7D"/>
    <w:rsid w:val="00545598"/>
    <w:rsid w:val="005543C3"/>
    <w:rsid w:val="00554FAA"/>
    <w:rsid w:val="00560A86"/>
    <w:rsid w:val="005630B4"/>
    <w:rsid w:val="00563773"/>
    <w:rsid w:val="005650F2"/>
    <w:rsid w:val="005672CB"/>
    <w:rsid w:val="00576B90"/>
    <w:rsid w:val="0058155D"/>
    <w:rsid w:val="00584BCA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43AE"/>
    <w:rsid w:val="005C51A1"/>
    <w:rsid w:val="005D1C04"/>
    <w:rsid w:val="005D2B26"/>
    <w:rsid w:val="005D3CF2"/>
    <w:rsid w:val="005D543F"/>
    <w:rsid w:val="005D7152"/>
    <w:rsid w:val="005D7DF1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34567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2C98"/>
    <w:rsid w:val="00696E85"/>
    <w:rsid w:val="006A18C5"/>
    <w:rsid w:val="006B2D79"/>
    <w:rsid w:val="006D09A7"/>
    <w:rsid w:val="006E1783"/>
    <w:rsid w:val="006E7F1D"/>
    <w:rsid w:val="006F3EB3"/>
    <w:rsid w:val="006F4DCD"/>
    <w:rsid w:val="00702FF2"/>
    <w:rsid w:val="00703B66"/>
    <w:rsid w:val="00705800"/>
    <w:rsid w:val="00705EAB"/>
    <w:rsid w:val="00712716"/>
    <w:rsid w:val="00720AD2"/>
    <w:rsid w:val="00723455"/>
    <w:rsid w:val="00724762"/>
    <w:rsid w:val="00724D6D"/>
    <w:rsid w:val="0073474C"/>
    <w:rsid w:val="0073754C"/>
    <w:rsid w:val="0074716F"/>
    <w:rsid w:val="0074737F"/>
    <w:rsid w:val="00750611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4B21"/>
    <w:rsid w:val="00796312"/>
    <w:rsid w:val="007B1B23"/>
    <w:rsid w:val="007B21FA"/>
    <w:rsid w:val="007B2ADE"/>
    <w:rsid w:val="007B3940"/>
    <w:rsid w:val="007D057C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176A2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10F"/>
    <w:rsid w:val="00875531"/>
    <w:rsid w:val="00882741"/>
    <w:rsid w:val="008902CB"/>
    <w:rsid w:val="00892B13"/>
    <w:rsid w:val="008A1C6B"/>
    <w:rsid w:val="008A32C4"/>
    <w:rsid w:val="008B1B83"/>
    <w:rsid w:val="008B3ADA"/>
    <w:rsid w:val="008B7D26"/>
    <w:rsid w:val="008C3EB2"/>
    <w:rsid w:val="008C468E"/>
    <w:rsid w:val="008C5F4A"/>
    <w:rsid w:val="008D1674"/>
    <w:rsid w:val="008D29C8"/>
    <w:rsid w:val="008E3990"/>
    <w:rsid w:val="008E4725"/>
    <w:rsid w:val="008F17E5"/>
    <w:rsid w:val="008F272E"/>
    <w:rsid w:val="008F6B2B"/>
    <w:rsid w:val="00905C37"/>
    <w:rsid w:val="00906916"/>
    <w:rsid w:val="00923E4A"/>
    <w:rsid w:val="0092514B"/>
    <w:rsid w:val="0092537A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0222"/>
    <w:rsid w:val="009E27B6"/>
    <w:rsid w:val="009E46B7"/>
    <w:rsid w:val="009E4E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1E23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77855"/>
    <w:rsid w:val="00A77F7C"/>
    <w:rsid w:val="00A85ECD"/>
    <w:rsid w:val="00A923E2"/>
    <w:rsid w:val="00A964CE"/>
    <w:rsid w:val="00A96C60"/>
    <w:rsid w:val="00A97533"/>
    <w:rsid w:val="00AA1251"/>
    <w:rsid w:val="00AA3465"/>
    <w:rsid w:val="00AA4437"/>
    <w:rsid w:val="00AB363A"/>
    <w:rsid w:val="00AC35D6"/>
    <w:rsid w:val="00AD5A52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36B9E"/>
    <w:rsid w:val="00B36D8B"/>
    <w:rsid w:val="00B371D2"/>
    <w:rsid w:val="00B441D7"/>
    <w:rsid w:val="00B4740B"/>
    <w:rsid w:val="00B54207"/>
    <w:rsid w:val="00B5486E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5006"/>
    <w:rsid w:val="00BA7059"/>
    <w:rsid w:val="00BB40C8"/>
    <w:rsid w:val="00BB5AC5"/>
    <w:rsid w:val="00BB6985"/>
    <w:rsid w:val="00BC31CE"/>
    <w:rsid w:val="00BC56EA"/>
    <w:rsid w:val="00BC6602"/>
    <w:rsid w:val="00BD787B"/>
    <w:rsid w:val="00BE0CE4"/>
    <w:rsid w:val="00BE576C"/>
    <w:rsid w:val="00BE7D68"/>
    <w:rsid w:val="00BF101A"/>
    <w:rsid w:val="00C03CBD"/>
    <w:rsid w:val="00C03ED1"/>
    <w:rsid w:val="00C10679"/>
    <w:rsid w:val="00C12487"/>
    <w:rsid w:val="00C1503E"/>
    <w:rsid w:val="00C16955"/>
    <w:rsid w:val="00C21584"/>
    <w:rsid w:val="00C2184A"/>
    <w:rsid w:val="00C22C94"/>
    <w:rsid w:val="00C255C2"/>
    <w:rsid w:val="00C26117"/>
    <w:rsid w:val="00C32784"/>
    <w:rsid w:val="00C3559B"/>
    <w:rsid w:val="00C41BBD"/>
    <w:rsid w:val="00C44620"/>
    <w:rsid w:val="00C53CED"/>
    <w:rsid w:val="00C57362"/>
    <w:rsid w:val="00C57CA7"/>
    <w:rsid w:val="00C617FE"/>
    <w:rsid w:val="00C633A3"/>
    <w:rsid w:val="00C64F3D"/>
    <w:rsid w:val="00C7051E"/>
    <w:rsid w:val="00C70BEA"/>
    <w:rsid w:val="00C71B04"/>
    <w:rsid w:val="00C73C70"/>
    <w:rsid w:val="00C766CC"/>
    <w:rsid w:val="00C76B7D"/>
    <w:rsid w:val="00C8406C"/>
    <w:rsid w:val="00C87AAA"/>
    <w:rsid w:val="00C94E96"/>
    <w:rsid w:val="00C973D2"/>
    <w:rsid w:val="00CA543F"/>
    <w:rsid w:val="00CA6429"/>
    <w:rsid w:val="00CA6ADF"/>
    <w:rsid w:val="00CA7DD8"/>
    <w:rsid w:val="00CB5C14"/>
    <w:rsid w:val="00CB7A52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3ED1"/>
    <w:rsid w:val="00D350BF"/>
    <w:rsid w:val="00D353A2"/>
    <w:rsid w:val="00D37FC2"/>
    <w:rsid w:val="00D43DB0"/>
    <w:rsid w:val="00D565F2"/>
    <w:rsid w:val="00D570C5"/>
    <w:rsid w:val="00D65E69"/>
    <w:rsid w:val="00D922CF"/>
    <w:rsid w:val="00D951B4"/>
    <w:rsid w:val="00DA32B3"/>
    <w:rsid w:val="00DA6734"/>
    <w:rsid w:val="00DB56B3"/>
    <w:rsid w:val="00DC6036"/>
    <w:rsid w:val="00DE24BE"/>
    <w:rsid w:val="00DE5B21"/>
    <w:rsid w:val="00DE7479"/>
    <w:rsid w:val="00DF1080"/>
    <w:rsid w:val="00DF128B"/>
    <w:rsid w:val="00DF1C49"/>
    <w:rsid w:val="00DF2F94"/>
    <w:rsid w:val="00E1113C"/>
    <w:rsid w:val="00E11688"/>
    <w:rsid w:val="00E20A55"/>
    <w:rsid w:val="00E26EAA"/>
    <w:rsid w:val="00E27CC3"/>
    <w:rsid w:val="00E30FCA"/>
    <w:rsid w:val="00E36F97"/>
    <w:rsid w:val="00E42057"/>
    <w:rsid w:val="00E44770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AAE"/>
    <w:rsid w:val="00EB4C77"/>
    <w:rsid w:val="00EB68CC"/>
    <w:rsid w:val="00EC0EB5"/>
    <w:rsid w:val="00EC1285"/>
    <w:rsid w:val="00EC2095"/>
    <w:rsid w:val="00EC5E51"/>
    <w:rsid w:val="00EC76B0"/>
    <w:rsid w:val="00ED1368"/>
    <w:rsid w:val="00ED48AE"/>
    <w:rsid w:val="00EE0137"/>
    <w:rsid w:val="00EE1BFA"/>
    <w:rsid w:val="00EE65A7"/>
    <w:rsid w:val="00EF48EC"/>
    <w:rsid w:val="00EF58B4"/>
    <w:rsid w:val="00EF6016"/>
    <w:rsid w:val="00F03131"/>
    <w:rsid w:val="00F05E03"/>
    <w:rsid w:val="00F067C9"/>
    <w:rsid w:val="00F101A4"/>
    <w:rsid w:val="00F140D1"/>
    <w:rsid w:val="00F2061A"/>
    <w:rsid w:val="00F2748B"/>
    <w:rsid w:val="00F30057"/>
    <w:rsid w:val="00F34750"/>
    <w:rsid w:val="00F35DBF"/>
    <w:rsid w:val="00F46114"/>
    <w:rsid w:val="00F47B3A"/>
    <w:rsid w:val="00F602C8"/>
    <w:rsid w:val="00F62595"/>
    <w:rsid w:val="00F7168A"/>
    <w:rsid w:val="00F71C13"/>
    <w:rsid w:val="00F77228"/>
    <w:rsid w:val="00F80DD3"/>
    <w:rsid w:val="00F90376"/>
    <w:rsid w:val="00F90567"/>
    <w:rsid w:val="00F91352"/>
    <w:rsid w:val="00F922ED"/>
    <w:rsid w:val="00F95819"/>
    <w:rsid w:val="00FA2CF2"/>
    <w:rsid w:val="00FA672A"/>
    <w:rsid w:val="00FA6FB4"/>
    <w:rsid w:val="00FB284F"/>
    <w:rsid w:val="00FB7ADE"/>
    <w:rsid w:val="00FC164F"/>
    <w:rsid w:val="00FD2036"/>
    <w:rsid w:val="00FD251C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BC3A3"/>
  <w15:docId w15:val="{E6898DD5-66D6-4B50-BA36-B75B659A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FodnotetekstTegn">
    <w:name w:val="Fodnotetekst Tegn"/>
    <w:basedOn w:val="Standardskrifttypeiafsnit"/>
    <w:link w:val="Fodnotetekst"/>
    <w:rsid w:val="0087510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0918\AppData\Local\cBrain\F2\.tmp\f1f4dc288a424f61980ff39dca10c7d6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FF72-77AC-4EA4-9796-32AA8D37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f1f4dc288a424f61980ff39dca10c7d6.dotx</Template>
  <TotalTime>0</TotalTime>
  <Pages>4</Pages>
  <Words>1311</Words>
  <Characters>8000</Characters>
  <Application>Microsoft Office Word</Application>
  <DocSecurity>0</DocSecurity>
  <Lines>66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Nina Falk Gregersen</dc:creator>
  <cp:keywords/>
  <dc:description/>
  <cp:lastModifiedBy>Stine Jensen</cp:lastModifiedBy>
  <cp:revision>2</cp:revision>
  <cp:lastPrinted>2005-05-20T12:11:00Z</cp:lastPrinted>
  <dcterms:created xsi:type="dcterms:W3CDTF">2024-05-30T12:21:00Z</dcterms:created>
  <dcterms:modified xsi:type="dcterms:W3CDTF">2024-05-30T12:21:00Z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43921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Dansk</vt:lpwstr>
  </property>
  <property fmtid="{D5CDD505-2E9C-101B-9397-08002B2CF9AE}" pid="17" name="SD_CtlText_Generelt_CaseNoF2">
    <vt:lpwstr/>
  </property>
  <property fmtid="{D5CDD505-2E9C-101B-9397-08002B2CF9AE}" pid="18" name="SD_UserprofileName">
    <vt:lpwstr>Dansk</vt:lpwstr>
  </property>
  <property fmtid="{D5CDD505-2E9C-101B-9397-08002B2CF9AE}" pid="19" name="SD_Office_OFF_ID">
    <vt:lpwstr>37</vt:lpwstr>
  </property>
  <property fmtid="{D5CDD505-2E9C-101B-9397-08002B2CF9AE}" pid="20" name="CurrentOfficeID">
    <vt:lpwstr>37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Pesticider og Biocider</vt:lpwstr>
  </property>
  <property fmtid="{D5CDD505-2E9C-101B-9397-08002B2CF9AE}" pid="27" name="SD_Office_OFF_Department">
    <vt:lpwstr>Pesticider og Biocider</vt:lpwstr>
  </property>
  <property fmtid="{D5CDD505-2E9C-101B-9397-08002B2CF9AE}" pid="28" name="SD_Office_OFF_Department_EN">
    <vt:lpwstr>Pesticides and Biocides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Nina Falk Gregersen</vt:lpwstr>
  </property>
  <property fmtid="{D5CDD505-2E9C-101B-9397-08002B2CF9AE}" pid="49" name="USR_Initials">
    <vt:lpwstr>NIFAL</vt:lpwstr>
  </property>
  <property fmtid="{D5CDD505-2E9C-101B-9397-08002B2CF9AE}" pid="50" name="USR_Title">
    <vt:lpwstr>AC Tekniker</vt:lpwstr>
  </property>
  <property fmtid="{D5CDD505-2E9C-101B-9397-08002B2CF9AE}" pid="51" name="USR_DirectPhone">
    <vt:lpwstr>+45 72 54 44 33</vt:lpwstr>
  </property>
  <property fmtid="{D5CDD505-2E9C-101B-9397-08002B2CF9AE}" pid="52" name="USR_Mobile">
    <vt:lpwstr>+45 22 34 95 23</vt:lpwstr>
  </property>
  <property fmtid="{D5CDD505-2E9C-101B-9397-08002B2CF9AE}" pid="53" name="USR_Email">
    <vt:lpwstr>nifal@mst.dk</vt:lpwstr>
  </property>
  <property fmtid="{D5CDD505-2E9C-101B-9397-08002B2CF9AE}" pid="54" name="DocumentInfoFinished">
    <vt:lpwstr>True</vt:lpwstr>
  </property>
</Properties>
</file>