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3996" w14:textId="112A6BA8" w:rsidR="00F57736" w:rsidRPr="003016DF" w:rsidRDefault="00235FE0" w:rsidP="00F57736">
      <w:r w:rsidRPr="00235FE0">
        <w:rPr>
          <w:noProof/>
          <w:lang w:val="de-DE" w:eastAsia="de-DE"/>
        </w:rPr>
        <w:drawing>
          <wp:anchor distT="0" distB="0" distL="114300" distR="114300" simplePos="0" relativeHeight="251661312" behindDoc="0" locked="0" layoutInCell="1" allowOverlap="1" wp14:anchorId="1CCF1479" wp14:editId="6E0C0BED">
            <wp:simplePos x="0" y="0"/>
            <wp:positionH relativeFrom="column">
              <wp:posOffset>-189395</wp:posOffset>
            </wp:positionH>
            <wp:positionV relativeFrom="paragraph">
              <wp:posOffset>386</wp:posOffset>
            </wp:positionV>
            <wp:extent cx="5731510" cy="979170"/>
            <wp:effectExtent l="0" t="0" r="2540" b="0"/>
            <wp:wrapSquare wrapText="bothSides"/>
            <wp:docPr id="3" name="Image_8_0" descr="Image_8_0"/>
            <wp:cNvGraphicFramePr/>
            <a:graphic xmlns:a="http://schemas.openxmlformats.org/drawingml/2006/main">
              <a:graphicData uri="http://schemas.openxmlformats.org/drawingml/2006/picture">
                <pic:pic xmlns:pic="http://schemas.openxmlformats.org/drawingml/2006/picture">
                  <pic:nvPicPr>
                    <pic:cNvPr id="3" name="Image_8_0" descr="Image_8_0"/>
                    <pic:cNvPicPr/>
                  </pic:nvPicPr>
                  <pic:blipFill>
                    <a:blip r:embed="rId13" cstate="print"/>
                    <a:stretch>
                      <a:fillRect/>
                    </a:stretch>
                  </pic:blipFill>
                  <pic:spPr>
                    <a:xfrm>
                      <a:off x="0" y="0"/>
                      <a:ext cx="5731510" cy="979170"/>
                    </a:xfrm>
                    <a:prstGeom prst="rect">
                      <a:avLst/>
                    </a:prstGeom>
                  </pic:spPr>
                </pic:pic>
              </a:graphicData>
            </a:graphic>
          </wp:anchor>
        </w:drawing>
      </w:r>
    </w:p>
    <w:p w14:paraId="68353997" w14:textId="51AA667B" w:rsidR="00F57736" w:rsidRPr="003016DF" w:rsidRDefault="00F57736" w:rsidP="00F57736"/>
    <w:p w14:paraId="68353998" w14:textId="4EDBFF34"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F" w14:textId="5FE476DF" w:rsidR="00F57736" w:rsidRDefault="00F57736" w:rsidP="00F57736">
      <w:pPr>
        <w:spacing w:after="360"/>
        <w:jc w:val="center"/>
        <w:rPr>
          <w:b/>
          <w:sz w:val="24"/>
          <w:szCs w:val="24"/>
        </w:rPr>
      </w:pPr>
    </w:p>
    <w:p w14:paraId="5AB133C9" w14:textId="77777777" w:rsidR="00235FE0" w:rsidRPr="00E86372" w:rsidRDefault="00235FE0" w:rsidP="00F57736">
      <w:pPr>
        <w:spacing w:after="360"/>
        <w:jc w:val="center"/>
        <w:rPr>
          <w:b/>
          <w:sz w:val="24"/>
          <w:szCs w:val="24"/>
        </w:rPr>
      </w:pPr>
    </w:p>
    <w:p w14:paraId="683539A0" w14:textId="54195AD4" w:rsidR="00F57736" w:rsidRPr="00933AC5" w:rsidRDefault="007C5000" w:rsidP="00E86372">
      <w:pPr>
        <w:spacing w:after="360"/>
        <w:jc w:val="center"/>
        <w:rPr>
          <w:b/>
          <w:sz w:val="24"/>
          <w:szCs w:val="24"/>
        </w:rPr>
      </w:pPr>
      <w:r w:rsidRPr="00933AC5">
        <w:rPr>
          <w:b/>
          <w:sz w:val="24"/>
          <w:szCs w:val="24"/>
        </w:rPr>
        <w:t>R</w:t>
      </w:r>
      <w:r>
        <w:rPr>
          <w:b/>
          <w:sz w:val="24"/>
          <w:szCs w:val="24"/>
        </w:rPr>
        <w:t>egulatory</w:t>
      </w:r>
      <w:r w:rsidRPr="00933AC5">
        <w:rPr>
          <w:b/>
          <w:sz w:val="24"/>
          <w:szCs w:val="24"/>
        </w:rPr>
        <w:t xml:space="preserve"> </w:t>
      </w:r>
      <w:r w:rsidR="001C1F13" w:rsidRPr="00933AC5">
        <w:rPr>
          <w:b/>
          <w:sz w:val="24"/>
          <w:szCs w:val="24"/>
        </w:rPr>
        <w:t>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83539A4" w14:textId="29C24CA1" w:rsidR="00E86372" w:rsidRPr="00937276" w:rsidRDefault="00E86372" w:rsidP="00E86372">
      <w:pPr>
        <w:pStyle w:val="BodyText"/>
      </w:pPr>
      <w:r>
        <w:rPr>
          <w:b/>
        </w:rPr>
        <w:t>Substance Name</w:t>
      </w:r>
      <w:r w:rsidRPr="003607CA">
        <w:rPr>
          <w:b/>
        </w:rPr>
        <w:t>:</w:t>
      </w:r>
      <w:bookmarkStart w:id="0" w:name="_Hlk64639353"/>
      <w:r w:rsidR="00496AA9">
        <w:rPr>
          <w:b/>
        </w:rPr>
        <w:tab/>
      </w:r>
      <w:r w:rsidR="00496AA9" w:rsidRPr="003764E7">
        <w:rPr>
          <w:b/>
          <w:lang w:val="en-US"/>
        </w:rPr>
        <w:t xml:space="preserve">Per- and polyfluoroalkyl substances, </w:t>
      </w:r>
      <w:r w:rsidR="00496AA9">
        <w:rPr>
          <w:b/>
        </w:rPr>
        <w:t>PFAS</w:t>
      </w:r>
      <w:bookmarkEnd w:id="0"/>
    </w:p>
    <w:p w14:paraId="683539A5" w14:textId="7CD9E764" w:rsidR="00E86372" w:rsidRPr="00937276" w:rsidRDefault="00E86372" w:rsidP="00E86372">
      <w:pPr>
        <w:pStyle w:val="BodyText"/>
      </w:pPr>
      <w:r w:rsidRPr="003607CA">
        <w:rPr>
          <w:b/>
        </w:rPr>
        <w:t>EC Number:</w:t>
      </w:r>
      <w:r w:rsidR="00496AA9">
        <w:rPr>
          <w:b/>
        </w:rPr>
        <w:t xml:space="preserve"> </w:t>
      </w:r>
      <w:r w:rsidR="00496AA9">
        <w:rPr>
          <w:b/>
        </w:rPr>
        <w:tab/>
      </w:r>
      <w:r w:rsidR="00496AA9">
        <w:rPr>
          <w:b/>
        </w:rPr>
        <w:tab/>
        <w:t>-</w:t>
      </w:r>
    </w:p>
    <w:p w14:paraId="683539A6" w14:textId="565A48D7" w:rsidR="00E86372" w:rsidRPr="00937276" w:rsidRDefault="00E86372" w:rsidP="00E86372">
      <w:pPr>
        <w:pStyle w:val="BodyText"/>
        <w:rPr>
          <w:sz w:val="32"/>
        </w:rPr>
      </w:pPr>
      <w:r w:rsidRPr="003607CA">
        <w:rPr>
          <w:b/>
        </w:rPr>
        <w:t>CAS Number:</w:t>
      </w:r>
      <w:r w:rsidR="00496AA9">
        <w:rPr>
          <w:b/>
        </w:rPr>
        <w:tab/>
        <w:t>-</w:t>
      </w:r>
    </w:p>
    <w:p w14:paraId="683539A7" w14:textId="77777777" w:rsidR="00E86372" w:rsidRDefault="00E86372" w:rsidP="00E86372">
      <w:pPr>
        <w:pStyle w:val="BodyText"/>
        <w:rPr>
          <w:b/>
          <w:sz w:val="32"/>
        </w:rPr>
      </w:pPr>
    </w:p>
    <w:p w14:paraId="6BC3BC4A" w14:textId="6020F62D" w:rsidR="00496AA9" w:rsidRDefault="00E86372" w:rsidP="00496AA9">
      <w:pPr>
        <w:pStyle w:val="BodyText"/>
        <w:rPr>
          <w:b/>
        </w:rPr>
      </w:pPr>
      <w:r w:rsidRPr="006119A2">
        <w:rPr>
          <w:b/>
        </w:rPr>
        <w:t>Authority:</w:t>
      </w:r>
      <w:r w:rsidR="00496AA9">
        <w:rPr>
          <w:b/>
        </w:rPr>
        <w:tab/>
      </w:r>
      <w:r w:rsidR="00496AA9">
        <w:rPr>
          <w:b/>
        </w:rPr>
        <w:tab/>
        <w:t>Germany, the Netherlands,</w:t>
      </w:r>
    </w:p>
    <w:p w14:paraId="683539A8" w14:textId="706BD0FD" w:rsidR="00E86372" w:rsidRDefault="00496AA9" w:rsidP="00496AA9">
      <w:pPr>
        <w:pStyle w:val="BodyText"/>
        <w:ind w:firstLine="720"/>
        <w:rPr>
          <w:b/>
          <w:sz w:val="32"/>
        </w:rPr>
      </w:pPr>
      <w:r>
        <w:rPr>
          <w:b/>
        </w:rPr>
        <w:t xml:space="preserve">                 </w:t>
      </w:r>
      <w:r>
        <w:rPr>
          <w:b/>
        </w:rPr>
        <w:tab/>
        <w:t>Sweden, Norway, Denmark</w:t>
      </w:r>
    </w:p>
    <w:p w14:paraId="683539A9" w14:textId="7B6523CD" w:rsidR="00E86372" w:rsidRDefault="00E86372" w:rsidP="00E86372">
      <w:pPr>
        <w:pStyle w:val="BodyText"/>
        <w:rPr>
          <w:b/>
        </w:rPr>
      </w:pPr>
      <w:r w:rsidRPr="003607CA">
        <w:rPr>
          <w:b/>
        </w:rPr>
        <w:t>Date:</w:t>
      </w:r>
      <w:r w:rsidR="00496AA9">
        <w:rPr>
          <w:b/>
        </w:rPr>
        <w:tab/>
      </w:r>
      <w:r w:rsidR="00496AA9">
        <w:rPr>
          <w:b/>
        </w:rPr>
        <w:tab/>
      </w:r>
      <w:r w:rsidR="00496AA9">
        <w:rPr>
          <w:b/>
        </w:rPr>
        <w:tab/>
        <w:t>June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1"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5"/>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1"/>
    </w:p>
    <w:p w14:paraId="683539BF" w14:textId="77777777" w:rsidR="002E4026" w:rsidRPr="003016DF" w:rsidRDefault="002E4026" w:rsidP="002E4026">
      <w:pPr>
        <w:rPr>
          <w:sz w:val="24"/>
          <w:szCs w:val="24"/>
        </w:rPr>
      </w:pPr>
    </w:p>
    <w:p w14:paraId="0640B7FF" w14:textId="7F619107" w:rsidR="001C1F13" w:rsidRDefault="001C1F13" w:rsidP="001C1F13">
      <w:pPr>
        <w:jc w:val="both"/>
      </w:pPr>
      <w:r>
        <w:t xml:space="preserve">The purpose of </w:t>
      </w:r>
      <w:r w:rsidR="00735C5F">
        <w:t xml:space="preserve">Regulatory </w:t>
      </w:r>
      <w:r>
        <w:t xml:space="preserve">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5D05C00A"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w:t>
      </w:r>
      <w:r w:rsidR="00C6304D">
        <w:t>se analysis in order to assess</w:t>
      </w:r>
      <w:r>
        <w:t xml:space="preserve"> whether </w:t>
      </w:r>
      <w:r w:rsidR="00C6304D">
        <w:t xml:space="preserve">further </w:t>
      </w:r>
      <w:r w:rsidR="00735C5F">
        <w:t xml:space="preserve">regulatory </w:t>
      </w:r>
      <w:r w:rsidR="00C6304D">
        <w:t>management measures are needed</w:t>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78B8C7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authorit</w:t>
      </w:r>
      <w:r w:rsidR="00525D5B">
        <w:t>ies</w:t>
      </w:r>
      <w:r w:rsidRPr="003016DF">
        <w:t xml:space="preserve">. In this conclusion document, the </w:t>
      </w:r>
      <w:r w:rsidR="00525D5B">
        <w:t>authorities</w:t>
      </w:r>
      <w:r w:rsidR="00525D5B" w:rsidRPr="003016DF">
        <w:t xml:space="preserve"> </w:t>
      </w:r>
      <w:r w:rsidRPr="003016DF">
        <w:t>consider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w:t>
      </w:r>
      <w:r w:rsidR="00525D5B">
        <w:t>ies</w:t>
      </w:r>
      <w:r w:rsidRPr="003016DF">
        <w:t xml:space="preserve">. In case the </w:t>
      </w:r>
      <w:r>
        <w:t>author authorit</w:t>
      </w:r>
      <w:r w:rsidR="00525D5B">
        <w:t>ies</w:t>
      </w:r>
      <w:r w:rsidRPr="003016DF">
        <w:t xml:space="preserve"> propose</w:t>
      </w:r>
      <w:r>
        <w:t xml:space="preserve"> in this conclusion document</w:t>
      </w:r>
      <w:r w:rsidRPr="003016DF">
        <w:t xml:space="preserve"> further regulatory management measures, this shall not be considered initiating those other measures or processes. </w:t>
      </w:r>
      <w:r>
        <w:t>Since this document only reflects the views of the authorit</w:t>
      </w:r>
      <w:r w:rsidR="00525D5B">
        <w:t>ies</w:t>
      </w:r>
      <w:r>
        <w:t>,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17BA2C4" w14:textId="77777777" w:rsidR="00496AA9" w:rsidRPr="00A54190" w:rsidRDefault="00496AA9" w:rsidP="00FB30A3">
      <w:pPr>
        <w:pStyle w:val="BodyText"/>
        <w:rPr>
          <w:b/>
        </w:rPr>
      </w:pPr>
      <w:r w:rsidRPr="00A54190">
        <w:rPr>
          <w:b/>
        </w:rPr>
        <w:t>REACH:</w:t>
      </w:r>
    </w:p>
    <w:p w14:paraId="23F4DA37" w14:textId="5583D28B" w:rsidR="00496AA9" w:rsidRDefault="00496AA9" w:rsidP="00FB30A3">
      <w:pPr>
        <w:pStyle w:val="BodyText"/>
      </w:pPr>
      <w:r>
        <w:t>For several specific PFAS other processes under REACH are either on-going or have already been completed, including</w:t>
      </w:r>
      <w:r w:rsidR="003F1595">
        <w:t xml:space="preserve"> substance evaluation (21 PFAS),</w:t>
      </w:r>
      <w:r>
        <w:t xml:space="preserve"> RMOA</w:t>
      </w:r>
      <w:r w:rsidR="003F1595">
        <w:t xml:space="preserve"> (9 PFAS)</w:t>
      </w:r>
      <w:r>
        <w:t>, SVHC-identification (</w:t>
      </w:r>
      <w:r w:rsidR="003F1595">
        <w:t>10 PFAS, including</w:t>
      </w:r>
      <w:r>
        <w:t xml:space="preserve"> PFOA/APFO, C9 – C14 PFCAs</w:t>
      </w:r>
      <w:r w:rsidR="00E86104">
        <w:t>, GenX</w:t>
      </w:r>
      <w:r>
        <w:t>), restriction (</w:t>
      </w:r>
      <w:r w:rsidR="003F1595">
        <w:t xml:space="preserve">5 restriction proposals submitted so far covering PFAS, </w:t>
      </w:r>
      <w:r w:rsidR="00636D5A">
        <w:t>including</w:t>
      </w:r>
      <w:r>
        <w:t xml:space="preserve"> PFOA, C9 – C14 PFCAs, PFHxS, PFHxA including their salts and related substances, respectively).</w:t>
      </w:r>
    </w:p>
    <w:p w14:paraId="0DB544F4" w14:textId="54795716" w:rsidR="003F1595" w:rsidRPr="00A54190" w:rsidRDefault="003F1595" w:rsidP="00FB30A3">
      <w:pPr>
        <w:pStyle w:val="BodyText"/>
        <w:rPr>
          <w:b/>
        </w:rPr>
      </w:pPr>
      <w:r w:rsidRPr="00A54190">
        <w:rPr>
          <w:b/>
        </w:rPr>
        <w:t>CLH:</w:t>
      </w:r>
    </w:p>
    <w:p w14:paraId="4E0EBEBC" w14:textId="08B6FB24" w:rsidR="003F1595" w:rsidRDefault="003F1595" w:rsidP="00FB30A3">
      <w:pPr>
        <w:pStyle w:val="BodyText"/>
      </w:pPr>
      <w:r>
        <w:t xml:space="preserve">51 CLH proposals for PFAS in the scope of this RMOA (covering 43 active substances in pesticides and/or biocides as well as 8 industrial chemicals registered under REACH) have been submitted to ECHA so far. </w:t>
      </w:r>
      <w:r w:rsidRPr="003F1595">
        <w:t>All of the active substances in plant protection and biocidal products have been classified as Aquat</w:t>
      </w:r>
      <w:r w:rsidR="00F06072">
        <w:t xml:space="preserve">ic Acute 1 and Aquatic Chronic </w:t>
      </w:r>
      <w:r w:rsidRPr="003F1595">
        <w:t>1 or are proposed for this classification. In addition, for the majority an additional classification as toxic for reproduction, carcinogenic, acute toxic or specific target organ toxicity has been adopted or suggested</w:t>
      </w:r>
      <w:r>
        <w:t>.</w:t>
      </w:r>
    </w:p>
    <w:p w14:paraId="3D5B6F31" w14:textId="4472E57D" w:rsidR="00A54190" w:rsidRPr="00A54190" w:rsidRDefault="00A54190" w:rsidP="003F1595">
      <w:pPr>
        <w:pStyle w:val="BodyText"/>
        <w:rPr>
          <w:b/>
        </w:rPr>
      </w:pPr>
      <w:r>
        <w:rPr>
          <w:b/>
        </w:rPr>
        <w:t>Stockholm Convention/</w:t>
      </w:r>
      <w:r w:rsidRPr="00A54190">
        <w:rPr>
          <w:b/>
        </w:rPr>
        <w:t>POP-Regulation:</w:t>
      </w:r>
    </w:p>
    <w:p w14:paraId="00EB69E3" w14:textId="4FC0606B" w:rsidR="00A54190" w:rsidRDefault="00A54190" w:rsidP="003F1595">
      <w:pPr>
        <w:pStyle w:val="BodyText"/>
      </w:pPr>
      <w:r w:rsidRPr="00A54190">
        <w:t>Perfluorooctane sulfonic acid (PFOS) and perfluorooctanoic acid (PFOA)</w:t>
      </w:r>
      <w:r>
        <w:t>, their salts and precursors</w:t>
      </w:r>
      <w:r w:rsidRPr="00A54190">
        <w:t xml:space="preserve"> are already regulated in the Stockholm Convention</w:t>
      </w:r>
      <w:r>
        <w:t xml:space="preserve"> and included in the POP Regulation</w:t>
      </w:r>
      <w:r w:rsidRPr="00A54190">
        <w:t>.</w:t>
      </w:r>
      <w:r>
        <w:t xml:space="preserve"> Furthermore, PFHxS, its salts and related substances have also been nominated as candidates to be included into the Stockholm Convention and thus into the POP Regulation.</w:t>
      </w:r>
    </w:p>
    <w:p w14:paraId="16D19527" w14:textId="0951D39D" w:rsidR="003F1595" w:rsidRDefault="003F1595" w:rsidP="003F1595">
      <w:pPr>
        <w:pStyle w:val="BodyText"/>
      </w:pPr>
      <w:r w:rsidRPr="00A54190">
        <w:rPr>
          <w:b/>
        </w:rPr>
        <w:t>F-gases Regulation</w:t>
      </w:r>
      <w:r w:rsidR="00A54190">
        <w:t>:</w:t>
      </w:r>
    </w:p>
    <w:p w14:paraId="00FC3429" w14:textId="3D30FCAE" w:rsidR="003F1595" w:rsidRDefault="003F1595" w:rsidP="003F1595">
      <w:pPr>
        <w:pStyle w:val="BodyText"/>
      </w:pPr>
      <w:r>
        <w:t xml:space="preserve">Regulation (EU) No 517/2014 aims to reduce emissions from industry by 70% </w:t>
      </w:r>
      <w:r w:rsidR="00A54190">
        <w:t xml:space="preserve">in 2030 </w:t>
      </w:r>
      <w:r>
        <w:t>compared to those in 1990. This reduction is to be realised by three means:</w:t>
      </w:r>
    </w:p>
    <w:p w14:paraId="6669CC08" w14:textId="77777777" w:rsidR="003F1595" w:rsidRDefault="003F1595" w:rsidP="003F1595">
      <w:pPr>
        <w:pStyle w:val="BodyText"/>
      </w:pPr>
      <w:r>
        <w:t>1.</w:t>
      </w:r>
      <w:r>
        <w:tab/>
        <w:t>Gradual phase-down of the quantities of HFCs used by means of quota. The phase-down only applies to HFCs and not to perfluorocarbons (PFCs) or sulphur hexafluoride (SF6).</w:t>
      </w:r>
    </w:p>
    <w:p w14:paraId="03C52AA8" w14:textId="77777777" w:rsidR="003F1595" w:rsidRDefault="003F1595" w:rsidP="003F1595">
      <w:pPr>
        <w:pStyle w:val="BodyText"/>
      </w:pPr>
      <w:r>
        <w:t>2.</w:t>
      </w:r>
      <w:r>
        <w:tab/>
        <w:t>Prohibitions on use and placement on the market, insofar as technically feasible and more climate friendly alternatives are available.</w:t>
      </w:r>
    </w:p>
    <w:p w14:paraId="220FFFDE" w14:textId="438B5BCD" w:rsidR="003F1595" w:rsidRDefault="003F1595" w:rsidP="003F1595">
      <w:pPr>
        <w:pStyle w:val="BodyText"/>
      </w:pPr>
      <w:r>
        <w:t>3.</w:t>
      </w:r>
      <w:r>
        <w:tab/>
        <w:t>Continuation and expansion of the scope of regulations concerning leak tests, certifi</w:t>
      </w:r>
      <w:r w:rsidR="00A54190">
        <w:t>cation, disposal and labelling.</w:t>
      </w:r>
    </w:p>
    <w:p w14:paraId="544D9673" w14:textId="358CE7B6" w:rsidR="00A54190" w:rsidRPr="00A54190" w:rsidRDefault="00A54190" w:rsidP="003F1595">
      <w:pPr>
        <w:pStyle w:val="BodyText"/>
        <w:rPr>
          <w:b/>
        </w:rPr>
      </w:pPr>
      <w:r>
        <w:rPr>
          <w:b/>
        </w:rPr>
        <w:t>Non-EU legislation</w:t>
      </w:r>
      <w:r w:rsidRPr="00A54190">
        <w:rPr>
          <w:b/>
        </w:rPr>
        <w:t>:</w:t>
      </w:r>
    </w:p>
    <w:p w14:paraId="45257CFD" w14:textId="30DC3168" w:rsidR="00A54190" w:rsidRDefault="00A54190" w:rsidP="003F1595">
      <w:pPr>
        <w:pStyle w:val="BodyText"/>
      </w:pPr>
      <w:r>
        <w:t>In addition to EU legislation, relevant regulations for PFAS are in place in other countries, e.g. USA, Canada, New Zealand and Australia.</w:t>
      </w:r>
    </w:p>
    <w:p w14:paraId="683539CB" w14:textId="79975EE3" w:rsidR="00E86372" w:rsidRDefault="00E86372" w:rsidP="003F1595">
      <w:pPr>
        <w:rPr>
          <w:snapToGrid/>
        </w:rPr>
      </w:pPr>
    </w:p>
    <w:p w14:paraId="683539CF" w14:textId="07C6E5B7" w:rsidR="00D37806" w:rsidRPr="00A54190" w:rsidRDefault="00BE5AF4" w:rsidP="00FB30A3">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106B2478" w:rsidR="00B2524D" w:rsidRPr="00B2524D" w:rsidRDefault="00A54190" w:rsidP="00A54190">
            <w:pPr>
              <w:jc w:val="center"/>
            </w:pPr>
            <w:r>
              <w:t>X</w:t>
            </w:r>
          </w:p>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lastRenderedPageBreak/>
        <w:t>Need for follow-up regulatory action at EU level</w:t>
      </w:r>
      <w:r w:rsidR="00471457" w:rsidRPr="000711F7">
        <w:rPr>
          <w:color w:val="4F81BD" w:themeColor="accent1"/>
          <w:sz w:val="24"/>
          <w:szCs w:val="28"/>
        </w:rPr>
        <w:t xml:space="preserve"> </w:t>
      </w:r>
    </w:p>
    <w:p w14:paraId="0EB5D167" w14:textId="49254A2F" w:rsidR="00F578C0" w:rsidRDefault="00C6304D" w:rsidP="00C6304D">
      <w:r>
        <w:t xml:space="preserve">PFAS in the scope of this RMOA </w:t>
      </w:r>
      <w:r w:rsidR="00F578C0">
        <w:t>have the following structural formula:</w:t>
      </w:r>
    </w:p>
    <w:p w14:paraId="2B0B927C" w14:textId="77777777" w:rsidR="004077AC" w:rsidRDefault="004077AC"/>
    <w:p w14:paraId="558ACA02" w14:textId="2134824F" w:rsidR="00F578C0" w:rsidRDefault="00F578C0">
      <w:r w:rsidRPr="005B7533">
        <w:t>X-(-CF</w:t>
      </w:r>
      <w:r w:rsidRPr="005B7533">
        <w:rPr>
          <w:vertAlign w:val="subscript"/>
        </w:rPr>
        <w:t>2</w:t>
      </w:r>
      <w:r w:rsidRPr="005B7533">
        <w:t>-)</w:t>
      </w:r>
      <w:r w:rsidRPr="005B7533">
        <w:rPr>
          <w:vertAlign w:val="subscript"/>
        </w:rPr>
        <w:t>n</w:t>
      </w:r>
      <w:r w:rsidRPr="005B7533">
        <w:t xml:space="preserve">-X’  </w:t>
      </w:r>
      <w:bookmarkStart w:id="2" w:name="_GoBack"/>
      <w:bookmarkEnd w:id="2"/>
      <w:r w:rsidRPr="005B7533">
        <w:t xml:space="preserve">with n </w:t>
      </w:r>
      <w:r w:rsidRPr="005B7533">
        <w:rPr>
          <w:u w:val="single"/>
        </w:rPr>
        <w:t>&gt;</w:t>
      </w:r>
      <w:r w:rsidRPr="005B7533">
        <w:t xml:space="preserve"> 1</w:t>
      </w:r>
      <w:r>
        <w:t xml:space="preserve"> </w:t>
      </w:r>
      <w:r w:rsidRPr="005B7533">
        <w:t>and X, X’ not being H (thus including X-CF</w:t>
      </w:r>
      <w:r w:rsidRPr="005B7533">
        <w:rPr>
          <w:vertAlign w:val="subscript"/>
        </w:rPr>
        <w:t>3</w:t>
      </w:r>
      <w:r>
        <w:t>).</w:t>
      </w:r>
    </w:p>
    <w:p w14:paraId="62A586F7" w14:textId="77777777" w:rsidR="004077AC" w:rsidRDefault="004077AC" w:rsidP="00C6304D"/>
    <w:p w14:paraId="71B560F9" w14:textId="75FF6A7F" w:rsidR="00C6304D" w:rsidRDefault="00F578C0" w:rsidP="00C6304D">
      <w:r>
        <w:t>meaning</w:t>
      </w:r>
      <w:r w:rsidR="00C6304D">
        <w:t xml:space="preserve"> fluorinated substances that contain at least one aliphatic carbon atom that is both, saturated and fully fluorinated, i.e. any chemical with at least one perfluorinated methyl group (-CF</w:t>
      </w:r>
      <w:r w:rsidR="00C6304D" w:rsidRPr="00C6304D">
        <w:rPr>
          <w:vertAlign w:val="subscript"/>
        </w:rPr>
        <w:t>3</w:t>
      </w:r>
      <w:r w:rsidR="00C6304D">
        <w:t>) or at least one perfluorinated methylene group (-CF</w:t>
      </w:r>
      <w:r w:rsidR="00C6304D" w:rsidRPr="00C6304D">
        <w:rPr>
          <w:vertAlign w:val="subscript"/>
        </w:rPr>
        <w:t>2</w:t>
      </w:r>
      <w:r w:rsidR="00C6304D">
        <w:t xml:space="preserve">-), including </w:t>
      </w:r>
      <w:r w:rsidR="00861A6D" w:rsidRPr="00861A6D">
        <w:rPr>
          <w:lang w:val="en-US"/>
        </w:rPr>
        <w:t>branched fluoroalkyl groups and substances containing ether linkages</w:t>
      </w:r>
      <w:r w:rsidR="00861A6D">
        <w:rPr>
          <w:lang w:val="en-US"/>
        </w:rPr>
        <w:t xml:space="preserve"> </w:t>
      </w:r>
      <w:r w:rsidR="00C6304D">
        <w:t>fluoropolymers and side chain</w:t>
      </w:r>
      <w:r w:rsidR="006D71B3">
        <w:t xml:space="preserve"> fluorinated</w:t>
      </w:r>
      <w:r w:rsidR="00C6304D">
        <w:t xml:space="preserve"> polymers.</w:t>
      </w:r>
    </w:p>
    <w:p w14:paraId="15621840" w14:textId="77777777" w:rsidR="00C6304D" w:rsidRDefault="00C6304D" w:rsidP="00C6304D"/>
    <w:p w14:paraId="4A898D3E" w14:textId="77777777" w:rsidR="00585E34" w:rsidRPr="0020025F" w:rsidRDefault="00054A53" w:rsidP="00585E34">
      <w:pPr>
        <w:jc w:val="both"/>
      </w:pPr>
      <w:r w:rsidRPr="00054A53">
        <w:t>PFAS are a large family of thousands of man-made chemicals that are widely used</w:t>
      </w:r>
      <w:r>
        <w:t xml:space="preserve"> </w:t>
      </w:r>
      <w:r w:rsidRPr="00054A53">
        <w:t xml:space="preserve">throughout society. </w:t>
      </w:r>
      <w:r w:rsidR="00585E34" w:rsidRPr="0020025F">
        <w:t>The general and common concern for all PFAS is persistence. PFAS will remain in the environment for ages. All PFAS are, or ultimately transform into, persistent substances. For instance, according to UNEP, perfluorooctanoic acid (PFOA) does not undergo any further abiotic or biotic degradation under relevant environmental conditions. Substances that are transformed into stable PFAS are called PFAS-precursors or “related substances”. The extreme persistence of PFAS leading to irreversible environmental exposure and accumulation is a reason for major concern.</w:t>
      </w:r>
    </w:p>
    <w:p w14:paraId="0209854A" w14:textId="4051710A" w:rsidR="00585E34" w:rsidRPr="0020025F" w:rsidRDefault="00585E34" w:rsidP="00585E34">
      <w:pPr>
        <w:jc w:val="both"/>
      </w:pPr>
      <w:r w:rsidRPr="0020025F">
        <w:t xml:space="preserve">Due to their water solubility and mobility, contamination of surface, ground-, and drinking water and soil has occurred in the EU </w:t>
      </w:r>
      <w:r>
        <w:t xml:space="preserve">as well as </w:t>
      </w:r>
      <w:r w:rsidRPr="0020025F">
        <w:t xml:space="preserve">globally and will continue. It has been proven very difficult and extremely costly to remove PFAS when released to the environment. </w:t>
      </w:r>
    </w:p>
    <w:p w14:paraId="0261E557" w14:textId="494C26EA" w:rsidR="00585E34" w:rsidRDefault="00585E34" w:rsidP="00585E34">
      <w:r w:rsidRPr="0020025F">
        <w:t xml:space="preserve">In general it can be stated that PFAS may cause harm, although exposure levels that are linked to adverse effects show wide variations for individual </w:t>
      </w:r>
      <w:r>
        <w:t>substances</w:t>
      </w:r>
      <w:r w:rsidRPr="0020025F">
        <w:t>. Some PFAS have been documented as toxic and/or bioaccumulative substances, both with respect to human health as well as the environment.</w:t>
      </w:r>
    </w:p>
    <w:p w14:paraId="68353A06" w14:textId="6CE75983" w:rsidR="003C3793" w:rsidRDefault="00054A53" w:rsidP="00054A53">
      <w:r>
        <w:t>Without taking action</w:t>
      </w:r>
      <w:r w:rsidRPr="00054A53">
        <w:t>, their concentrations will continue to increase, and their toxic and polluting effects will be difficult to reverse</w:t>
      </w:r>
      <w:r>
        <w:rPr>
          <w:rStyle w:val="FootnoteReference"/>
        </w:rPr>
        <w:footnoteReference w:id="1"/>
      </w:r>
      <w:r w:rsidRPr="00054A53">
        <w:t>.</w:t>
      </w:r>
      <w:r>
        <w:t xml:space="preserve"> </w:t>
      </w:r>
      <w:r w:rsidRPr="00F2773B">
        <w:t>Actions taken so far have not sufficiently addressed the</w:t>
      </w:r>
      <w:r>
        <w:t>se</w:t>
      </w:r>
      <w:r w:rsidRPr="00F2773B">
        <w:t xml:space="preserve"> concerns. This is why a coherent and coordinated EU strategy to address PFAS through</w:t>
      </w:r>
      <w:r>
        <w:t xml:space="preserve"> </w:t>
      </w:r>
      <w:r w:rsidRPr="00F2773B">
        <w:t xml:space="preserve">regulatory and non-regulatory actions </w:t>
      </w:r>
      <w:r>
        <w:t xml:space="preserve">is </w:t>
      </w:r>
      <w:r w:rsidRPr="00F2773B">
        <w:t>urgently need</w:t>
      </w:r>
      <w:r>
        <w:t>ed</w:t>
      </w:r>
      <w:r w:rsidRPr="00F2773B">
        <w:t>. The goal is to minimise environmental and</w:t>
      </w:r>
      <w:r>
        <w:t xml:space="preserve"> </w:t>
      </w:r>
      <w:r w:rsidRPr="00F2773B">
        <w:t>human exposure to PFAS, at all stages of their life cycle.</w:t>
      </w:r>
    </w:p>
    <w:p w14:paraId="08AB3C8C" w14:textId="77777777" w:rsidR="00054A53" w:rsidRPr="00054A53" w:rsidRDefault="00054A53" w:rsidP="00054A53"/>
    <w:p w14:paraId="68353A1A" w14:textId="77777777" w:rsidR="004F6831" w:rsidRPr="00270FFE" w:rsidRDefault="008A1880" w:rsidP="00270FFE">
      <w:pPr>
        <w:pStyle w:val="Heading3"/>
        <w:widowControl/>
        <w:numPr>
          <w:ilvl w:val="1"/>
          <w:numId w:val="6"/>
        </w:numPr>
        <w:spacing w:before="200" w:after="0" w:line="276" w:lineRule="auto"/>
        <w:rPr>
          <w:color w:val="365F91"/>
        </w:rPr>
      </w:pPr>
      <w:bookmarkStart w:id="3" w:name="_Toc357683639"/>
      <w:r w:rsidRPr="00270FFE">
        <w:rPr>
          <w:color w:val="365F91"/>
          <w:sz w:val="24"/>
          <w:szCs w:val="24"/>
        </w:rPr>
        <w:t>Restriction under REACH</w:t>
      </w:r>
    </w:p>
    <w:p w14:paraId="68353A1C" w14:textId="06DCC423" w:rsidR="004F6831" w:rsidRDefault="00550337" w:rsidP="00550337">
      <w:pPr>
        <w:pStyle w:val="BodyText"/>
      </w:pPr>
      <w:r>
        <w:t>A restriction under the chemicals legislation (REACH) is considered the most effective tool to manage the risk from substances, such as PFAS, that are used in industrial processes but also in products</w:t>
      </w:r>
      <w:r w:rsidR="00054A53">
        <w:t xml:space="preserve"> (mixtures and articles)</w:t>
      </w:r>
      <w:r>
        <w:t>. A restriction can ban or include other requirements to address risks (such as use of RMM)</w:t>
      </w:r>
      <w:r w:rsidR="00C6304D">
        <w:t xml:space="preserve"> during</w:t>
      </w:r>
      <w:r>
        <w:t xml:space="preserve"> the manufacture, placing on the market or use of a chemical substance, or </w:t>
      </w:r>
      <w:r w:rsidR="00862AD2">
        <w:t xml:space="preserve">for </w:t>
      </w:r>
      <w:r>
        <w:t>a group of substances. It appli</w:t>
      </w:r>
      <w:r w:rsidR="00054A53">
        <w:t>es also to imported articles</w:t>
      </w:r>
      <w:r>
        <w:t xml:space="preserve"> and it is flexible, because it can include derogations, unlimited in time or time limited. Therefore, a REACH restriction is an appropriate EU instrument to address PFAS concerns at the source.</w:t>
      </w:r>
    </w:p>
    <w:p w14:paraId="6C96DF81" w14:textId="5349D9FD" w:rsidR="00550337" w:rsidRDefault="00054A53" w:rsidP="00550337">
      <w:pPr>
        <w:pStyle w:val="BodyText"/>
      </w:pPr>
      <w:r>
        <w:t>In addition, r</w:t>
      </w:r>
      <w:r w:rsidR="00550337">
        <w:t>estriction is considered to be the most effective and efficient way to manage such a large and complex group of substances that are used in numerous applications. A broad restriction is</w:t>
      </w:r>
      <w:r>
        <w:t xml:space="preserve">, therefore, </w:t>
      </w:r>
      <w:r w:rsidR="00550337">
        <w:t>preferable to authorisation.</w:t>
      </w:r>
    </w:p>
    <w:p w14:paraId="73094E66" w14:textId="77777777" w:rsidR="00550337" w:rsidRDefault="00550337" w:rsidP="00550337">
      <w:pPr>
        <w:pStyle w:val="BodyText"/>
      </w:pPr>
      <w:r>
        <w:t>A broad restriction under REACH covering all PFAS as a group:</w:t>
      </w:r>
    </w:p>
    <w:p w14:paraId="471186AE" w14:textId="489A404B" w:rsidR="00550337" w:rsidRDefault="00550337" w:rsidP="00550337">
      <w:pPr>
        <w:pStyle w:val="BodyText"/>
      </w:pPr>
      <w:r>
        <w:t>•</w:t>
      </w:r>
      <w:r>
        <w:tab/>
        <w:t xml:space="preserve">would be the preferred option, in order to limit as many (non-essential) uses as practically possible. This would have the greatest impact on minimising human and </w:t>
      </w:r>
      <w:r w:rsidR="00054A53">
        <w:t>environmental exposure to PFAS,</w:t>
      </w:r>
    </w:p>
    <w:p w14:paraId="0668A325" w14:textId="0F0E766D" w:rsidR="00550337" w:rsidRDefault="00550337" w:rsidP="00550337">
      <w:pPr>
        <w:pStyle w:val="BodyText"/>
      </w:pPr>
      <w:r>
        <w:lastRenderedPageBreak/>
        <w:t>•</w:t>
      </w:r>
      <w:r>
        <w:tab/>
        <w:t xml:space="preserve">would also include </w:t>
      </w:r>
      <w:r w:rsidR="00054A53">
        <w:t>currently unknown PFAS and uses,</w:t>
      </w:r>
    </w:p>
    <w:p w14:paraId="7747856D" w14:textId="77777777" w:rsidR="00550337" w:rsidRDefault="00550337" w:rsidP="00550337">
      <w:pPr>
        <w:pStyle w:val="BodyText"/>
      </w:pPr>
      <w:r>
        <w:t>•</w:t>
      </w:r>
      <w:r>
        <w:tab/>
        <w:t>would prevent regrettable substitution of restricted PFAS by other PFAS.</w:t>
      </w:r>
    </w:p>
    <w:p w14:paraId="0C4974DE" w14:textId="0DD68F47" w:rsidR="00550337" w:rsidRDefault="00550337" w:rsidP="00550337">
      <w:pPr>
        <w:pStyle w:val="BodyText"/>
      </w:pPr>
      <w:r>
        <w:t>In the final Annex XV restriction proposal the restriction, including the derogations will be worked out in detail.</w:t>
      </w:r>
    </w:p>
    <w:bookmarkEnd w:id="3"/>
    <w:p w14:paraId="066003D9" w14:textId="77777777" w:rsidR="00492518" w:rsidRPr="00492518" w:rsidRDefault="00492518" w:rsidP="00492518">
      <w:pPr>
        <w:widowControl/>
        <w:spacing w:after="200"/>
        <w:contextualSpacing/>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C" w14:textId="6C5B6EA4"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w:t>
      </w:r>
      <w:r w:rsidR="00862AD2">
        <w:t>ies</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2235F648" w:rsidR="00A14C19" w:rsidRPr="003016DF" w:rsidRDefault="00A14C19" w:rsidP="00A2050D">
            <w:pPr>
              <w:spacing w:after="120"/>
            </w:pPr>
            <w:r w:rsidRPr="003016DF">
              <w:t>Annex XV dossier for restrictions</w:t>
            </w:r>
          </w:p>
        </w:tc>
        <w:tc>
          <w:tcPr>
            <w:tcW w:w="2520" w:type="dxa"/>
            <w:shd w:val="clear" w:color="auto" w:fill="auto"/>
          </w:tcPr>
          <w:p w14:paraId="68353A52" w14:textId="61BD9C19" w:rsidR="00A14C19" w:rsidRPr="003016DF" w:rsidRDefault="00054A53" w:rsidP="00A2050D">
            <w:r>
              <w:t>July 2022</w:t>
            </w:r>
          </w:p>
        </w:tc>
        <w:tc>
          <w:tcPr>
            <w:tcW w:w="3780" w:type="dxa"/>
            <w:shd w:val="clear" w:color="auto" w:fill="auto"/>
          </w:tcPr>
          <w:p w14:paraId="68353A53" w14:textId="0F195A4A" w:rsidR="00A14C19" w:rsidRPr="003016DF" w:rsidRDefault="00054A53" w:rsidP="00A2050D">
            <w:r>
              <w:t>Germany, the Netherlands, Sweden, Norway, Denmark</w:t>
            </w:r>
          </w:p>
        </w:tc>
      </w:tr>
      <w:tr w:rsidR="00A14C19" w:rsidRPr="003016DF" w14:paraId="68353A58" w14:textId="77777777" w:rsidTr="00A2050D">
        <w:trPr>
          <w:trHeight w:val="624"/>
        </w:trPr>
        <w:tc>
          <w:tcPr>
            <w:tcW w:w="2808" w:type="dxa"/>
            <w:shd w:val="clear" w:color="auto" w:fill="auto"/>
          </w:tcPr>
          <w:p w14:paraId="68353A55" w14:textId="77777777" w:rsidR="00A14C19" w:rsidRPr="003016DF" w:rsidRDefault="00A14C19" w:rsidP="00A2050D"/>
        </w:tc>
        <w:tc>
          <w:tcPr>
            <w:tcW w:w="2520" w:type="dxa"/>
            <w:shd w:val="clear" w:color="auto" w:fill="auto"/>
          </w:tcPr>
          <w:p w14:paraId="68353A56" w14:textId="77777777" w:rsidR="00A14C19" w:rsidRPr="003016DF" w:rsidRDefault="00A14C19" w:rsidP="00A2050D"/>
        </w:tc>
        <w:tc>
          <w:tcPr>
            <w:tcW w:w="3780" w:type="dxa"/>
            <w:shd w:val="clear" w:color="auto" w:fill="auto"/>
          </w:tcPr>
          <w:p w14:paraId="68353A57" w14:textId="77777777" w:rsidR="00A14C19" w:rsidRPr="003016DF" w:rsidRDefault="00A14C19" w:rsidP="00A2050D"/>
        </w:tc>
      </w:tr>
    </w:tbl>
    <w:p w14:paraId="68353A59" w14:textId="77777777" w:rsidR="00997177" w:rsidRDefault="00C16F5E"/>
    <w:sectPr w:rsidR="0099717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5FEC" w14:textId="77777777" w:rsidR="00C16F5E" w:rsidRDefault="00C16F5E" w:rsidP="00471457">
      <w:r>
        <w:separator/>
      </w:r>
    </w:p>
  </w:endnote>
  <w:endnote w:type="continuationSeparator" w:id="0">
    <w:p w14:paraId="074DAF64" w14:textId="77777777" w:rsidR="00C16F5E" w:rsidRDefault="00C16F5E"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8" w14:textId="5C107548" w:rsidR="002E4026" w:rsidRPr="00B66083" w:rsidRDefault="00496AA9" w:rsidP="002E4026">
    <w:pPr>
      <w:pStyle w:val="Footer"/>
      <w:jc w:val="center"/>
    </w:pPr>
    <w:r>
      <w:rPr>
        <w:sz w:val="18"/>
        <w:szCs w:val="18"/>
      </w:rPr>
      <w:t>PFAS</w:t>
    </w:r>
    <w:r w:rsidR="00E86372" w:rsidRPr="009A61C8">
      <w:rPr>
        <w:sz w:val="18"/>
        <w:szCs w:val="18"/>
      </w:rPr>
      <w:tab/>
    </w:r>
    <w:r>
      <w:rPr>
        <w:sz w:val="18"/>
        <w:szCs w:val="18"/>
      </w:rPr>
      <w:t>DE, NL, SE, NO, DK</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F578C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F578C0">
      <w:rPr>
        <w:noProof/>
        <w:sz w:val="18"/>
        <w:szCs w:val="18"/>
      </w:rPr>
      <w:t>6</w:t>
    </w:r>
    <w:r w:rsidR="002E4026" w:rsidRPr="009320DD">
      <w:rPr>
        <w:sz w:val="18"/>
        <w:szCs w:val="18"/>
      </w:rPr>
      <w:fldChar w:fldCharType="end"/>
    </w:r>
  </w:p>
  <w:p w14:paraId="68353A69" w14:textId="77777777" w:rsidR="002E4026" w:rsidRDefault="002E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A" w14:textId="6BF62598" w:rsidR="00C0335E" w:rsidRPr="00B66083" w:rsidRDefault="00054A53" w:rsidP="00B66083">
    <w:pPr>
      <w:pStyle w:val="Footer"/>
      <w:jc w:val="center"/>
    </w:pPr>
    <w:r>
      <w:rPr>
        <w:sz w:val="18"/>
        <w:szCs w:val="18"/>
      </w:rPr>
      <w:t>PFAS</w:t>
    </w:r>
    <w:r w:rsidR="00E86372" w:rsidRPr="009A61C8">
      <w:rPr>
        <w:sz w:val="18"/>
        <w:szCs w:val="18"/>
      </w:rPr>
      <w:tab/>
    </w:r>
    <w:r>
      <w:rPr>
        <w:sz w:val="18"/>
        <w:szCs w:val="18"/>
      </w:rPr>
      <w:t>DE, NL, SE, NO, DK</w:t>
    </w:r>
    <w:r w:rsidR="00E86372">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F578C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F578C0">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711A" w14:textId="77777777" w:rsidR="00C16F5E" w:rsidRDefault="00C16F5E" w:rsidP="00471457">
      <w:r>
        <w:separator/>
      </w:r>
    </w:p>
  </w:footnote>
  <w:footnote w:type="continuationSeparator" w:id="0">
    <w:p w14:paraId="154B7AA5" w14:textId="77777777" w:rsidR="00C16F5E" w:rsidRDefault="00C16F5E" w:rsidP="00471457">
      <w:r>
        <w:continuationSeparator/>
      </w:r>
    </w:p>
  </w:footnote>
  <w:footnote w:id="1">
    <w:p w14:paraId="2E6B4D92" w14:textId="2A292EF1" w:rsidR="00054A53" w:rsidRPr="00054A53" w:rsidRDefault="00054A53">
      <w:pPr>
        <w:pStyle w:val="FootnoteText"/>
      </w:pPr>
      <w:r>
        <w:rPr>
          <w:rStyle w:val="FootnoteReference"/>
        </w:rPr>
        <w:footnoteRef/>
      </w:r>
      <w:r>
        <w:t xml:space="preserve"> </w:t>
      </w:r>
      <w:hyperlink r:id="rId1" w:history="1">
        <w:r w:rsidRPr="00054A53">
          <w:rPr>
            <w:rStyle w:val="Hyperlink"/>
            <w:sz w:val="16"/>
          </w:rPr>
          <w:t>https://sverigesmiljomal.se/miljomalen/giftfri-miljo/miljogifter-i-modersmjolk-och-blod/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C53A3E"/>
    <w:multiLevelType w:val="hybridMultilevel"/>
    <w:tmpl w:val="3BEE8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0"/>
  </w:num>
  <w:num w:numId="5">
    <w:abstractNumId w:val="3"/>
  </w:num>
  <w:num w:numId="6">
    <w:abstractNumId w:val="13"/>
  </w:num>
  <w:num w:numId="7">
    <w:abstractNumId w:val="1"/>
  </w:num>
  <w:num w:numId="8">
    <w:abstractNumId w:val="2"/>
  </w:num>
  <w:num w:numId="9">
    <w:abstractNumId w:val="7"/>
  </w:num>
  <w:num w:numId="10">
    <w:abstractNumId w:val="8"/>
  </w:num>
  <w:num w:numId="11">
    <w:abstractNumId w:val="10"/>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54A53"/>
    <w:rsid w:val="000633BF"/>
    <w:rsid w:val="000711F7"/>
    <w:rsid w:val="00077E65"/>
    <w:rsid w:val="0009452D"/>
    <w:rsid w:val="000A3AEB"/>
    <w:rsid w:val="000D5B93"/>
    <w:rsid w:val="000E2FC2"/>
    <w:rsid w:val="000E4E5B"/>
    <w:rsid w:val="000E7032"/>
    <w:rsid w:val="00112815"/>
    <w:rsid w:val="0011467E"/>
    <w:rsid w:val="001259BB"/>
    <w:rsid w:val="0012634F"/>
    <w:rsid w:val="00126494"/>
    <w:rsid w:val="001448AF"/>
    <w:rsid w:val="00144FCA"/>
    <w:rsid w:val="00166209"/>
    <w:rsid w:val="00183C4B"/>
    <w:rsid w:val="00190775"/>
    <w:rsid w:val="001915C8"/>
    <w:rsid w:val="001C1F13"/>
    <w:rsid w:val="001E6C1A"/>
    <w:rsid w:val="001F4969"/>
    <w:rsid w:val="00201A44"/>
    <w:rsid w:val="00202966"/>
    <w:rsid w:val="00205775"/>
    <w:rsid w:val="002163CF"/>
    <w:rsid w:val="00220442"/>
    <w:rsid w:val="00227B7E"/>
    <w:rsid w:val="00235FE0"/>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B32BD"/>
    <w:rsid w:val="003C1375"/>
    <w:rsid w:val="003C2E00"/>
    <w:rsid w:val="003C3793"/>
    <w:rsid w:val="003D4597"/>
    <w:rsid w:val="003E1455"/>
    <w:rsid w:val="003E7258"/>
    <w:rsid w:val="003F1595"/>
    <w:rsid w:val="004077AC"/>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96AA9"/>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06317"/>
    <w:rsid w:val="00510C24"/>
    <w:rsid w:val="00513808"/>
    <w:rsid w:val="00515C08"/>
    <w:rsid w:val="00523442"/>
    <w:rsid w:val="00525D5B"/>
    <w:rsid w:val="00531303"/>
    <w:rsid w:val="005401E5"/>
    <w:rsid w:val="005437BE"/>
    <w:rsid w:val="00550337"/>
    <w:rsid w:val="005575E6"/>
    <w:rsid w:val="00585E34"/>
    <w:rsid w:val="00586832"/>
    <w:rsid w:val="00594EC4"/>
    <w:rsid w:val="00596A10"/>
    <w:rsid w:val="005A2AD2"/>
    <w:rsid w:val="005C3710"/>
    <w:rsid w:val="005F2482"/>
    <w:rsid w:val="005F45D1"/>
    <w:rsid w:val="005F79AE"/>
    <w:rsid w:val="00600A04"/>
    <w:rsid w:val="00603B54"/>
    <w:rsid w:val="00610621"/>
    <w:rsid w:val="00610DF1"/>
    <w:rsid w:val="00621CAC"/>
    <w:rsid w:val="00623882"/>
    <w:rsid w:val="006305CD"/>
    <w:rsid w:val="00636D5A"/>
    <w:rsid w:val="006617E0"/>
    <w:rsid w:val="00676DCA"/>
    <w:rsid w:val="00680C20"/>
    <w:rsid w:val="00690F3B"/>
    <w:rsid w:val="006941E7"/>
    <w:rsid w:val="006A4ADE"/>
    <w:rsid w:val="006D39F4"/>
    <w:rsid w:val="006D71B3"/>
    <w:rsid w:val="006E2B7B"/>
    <w:rsid w:val="006E6B1A"/>
    <w:rsid w:val="006F6AE3"/>
    <w:rsid w:val="00705350"/>
    <w:rsid w:val="00713266"/>
    <w:rsid w:val="00735C5F"/>
    <w:rsid w:val="00741D90"/>
    <w:rsid w:val="00751518"/>
    <w:rsid w:val="00753065"/>
    <w:rsid w:val="00755D9F"/>
    <w:rsid w:val="00774DE9"/>
    <w:rsid w:val="00781EA6"/>
    <w:rsid w:val="00784A7F"/>
    <w:rsid w:val="00786B9F"/>
    <w:rsid w:val="0078730A"/>
    <w:rsid w:val="00791E13"/>
    <w:rsid w:val="007957E4"/>
    <w:rsid w:val="007A2C1C"/>
    <w:rsid w:val="007A39FF"/>
    <w:rsid w:val="007A3BA7"/>
    <w:rsid w:val="007B0208"/>
    <w:rsid w:val="007C0E6B"/>
    <w:rsid w:val="007C392B"/>
    <w:rsid w:val="007C5000"/>
    <w:rsid w:val="007D3667"/>
    <w:rsid w:val="007D3F6A"/>
    <w:rsid w:val="007E6C05"/>
    <w:rsid w:val="007F0D03"/>
    <w:rsid w:val="00801152"/>
    <w:rsid w:val="0080484C"/>
    <w:rsid w:val="00817B80"/>
    <w:rsid w:val="00821610"/>
    <w:rsid w:val="00835373"/>
    <w:rsid w:val="00835C68"/>
    <w:rsid w:val="00840BD5"/>
    <w:rsid w:val="00853E7D"/>
    <w:rsid w:val="00860FBA"/>
    <w:rsid w:val="00861A6D"/>
    <w:rsid w:val="00862AD2"/>
    <w:rsid w:val="00883931"/>
    <w:rsid w:val="008A1880"/>
    <w:rsid w:val="008B51CB"/>
    <w:rsid w:val="008C0CC7"/>
    <w:rsid w:val="00920032"/>
    <w:rsid w:val="00922BBA"/>
    <w:rsid w:val="00930C01"/>
    <w:rsid w:val="00933335"/>
    <w:rsid w:val="00933AC5"/>
    <w:rsid w:val="009369B2"/>
    <w:rsid w:val="00944178"/>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36822"/>
    <w:rsid w:val="00A41F93"/>
    <w:rsid w:val="00A429E9"/>
    <w:rsid w:val="00A4316B"/>
    <w:rsid w:val="00A436BB"/>
    <w:rsid w:val="00A446BC"/>
    <w:rsid w:val="00A45B6C"/>
    <w:rsid w:val="00A54190"/>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E1CEB"/>
    <w:rsid w:val="00BE5AF4"/>
    <w:rsid w:val="00BF1E08"/>
    <w:rsid w:val="00BF5819"/>
    <w:rsid w:val="00BF63C3"/>
    <w:rsid w:val="00C0335E"/>
    <w:rsid w:val="00C0431D"/>
    <w:rsid w:val="00C0654A"/>
    <w:rsid w:val="00C16F5E"/>
    <w:rsid w:val="00C32CBD"/>
    <w:rsid w:val="00C411EC"/>
    <w:rsid w:val="00C42DBF"/>
    <w:rsid w:val="00C52D40"/>
    <w:rsid w:val="00C54EBC"/>
    <w:rsid w:val="00C55123"/>
    <w:rsid w:val="00C629E5"/>
    <w:rsid w:val="00C6304D"/>
    <w:rsid w:val="00C70B2B"/>
    <w:rsid w:val="00C74112"/>
    <w:rsid w:val="00C81249"/>
    <w:rsid w:val="00CB1FBE"/>
    <w:rsid w:val="00CB4B3F"/>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A1560"/>
    <w:rsid w:val="00DA5A25"/>
    <w:rsid w:val="00DA6B85"/>
    <w:rsid w:val="00DB0024"/>
    <w:rsid w:val="00DC1F12"/>
    <w:rsid w:val="00DD1882"/>
    <w:rsid w:val="00E14856"/>
    <w:rsid w:val="00E36635"/>
    <w:rsid w:val="00E464B0"/>
    <w:rsid w:val="00E55E07"/>
    <w:rsid w:val="00E702C1"/>
    <w:rsid w:val="00E85A6B"/>
    <w:rsid w:val="00E86104"/>
    <w:rsid w:val="00E86372"/>
    <w:rsid w:val="00EA326C"/>
    <w:rsid w:val="00EA6BD2"/>
    <w:rsid w:val="00EA7CF9"/>
    <w:rsid w:val="00EB3299"/>
    <w:rsid w:val="00ED048E"/>
    <w:rsid w:val="00ED10AD"/>
    <w:rsid w:val="00ED55A6"/>
    <w:rsid w:val="00ED5761"/>
    <w:rsid w:val="00EE475E"/>
    <w:rsid w:val="00F06072"/>
    <w:rsid w:val="00F145F2"/>
    <w:rsid w:val="00F154FB"/>
    <w:rsid w:val="00F4442B"/>
    <w:rsid w:val="00F46EA5"/>
    <w:rsid w:val="00F503E3"/>
    <w:rsid w:val="00F545EA"/>
    <w:rsid w:val="00F57736"/>
    <w:rsid w:val="00F578C0"/>
    <w:rsid w:val="00F67BB5"/>
    <w:rsid w:val="00F826BC"/>
    <w:rsid w:val="00F9083F"/>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3996"/>
  <w15:docId w15:val="{DC8A51E0-CC7A-42A4-B83C-43D96A1D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
    <w:uiPriority w:val="99"/>
    <w:semiHidden/>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customStyle="1" w:styleId="Default">
    <w:name w:val="Default"/>
    <w:rsid w:val="00496A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verigesmiljomal.se/miljomalen/giftfri-miljo/miljogifter-i-modersmjolk-och-bl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3.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4.xml><?xml version="1.0" encoding="utf-8"?>
<ds:datastoreItem xmlns:ds="http://schemas.openxmlformats.org/officeDocument/2006/customXml" ds:itemID="{FB8C6060-E70E-4A37-913A-A00BF7D052E3}">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customXml/itemProps5.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6.xml><?xml version="1.0" encoding="utf-8"?>
<ds:datastoreItem xmlns:ds="http://schemas.openxmlformats.org/officeDocument/2006/customXml" ds:itemID="{EBB9FBB1-D226-4F5E-B26D-4720D2C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1475</Words>
  <Characters>8117</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Marion Sanders</cp:lastModifiedBy>
  <cp:revision>4</cp:revision>
  <cp:lastPrinted>2015-08-11T11:20:00Z</cp:lastPrinted>
  <dcterms:created xsi:type="dcterms:W3CDTF">2021-06-24T16:26:00Z</dcterms:created>
  <dcterms:modified xsi:type="dcterms:W3CDTF">2021-06-24T16:34:00Z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