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53996" w14:textId="77777777" w:rsidR="00F57736" w:rsidRPr="003016DF" w:rsidRDefault="00E86372" w:rsidP="00F57736">
      <w:r>
        <w:rPr>
          <w:rFonts w:eastAsiaTheme="minorHAnsi"/>
          <w:noProof/>
          <w:szCs w:val="24"/>
          <w:lang w:val="da-DK" w:eastAsia="da-DK"/>
        </w:rPr>
        <mc:AlternateContent>
          <mc:Choice Requires="wps">
            <w:drawing>
              <wp:anchor distT="91440" distB="91440" distL="114300" distR="114300" simplePos="0" relativeHeight="251659264" behindDoc="0" locked="0" layoutInCell="0" allowOverlap="1" wp14:anchorId="68353A5A" wp14:editId="68353A5B">
                <wp:simplePos x="0" y="0"/>
                <wp:positionH relativeFrom="margin">
                  <wp:posOffset>3047365</wp:posOffset>
                </wp:positionH>
                <wp:positionV relativeFrom="margin">
                  <wp:posOffset>419100</wp:posOffset>
                </wp:positionV>
                <wp:extent cx="2409825" cy="1341120"/>
                <wp:effectExtent l="0" t="0" r="28575" b="11430"/>
                <wp:wrapSquare wrapText="bothSides"/>
                <wp:docPr id="6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09825" cy="1341120"/>
                        </a:xfrm>
                        <a:prstGeom prst="rect">
                          <a:avLst/>
                        </a:prstGeom>
                        <a:noFill/>
                        <a:ln w="9525">
                          <a:solidFill>
                            <a:schemeClr val="tx1">
                              <a:lumMod val="50000"/>
                              <a:lumOff val="50000"/>
                            </a:schemeClr>
                          </a:solidFill>
                          <a:miter lim="800000"/>
                          <a:headEnd/>
                          <a:tailEnd/>
                        </a:ln>
                        <a:effectLst/>
                      </wps:spPr>
                      <wps:txbx>
                        <w:txbxContent>
                          <w:p w14:paraId="68353A6D" w14:textId="054673D7" w:rsidR="00E86372" w:rsidRDefault="00EA39D6" w:rsidP="00E86372">
                            <w:pPr>
                              <w:rPr>
                                <w:color w:val="4F81BD" w:themeColor="accent1"/>
                              </w:rPr>
                            </w:pPr>
                            <w:r>
                              <w:rPr>
                                <w:noProof/>
                                <w:lang w:val="da-DK" w:eastAsia="da-DK"/>
                              </w:rPr>
                              <w:drawing>
                                <wp:inline distT="0" distB="0" distL="0" distR="0" wp14:anchorId="7AD6A085" wp14:editId="1171B74F">
                                  <wp:extent cx="1852295" cy="708025"/>
                                  <wp:effectExtent l="0" t="0" r="0" b="0"/>
                                  <wp:docPr id="6" name="Billede 6"/>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2295" cy="708025"/>
                                          </a:xfrm>
                                          <a:prstGeom prst="rect">
                                            <a:avLst/>
                                          </a:prstGeom>
                                          <a:noFill/>
                                          <a:ln>
                                            <a:noFill/>
                                          </a:ln>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8353A5A" id="Rectangle 698" o:spid="_x0000_s1026" style="position:absolute;margin-left:239.95pt;margin-top:33pt;width:189.75pt;height:105.6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Q8PQIAAG8EAAAOAAAAZHJzL2Uyb0RvYy54bWysVNuO0zAQfUfiHyy/01y2Xdqo6WrVZQFp&#10;gRULH+A6TmNhe4ztNilfz9gp7XZ5Q+TB8oxnjmfOHGd5M2hF9sJ5CaamxSSnRBgOjTTbmn7/dv9m&#10;TokPzDRMgRE1PQhPb1avXy17W4kSOlCNcARBjK96W9MuBFtlmeed0MxPwAqDhy04zQKabps1jvWI&#10;rlVW5vl11oNrrAMuvEfv3XhIVwm/bQUPX9rWi0BUTbG2kFaX1k1cs9WSVVvHbCf5sQz2D1VoJg1e&#10;eoK6Y4GRnZN/QWnJHXhow4SDzqBtJRepB+ymyF9089QxK1IvSI63J5r8/4Pln/ePjsimptcLHJVh&#10;Gof0FWljZqsEiU6kqLe+wsgn++hik94+AP/hiYF1h3Hi1jnoO8EaLKyI8dlFQjQ8ppJN/wkaxGe7&#10;AImtoXWatEraDzExQiMjZEjjOZzGI4ZAODrLab6YlzNKOJ4VV9OiKNMAM1ZFoJhunQ/vBWgSNzV1&#10;2EiCZfsHH2Jh55AYbuBeKpU0oAzpa7qYIX5qEZRs4mEyohrFWjmyZ6ijMIy1qp3GfkbfLMdvVBO6&#10;UXMv3Hhx0nRESWX45xdoGfAVKKlrOo9AR6RI6TvTpPoCk2rcI5QysSyR9H1s7A/J47DCsBkwLTo3&#10;0ByQewej9vGt4qYD94uSHnVfU/9zx5ygRH00OL/y7fQKaSXhwnIX1ubCYoYjXE15cJSMxjqkJzZS&#10;fIvTbmVi/1zPUSOo6sTG8QXGZ/PcTlHn/8TqNwAAAP//AwBQSwMEFAAGAAgAAAAhABqNDNbeAAAA&#10;CgEAAA8AAABkcnMvZG93bnJldi54bWxMj8FOwzAQRO9I/IO1SNyoQ9QmTYhTVYgicWxAnN3YxBHx&#10;2oqd1v17lhMcV/v0ZqbZJTuxs57D6FDA4yoDprF3asRBwMf74WELLESJSk4OtYCrDrBrb28aWSt3&#10;waM+d3FgJMFQSwEmRl9zHnqjrQwr5zXS78vNVkY654GrWV5IbieeZ1nBrRyREoz0+tno/rtbLFn2&#10;x8PwiS9df31Li0kb78dXL8T9Xdo/AYs6xT8YfutTdWip08ktqAKbBKzLqiJUQFHQJgK2m2oN7CQg&#10;L8sceNvw/xPaHwAAAP//AwBQSwECLQAUAAYACAAAACEAtoM4kv4AAADhAQAAEwAAAAAAAAAAAAAA&#10;AAAAAAAAW0NvbnRlbnRfVHlwZXNdLnhtbFBLAQItABQABgAIAAAAIQA4/SH/1gAAAJQBAAALAAAA&#10;AAAAAAAAAAAAAC8BAABfcmVscy8ucmVsc1BLAQItABQABgAIAAAAIQAfsRQ8PQIAAG8EAAAOAAAA&#10;AAAAAAAAAAAAAC4CAABkcnMvZTJvRG9jLnhtbFBLAQItABQABgAIAAAAIQAajQzW3gAAAAoBAAAP&#10;AAAAAAAAAAAAAAAAAJcEAABkcnMvZG93bnJldi54bWxQSwUGAAAAAAQABADzAAAAogUAAAAA&#10;" o:allowincell="f" filled="f" strokecolor="gray [1629]">
                <v:textbox inset="21.6pt,21.6pt,21.6pt,21.6pt">
                  <w:txbxContent>
                    <w:p w14:paraId="68353A6D" w14:textId="054673D7" w:rsidR="00E86372" w:rsidRDefault="00EA39D6" w:rsidP="00E86372">
                      <w:pPr>
                        <w:rPr>
                          <w:color w:val="4F81BD" w:themeColor="accent1"/>
                        </w:rPr>
                      </w:pPr>
                      <w:r>
                        <w:rPr>
                          <w:noProof/>
                          <w:lang w:val="da-DK" w:eastAsia="da-DK"/>
                        </w:rPr>
                        <w:drawing>
                          <wp:inline distT="0" distB="0" distL="0" distR="0" wp14:anchorId="7AD6A085" wp14:editId="1171B74F">
                            <wp:extent cx="1852295" cy="708025"/>
                            <wp:effectExtent l="0" t="0" r="0" b="0"/>
                            <wp:docPr id="6" name="Billede 6"/>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2295" cy="708025"/>
                                    </a:xfrm>
                                    <a:prstGeom prst="rect">
                                      <a:avLst/>
                                    </a:prstGeom>
                                    <a:noFill/>
                                    <a:ln>
                                      <a:noFill/>
                                    </a:ln>
                                  </pic:spPr>
                                </pic:pic>
                              </a:graphicData>
                            </a:graphic>
                          </wp:inline>
                        </w:drawing>
                      </w:r>
                    </w:p>
                  </w:txbxContent>
                </v:textbox>
                <w10:wrap type="square" anchorx="margin" anchory="margin"/>
              </v:rect>
            </w:pict>
          </mc:Fallback>
        </mc:AlternateContent>
      </w:r>
    </w:p>
    <w:p w14:paraId="68353997" w14:textId="77777777" w:rsidR="00F57736" w:rsidRPr="003016DF" w:rsidRDefault="00F57736" w:rsidP="00F57736"/>
    <w:p w14:paraId="68353998" w14:textId="77777777" w:rsidR="00F57736" w:rsidRPr="003016DF" w:rsidRDefault="00F57736" w:rsidP="00F57736"/>
    <w:p w14:paraId="68353999" w14:textId="77777777" w:rsidR="00F57736" w:rsidRPr="003016DF" w:rsidRDefault="00F57736" w:rsidP="00F57736"/>
    <w:p w14:paraId="6835399A" w14:textId="77777777" w:rsidR="00F57736" w:rsidRPr="003016DF" w:rsidRDefault="00F57736" w:rsidP="00F57736"/>
    <w:p w14:paraId="6835399B" w14:textId="77777777" w:rsidR="00F57736" w:rsidRPr="003016DF" w:rsidRDefault="00F57736" w:rsidP="00F57736"/>
    <w:p w14:paraId="6835399C" w14:textId="77777777" w:rsidR="00F57736" w:rsidRPr="003016DF" w:rsidRDefault="00F57736" w:rsidP="00F57736">
      <w:pPr>
        <w:jc w:val="center"/>
        <w:rPr>
          <w:b/>
          <w:sz w:val="28"/>
          <w:szCs w:val="28"/>
        </w:rPr>
      </w:pPr>
    </w:p>
    <w:p w14:paraId="6835399D" w14:textId="77777777" w:rsidR="00F57736" w:rsidRDefault="00F57736" w:rsidP="00F57736">
      <w:pPr>
        <w:spacing w:after="360"/>
        <w:jc w:val="center"/>
        <w:rPr>
          <w:b/>
          <w:sz w:val="32"/>
          <w:szCs w:val="32"/>
        </w:rPr>
      </w:pPr>
    </w:p>
    <w:p w14:paraId="6835399E" w14:textId="77777777" w:rsidR="00F57736" w:rsidRDefault="00F57736" w:rsidP="00F57736">
      <w:pPr>
        <w:spacing w:after="360"/>
        <w:jc w:val="center"/>
        <w:rPr>
          <w:b/>
          <w:sz w:val="32"/>
          <w:szCs w:val="32"/>
        </w:rPr>
      </w:pPr>
    </w:p>
    <w:p w14:paraId="6835399F" w14:textId="77777777" w:rsidR="00F57736" w:rsidRPr="00E86372" w:rsidRDefault="00F57736" w:rsidP="00F57736">
      <w:pPr>
        <w:spacing w:after="360"/>
        <w:jc w:val="center"/>
        <w:rPr>
          <w:b/>
          <w:sz w:val="24"/>
          <w:szCs w:val="24"/>
        </w:rPr>
      </w:pPr>
    </w:p>
    <w:p w14:paraId="683539A0" w14:textId="6CDC0AA4" w:rsidR="00F57736" w:rsidRPr="00933AC5" w:rsidRDefault="001C1F13" w:rsidP="00E86372">
      <w:pPr>
        <w:spacing w:after="360"/>
        <w:jc w:val="center"/>
        <w:rPr>
          <w:b/>
          <w:sz w:val="24"/>
          <w:szCs w:val="24"/>
        </w:rPr>
      </w:pPr>
      <w:r w:rsidRPr="00933AC5">
        <w:rPr>
          <w:b/>
          <w:sz w:val="24"/>
          <w:szCs w:val="24"/>
        </w:rPr>
        <w:t>Risk Management Option Analysis Conclusion Document</w:t>
      </w:r>
      <w:r w:rsidR="00F57736" w:rsidRPr="00933AC5">
        <w:rPr>
          <w:b/>
          <w:sz w:val="24"/>
          <w:szCs w:val="24"/>
        </w:rPr>
        <w:t xml:space="preserve"> </w:t>
      </w:r>
    </w:p>
    <w:p w14:paraId="683539A2" w14:textId="77777777" w:rsidR="00F57736" w:rsidRPr="00933AC5" w:rsidRDefault="00F57736" w:rsidP="00F57736">
      <w:pPr>
        <w:jc w:val="center"/>
        <w:rPr>
          <w:b/>
          <w:sz w:val="28"/>
          <w:szCs w:val="28"/>
        </w:rPr>
      </w:pPr>
    </w:p>
    <w:p w14:paraId="683539A3" w14:textId="77777777" w:rsidR="00E86372" w:rsidRPr="00933AC5" w:rsidRDefault="00E86372" w:rsidP="00E86372">
      <w:pPr>
        <w:pStyle w:val="BodyText"/>
        <w:rPr>
          <w:b/>
        </w:rPr>
      </w:pPr>
    </w:p>
    <w:p w14:paraId="683539A4" w14:textId="1386A87D" w:rsidR="00E86372" w:rsidRPr="00937276" w:rsidRDefault="00E86372" w:rsidP="00E86372">
      <w:pPr>
        <w:pStyle w:val="BodyText"/>
      </w:pPr>
      <w:r>
        <w:rPr>
          <w:b/>
        </w:rPr>
        <w:t>Substance Name</w:t>
      </w:r>
      <w:r w:rsidRPr="003607CA">
        <w:rPr>
          <w:b/>
        </w:rPr>
        <w:t>:</w:t>
      </w:r>
      <w:r w:rsidR="00EA39D6" w:rsidRPr="00EA39D6">
        <w:t xml:space="preserve"> </w:t>
      </w:r>
      <w:r w:rsidR="00EA39D6" w:rsidRPr="002C4B5D">
        <w:t>(±)-1,7,7-trimethyl-3-[(4-</w:t>
      </w:r>
      <w:r w:rsidR="00EA39D6">
        <w:t>m</w:t>
      </w:r>
      <w:r w:rsidR="00EA39D6" w:rsidRPr="002C4B5D">
        <w:t>ethylphenyl)methylene]bicyclo[2.2.1]heptan-2-one</w:t>
      </w:r>
      <w:r w:rsidR="00EA39D6">
        <w:t xml:space="preserve"> (4-MBC)</w:t>
      </w:r>
    </w:p>
    <w:p w14:paraId="683539A5" w14:textId="116705D9" w:rsidR="00E86372" w:rsidRPr="00937276" w:rsidRDefault="00E86372" w:rsidP="00E86372">
      <w:pPr>
        <w:pStyle w:val="BodyText"/>
      </w:pPr>
      <w:r w:rsidRPr="003607CA">
        <w:rPr>
          <w:b/>
        </w:rPr>
        <w:t>EC Number:</w:t>
      </w:r>
      <w:r w:rsidR="00EA39D6" w:rsidRPr="00EA39D6">
        <w:t xml:space="preserve"> </w:t>
      </w:r>
      <w:r w:rsidR="00EA39D6" w:rsidRPr="002C4B5D">
        <w:t>253-242-6</w:t>
      </w:r>
    </w:p>
    <w:p w14:paraId="683539A6" w14:textId="610C8EFB" w:rsidR="00E86372" w:rsidRPr="00937276" w:rsidRDefault="00E86372" w:rsidP="00E86372">
      <w:pPr>
        <w:pStyle w:val="BodyText"/>
        <w:rPr>
          <w:sz w:val="32"/>
        </w:rPr>
      </w:pPr>
      <w:r w:rsidRPr="003607CA">
        <w:rPr>
          <w:b/>
        </w:rPr>
        <w:t>CAS Number:</w:t>
      </w:r>
      <w:r w:rsidR="00EA39D6" w:rsidRPr="00EA39D6">
        <w:t xml:space="preserve"> </w:t>
      </w:r>
      <w:r w:rsidR="00EA39D6" w:rsidRPr="002C4B5D">
        <w:t>36861-47-9</w:t>
      </w:r>
    </w:p>
    <w:p w14:paraId="683539A7" w14:textId="77777777" w:rsidR="00E86372" w:rsidRDefault="00E86372" w:rsidP="00E86372">
      <w:pPr>
        <w:pStyle w:val="BodyText"/>
        <w:rPr>
          <w:b/>
          <w:sz w:val="32"/>
        </w:rPr>
      </w:pPr>
    </w:p>
    <w:p w14:paraId="683539A8" w14:textId="47C28BE0" w:rsidR="00E86372" w:rsidRPr="00EA39D6" w:rsidRDefault="00E86372" w:rsidP="00E86372">
      <w:pPr>
        <w:pStyle w:val="BodyText"/>
        <w:rPr>
          <w:sz w:val="32"/>
        </w:rPr>
      </w:pPr>
      <w:r w:rsidRPr="006119A2">
        <w:rPr>
          <w:b/>
        </w:rPr>
        <w:t>Authority:</w:t>
      </w:r>
      <w:r w:rsidR="00EA39D6">
        <w:t xml:space="preserve"> Denmark</w:t>
      </w:r>
    </w:p>
    <w:p w14:paraId="683539A9" w14:textId="40C8C8C6" w:rsidR="00E86372" w:rsidRPr="00EA39D6" w:rsidRDefault="00E86372" w:rsidP="00E86372">
      <w:pPr>
        <w:pStyle w:val="BodyText"/>
      </w:pPr>
      <w:r w:rsidRPr="003607CA">
        <w:rPr>
          <w:b/>
        </w:rPr>
        <w:t>Date:</w:t>
      </w:r>
      <w:r w:rsidR="00EA39D6">
        <w:t xml:space="preserve"> </w:t>
      </w:r>
      <w:r w:rsidR="003176F7">
        <w:t>03</w:t>
      </w:r>
      <w:r w:rsidR="00EA39D6">
        <w:t>.</w:t>
      </w:r>
      <w:r w:rsidR="003176F7">
        <w:t>12</w:t>
      </w:r>
      <w:r w:rsidR="00EA39D6">
        <w:t>.</w:t>
      </w:r>
      <w:r w:rsidR="003176F7">
        <w:t>2020</w:t>
      </w:r>
    </w:p>
    <w:p w14:paraId="683539AA" w14:textId="77777777" w:rsidR="00A41F93" w:rsidRDefault="00A41F93" w:rsidP="00A41F93">
      <w:pPr>
        <w:widowControl/>
        <w:spacing w:after="200" w:line="276" w:lineRule="auto"/>
        <w:rPr>
          <w:b/>
          <w:i/>
          <w:color w:val="FF0000"/>
        </w:rPr>
      </w:pPr>
    </w:p>
    <w:p w14:paraId="683539AB" w14:textId="77777777" w:rsidR="00A41F93" w:rsidRDefault="00A41F93" w:rsidP="00A41F93">
      <w:pPr>
        <w:widowControl/>
        <w:spacing w:after="200" w:line="276" w:lineRule="auto"/>
        <w:rPr>
          <w:b/>
          <w:i/>
          <w:color w:val="FF0000"/>
        </w:rPr>
      </w:pPr>
    </w:p>
    <w:p w14:paraId="683539AC" w14:textId="77777777" w:rsidR="00A41F93" w:rsidRDefault="00A41F93" w:rsidP="00A41F93">
      <w:pPr>
        <w:widowControl/>
        <w:spacing w:after="200" w:line="276" w:lineRule="auto"/>
        <w:rPr>
          <w:b/>
          <w:i/>
          <w:color w:val="FF0000"/>
        </w:rPr>
      </w:pPr>
    </w:p>
    <w:p w14:paraId="683539AD" w14:textId="77777777" w:rsidR="00E86372" w:rsidRDefault="00E86372" w:rsidP="00A41F93">
      <w:pPr>
        <w:widowControl/>
        <w:spacing w:after="200" w:line="276" w:lineRule="auto"/>
        <w:rPr>
          <w:b/>
          <w:i/>
          <w:color w:val="FF0000"/>
        </w:rPr>
      </w:pPr>
    </w:p>
    <w:p w14:paraId="683539AE" w14:textId="77777777" w:rsidR="00E86372" w:rsidRDefault="00E86372" w:rsidP="00A41F93">
      <w:pPr>
        <w:widowControl/>
        <w:spacing w:after="200" w:line="276" w:lineRule="auto"/>
        <w:rPr>
          <w:b/>
          <w:i/>
          <w:color w:val="FF0000"/>
        </w:rPr>
      </w:pPr>
    </w:p>
    <w:p w14:paraId="683539AF" w14:textId="77777777" w:rsidR="00E86372" w:rsidRDefault="00E86372" w:rsidP="00A41F93">
      <w:pPr>
        <w:widowControl/>
        <w:spacing w:after="200" w:line="276" w:lineRule="auto"/>
        <w:rPr>
          <w:b/>
          <w:i/>
          <w:color w:val="FF0000"/>
        </w:rPr>
      </w:pPr>
    </w:p>
    <w:p w14:paraId="683539B0" w14:textId="77777777" w:rsidR="00E86372" w:rsidRDefault="00E86372" w:rsidP="00A41F93">
      <w:pPr>
        <w:widowControl/>
        <w:spacing w:after="200" w:line="276" w:lineRule="auto"/>
        <w:rPr>
          <w:b/>
          <w:i/>
          <w:color w:val="FF0000"/>
        </w:rPr>
      </w:pPr>
    </w:p>
    <w:p w14:paraId="683539B1" w14:textId="77777777" w:rsidR="002E4026" w:rsidRDefault="002E4026" w:rsidP="00471457">
      <w:pPr>
        <w:spacing w:after="120"/>
        <w:jc w:val="both"/>
        <w:rPr>
          <w:b/>
        </w:rPr>
        <w:sectPr w:rsidR="002E4026">
          <w:headerReference w:type="default" r:id="rId15"/>
          <w:footerReference w:type="default" r:id="rId16"/>
          <w:pgSz w:w="11906" w:h="16838"/>
          <w:pgMar w:top="1440" w:right="1440" w:bottom="1440" w:left="1440" w:header="708" w:footer="708" w:gutter="0"/>
          <w:cols w:space="708"/>
          <w:docGrid w:linePitch="360"/>
        </w:sectPr>
      </w:pPr>
    </w:p>
    <w:p w14:paraId="683539B2" w14:textId="77777777" w:rsidR="00AD40AE" w:rsidRDefault="00AD40AE" w:rsidP="00AD40AE">
      <w:pPr>
        <w:jc w:val="center"/>
        <w:rPr>
          <w:b/>
          <w:iCs/>
        </w:rPr>
      </w:pPr>
      <w:bookmarkStart w:id="0" w:name="_Toc387819847"/>
    </w:p>
    <w:p w14:paraId="683539B3" w14:textId="77777777" w:rsidR="00AD40AE" w:rsidRDefault="00AD40AE" w:rsidP="00AD40AE">
      <w:pPr>
        <w:jc w:val="center"/>
        <w:rPr>
          <w:b/>
          <w:iCs/>
        </w:rPr>
      </w:pPr>
    </w:p>
    <w:p w14:paraId="683539B4" w14:textId="77777777" w:rsidR="00AD40AE" w:rsidRPr="0013615E" w:rsidRDefault="00AD40AE" w:rsidP="00AD40AE">
      <w:pPr>
        <w:jc w:val="center"/>
        <w:rPr>
          <w:b/>
          <w:iCs/>
        </w:rPr>
      </w:pPr>
      <w:r w:rsidRPr="0013615E">
        <w:rPr>
          <w:b/>
          <w:iCs/>
        </w:rPr>
        <w:t>DISCLAIMER</w:t>
      </w:r>
    </w:p>
    <w:p w14:paraId="683539B5" w14:textId="77777777" w:rsidR="00AD40AE" w:rsidRDefault="00AD40AE" w:rsidP="00AD40AE">
      <w:pPr>
        <w:pStyle w:val="BodyText"/>
        <w:jc w:val="center"/>
      </w:pPr>
    </w:p>
    <w:p w14:paraId="683539B6" w14:textId="77777777" w:rsidR="00AD40AE" w:rsidRDefault="00AD40AE" w:rsidP="00AD40AE">
      <w:pPr>
        <w:pStyle w:val="BodyText"/>
        <w:jc w:val="center"/>
      </w:pPr>
    </w:p>
    <w:p w14:paraId="683539B7" w14:textId="183D0041" w:rsidR="007A39FF" w:rsidRDefault="007A39FF" w:rsidP="007A39FF">
      <w:pPr>
        <w:pStyle w:val="BodyText"/>
      </w:pPr>
    </w:p>
    <w:p w14:paraId="683539BC" w14:textId="451BBF13" w:rsidR="007A39FF" w:rsidRDefault="001C1F13" w:rsidP="007A39FF">
      <w:pPr>
        <w:pStyle w:val="BodyText"/>
        <w:jc w:val="both"/>
      </w:pPr>
      <w:r w:rsidRPr="001C1F13">
        <w:t>The author does not accept any liability with regard to the use that may be made of the information contained in this document. Usage of the information remains under the sole responsibility of the user. Statements made or information contained in the document are without prejudice to any further regulatory work that ECHA or the Member States may initiate at a later stage. Risk Management Option Analyses and their conclusions are compiled on the basis of available information and may change in light of newly available information or further assessment.</w:t>
      </w:r>
    </w:p>
    <w:p w14:paraId="683539BD" w14:textId="77777777" w:rsidR="007A39FF" w:rsidRPr="00270FFE" w:rsidRDefault="007A39FF" w:rsidP="007A39FF">
      <w:pPr>
        <w:pStyle w:val="BodyText"/>
        <w:jc w:val="both"/>
        <w:sectPr w:rsidR="007A39FF" w:rsidRPr="00270FFE">
          <w:footerReference w:type="default" r:id="rId17"/>
          <w:pgSz w:w="11906" w:h="16838"/>
          <w:pgMar w:top="1440" w:right="1440" w:bottom="1440" w:left="1440" w:header="708" w:footer="708" w:gutter="0"/>
          <w:cols w:space="708"/>
          <w:docGrid w:linePitch="360"/>
        </w:sectPr>
      </w:pPr>
    </w:p>
    <w:p w14:paraId="683539BE" w14:textId="77777777" w:rsidR="002E4026" w:rsidRPr="002E4026" w:rsidRDefault="002E4026" w:rsidP="002E4026">
      <w:pPr>
        <w:pStyle w:val="Heading1"/>
        <w:rPr>
          <w:color w:val="4F81BD"/>
        </w:rPr>
      </w:pPr>
      <w:r w:rsidRPr="002E4026">
        <w:rPr>
          <w:color w:val="4F81BD"/>
        </w:rPr>
        <w:lastRenderedPageBreak/>
        <w:t>Foreword</w:t>
      </w:r>
      <w:bookmarkEnd w:id="0"/>
    </w:p>
    <w:p w14:paraId="683539BF" w14:textId="77777777" w:rsidR="002E4026" w:rsidRPr="003016DF" w:rsidRDefault="002E4026" w:rsidP="002E4026">
      <w:pPr>
        <w:rPr>
          <w:sz w:val="24"/>
          <w:szCs w:val="24"/>
        </w:rPr>
      </w:pPr>
    </w:p>
    <w:p w14:paraId="0640B7FF" w14:textId="77777777" w:rsidR="001C1F13" w:rsidRDefault="001C1F13" w:rsidP="001C1F13">
      <w:pPr>
        <w:jc w:val="both"/>
      </w:pPr>
      <w:r>
        <w:t xml:space="preserve">The purpose of Risk Management Option analysis (RMOA) is to help authorities decide whether further regulatory risk management activities are required for a substance and to identify the most appropriate instrument to address a concern. </w:t>
      </w:r>
    </w:p>
    <w:p w14:paraId="7BDF57EC" w14:textId="77777777" w:rsidR="001C1F13" w:rsidRDefault="001C1F13" w:rsidP="001C1F13">
      <w:pPr>
        <w:jc w:val="both"/>
      </w:pPr>
    </w:p>
    <w:p w14:paraId="423CF1F8" w14:textId="77777777" w:rsidR="001C1F13" w:rsidRDefault="001C1F13" w:rsidP="001C1F13">
      <w:pPr>
        <w:jc w:val="both"/>
      </w:pPr>
      <w:r>
        <w:t>RMOA is a voluntary step, i.e., it is not part of the processes as defined in the legislation. For authorities, documenting the RMOA allows the sharing of information and promoting early discussion, which helps lead to a common understanding on the action pursued. A Member State or ECHA (at the request of the Commission) can carry out this case-by-case analysis in order to conclude whether a substance is a 'relevant substance of very high concern (SVHC)' in the sense of the SVHC Roadmap to 2020</w:t>
      </w:r>
      <w:r>
        <w:rPr>
          <w:rStyle w:val="FootnoteReference"/>
        </w:rPr>
        <w:footnoteReference w:id="1"/>
      </w:r>
      <w:r>
        <w:t>.</w:t>
      </w:r>
    </w:p>
    <w:p w14:paraId="371B8D0A" w14:textId="77777777" w:rsidR="001C1F13" w:rsidRDefault="001C1F13" w:rsidP="001C1F13">
      <w:pPr>
        <w:jc w:val="both"/>
      </w:pPr>
    </w:p>
    <w:p w14:paraId="36FE7939" w14:textId="77777777" w:rsidR="001C1F13" w:rsidRDefault="001C1F13" w:rsidP="001C1F13">
      <w:pPr>
        <w:jc w:val="both"/>
      </w:pPr>
      <w:r>
        <w:t>An RMOA can conclude that regulatory risk management at EU level is required for a substance (e.g. harmonised classification and labelling, Candidate List inclusion, restriction, other EU legislation) or that no regulatory action is required at EU level. Any subsequent regulatory processes under the REACH Regulation include consultation of interested parties and appropriate decision making involving Member State Competent Authorities and the European Commission as defined in REACH.</w:t>
      </w:r>
    </w:p>
    <w:p w14:paraId="5B7D4936" w14:textId="77777777" w:rsidR="001C1F13" w:rsidRDefault="001C1F13" w:rsidP="001C1F13">
      <w:pPr>
        <w:spacing w:after="120"/>
        <w:jc w:val="both"/>
      </w:pPr>
    </w:p>
    <w:p w14:paraId="706E7DB9" w14:textId="02AE3399" w:rsidR="001C1F13" w:rsidRDefault="001C1F13" w:rsidP="001C1F13">
      <w:pPr>
        <w:spacing w:after="120"/>
        <w:jc w:val="both"/>
      </w:pPr>
      <w:r>
        <w:t xml:space="preserve">This Conclusion document provides the </w:t>
      </w:r>
      <w:r w:rsidRPr="003016DF">
        <w:t xml:space="preserve">outcome of the </w:t>
      </w:r>
      <w:r>
        <w:t>RMOA</w:t>
      </w:r>
      <w:r w:rsidRPr="003016DF">
        <w:t xml:space="preserve"> carried out by the </w:t>
      </w:r>
      <w:r>
        <w:t>author authority</w:t>
      </w:r>
      <w:r w:rsidR="00EA39D6">
        <w:t xml:space="preserve">. </w:t>
      </w:r>
      <w:r w:rsidRPr="003016DF">
        <w:t xml:space="preserve">In this conclusion document, the </w:t>
      </w:r>
      <w:r>
        <w:t>authority</w:t>
      </w:r>
      <w:r w:rsidRPr="003016DF">
        <w:t xml:space="preserve"> consider</w:t>
      </w:r>
      <w:r>
        <w:t>s</w:t>
      </w:r>
      <w:r w:rsidRPr="003016DF">
        <w:t xml:space="preserve"> how the</w:t>
      </w:r>
      <w:r>
        <w:t xml:space="preserve"> available </w:t>
      </w:r>
      <w:r w:rsidRPr="003016DF">
        <w:t xml:space="preserve">information </w:t>
      </w:r>
      <w:r>
        <w:t xml:space="preserve">collected </w:t>
      </w:r>
      <w:r w:rsidRPr="003016DF">
        <w:t xml:space="preserve">on the substance can be used </w:t>
      </w:r>
      <w:r>
        <w:t>to conclude whether regulatory risk management activities are required for a substance and which is the most appropriate instrument to address a concern</w:t>
      </w:r>
      <w:r w:rsidRPr="003016DF">
        <w:t>. Wi</w:t>
      </w:r>
      <w:r>
        <w:t xml:space="preserve">th this Conclusion document </w:t>
      </w:r>
      <w:r w:rsidRPr="003016DF">
        <w:t>the Commission, the competent authorities of the other Member States</w:t>
      </w:r>
      <w:r>
        <w:t xml:space="preserve"> and stakeholders</w:t>
      </w:r>
      <w:r w:rsidRPr="003016DF">
        <w:t xml:space="preserve"> are informed of the considerations of the </w:t>
      </w:r>
      <w:r>
        <w:t>author authority</w:t>
      </w:r>
      <w:r w:rsidRPr="003016DF">
        <w:t xml:space="preserve">. In case the </w:t>
      </w:r>
      <w:r>
        <w:t>author authority</w:t>
      </w:r>
      <w:r w:rsidRPr="003016DF">
        <w:t xml:space="preserve"> proposes</w:t>
      </w:r>
      <w:r>
        <w:t xml:space="preserve"> in this conclusion document</w:t>
      </w:r>
      <w:r w:rsidRPr="003016DF">
        <w:t xml:space="preserve"> further regulatory risk management measures, this shall not be considered initiating those other measures or processes. </w:t>
      </w:r>
      <w:r>
        <w:t>Since this document only reflects the views of the author authority, it does not preclude Member States or the European Commission from considering or initiating regulatory risk management measures which they deem appropriate.</w:t>
      </w:r>
    </w:p>
    <w:p w14:paraId="683539C7" w14:textId="77777777" w:rsidR="002E4026" w:rsidRDefault="002E4026" w:rsidP="002E4026">
      <w:pPr>
        <w:spacing w:after="120"/>
        <w:jc w:val="both"/>
        <w:rPr>
          <w:b/>
        </w:rPr>
        <w:sectPr w:rsidR="002E4026">
          <w:pgSz w:w="11906" w:h="16838"/>
          <w:pgMar w:top="1440" w:right="1440" w:bottom="1440" w:left="1440" w:header="708" w:footer="708" w:gutter="0"/>
          <w:cols w:space="708"/>
          <w:docGrid w:linePitch="360"/>
        </w:sectPr>
      </w:pPr>
    </w:p>
    <w:p w14:paraId="683539C8" w14:textId="77777777" w:rsidR="00BE5AF4" w:rsidRPr="000711F7" w:rsidRDefault="009C2172" w:rsidP="00BE5AF4">
      <w:pPr>
        <w:pStyle w:val="Heading3"/>
        <w:numPr>
          <w:ilvl w:val="0"/>
          <w:numId w:val="6"/>
        </w:numPr>
        <w:rPr>
          <w:color w:val="4F81BD" w:themeColor="accent1"/>
          <w:sz w:val="24"/>
          <w:szCs w:val="28"/>
        </w:rPr>
      </w:pPr>
      <w:r w:rsidRPr="000711F7">
        <w:rPr>
          <w:color w:val="4F81BD" w:themeColor="accent1"/>
          <w:sz w:val="24"/>
          <w:szCs w:val="28"/>
        </w:rPr>
        <w:lastRenderedPageBreak/>
        <w:t xml:space="preserve">OVERVIEW OF OTHER </w:t>
      </w:r>
      <w:r w:rsidR="00BE5AF4" w:rsidRPr="000711F7">
        <w:rPr>
          <w:color w:val="4F81BD" w:themeColor="accent1"/>
          <w:sz w:val="24"/>
          <w:szCs w:val="28"/>
        </w:rPr>
        <w:t>PROCESSES</w:t>
      </w:r>
      <w:r w:rsidR="00262180" w:rsidRPr="000711F7">
        <w:rPr>
          <w:color w:val="4F81BD" w:themeColor="accent1"/>
          <w:sz w:val="24"/>
          <w:szCs w:val="28"/>
        </w:rPr>
        <w:t xml:space="preserve"> / EU </w:t>
      </w:r>
      <w:r w:rsidR="005575E6" w:rsidRPr="000711F7">
        <w:rPr>
          <w:color w:val="4F81BD" w:themeColor="accent1"/>
          <w:sz w:val="24"/>
          <w:szCs w:val="28"/>
        </w:rPr>
        <w:t>LEGISLATION</w:t>
      </w:r>
    </w:p>
    <w:p w14:paraId="089EBED9" w14:textId="77777777" w:rsidR="00EA39D6" w:rsidRPr="00A44649" w:rsidRDefault="00EA39D6" w:rsidP="00EA39D6">
      <w:pPr>
        <w:pStyle w:val="Caption"/>
        <w:rPr>
          <w:rFonts w:ascii="Verdana" w:hAnsi="Verdana"/>
          <w:sz w:val="20"/>
        </w:rPr>
      </w:pPr>
      <w:r w:rsidRPr="00A44649">
        <w:rPr>
          <w:rFonts w:ascii="Verdana" w:hAnsi="Verdana"/>
          <w:sz w:val="20"/>
        </w:rPr>
        <w:t xml:space="preserve">A RMOA on </w:t>
      </w:r>
      <w:r>
        <w:rPr>
          <w:rFonts w:ascii="Verdana" w:hAnsi="Verdana"/>
          <w:sz w:val="20"/>
        </w:rPr>
        <w:t>4-MBC and the similar substance 3-BC was prepared</w:t>
      </w:r>
      <w:r w:rsidRPr="00A44649">
        <w:rPr>
          <w:rFonts w:ascii="Verdana" w:hAnsi="Verdana"/>
          <w:sz w:val="20"/>
        </w:rPr>
        <w:t xml:space="preserve"> by Germany</w:t>
      </w:r>
      <w:r>
        <w:rPr>
          <w:rFonts w:ascii="Verdana" w:hAnsi="Verdana"/>
          <w:sz w:val="20"/>
        </w:rPr>
        <w:t xml:space="preserve"> in June 2015. It concluded</w:t>
      </w:r>
      <w:r w:rsidRPr="00A44649">
        <w:rPr>
          <w:rFonts w:ascii="Verdana" w:hAnsi="Verdana"/>
          <w:sz w:val="20"/>
        </w:rPr>
        <w:t xml:space="preserve"> that it </w:t>
      </w:r>
      <w:r>
        <w:rPr>
          <w:rFonts w:ascii="Verdana" w:hAnsi="Verdana"/>
          <w:sz w:val="20"/>
        </w:rPr>
        <w:t>was</w:t>
      </w:r>
      <w:r w:rsidRPr="00A44649">
        <w:rPr>
          <w:rFonts w:ascii="Verdana" w:hAnsi="Verdana"/>
          <w:sz w:val="20"/>
        </w:rPr>
        <w:t xml:space="preserve"> appropriate to initiate regulatory risk management action</w:t>
      </w:r>
      <w:r>
        <w:rPr>
          <w:rFonts w:ascii="Verdana" w:hAnsi="Verdana"/>
          <w:sz w:val="20"/>
        </w:rPr>
        <w:t>s for these two substances due to their endocrine disrupting properties in the environment</w:t>
      </w:r>
      <w:r w:rsidRPr="00A44649">
        <w:rPr>
          <w:rFonts w:ascii="Verdana" w:hAnsi="Verdana"/>
          <w:sz w:val="20"/>
        </w:rPr>
        <w:t xml:space="preserve">. </w:t>
      </w:r>
      <w:r>
        <w:rPr>
          <w:rFonts w:ascii="Verdana" w:hAnsi="Verdana"/>
          <w:sz w:val="20"/>
        </w:rPr>
        <w:t>Following the RMOA, Germany</w:t>
      </w:r>
      <w:r w:rsidRPr="00A44649">
        <w:rPr>
          <w:rFonts w:ascii="Verdana" w:hAnsi="Verdana"/>
          <w:sz w:val="20"/>
        </w:rPr>
        <w:t xml:space="preserve"> proposed to identify the substance</w:t>
      </w:r>
      <w:r>
        <w:rPr>
          <w:rFonts w:ascii="Verdana" w:hAnsi="Verdana"/>
          <w:sz w:val="20"/>
        </w:rPr>
        <w:t>s</w:t>
      </w:r>
      <w:r w:rsidRPr="00A44649">
        <w:rPr>
          <w:rFonts w:ascii="Verdana" w:hAnsi="Verdana"/>
          <w:sz w:val="20"/>
        </w:rPr>
        <w:t xml:space="preserve"> </w:t>
      </w:r>
      <w:r>
        <w:rPr>
          <w:rFonts w:ascii="Verdana" w:hAnsi="Verdana"/>
          <w:sz w:val="20"/>
        </w:rPr>
        <w:t>as</w:t>
      </w:r>
      <w:r w:rsidRPr="00A44649">
        <w:rPr>
          <w:rFonts w:ascii="Verdana" w:hAnsi="Verdana"/>
          <w:sz w:val="20"/>
        </w:rPr>
        <w:t xml:space="preserve"> substance</w:t>
      </w:r>
      <w:r>
        <w:rPr>
          <w:rFonts w:ascii="Verdana" w:hAnsi="Verdana"/>
          <w:sz w:val="20"/>
        </w:rPr>
        <w:t>s</w:t>
      </w:r>
      <w:r w:rsidRPr="00A44649">
        <w:rPr>
          <w:rFonts w:ascii="Verdana" w:hAnsi="Verdana"/>
          <w:sz w:val="20"/>
        </w:rPr>
        <w:t xml:space="preserve"> of very high conce</w:t>
      </w:r>
      <w:r>
        <w:rPr>
          <w:rFonts w:ascii="Verdana" w:hAnsi="Verdana"/>
          <w:sz w:val="20"/>
        </w:rPr>
        <w:t>rn due to their</w:t>
      </w:r>
      <w:r w:rsidRPr="00A44649">
        <w:rPr>
          <w:rFonts w:ascii="Verdana" w:hAnsi="Verdana"/>
          <w:sz w:val="20"/>
        </w:rPr>
        <w:t xml:space="preserve"> Equivalent level of concern having probable serious effects to </w:t>
      </w:r>
      <w:r>
        <w:rPr>
          <w:rFonts w:ascii="Verdana" w:hAnsi="Verdana"/>
          <w:sz w:val="20"/>
        </w:rPr>
        <w:t>the environment according to REACH Article 57 f. The proposal to identify 3-BC as a substance of very high concern was not unanimously agreed by the Member State Committee but later adopted by the Commission. The proposal to identify 4-MBC as a substance of very high concern</w:t>
      </w:r>
      <w:r w:rsidRPr="00A44649">
        <w:rPr>
          <w:rFonts w:ascii="Verdana" w:hAnsi="Verdana"/>
          <w:sz w:val="20"/>
        </w:rPr>
        <w:t xml:space="preserve"> was withdrawn</w:t>
      </w:r>
      <w:r>
        <w:rPr>
          <w:rFonts w:ascii="Verdana" w:hAnsi="Verdana"/>
          <w:sz w:val="20"/>
        </w:rPr>
        <w:t xml:space="preserve"> in the Member State Committee</w:t>
      </w:r>
      <w:r w:rsidRPr="00A44649">
        <w:rPr>
          <w:rFonts w:ascii="Verdana" w:hAnsi="Verdana"/>
          <w:sz w:val="20"/>
        </w:rPr>
        <w:t xml:space="preserve"> </w:t>
      </w:r>
      <w:r w:rsidRPr="003D2622">
        <w:rPr>
          <w:rFonts w:ascii="Verdana" w:hAnsi="Verdana"/>
          <w:sz w:val="20"/>
        </w:rPr>
        <w:t>in order to further</w:t>
      </w:r>
      <w:r>
        <w:rPr>
          <w:rFonts w:ascii="Verdana" w:hAnsi="Verdana"/>
          <w:sz w:val="20"/>
        </w:rPr>
        <w:t xml:space="preserve"> </w:t>
      </w:r>
      <w:r w:rsidRPr="003D2622">
        <w:rPr>
          <w:rFonts w:ascii="Verdana" w:hAnsi="Verdana"/>
          <w:sz w:val="20"/>
        </w:rPr>
        <w:t xml:space="preserve">elaborate on the justification provided in the </w:t>
      </w:r>
      <w:r>
        <w:rPr>
          <w:rFonts w:ascii="Verdana" w:hAnsi="Verdana"/>
          <w:sz w:val="20"/>
        </w:rPr>
        <w:t>dossier. The withdrawal was based on lack of data on the substance. Therefore,</w:t>
      </w:r>
      <w:r w:rsidRPr="00A44649">
        <w:rPr>
          <w:rFonts w:ascii="Verdana" w:hAnsi="Verdana"/>
          <w:sz w:val="20"/>
        </w:rPr>
        <w:t xml:space="preserve"> </w:t>
      </w:r>
      <w:r>
        <w:rPr>
          <w:rFonts w:ascii="Verdana" w:hAnsi="Verdana"/>
          <w:sz w:val="20"/>
        </w:rPr>
        <w:t>4-MBC</w:t>
      </w:r>
      <w:r w:rsidRPr="00A44649">
        <w:rPr>
          <w:rFonts w:ascii="Verdana" w:hAnsi="Verdana"/>
          <w:sz w:val="20"/>
        </w:rPr>
        <w:t xml:space="preserve"> is currently being evaluated by Germany under substance evaluation due to a concern for endocrine disrupting properties in the environment.</w:t>
      </w:r>
    </w:p>
    <w:p w14:paraId="683539CB" w14:textId="4D0C47F9" w:rsidR="00E86372" w:rsidRDefault="00EA39D6" w:rsidP="00EA39D6">
      <w:pPr>
        <w:widowControl/>
        <w:spacing w:after="200" w:line="276" w:lineRule="auto"/>
        <w:rPr>
          <w:rFonts w:cs="Arial"/>
          <w:b/>
          <w:bCs/>
          <w:snapToGrid/>
          <w:color w:val="4F81BD" w:themeColor="accent1"/>
          <w:sz w:val="28"/>
          <w:szCs w:val="28"/>
        </w:rPr>
      </w:pPr>
      <w:r w:rsidRPr="00917831">
        <w:t xml:space="preserve">4-MBC </w:t>
      </w:r>
      <w:r>
        <w:t>is also listed in the Regulation</w:t>
      </w:r>
      <w:r w:rsidRPr="00917831">
        <w:t xml:space="preserve"> (EC) No 1223/2009 OF THE EUROPEAN PARLIAMENT AND OF THE COUNCIL of 30 November 2009 on cosmetic products, ANNEX VI: List of UV filters allowed in cosmetic products with a maximum concentration in ready for use preparations of 4%. In a conclusion of the Scientific Committee on Consumer Products (SCCP) 4-MBC is considered to be safe for the use in cosmetic products up to a concentration of 4</w:t>
      </w:r>
      <w:r>
        <w:t xml:space="preserve"> </w:t>
      </w:r>
      <w:r w:rsidRPr="00917831">
        <w:t xml:space="preserve">%. This opinion is restricted to the safety evaluation of 4-MBC as UV filter after dermal application of </w:t>
      </w:r>
      <w:r>
        <w:t>a cosmetic product (SCCP, 2008) and it is furthermore stated that risks from inhalation or oral exposure cannot be excluded.</w:t>
      </w:r>
    </w:p>
    <w:p w14:paraId="683539CC" w14:textId="77777777" w:rsidR="00BE5AF4" w:rsidRPr="000711F7" w:rsidRDefault="00BE5AF4" w:rsidP="00BE5AF4">
      <w:pPr>
        <w:pStyle w:val="Heading3"/>
        <w:numPr>
          <w:ilvl w:val="0"/>
          <w:numId w:val="6"/>
        </w:numPr>
        <w:rPr>
          <w:color w:val="4F81BD" w:themeColor="accent1"/>
          <w:sz w:val="24"/>
          <w:szCs w:val="28"/>
        </w:rPr>
      </w:pPr>
      <w:r w:rsidRPr="000711F7">
        <w:rPr>
          <w:color w:val="4F81BD" w:themeColor="accent1"/>
          <w:sz w:val="24"/>
          <w:szCs w:val="28"/>
        </w:rPr>
        <w:t>CONCLUSION</w:t>
      </w:r>
      <w:r w:rsidR="00166209" w:rsidRPr="000711F7">
        <w:rPr>
          <w:color w:val="4F81BD" w:themeColor="accent1"/>
          <w:sz w:val="24"/>
          <w:szCs w:val="28"/>
        </w:rPr>
        <w:t xml:space="preserve"> OF RMOA</w:t>
      </w:r>
    </w:p>
    <w:p w14:paraId="683539CD" w14:textId="77777777" w:rsidR="00BE5AF4" w:rsidRPr="00D53A3D" w:rsidRDefault="00BE5AF4" w:rsidP="00FB30A3">
      <w:r w:rsidRPr="00D53A3D">
        <w:t>This conclusion is based on the REACH and CLP data as well as other available relevant information taking into account the SVHC Roadmap to 2020, where appropriate.</w:t>
      </w:r>
    </w:p>
    <w:p w14:paraId="683539CE" w14:textId="77777777" w:rsidR="00D37806" w:rsidRDefault="00D37806" w:rsidP="00FB30A3">
      <w:pPr>
        <w:rPr>
          <w:i/>
        </w:rPr>
      </w:pPr>
    </w:p>
    <w:p w14:paraId="683539D0" w14:textId="77777777" w:rsidR="00BE5AF4" w:rsidRDefault="00BE5AF4" w:rsidP="00BE5AF4">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912"/>
      </w:tblGrid>
      <w:tr w:rsidR="00B2524D" w:rsidRPr="00B2524D" w:rsidDel="001E1883" w14:paraId="683539D3" w14:textId="77777777" w:rsidTr="009D30A3">
        <w:trPr>
          <w:trHeight w:val="175"/>
        </w:trPr>
        <w:tc>
          <w:tcPr>
            <w:tcW w:w="7338" w:type="dxa"/>
            <w:shd w:val="clear" w:color="auto" w:fill="auto"/>
          </w:tcPr>
          <w:p w14:paraId="683539D1" w14:textId="77777777" w:rsidR="00B2524D" w:rsidRPr="00B2524D" w:rsidRDefault="00B2524D" w:rsidP="00B2524D">
            <w:pPr>
              <w:spacing w:before="120"/>
              <w:rPr>
                <w:b/>
              </w:rPr>
            </w:pPr>
            <w:r w:rsidRPr="00B2524D">
              <w:rPr>
                <w:b/>
              </w:rPr>
              <w:t>Conclusions</w:t>
            </w:r>
          </w:p>
        </w:tc>
        <w:tc>
          <w:tcPr>
            <w:tcW w:w="912" w:type="dxa"/>
          </w:tcPr>
          <w:p w14:paraId="683539D2" w14:textId="77777777" w:rsidR="00B2524D" w:rsidRPr="00B2524D" w:rsidDel="001E1883" w:rsidRDefault="00B2524D" w:rsidP="00B2524D">
            <w:pPr>
              <w:rPr>
                <w:b/>
              </w:rPr>
            </w:pPr>
            <w:r w:rsidRPr="00B2524D">
              <w:rPr>
                <w:b/>
              </w:rPr>
              <w:t>Tick box</w:t>
            </w:r>
          </w:p>
        </w:tc>
      </w:tr>
      <w:tr w:rsidR="00B2524D" w:rsidRPr="00B2524D" w:rsidDel="001E1883" w14:paraId="683539D6" w14:textId="77777777" w:rsidTr="009D30A3">
        <w:trPr>
          <w:trHeight w:val="454"/>
        </w:trPr>
        <w:tc>
          <w:tcPr>
            <w:tcW w:w="7338" w:type="dxa"/>
            <w:tcBorders>
              <w:bottom w:val="dashed" w:sz="4" w:space="0" w:color="auto"/>
            </w:tcBorders>
            <w:shd w:val="clear" w:color="auto" w:fill="auto"/>
            <w:vAlign w:val="center"/>
          </w:tcPr>
          <w:p w14:paraId="683539D4" w14:textId="77777777" w:rsidR="00B2524D" w:rsidRPr="00B2524D" w:rsidDel="001E1883" w:rsidRDefault="00B2524D" w:rsidP="00B2524D">
            <w:pPr>
              <w:spacing w:line="276" w:lineRule="auto"/>
            </w:pPr>
            <w:r w:rsidRPr="00B2524D">
              <w:t>Need for follow-up regulatory action at EU level:</w:t>
            </w:r>
          </w:p>
        </w:tc>
        <w:tc>
          <w:tcPr>
            <w:tcW w:w="912" w:type="dxa"/>
            <w:tcBorders>
              <w:bottom w:val="dashed" w:sz="4" w:space="0" w:color="auto"/>
            </w:tcBorders>
            <w:vAlign w:val="center"/>
          </w:tcPr>
          <w:p w14:paraId="683539D5" w14:textId="31D38616" w:rsidR="00B2524D" w:rsidRPr="00B2524D" w:rsidDel="001E1883" w:rsidRDefault="00EA39D6" w:rsidP="00B2524D">
            <w:pPr>
              <w:spacing w:line="276" w:lineRule="auto"/>
            </w:pPr>
            <w:r>
              <w:t>X</w:t>
            </w:r>
          </w:p>
        </w:tc>
      </w:tr>
      <w:tr w:rsidR="00B2524D" w:rsidRPr="00B2524D" w14:paraId="683539D9" w14:textId="77777777" w:rsidTr="009D30A3">
        <w:trPr>
          <w:trHeight w:val="227"/>
        </w:trPr>
        <w:tc>
          <w:tcPr>
            <w:tcW w:w="7338" w:type="dxa"/>
            <w:tcBorders>
              <w:top w:val="dashed" w:sz="4" w:space="0" w:color="auto"/>
              <w:bottom w:val="dashed" w:sz="4" w:space="0" w:color="auto"/>
            </w:tcBorders>
            <w:shd w:val="clear" w:color="auto" w:fill="auto"/>
          </w:tcPr>
          <w:p w14:paraId="683539D7" w14:textId="77777777" w:rsidR="00B2524D" w:rsidRPr="00B2524D" w:rsidRDefault="00B2524D" w:rsidP="00B2524D">
            <w:pPr>
              <w:spacing w:line="276" w:lineRule="auto"/>
              <w:ind w:left="340"/>
              <w:rPr>
                <w:i/>
              </w:rPr>
            </w:pPr>
            <w:r w:rsidRPr="00B2524D">
              <w:rPr>
                <w:i/>
              </w:rPr>
              <w:t>Harmonised classification and labelling</w:t>
            </w:r>
          </w:p>
        </w:tc>
        <w:tc>
          <w:tcPr>
            <w:tcW w:w="912" w:type="dxa"/>
            <w:tcBorders>
              <w:top w:val="dashed" w:sz="4" w:space="0" w:color="auto"/>
              <w:bottom w:val="dashed" w:sz="4" w:space="0" w:color="auto"/>
            </w:tcBorders>
            <w:vAlign w:val="center"/>
          </w:tcPr>
          <w:p w14:paraId="683539D8" w14:textId="77777777" w:rsidR="00B2524D" w:rsidRPr="00B2524D" w:rsidRDefault="00B2524D" w:rsidP="00B2524D"/>
        </w:tc>
      </w:tr>
      <w:tr w:rsidR="00B2524D" w:rsidRPr="00B2524D" w14:paraId="683539DC" w14:textId="77777777" w:rsidTr="009D30A3">
        <w:trPr>
          <w:trHeight w:val="227"/>
        </w:trPr>
        <w:tc>
          <w:tcPr>
            <w:tcW w:w="7338" w:type="dxa"/>
            <w:tcBorders>
              <w:top w:val="dashed" w:sz="4" w:space="0" w:color="auto"/>
              <w:bottom w:val="dashed" w:sz="4" w:space="0" w:color="auto"/>
            </w:tcBorders>
            <w:shd w:val="clear" w:color="auto" w:fill="auto"/>
          </w:tcPr>
          <w:p w14:paraId="683539DA" w14:textId="77777777" w:rsidR="00B2524D" w:rsidRPr="00B2524D" w:rsidRDefault="00B2524D" w:rsidP="00B2524D">
            <w:pPr>
              <w:spacing w:line="276" w:lineRule="auto"/>
              <w:ind w:left="340"/>
              <w:rPr>
                <w:i/>
              </w:rPr>
            </w:pPr>
            <w:r w:rsidRPr="00B2524D">
              <w:rPr>
                <w:i/>
              </w:rPr>
              <w:t>Identification as SVHC (authorisation)</w:t>
            </w:r>
          </w:p>
        </w:tc>
        <w:tc>
          <w:tcPr>
            <w:tcW w:w="912" w:type="dxa"/>
            <w:tcBorders>
              <w:top w:val="dashed" w:sz="4" w:space="0" w:color="auto"/>
              <w:bottom w:val="dashed" w:sz="4" w:space="0" w:color="auto"/>
            </w:tcBorders>
            <w:vAlign w:val="center"/>
          </w:tcPr>
          <w:p w14:paraId="683539DB" w14:textId="6ED06BE1" w:rsidR="00B2524D" w:rsidRPr="00B2524D" w:rsidRDefault="00EA39D6" w:rsidP="00B2524D">
            <w:pPr>
              <w:jc w:val="center"/>
            </w:pPr>
            <w:r>
              <w:t>X</w:t>
            </w:r>
          </w:p>
        </w:tc>
      </w:tr>
      <w:tr w:rsidR="00B2524D" w:rsidRPr="00B2524D" w14:paraId="683539DF" w14:textId="77777777" w:rsidTr="009D30A3">
        <w:trPr>
          <w:trHeight w:val="227"/>
        </w:trPr>
        <w:tc>
          <w:tcPr>
            <w:tcW w:w="7338" w:type="dxa"/>
            <w:tcBorders>
              <w:top w:val="dashed" w:sz="4" w:space="0" w:color="auto"/>
              <w:bottom w:val="dashed" w:sz="4" w:space="0" w:color="auto"/>
            </w:tcBorders>
            <w:shd w:val="clear" w:color="auto" w:fill="auto"/>
          </w:tcPr>
          <w:p w14:paraId="683539DD" w14:textId="77777777" w:rsidR="00B2524D" w:rsidRPr="00B2524D" w:rsidRDefault="008A1880" w:rsidP="00B2524D">
            <w:pPr>
              <w:spacing w:line="276" w:lineRule="auto"/>
              <w:ind w:left="340"/>
              <w:rPr>
                <w:i/>
              </w:rPr>
            </w:pPr>
            <w:r>
              <w:rPr>
                <w:i/>
              </w:rPr>
              <w:t>Restriction</w:t>
            </w:r>
            <w:r w:rsidR="00B2524D" w:rsidRPr="00B2524D">
              <w:rPr>
                <w:i/>
              </w:rPr>
              <w:t xml:space="preserve"> under REACH</w:t>
            </w:r>
          </w:p>
        </w:tc>
        <w:tc>
          <w:tcPr>
            <w:tcW w:w="912" w:type="dxa"/>
            <w:tcBorders>
              <w:top w:val="dashed" w:sz="4" w:space="0" w:color="auto"/>
              <w:bottom w:val="dashed" w:sz="4" w:space="0" w:color="auto"/>
            </w:tcBorders>
            <w:vAlign w:val="center"/>
          </w:tcPr>
          <w:p w14:paraId="683539DE" w14:textId="77777777" w:rsidR="00B2524D" w:rsidRPr="00B2524D" w:rsidRDefault="00B2524D" w:rsidP="00B2524D"/>
        </w:tc>
      </w:tr>
      <w:tr w:rsidR="00B2524D" w:rsidRPr="00B2524D" w14:paraId="683539E2" w14:textId="77777777" w:rsidTr="009D30A3">
        <w:trPr>
          <w:trHeight w:val="227"/>
        </w:trPr>
        <w:tc>
          <w:tcPr>
            <w:tcW w:w="7338" w:type="dxa"/>
            <w:tcBorders>
              <w:top w:val="dashed" w:sz="4" w:space="0" w:color="auto"/>
            </w:tcBorders>
            <w:shd w:val="clear" w:color="auto" w:fill="auto"/>
          </w:tcPr>
          <w:p w14:paraId="683539E0" w14:textId="77777777" w:rsidR="00B2524D" w:rsidRPr="00B2524D" w:rsidRDefault="00B2524D" w:rsidP="00B2524D">
            <w:pPr>
              <w:spacing w:line="276" w:lineRule="auto"/>
              <w:ind w:left="340"/>
              <w:rPr>
                <w:i/>
              </w:rPr>
            </w:pPr>
            <w:r w:rsidRPr="00B2524D">
              <w:rPr>
                <w:i/>
              </w:rPr>
              <w:t>Other EU-wide regulatory measures</w:t>
            </w:r>
          </w:p>
        </w:tc>
        <w:tc>
          <w:tcPr>
            <w:tcW w:w="912" w:type="dxa"/>
            <w:tcBorders>
              <w:top w:val="dashed" w:sz="4" w:space="0" w:color="auto"/>
            </w:tcBorders>
            <w:vAlign w:val="center"/>
          </w:tcPr>
          <w:p w14:paraId="683539E1" w14:textId="77777777" w:rsidR="00B2524D" w:rsidRPr="00B2524D" w:rsidRDefault="00B2524D" w:rsidP="00B2524D">
            <w:pPr>
              <w:jc w:val="center"/>
            </w:pPr>
          </w:p>
        </w:tc>
      </w:tr>
      <w:tr w:rsidR="00B2524D" w:rsidRPr="00B2524D" w14:paraId="683539E5" w14:textId="77777777" w:rsidTr="009D30A3">
        <w:trPr>
          <w:trHeight w:val="227"/>
        </w:trPr>
        <w:tc>
          <w:tcPr>
            <w:tcW w:w="7338" w:type="dxa"/>
            <w:shd w:val="clear" w:color="auto" w:fill="auto"/>
            <w:vAlign w:val="center"/>
          </w:tcPr>
          <w:p w14:paraId="683539E3" w14:textId="77777777" w:rsidR="00B2524D" w:rsidRPr="00B2524D" w:rsidRDefault="00B2524D" w:rsidP="00B2524D">
            <w:pPr>
              <w:spacing w:line="276" w:lineRule="auto"/>
            </w:pPr>
            <w:r w:rsidRPr="00B2524D">
              <w:t>Need for action other than EU regulatory action</w:t>
            </w:r>
          </w:p>
        </w:tc>
        <w:tc>
          <w:tcPr>
            <w:tcW w:w="912" w:type="dxa"/>
            <w:vAlign w:val="center"/>
          </w:tcPr>
          <w:p w14:paraId="683539E4" w14:textId="77777777" w:rsidR="00B2524D" w:rsidRPr="00B2524D" w:rsidRDefault="00B2524D" w:rsidP="00B2524D">
            <w:pPr>
              <w:spacing w:line="276" w:lineRule="auto"/>
              <w:jc w:val="center"/>
            </w:pPr>
          </w:p>
        </w:tc>
      </w:tr>
      <w:tr w:rsidR="00B2524D" w:rsidRPr="00B2524D" w14:paraId="683539E8" w14:textId="77777777" w:rsidTr="009D30A3">
        <w:trPr>
          <w:trHeight w:val="227"/>
        </w:trPr>
        <w:tc>
          <w:tcPr>
            <w:tcW w:w="7338" w:type="dxa"/>
            <w:shd w:val="clear" w:color="auto" w:fill="auto"/>
            <w:vAlign w:val="center"/>
          </w:tcPr>
          <w:p w14:paraId="683539E6" w14:textId="77777777" w:rsidR="00B2524D" w:rsidRPr="00B2524D" w:rsidRDefault="00B2524D" w:rsidP="00B2524D">
            <w:pPr>
              <w:spacing w:line="276" w:lineRule="auto"/>
            </w:pPr>
            <w:r w:rsidRPr="00B2524D">
              <w:t>No action needed at this time</w:t>
            </w:r>
          </w:p>
        </w:tc>
        <w:tc>
          <w:tcPr>
            <w:tcW w:w="912" w:type="dxa"/>
            <w:vAlign w:val="center"/>
          </w:tcPr>
          <w:p w14:paraId="683539E7" w14:textId="77777777" w:rsidR="00B2524D" w:rsidRPr="00B2524D" w:rsidRDefault="00B2524D" w:rsidP="00B2524D">
            <w:pPr>
              <w:spacing w:line="276" w:lineRule="auto"/>
            </w:pPr>
          </w:p>
        </w:tc>
      </w:tr>
    </w:tbl>
    <w:p w14:paraId="683539E9" w14:textId="77777777" w:rsidR="00B2524D" w:rsidRDefault="00B2524D" w:rsidP="00BE5AF4">
      <w:pPr>
        <w:pStyle w:val="BodyText"/>
      </w:pPr>
    </w:p>
    <w:p w14:paraId="68353A01" w14:textId="77777777" w:rsidR="00A446BC" w:rsidRDefault="00A446BC" w:rsidP="00471457"/>
    <w:p w14:paraId="68353A02" w14:textId="77777777" w:rsidR="00A446BC" w:rsidRPr="006E3CBA" w:rsidRDefault="00A446BC" w:rsidP="00471457"/>
    <w:p w14:paraId="68353A04" w14:textId="10ED0481" w:rsidR="00471457" w:rsidRPr="000711F7" w:rsidRDefault="00AF77F1" w:rsidP="00AF77F1">
      <w:pPr>
        <w:pStyle w:val="Heading3"/>
        <w:numPr>
          <w:ilvl w:val="0"/>
          <w:numId w:val="6"/>
        </w:numPr>
        <w:rPr>
          <w:color w:val="4F81BD" w:themeColor="accent1"/>
          <w:sz w:val="24"/>
          <w:szCs w:val="28"/>
        </w:rPr>
      </w:pPr>
      <w:r w:rsidRPr="00270FFE">
        <w:rPr>
          <w:caps/>
          <w:color w:val="4F81BD" w:themeColor="accent1"/>
          <w:sz w:val="24"/>
          <w:szCs w:val="28"/>
        </w:rPr>
        <w:t>Need for follow-up regulatory action at EU level</w:t>
      </w:r>
      <w:r w:rsidR="00471457" w:rsidRPr="000711F7">
        <w:rPr>
          <w:color w:val="4F81BD" w:themeColor="accent1"/>
          <w:sz w:val="24"/>
          <w:szCs w:val="28"/>
        </w:rPr>
        <w:t xml:space="preserve"> </w:t>
      </w:r>
    </w:p>
    <w:p w14:paraId="12198ACA" w14:textId="31E83733" w:rsidR="00EA39D6" w:rsidRDefault="00EA39D6" w:rsidP="00EA39D6">
      <w:pPr>
        <w:pStyle w:val="BodyText"/>
        <w:rPr>
          <w:lang w:val="en-US"/>
        </w:rPr>
      </w:pPr>
      <w:r w:rsidRPr="00EE2864">
        <w:rPr>
          <w:lang w:val="en-US"/>
        </w:rPr>
        <w:t xml:space="preserve">There is </w:t>
      </w:r>
      <w:r>
        <w:rPr>
          <w:lang w:val="en-US"/>
        </w:rPr>
        <w:t>clear</w:t>
      </w:r>
      <w:r w:rsidRPr="00EE2864">
        <w:rPr>
          <w:lang w:val="en-US"/>
        </w:rPr>
        <w:t xml:space="preserve"> evidence that 4-MBC </w:t>
      </w:r>
      <w:r>
        <w:rPr>
          <w:lang w:val="en-US"/>
        </w:rPr>
        <w:t>is an endocrine disruptor and that there is a need for further regulatory risk management measures. This conclusion is primarily based on the following effects:</w:t>
      </w:r>
      <w:r w:rsidRPr="00EE2864">
        <w:rPr>
          <w:lang w:val="en-US"/>
        </w:rPr>
        <w:t xml:space="preserve"> </w:t>
      </w:r>
    </w:p>
    <w:p w14:paraId="78EE12D7" w14:textId="77777777" w:rsidR="00EA39D6" w:rsidRDefault="00EA39D6" w:rsidP="00EA39D6">
      <w:pPr>
        <w:pStyle w:val="ListBullet"/>
        <w:rPr>
          <w:rFonts w:ascii="Verdana" w:hAnsi="Verdana"/>
          <w:sz w:val="20"/>
        </w:rPr>
      </w:pPr>
      <w:r>
        <w:rPr>
          <w:rFonts w:ascii="Verdana" w:hAnsi="Verdana"/>
          <w:sz w:val="20"/>
        </w:rPr>
        <w:t>T</w:t>
      </w:r>
      <w:r w:rsidRPr="00203157">
        <w:rPr>
          <w:rFonts w:ascii="Verdana" w:hAnsi="Verdana"/>
          <w:sz w:val="20"/>
        </w:rPr>
        <w:t xml:space="preserve">hyroid disruption </w:t>
      </w:r>
      <w:r w:rsidRPr="00E80AFD">
        <w:rPr>
          <w:rFonts w:ascii="Verdana" w:hAnsi="Verdana"/>
          <w:i/>
          <w:sz w:val="20"/>
        </w:rPr>
        <w:t>in vitro</w:t>
      </w:r>
      <w:r w:rsidRPr="00203157">
        <w:rPr>
          <w:rFonts w:ascii="Verdana" w:hAnsi="Verdana"/>
          <w:sz w:val="20"/>
        </w:rPr>
        <w:t xml:space="preserve"> and </w:t>
      </w:r>
      <w:r w:rsidRPr="00E80AFD">
        <w:rPr>
          <w:rFonts w:ascii="Verdana" w:hAnsi="Verdana"/>
          <w:i/>
          <w:sz w:val="20"/>
        </w:rPr>
        <w:t>in vivo</w:t>
      </w:r>
      <w:r w:rsidRPr="00203157">
        <w:rPr>
          <w:rFonts w:ascii="Verdana" w:hAnsi="Verdana"/>
          <w:sz w:val="20"/>
        </w:rPr>
        <w:t xml:space="preserve"> including changes in cir</w:t>
      </w:r>
      <w:r>
        <w:rPr>
          <w:rFonts w:ascii="Verdana" w:hAnsi="Verdana"/>
          <w:sz w:val="20"/>
        </w:rPr>
        <w:t>culating thyroid hormone levels.</w:t>
      </w:r>
      <w:r w:rsidRPr="00203157">
        <w:rPr>
          <w:rFonts w:ascii="Verdana" w:hAnsi="Verdana"/>
          <w:sz w:val="20"/>
        </w:rPr>
        <w:t xml:space="preserve"> </w:t>
      </w:r>
      <w:r>
        <w:rPr>
          <w:rFonts w:ascii="Verdana" w:hAnsi="Verdana"/>
          <w:sz w:val="20"/>
        </w:rPr>
        <w:t>T</w:t>
      </w:r>
      <w:r w:rsidRPr="00203157">
        <w:rPr>
          <w:rFonts w:ascii="Verdana" w:hAnsi="Verdana"/>
          <w:sz w:val="20"/>
        </w:rPr>
        <w:t xml:space="preserve">here is a strong biologically plausible link between the thyroid disrupting mode of action seen </w:t>
      </w:r>
      <w:r w:rsidRPr="00E80AFD">
        <w:rPr>
          <w:rFonts w:ascii="Verdana" w:hAnsi="Verdana"/>
          <w:i/>
          <w:sz w:val="20"/>
        </w:rPr>
        <w:t>in vivo</w:t>
      </w:r>
      <w:r w:rsidRPr="00203157">
        <w:rPr>
          <w:rFonts w:ascii="Verdana" w:hAnsi="Verdana"/>
          <w:sz w:val="20"/>
        </w:rPr>
        <w:t xml:space="preserve"> and the advers</w:t>
      </w:r>
      <w:r>
        <w:rPr>
          <w:rFonts w:ascii="Verdana" w:hAnsi="Verdana"/>
          <w:sz w:val="20"/>
        </w:rPr>
        <w:t>e effects on the thyroid gland.</w:t>
      </w:r>
    </w:p>
    <w:p w14:paraId="6055A96E" w14:textId="77777777" w:rsidR="00EA39D6" w:rsidRPr="00A9732E" w:rsidRDefault="00EA39D6" w:rsidP="00EA39D6">
      <w:pPr>
        <w:pStyle w:val="BodyText"/>
      </w:pPr>
    </w:p>
    <w:p w14:paraId="5151CD62" w14:textId="77777777" w:rsidR="00EA39D6" w:rsidRDefault="00EA39D6" w:rsidP="00EA39D6">
      <w:pPr>
        <w:pStyle w:val="ListBullet"/>
        <w:rPr>
          <w:rFonts w:ascii="Verdana" w:hAnsi="Verdana"/>
          <w:sz w:val="20"/>
        </w:rPr>
      </w:pPr>
      <w:r>
        <w:rPr>
          <w:rFonts w:ascii="Verdana" w:hAnsi="Verdana"/>
          <w:sz w:val="20"/>
        </w:rPr>
        <w:lastRenderedPageBreak/>
        <w:t>E</w:t>
      </w:r>
      <w:r w:rsidRPr="00203157">
        <w:rPr>
          <w:rFonts w:ascii="Verdana" w:hAnsi="Verdana"/>
          <w:sz w:val="20"/>
        </w:rPr>
        <w:t xml:space="preserve">strogenic </w:t>
      </w:r>
      <w:r>
        <w:rPr>
          <w:rFonts w:ascii="Verdana" w:hAnsi="Verdana"/>
          <w:sz w:val="20"/>
        </w:rPr>
        <w:t>activity</w:t>
      </w:r>
      <w:r w:rsidRPr="00203157">
        <w:rPr>
          <w:rFonts w:ascii="Verdana" w:hAnsi="Verdana"/>
          <w:sz w:val="20"/>
        </w:rPr>
        <w:t xml:space="preserve"> of 4-MBC and evidence showing that 4-MBC may also act as an androgen receptor antagonist and inhibit different enzymes of the steroidogenesis. There is also evidence that these MoAs seem to cause alterations in circulating FSH, LH and GnRH levels </w:t>
      </w:r>
      <w:r w:rsidRPr="00E80AFD">
        <w:rPr>
          <w:rFonts w:ascii="Verdana" w:hAnsi="Verdana"/>
          <w:i/>
          <w:sz w:val="20"/>
        </w:rPr>
        <w:t>in vivo</w:t>
      </w:r>
      <w:r w:rsidRPr="00203157">
        <w:rPr>
          <w:rFonts w:ascii="Verdana" w:hAnsi="Verdana"/>
          <w:sz w:val="20"/>
        </w:rPr>
        <w:t xml:space="preserve">. </w:t>
      </w:r>
    </w:p>
    <w:p w14:paraId="4A40FC12" w14:textId="77777777" w:rsidR="00EA39D6" w:rsidRDefault="00EA39D6" w:rsidP="00EA39D6">
      <w:pPr>
        <w:pStyle w:val="ListBullet"/>
        <w:numPr>
          <w:ilvl w:val="0"/>
          <w:numId w:val="0"/>
        </w:numPr>
        <w:ind w:left="357"/>
        <w:rPr>
          <w:rFonts w:ascii="Verdana" w:hAnsi="Verdana"/>
          <w:sz w:val="20"/>
        </w:rPr>
      </w:pPr>
      <w:r w:rsidRPr="00203157">
        <w:rPr>
          <w:rFonts w:ascii="Verdana" w:hAnsi="Verdana"/>
          <w:sz w:val="20"/>
        </w:rPr>
        <w:t xml:space="preserve">There is a strong biologically plausible link between the estrogenic mode of action seen </w:t>
      </w:r>
      <w:r w:rsidRPr="00E80AFD">
        <w:rPr>
          <w:rFonts w:ascii="Verdana" w:hAnsi="Verdana"/>
          <w:i/>
          <w:sz w:val="20"/>
        </w:rPr>
        <w:t>in vitro</w:t>
      </w:r>
      <w:r w:rsidRPr="00203157">
        <w:rPr>
          <w:rFonts w:ascii="Verdana" w:hAnsi="Verdana"/>
          <w:sz w:val="20"/>
        </w:rPr>
        <w:t xml:space="preserve"> and </w:t>
      </w:r>
      <w:r w:rsidRPr="00E80AFD">
        <w:rPr>
          <w:rFonts w:ascii="Verdana" w:hAnsi="Verdana"/>
          <w:i/>
          <w:sz w:val="20"/>
        </w:rPr>
        <w:t>in vivo</w:t>
      </w:r>
      <w:r w:rsidRPr="00203157">
        <w:rPr>
          <w:rFonts w:ascii="Verdana" w:hAnsi="Verdana"/>
          <w:sz w:val="20"/>
        </w:rPr>
        <w:t xml:space="preserve">, the anti-androgenic effects seen </w:t>
      </w:r>
      <w:r w:rsidRPr="00E80AFD">
        <w:rPr>
          <w:rFonts w:ascii="Verdana" w:hAnsi="Verdana"/>
          <w:i/>
          <w:sz w:val="20"/>
        </w:rPr>
        <w:t>in vitro</w:t>
      </w:r>
      <w:r w:rsidRPr="00203157">
        <w:rPr>
          <w:rFonts w:ascii="Verdana" w:hAnsi="Verdana"/>
          <w:sz w:val="20"/>
        </w:rPr>
        <w:t xml:space="preserve"> and the adverse effects seen in peripubertal and adult male and female rats.</w:t>
      </w:r>
    </w:p>
    <w:p w14:paraId="3A1325B7" w14:textId="77777777" w:rsidR="00EA39D6" w:rsidRPr="00A9732E" w:rsidRDefault="00EA39D6" w:rsidP="00EA39D6">
      <w:pPr>
        <w:pStyle w:val="BodyText"/>
      </w:pPr>
    </w:p>
    <w:p w14:paraId="0B9ABBE5" w14:textId="77777777" w:rsidR="00EA39D6" w:rsidRDefault="00EA39D6" w:rsidP="00EA39D6">
      <w:pPr>
        <w:pStyle w:val="ListBullet"/>
        <w:rPr>
          <w:rFonts w:ascii="Verdana" w:hAnsi="Verdana"/>
          <w:sz w:val="20"/>
        </w:rPr>
      </w:pPr>
      <w:r w:rsidRPr="00203157">
        <w:rPr>
          <w:rFonts w:ascii="Verdana" w:hAnsi="Verdana"/>
          <w:sz w:val="20"/>
        </w:rPr>
        <w:t xml:space="preserve">Hormonal changes in males leading to adverse reproductive effects on prostate development and physiology, and evidence that other parts of the male reproductive tract can be adversely affected. In females, there is evidence that combined perinatal and adult exposure can lead to adverse effects on sexual behavior.  </w:t>
      </w:r>
    </w:p>
    <w:p w14:paraId="4A26EE92" w14:textId="77777777" w:rsidR="00EA39D6" w:rsidRDefault="00EA39D6" w:rsidP="00EA39D6">
      <w:pPr>
        <w:pStyle w:val="ListBullet"/>
        <w:numPr>
          <w:ilvl w:val="0"/>
          <w:numId w:val="0"/>
        </w:numPr>
        <w:rPr>
          <w:rFonts w:ascii="Verdana" w:hAnsi="Verdana"/>
          <w:sz w:val="20"/>
        </w:rPr>
      </w:pPr>
    </w:p>
    <w:p w14:paraId="529B4196" w14:textId="77777777" w:rsidR="00EA39D6" w:rsidRPr="003F5A1B" w:rsidRDefault="00EA39D6" w:rsidP="00EA39D6">
      <w:pPr>
        <w:pStyle w:val="ListBullet"/>
        <w:numPr>
          <w:ilvl w:val="0"/>
          <w:numId w:val="0"/>
        </w:numPr>
        <w:rPr>
          <w:rFonts w:ascii="Verdana" w:hAnsi="Verdana"/>
          <w:sz w:val="20"/>
        </w:rPr>
      </w:pPr>
      <w:r>
        <w:rPr>
          <w:rFonts w:ascii="Verdana" w:hAnsi="Verdana"/>
          <w:sz w:val="20"/>
          <w:lang w:val="en-US"/>
        </w:rPr>
        <w:t>Consequently, based on a Weight of Evidence-</w:t>
      </w:r>
      <w:r w:rsidRPr="003F5A1B">
        <w:rPr>
          <w:rFonts w:ascii="Verdana" w:hAnsi="Verdana"/>
          <w:sz w:val="20"/>
          <w:lang w:val="en-US"/>
        </w:rPr>
        <w:t xml:space="preserve">evaluation, 4-MBC is concluded to meet the WHO definition of an endocrine disruptor with both estrogenic and thyroid disrupting modes of action, leading to adverse reproductive effects in both males and females and adverse effect on the thyroid gland. </w:t>
      </w:r>
      <w:r>
        <w:rPr>
          <w:rFonts w:ascii="Verdana" w:hAnsi="Verdana"/>
          <w:sz w:val="20"/>
          <w:lang w:val="en-US"/>
        </w:rPr>
        <w:t xml:space="preserve"> </w:t>
      </w:r>
    </w:p>
    <w:p w14:paraId="68353A08" w14:textId="292FFC92" w:rsidR="003C3793" w:rsidRDefault="00EA39D6" w:rsidP="00EA39D6">
      <w:pPr>
        <w:pStyle w:val="BodyText"/>
      </w:pPr>
      <w:r>
        <w:rPr>
          <w:lang w:val="en-US"/>
        </w:rPr>
        <w:t xml:space="preserve">4-MBC is considered to have similar properties as 3-BC which has already been identified as a substance of very high concern (SVHC) owing to its endocrine disrupting properties in the environment. Furthermore, 3-BC is </w:t>
      </w:r>
      <w:r w:rsidRPr="00373538">
        <w:rPr>
          <w:lang w:val="en-US"/>
        </w:rPr>
        <w:t>banned from use in any cosmetic products marketed for sale or use in the European Union</w:t>
      </w:r>
      <w:r>
        <w:rPr>
          <w:lang w:val="en-US"/>
        </w:rPr>
        <w:t xml:space="preserve"> under the Cosmetic Product Regulation</w:t>
      </w:r>
      <w:r w:rsidRPr="00373538">
        <w:rPr>
          <w:lang w:val="en-US"/>
        </w:rPr>
        <w:t>.</w:t>
      </w:r>
      <w:r>
        <w:rPr>
          <w:lang w:val="en-US"/>
        </w:rPr>
        <w:t xml:space="preserve"> While 3-BC is still to be registered under REACH, 4-MBC was registered in 2018 and is on Annex VIII under REACH with a tonnage of 10-100 tonnes per year. As 4-MBC should not be used as an alternative to 3-BC due to the similar hazard profiles of the two substances, there is a need to apply appropriate risk management measures for 4-MBC.</w:t>
      </w:r>
    </w:p>
    <w:p w14:paraId="68353A09" w14:textId="7A5D573D" w:rsidR="00AF77F1" w:rsidRPr="00784A7F" w:rsidRDefault="004F6831" w:rsidP="004F6831">
      <w:pPr>
        <w:pStyle w:val="Heading3"/>
        <w:widowControl/>
        <w:numPr>
          <w:ilvl w:val="1"/>
          <w:numId w:val="6"/>
        </w:numPr>
        <w:spacing w:before="200" w:after="0" w:line="276" w:lineRule="auto"/>
        <w:rPr>
          <w:color w:val="365F91" w:themeColor="accent1" w:themeShade="BF"/>
          <w:sz w:val="24"/>
          <w:szCs w:val="24"/>
        </w:rPr>
      </w:pPr>
      <w:r w:rsidRPr="004F6831">
        <w:rPr>
          <w:color w:val="365F91" w:themeColor="accent1" w:themeShade="BF"/>
          <w:sz w:val="24"/>
          <w:szCs w:val="24"/>
        </w:rPr>
        <w:t>Harmonised classification and labelling</w:t>
      </w:r>
    </w:p>
    <w:p w14:paraId="68353A0A" w14:textId="77777777" w:rsidR="00AF77F1" w:rsidRPr="003C3793" w:rsidRDefault="00AF77F1" w:rsidP="00471457">
      <w:pPr>
        <w:pStyle w:val="BodyText"/>
      </w:pPr>
    </w:p>
    <w:p w14:paraId="68353A11" w14:textId="70163E93" w:rsidR="004F6831" w:rsidRDefault="00EA39D6" w:rsidP="004F6831">
      <w:pPr>
        <w:pStyle w:val="BodyText"/>
      </w:pPr>
      <w:bookmarkStart w:id="1" w:name="_Toc357683635"/>
      <w:bookmarkStart w:id="2" w:name="_Toc357683639"/>
      <w:bookmarkEnd w:id="1"/>
      <w:r>
        <w:t>Not relevant.</w:t>
      </w:r>
    </w:p>
    <w:p w14:paraId="206B8823" w14:textId="77777777" w:rsidR="009653E7" w:rsidRDefault="009653E7" w:rsidP="004F6831">
      <w:pPr>
        <w:pStyle w:val="BodyText"/>
      </w:pPr>
    </w:p>
    <w:p w14:paraId="68353A12" w14:textId="77777777" w:rsidR="004F6831" w:rsidRDefault="008A1880" w:rsidP="008A1880">
      <w:pPr>
        <w:pStyle w:val="Heading3"/>
        <w:widowControl/>
        <w:numPr>
          <w:ilvl w:val="1"/>
          <w:numId w:val="6"/>
        </w:numPr>
        <w:spacing w:before="200" w:after="0" w:line="276" w:lineRule="auto"/>
        <w:rPr>
          <w:color w:val="365F91" w:themeColor="accent1" w:themeShade="BF"/>
          <w:sz w:val="24"/>
          <w:szCs w:val="24"/>
        </w:rPr>
      </w:pPr>
      <w:r w:rsidRPr="008A1880">
        <w:rPr>
          <w:color w:val="365F91" w:themeColor="accent1" w:themeShade="BF"/>
          <w:sz w:val="24"/>
          <w:szCs w:val="24"/>
        </w:rPr>
        <w:t>Identification as a substance of very high concern, SVHC (first step towards authorisation)</w:t>
      </w:r>
    </w:p>
    <w:p w14:paraId="3AAE7B93" w14:textId="0F08BCEB" w:rsidR="00EA39D6" w:rsidRDefault="00EA39D6" w:rsidP="00EA39D6">
      <w:pPr>
        <w:pStyle w:val="BodyText"/>
      </w:pPr>
    </w:p>
    <w:p w14:paraId="3854E23A" w14:textId="42CF6F64" w:rsidR="00EA39D6" w:rsidRPr="009454FD" w:rsidRDefault="00EA39D6" w:rsidP="00EA39D6">
      <w:pPr>
        <w:jc w:val="both"/>
      </w:pPr>
      <w:r>
        <w:t>Available evidence supports that 4-MBC has endocrine disrupting effects for human health mainly based on estrogenic and thyroidal effects.</w:t>
      </w:r>
      <w:r w:rsidR="009253AC">
        <w:t xml:space="preserve"> I</w:t>
      </w:r>
      <w:r>
        <w:t>dentification of 4-MBC as a substance of very high concern is the only mean as to formally identify the substance as an endocrine disruptor.</w:t>
      </w:r>
      <w:r w:rsidR="009253AC">
        <w:t xml:space="preserve"> As it is currently not possible to classify for endocrine disrupting properties under CLP, identification of </w:t>
      </w:r>
      <w:r w:rsidR="009253AC" w:rsidRPr="0050408C">
        <w:t xml:space="preserve">4-MBC as </w:t>
      </w:r>
      <w:r w:rsidR="009253AC">
        <w:t xml:space="preserve">a </w:t>
      </w:r>
      <w:r w:rsidR="009253AC" w:rsidRPr="0050408C">
        <w:t xml:space="preserve">substance of very high concern </w:t>
      </w:r>
      <w:r w:rsidR="009253AC">
        <w:t xml:space="preserve">(SVHC) </w:t>
      </w:r>
      <w:r w:rsidR="009253AC" w:rsidRPr="0050408C">
        <w:t>would be the only available possibility to achiev</w:t>
      </w:r>
      <w:r w:rsidR="009253AC">
        <w:t xml:space="preserve">e an EU-wide agreement on the </w:t>
      </w:r>
      <w:r w:rsidR="009253AC" w:rsidRPr="0050408C">
        <w:t>e</w:t>
      </w:r>
      <w:r w:rsidR="009253AC">
        <w:t xml:space="preserve">ndocrine disrupting properties of this substance. </w:t>
      </w:r>
      <w:r>
        <w:t>SVHC-identification is envisaged to put a pressu</w:t>
      </w:r>
      <w:r w:rsidR="009253AC">
        <w:t>re on industry to substitute this</w:t>
      </w:r>
      <w:r>
        <w:t xml:space="preserve"> substance with less hazardous substances and to implement approp</w:t>
      </w:r>
      <w:r w:rsidR="009253AC">
        <w:t xml:space="preserve">riate risk management measures </w:t>
      </w:r>
      <w:r>
        <w:t>with the aim of reducing human exposure. Furthermore, SVHC identification of 4-MBC is in line with previous activities on the similar substance 3-BC which has already been identified as a substance of very high concern. Thus, the Danish EPA evaluates that identification of 4-MBC as a SVHC possibly followed by inclusion</w:t>
      </w:r>
      <w:r w:rsidRPr="009454FD">
        <w:t xml:space="preserve"> in Annex XIV </w:t>
      </w:r>
      <w:r>
        <w:t>is the most appropriate</w:t>
      </w:r>
      <w:r w:rsidRPr="009454FD">
        <w:t xml:space="preserve"> </w:t>
      </w:r>
      <w:r>
        <w:t>risk management measure for this substance</w:t>
      </w:r>
      <w:r w:rsidR="009253AC">
        <w:t xml:space="preserve"> since we consider that for the most uses, suitable and safer alternatives are available</w:t>
      </w:r>
      <w:r w:rsidR="009253AC" w:rsidRPr="009454FD">
        <w:t>.</w:t>
      </w:r>
      <w:r w:rsidR="009253AC">
        <w:t xml:space="preserve"> T</w:t>
      </w:r>
      <w:r>
        <w:t xml:space="preserve">he Danish EPA proposes not to await the outcome of the ongoing substance evaluation to clarify the concern for endocrine disrupting properties in the environment. </w:t>
      </w:r>
      <w:r w:rsidRPr="009454FD">
        <w:t xml:space="preserve"> </w:t>
      </w:r>
    </w:p>
    <w:p w14:paraId="5EAA38C8" w14:textId="77777777" w:rsidR="009253AC" w:rsidRDefault="009253AC" w:rsidP="00EA39D6">
      <w:pPr>
        <w:pStyle w:val="BodyText"/>
        <w:rPr>
          <w:lang w:val="en-US"/>
        </w:rPr>
      </w:pPr>
    </w:p>
    <w:p w14:paraId="68353A19" w14:textId="77777777" w:rsidR="004F6831" w:rsidRDefault="004F6831" w:rsidP="004F6831">
      <w:pPr>
        <w:pStyle w:val="BodyText"/>
      </w:pPr>
    </w:p>
    <w:p w14:paraId="68353A1A" w14:textId="77777777" w:rsidR="004F6831" w:rsidRPr="00270FFE" w:rsidRDefault="008A1880" w:rsidP="00270FFE">
      <w:pPr>
        <w:pStyle w:val="Heading3"/>
        <w:widowControl/>
        <w:numPr>
          <w:ilvl w:val="1"/>
          <w:numId w:val="6"/>
        </w:numPr>
        <w:spacing w:before="200" w:after="0" w:line="276" w:lineRule="auto"/>
        <w:rPr>
          <w:color w:val="365F91"/>
        </w:rPr>
      </w:pPr>
      <w:r w:rsidRPr="00270FFE">
        <w:rPr>
          <w:color w:val="365F91"/>
          <w:sz w:val="24"/>
          <w:szCs w:val="24"/>
        </w:rPr>
        <w:lastRenderedPageBreak/>
        <w:t>Restriction under REACH</w:t>
      </w:r>
    </w:p>
    <w:p w14:paraId="68353A1C" w14:textId="77777777" w:rsidR="004F6831" w:rsidRDefault="004F6831" w:rsidP="004F6831">
      <w:pPr>
        <w:pStyle w:val="BodyText"/>
      </w:pPr>
    </w:p>
    <w:p w14:paraId="68353A24" w14:textId="59AD8C88" w:rsidR="004F6831" w:rsidRDefault="00EA39D6" w:rsidP="00270FFE">
      <w:pPr>
        <w:pStyle w:val="BodyText"/>
      </w:pPr>
      <w:r>
        <w:t>Not relevant.</w:t>
      </w:r>
    </w:p>
    <w:p w14:paraId="68353A26" w14:textId="77777777" w:rsidR="004F6831" w:rsidRDefault="004F6831" w:rsidP="004F6831">
      <w:pPr>
        <w:pStyle w:val="BodyText"/>
      </w:pPr>
    </w:p>
    <w:p w14:paraId="68353A27" w14:textId="77777777" w:rsidR="004F6831" w:rsidRPr="00784A7F" w:rsidRDefault="008A1880" w:rsidP="008A1880">
      <w:pPr>
        <w:pStyle w:val="Heading3"/>
        <w:widowControl/>
        <w:numPr>
          <w:ilvl w:val="1"/>
          <w:numId w:val="6"/>
        </w:numPr>
        <w:spacing w:before="200" w:after="0" w:line="276" w:lineRule="auto"/>
        <w:rPr>
          <w:color w:val="365F91" w:themeColor="accent1" w:themeShade="BF"/>
          <w:sz w:val="24"/>
          <w:szCs w:val="24"/>
        </w:rPr>
      </w:pPr>
      <w:r w:rsidRPr="008A1880">
        <w:rPr>
          <w:color w:val="365F91" w:themeColor="accent1" w:themeShade="BF"/>
          <w:sz w:val="24"/>
          <w:szCs w:val="24"/>
        </w:rPr>
        <w:t>Other Union-wide regulatory measures</w:t>
      </w:r>
    </w:p>
    <w:bookmarkEnd w:id="2"/>
    <w:p w14:paraId="68353A2E" w14:textId="7F058CB0" w:rsidR="00A446BC" w:rsidRPr="00AD3540" w:rsidRDefault="00A446BC" w:rsidP="00471457">
      <w:pPr>
        <w:jc w:val="both"/>
        <w:rPr>
          <w:i/>
        </w:rPr>
      </w:pPr>
    </w:p>
    <w:p w14:paraId="799ECB9B" w14:textId="6EACDC0C" w:rsidR="008C795A" w:rsidRDefault="00EA39D6" w:rsidP="008C795A">
      <w:pPr>
        <w:jc w:val="both"/>
      </w:pPr>
      <w:r>
        <w:t>Not relevant.</w:t>
      </w:r>
    </w:p>
    <w:p w14:paraId="78829E2F" w14:textId="77777777" w:rsidR="008C795A" w:rsidRPr="008C795A" w:rsidRDefault="008C795A" w:rsidP="008C795A">
      <w:pPr>
        <w:jc w:val="both"/>
        <w:rPr>
          <w:color w:val="4F81BD" w:themeColor="accent1"/>
          <w:sz w:val="28"/>
          <w:szCs w:val="28"/>
        </w:rPr>
      </w:pPr>
    </w:p>
    <w:p w14:paraId="68353A31" w14:textId="2960D81C" w:rsidR="008A1880" w:rsidRDefault="008A1880" w:rsidP="008A1880">
      <w:pPr>
        <w:pStyle w:val="Heading3"/>
        <w:numPr>
          <w:ilvl w:val="0"/>
          <w:numId w:val="6"/>
        </w:numPr>
        <w:rPr>
          <w:caps/>
          <w:color w:val="4F81BD" w:themeColor="accent1"/>
          <w:sz w:val="24"/>
          <w:szCs w:val="28"/>
        </w:rPr>
      </w:pPr>
      <w:r w:rsidRPr="00270FFE">
        <w:rPr>
          <w:caps/>
          <w:color w:val="4F81BD" w:themeColor="accent1"/>
          <w:sz w:val="24"/>
          <w:szCs w:val="28"/>
        </w:rPr>
        <w:t>Need for action other than EU regulatory action</w:t>
      </w:r>
    </w:p>
    <w:p w14:paraId="31657D96" w14:textId="677E8572" w:rsidR="00EA39D6" w:rsidRPr="00EA39D6" w:rsidRDefault="00EA39D6" w:rsidP="00DB0024">
      <w:pPr>
        <w:pStyle w:val="BodyText"/>
      </w:pPr>
      <w:r>
        <w:t xml:space="preserve">Not relevant. </w:t>
      </w:r>
    </w:p>
    <w:p w14:paraId="68353A34" w14:textId="77777777" w:rsidR="00DB0024" w:rsidRDefault="00DB0024" w:rsidP="00DB0024">
      <w:pPr>
        <w:pStyle w:val="BodyText"/>
      </w:pPr>
    </w:p>
    <w:p w14:paraId="68353A35" w14:textId="1A40B304" w:rsidR="00DB0024" w:rsidRDefault="006617E0" w:rsidP="00DB0024">
      <w:pPr>
        <w:pStyle w:val="Heading3"/>
        <w:numPr>
          <w:ilvl w:val="0"/>
          <w:numId w:val="6"/>
        </w:numPr>
        <w:rPr>
          <w:caps/>
          <w:color w:val="4F81BD" w:themeColor="accent1"/>
          <w:sz w:val="24"/>
          <w:szCs w:val="28"/>
        </w:rPr>
      </w:pPr>
      <w:r>
        <w:rPr>
          <w:caps/>
          <w:color w:val="4F81BD" w:themeColor="accent1"/>
          <w:sz w:val="24"/>
          <w:szCs w:val="28"/>
        </w:rPr>
        <w:t xml:space="preserve">No </w:t>
      </w:r>
      <w:r w:rsidR="00DB0024" w:rsidRPr="00270FFE">
        <w:rPr>
          <w:caps/>
          <w:color w:val="4F81BD" w:themeColor="accent1"/>
          <w:sz w:val="24"/>
          <w:szCs w:val="28"/>
        </w:rPr>
        <w:t xml:space="preserve">action </w:t>
      </w:r>
      <w:r>
        <w:rPr>
          <w:caps/>
          <w:color w:val="4F81BD" w:themeColor="accent1"/>
          <w:sz w:val="24"/>
          <w:szCs w:val="28"/>
        </w:rPr>
        <w:t>needed at this time</w:t>
      </w:r>
    </w:p>
    <w:p w14:paraId="066003D9" w14:textId="7D054CEE" w:rsidR="00492518" w:rsidRDefault="00EA39D6" w:rsidP="00492518">
      <w:pPr>
        <w:widowControl/>
        <w:spacing w:after="200"/>
        <w:contextualSpacing/>
      </w:pPr>
      <w:r>
        <w:t xml:space="preserve">Not relevant. </w:t>
      </w:r>
    </w:p>
    <w:p w14:paraId="4F654F6E" w14:textId="77777777" w:rsidR="00D72124" w:rsidRPr="00492518" w:rsidRDefault="00D72124" w:rsidP="00492518">
      <w:pPr>
        <w:widowControl/>
        <w:spacing w:after="200"/>
        <w:contextualSpacing/>
      </w:pPr>
    </w:p>
    <w:p w14:paraId="68353A3C" w14:textId="3E86C7AC" w:rsidR="00DB0024" w:rsidRPr="00270FFE" w:rsidRDefault="006617E0" w:rsidP="00270FFE">
      <w:pPr>
        <w:pStyle w:val="Heading3"/>
        <w:numPr>
          <w:ilvl w:val="0"/>
          <w:numId w:val="6"/>
        </w:numPr>
        <w:rPr>
          <w:caps/>
          <w:color w:val="4F81BD" w:themeColor="accent1"/>
          <w:sz w:val="24"/>
          <w:szCs w:val="28"/>
        </w:rPr>
      </w:pPr>
      <w:r w:rsidRPr="00270FFE">
        <w:rPr>
          <w:caps/>
          <w:color w:val="4F81BD" w:themeColor="accent1"/>
          <w:sz w:val="24"/>
          <w:szCs w:val="28"/>
        </w:rPr>
        <w:t>TENTATIVE PLAN FOR FOLLOW-UP ACTIONS IF NECESSARY</w:t>
      </w:r>
    </w:p>
    <w:p w14:paraId="68353A3E" w14:textId="77777777" w:rsidR="00024D48" w:rsidRPr="00975612" w:rsidRDefault="00024D48" w:rsidP="00471457">
      <w:pPr>
        <w:jc w:val="both"/>
        <w:rPr>
          <w:i/>
        </w:rPr>
      </w:pPr>
    </w:p>
    <w:p w14:paraId="68353A4B" w14:textId="77777777" w:rsidR="00A14C19" w:rsidRPr="00A14C19" w:rsidRDefault="00A14C19" w:rsidP="00FB30A3">
      <w:pPr>
        <w:spacing w:before="120"/>
        <w:rPr>
          <w:i/>
        </w:rPr>
      </w:pPr>
    </w:p>
    <w:p w14:paraId="68353A4C" w14:textId="77777777" w:rsidR="00A14C19" w:rsidRPr="00166209" w:rsidRDefault="00A14C19" w:rsidP="00FB30A3">
      <w:pPr>
        <w:spacing w:after="360"/>
      </w:pPr>
      <w:r w:rsidRPr="00166209">
        <w:t xml:space="preserve">Indication of a tentative plan is not a formal commitment </w:t>
      </w:r>
      <w:r w:rsidR="006E2B7B">
        <w:t>by</w:t>
      </w:r>
      <w:r w:rsidRPr="00166209">
        <w:t xml:space="preserve"> the </w:t>
      </w:r>
      <w:r w:rsidR="006E2B7B">
        <w:t>authority</w:t>
      </w:r>
      <w:r w:rsidRPr="00166209">
        <w:t xml:space="preserve">. A commitment to prepare a REACH Annex XV dossier (SVHC, restrictions) and/or CLP Annex VI dossier </w:t>
      </w:r>
      <w:r w:rsidR="00AC79ED" w:rsidRPr="00166209">
        <w:t>sh</w:t>
      </w:r>
      <w:r w:rsidR="00AC79ED">
        <w:t>ould</w:t>
      </w:r>
      <w:r w:rsidR="00AC79ED" w:rsidRPr="00166209">
        <w:t xml:space="preserve"> </w:t>
      </w:r>
      <w:r w:rsidRPr="00166209">
        <w:t>be made via the Registry of Intentions.</w:t>
      </w:r>
      <w:r w:rsidR="00AF6E00">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3780"/>
      </w:tblGrid>
      <w:tr w:rsidR="00A14C19" w:rsidRPr="003016DF" w14:paraId="68353A50" w14:textId="77777777" w:rsidTr="00A2050D">
        <w:tc>
          <w:tcPr>
            <w:tcW w:w="2808" w:type="dxa"/>
            <w:shd w:val="clear" w:color="auto" w:fill="auto"/>
          </w:tcPr>
          <w:p w14:paraId="68353A4D" w14:textId="77777777" w:rsidR="00A14C19" w:rsidRPr="003016DF" w:rsidRDefault="00A14C19" w:rsidP="00A2050D">
            <w:pPr>
              <w:rPr>
                <w:b/>
              </w:rPr>
            </w:pPr>
            <w:r w:rsidRPr="003016DF">
              <w:rPr>
                <w:b/>
              </w:rPr>
              <w:t>Follow-up action</w:t>
            </w:r>
          </w:p>
        </w:tc>
        <w:tc>
          <w:tcPr>
            <w:tcW w:w="2520" w:type="dxa"/>
            <w:shd w:val="clear" w:color="auto" w:fill="auto"/>
          </w:tcPr>
          <w:p w14:paraId="68353A4E" w14:textId="515A07FF" w:rsidR="00A14C19" w:rsidRPr="003016DF" w:rsidRDefault="00A14C19" w:rsidP="00BB3275">
            <w:pPr>
              <w:rPr>
                <w:b/>
              </w:rPr>
            </w:pPr>
            <w:r w:rsidRPr="003016DF">
              <w:rPr>
                <w:b/>
              </w:rPr>
              <w:t xml:space="preserve">Date for </w:t>
            </w:r>
            <w:r w:rsidR="00BB3275">
              <w:rPr>
                <w:b/>
              </w:rPr>
              <w:t>follow-up</w:t>
            </w:r>
            <w:r w:rsidRPr="003016DF">
              <w:rPr>
                <w:b/>
              </w:rPr>
              <w:t xml:space="preserve"> </w:t>
            </w:r>
          </w:p>
        </w:tc>
        <w:tc>
          <w:tcPr>
            <w:tcW w:w="3780" w:type="dxa"/>
            <w:shd w:val="clear" w:color="auto" w:fill="auto"/>
          </w:tcPr>
          <w:p w14:paraId="68353A4F" w14:textId="77777777" w:rsidR="00A14C19" w:rsidRPr="003016DF" w:rsidRDefault="00A14C19" w:rsidP="00A2050D">
            <w:pPr>
              <w:rPr>
                <w:b/>
              </w:rPr>
            </w:pPr>
            <w:r w:rsidRPr="003016DF">
              <w:rPr>
                <w:b/>
              </w:rPr>
              <w:t>Actor</w:t>
            </w:r>
          </w:p>
        </w:tc>
      </w:tr>
      <w:tr w:rsidR="00A14C19" w:rsidRPr="003016DF" w14:paraId="68353A54" w14:textId="77777777" w:rsidTr="00A2050D">
        <w:trPr>
          <w:trHeight w:val="624"/>
        </w:trPr>
        <w:tc>
          <w:tcPr>
            <w:tcW w:w="2808" w:type="dxa"/>
            <w:shd w:val="clear" w:color="auto" w:fill="auto"/>
          </w:tcPr>
          <w:p w14:paraId="68353A51" w14:textId="319E7304" w:rsidR="00A14C19" w:rsidRPr="003016DF" w:rsidRDefault="00EA39D6" w:rsidP="00A2050D">
            <w:pPr>
              <w:spacing w:after="120"/>
            </w:pPr>
            <w:r>
              <w:t>SVHC identification based on REACH Art. 57(f)</w:t>
            </w:r>
          </w:p>
        </w:tc>
        <w:tc>
          <w:tcPr>
            <w:tcW w:w="2520" w:type="dxa"/>
            <w:shd w:val="clear" w:color="auto" w:fill="auto"/>
          </w:tcPr>
          <w:p w14:paraId="68353A52" w14:textId="5BE6F79C" w:rsidR="00A14C19" w:rsidRPr="003016DF" w:rsidRDefault="003176F7" w:rsidP="00A2050D">
            <w:r>
              <w:t>Aug</w:t>
            </w:r>
            <w:r w:rsidR="00EA39D6">
              <w:t xml:space="preserve"> 202</w:t>
            </w:r>
            <w:r w:rsidR="00AD0556">
              <w:t>1</w:t>
            </w:r>
            <w:bookmarkStart w:id="3" w:name="_GoBack"/>
            <w:bookmarkEnd w:id="3"/>
          </w:p>
        </w:tc>
        <w:tc>
          <w:tcPr>
            <w:tcW w:w="3780" w:type="dxa"/>
            <w:shd w:val="clear" w:color="auto" w:fill="auto"/>
          </w:tcPr>
          <w:p w14:paraId="68353A53" w14:textId="342EC717" w:rsidR="00A14C19" w:rsidRPr="003016DF" w:rsidRDefault="00EA39D6" w:rsidP="00A2050D">
            <w:r>
              <w:t>Denmark</w:t>
            </w:r>
          </w:p>
        </w:tc>
      </w:tr>
      <w:tr w:rsidR="00A14C19" w:rsidRPr="003016DF" w14:paraId="68353A58" w14:textId="77777777" w:rsidTr="00A2050D">
        <w:trPr>
          <w:trHeight w:val="624"/>
        </w:trPr>
        <w:tc>
          <w:tcPr>
            <w:tcW w:w="2808" w:type="dxa"/>
            <w:shd w:val="clear" w:color="auto" w:fill="auto"/>
          </w:tcPr>
          <w:p w14:paraId="68353A55" w14:textId="77777777" w:rsidR="00A14C19" w:rsidRPr="003016DF" w:rsidRDefault="00A14C19" w:rsidP="00A2050D"/>
        </w:tc>
        <w:tc>
          <w:tcPr>
            <w:tcW w:w="2520" w:type="dxa"/>
            <w:shd w:val="clear" w:color="auto" w:fill="auto"/>
          </w:tcPr>
          <w:p w14:paraId="68353A56" w14:textId="77777777" w:rsidR="00A14C19" w:rsidRPr="003016DF" w:rsidRDefault="00A14C19" w:rsidP="00A2050D"/>
        </w:tc>
        <w:tc>
          <w:tcPr>
            <w:tcW w:w="3780" w:type="dxa"/>
            <w:shd w:val="clear" w:color="auto" w:fill="auto"/>
          </w:tcPr>
          <w:p w14:paraId="68353A57" w14:textId="77777777" w:rsidR="00A14C19" w:rsidRPr="003016DF" w:rsidRDefault="00A14C19" w:rsidP="00A2050D"/>
        </w:tc>
      </w:tr>
    </w:tbl>
    <w:p w14:paraId="68353A59" w14:textId="77777777" w:rsidR="00997177" w:rsidRDefault="00AD0556"/>
    <w:sectPr w:rsidR="0099717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2965A" w14:textId="77777777" w:rsidR="006624D3" w:rsidRDefault="006624D3" w:rsidP="00471457">
      <w:r>
        <w:separator/>
      </w:r>
    </w:p>
  </w:endnote>
  <w:endnote w:type="continuationSeparator" w:id="0">
    <w:p w14:paraId="1F58B053" w14:textId="77777777" w:rsidR="006624D3" w:rsidRDefault="006624D3" w:rsidP="0047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3A63" w14:textId="77777777" w:rsidR="007A39FF" w:rsidRPr="00926DC2" w:rsidRDefault="007A39FF" w:rsidP="007A39FF">
    <w:pPr>
      <w:pStyle w:val="Footer"/>
      <w:rPr>
        <w:sz w:val="18"/>
        <w:szCs w:val="18"/>
      </w:rPr>
    </w:pPr>
    <w:r w:rsidRPr="00926DC2">
      <w:rPr>
        <w:sz w:val="18"/>
        <w:szCs w:val="18"/>
      </w:rPr>
      <w:t>Version 2.</w:t>
    </w:r>
    <w:r>
      <w:rPr>
        <w:sz w:val="18"/>
        <w:szCs w:val="18"/>
      </w:rPr>
      <w:t>1</w:t>
    </w:r>
  </w:p>
  <w:p w14:paraId="68353A64" w14:textId="0B76E564" w:rsidR="007A39FF" w:rsidRPr="00926DC2" w:rsidRDefault="001C1F13" w:rsidP="007A39FF">
    <w:pPr>
      <w:pStyle w:val="Footer"/>
      <w:rPr>
        <w:sz w:val="18"/>
        <w:szCs w:val="18"/>
      </w:rPr>
    </w:pPr>
    <w:r>
      <w:rPr>
        <w:sz w:val="18"/>
        <w:szCs w:val="18"/>
      </w:rPr>
      <w:t>October</w:t>
    </w:r>
    <w:r w:rsidR="007A39FF">
      <w:rPr>
        <w:sz w:val="18"/>
        <w:szCs w:val="18"/>
      </w:rPr>
      <w:t xml:space="preserve"> 2015</w:t>
    </w:r>
  </w:p>
  <w:p w14:paraId="68353A67" w14:textId="77777777" w:rsidR="002E4026" w:rsidRDefault="002E4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3A68" w14:textId="7C75568C" w:rsidR="002E4026" w:rsidRPr="00B66083" w:rsidRDefault="00E86372" w:rsidP="002E4026">
    <w:pPr>
      <w:pStyle w:val="Footer"/>
      <w:jc w:val="center"/>
    </w:pPr>
    <w:r w:rsidRPr="009A61C8">
      <w:rPr>
        <w:sz w:val="18"/>
        <w:szCs w:val="18"/>
      </w:rPr>
      <w:t xml:space="preserve">EC no </w:t>
    </w:r>
    <w:r w:rsidR="000060AC" w:rsidRPr="000060AC">
      <w:rPr>
        <w:sz w:val="18"/>
        <w:szCs w:val="18"/>
      </w:rPr>
      <w:t>253-242-6</w:t>
    </w:r>
    <w:r w:rsidR="000060AC">
      <w:rPr>
        <w:sz w:val="18"/>
        <w:szCs w:val="18"/>
      </w:rPr>
      <w:tab/>
      <w:t>MSCA - Denmark</w:t>
    </w:r>
    <w:r>
      <w:rPr>
        <w:sz w:val="18"/>
        <w:szCs w:val="18"/>
      </w:rPr>
      <w:tab/>
    </w:r>
    <w:r w:rsidR="002E4026" w:rsidRPr="009320DD">
      <w:rPr>
        <w:sz w:val="18"/>
        <w:szCs w:val="18"/>
      </w:rPr>
      <w:t xml:space="preserve">Page </w:t>
    </w:r>
    <w:r w:rsidR="002E4026" w:rsidRPr="009320DD">
      <w:rPr>
        <w:sz w:val="18"/>
        <w:szCs w:val="18"/>
      </w:rPr>
      <w:fldChar w:fldCharType="begin"/>
    </w:r>
    <w:r w:rsidR="002E4026" w:rsidRPr="009320DD">
      <w:rPr>
        <w:sz w:val="18"/>
        <w:szCs w:val="18"/>
      </w:rPr>
      <w:instrText xml:space="preserve"> PAGE </w:instrText>
    </w:r>
    <w:r w:rsidR="002E4026" w:rsidRPr="009320DD">
      <w:rPr>
        <w:sz w:val="18"/>
        <w:szCs w:val="18"/>
      </w:rPr>
      <w:fldChar w:fldCharType="separate"/>
    </w:r>
    <w:r w:rsidR="003176F7">
      <w:rPr>
        <w:noProof/>
        <w:sz w:val="18"/>
        <w:szCs w:val="18"/>
      </w:rPr>
      <w:t>3</w:t>
    </w:r>
    <w:r w:rsidR="002E4026" w:rsidRPr="009320DD">
      <w:rPr>
        <w:sz w:val="18"/>
        <w:szCs w:val="18"/>
      </w:rPr>
      <w:fldChar w:fldCharType="end"/>
    </w:r>
    <w:r w:rsidR="002E4026" w:rsidRPr="009320DD">
      <w:rPr>
        <w:sz w:val="18"/>
        <w:szCs w:val="18"/>
      </w:rPr>
      <w:t xml:space="preserve"> of </w:t>
    </w:r>
    <w:r w:rsidR="002E4026" w:rsidRPr="009320DD">
      <w:rPr>
        <w:sz w:val="18"/>
        <w:szCs w:val="18"/>
      </w:rPr>
      <w:fldChar w:fldCharType="begin"/>
    </w:r>
    <w:r w:rsidR="002E4026" w:rsidRPr="009320DD">
      <w:rPr>
        <w:sz w:val="18"/>
        <w:szCs w:val="18"/>
      </w:rPr>
      <w:instrText xml:space="preserve"> NUMPAGES </w:instrText>
    </w:r>
    <w:r w:rsidR="002E4026" w:rsidRPr="009320DD">
      <w:rPr>
        <w:sz w:val="18"/>
        <w:szCs w:val="18"/>
      </w:rPr>
      <w:fldChar w:fldCharType="separate"/>
    </w:r>
    <w:r w:rsidR="003176F7">
      <w:rPr>
        <w:noProof/>
        <w:sz w:val="18"/>
        <w:szCs w:val="18"/>
      </w:rPr>
      <w:t>6</w:t>
    </w:r>
    <w:r w:rsidR="002E4026" w:rsidRPr="009320DD">
      <w:rPr>
        <w:sz w:val="18"/>
        <w:szCs w:val="18"/>
      </w:rPr>
      <w:fldChar w:fldCharType="end"/>
    </w:r>
  </w:p>
  <w:p w14:paraId="68353A69" w14:textId="77777777" w:rsidR="002E4026" w:rsidRDefault="002E4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3A6A" w14:textId="6FD57EDD" w:rsidR="00C0335E" w:rsidRPr="00B66083" w:rsidRDefault="00E86372" w:rsidP="00B66083">
    <w:pPr>
      <w:pStyle w:val="Footer"/>
      <w:jc w:val="center"/>
    </w:pPr>
    <w:r w:rsidRPr="009A61C8">
      <w:rPr>
        <w:sz w:val="18"/>
        <w:szCs w:val="18"/>
      </w:rPr>
      <w:t xml:space="preserve">EC no </w:t>
    </w:r>
    <w:r w:rsidR="00EA39D6">
      <w:rPr>
        <w:sz w:val="18"/>
        <w:szCs w:val="18"/>
      </w:rPr>
      <w:t>253-242-6</w:t>
    </w:r>
    <w:r w:rsidRPr="009A61C8">
      <w:rPr>
        <w:sz w:val="18"/>
        <w:szCs w:val="18"/>
      </w:rPr>
      <w:tab/>
      <w:t xml:space="preserve">MSCA - </w:t>
    </w:r>
    <w:r w:rsidR="00EA39D6">
      <w:rPr>
        <w:sz w:val="18"/>
        <w:szCs w:val="18"/>
      </w:rPr>
      <w:t>Denmark</w:t>
    </w:r>
    <w:r>
      <w:rPr>
        <w:sz w:val="18"/>
        <w:szCs w:val="18"/>
      </w:rPr>
      <w:tab/>
    </w:r>
    <w:r w:rsidR="00B66083" w:rsidRPr="009320DD">
      <w:rPr>
        <w:sz w:val="18"/>
        <w:szCs w:val="18"/>
      </w:rPr>
      <w:t xml:space="preserve">Page </w:t>
    </w:r>
    <w:r w:rsidR="00B66083" w:rsidRPr="009320DD">
      <w:rPr>
        <w:sz w:val="18"/>
        <w:szCs w:val="18"/>
      </w:rPr>
      <w:fldChar w:fldCharType="begin"/>
    </w:r>
    <w:r w:rsidR="00B66083" w:rsidRPr="009320DD">
      <w:rPr>
        <w:sz w:val="18"/>
        <w:szCs w:val="18"/>
      </w:rPr>
      <w:instrText xml:space="preserve"> PAGE </w:instrText>
    </w:r>
    <w:r w:rsidR="00B66083" w:rsidRPr="009320DD">
      <w:rPr>
        <w:sz w:val="18"/>
        <w:szCs w:val="18"/>
      </w:rPr>
      <w:fldChar w:fldCharType="separate"/>
    </w:r>
    <w:r w:rsidR="003176F7">
      <w:rPr>
        <w:noProof/>
        <w:sz w:val="18"/>
        <w:szCs w:val="18"/>
      </w:rPr>
      <w:t>6</w:t>
    </w:r>
    <w:r w:rsidR="00B66083" w:rsidRPr="009320DD">
      <w:rPr>
        <w:sz w:val="18"/>
        <w:szCs w:val="18"/>
      </w:rPr>
      <w:fldChar w:fldCharType="end"/>
    </w:r>
    <w:r w:rsidR="00B66083" w:rsidRPr="009320DD">
      <w:rPr>
        <w:sz w:val="18"/>
        <w:szCs w:val="18"/>
      </w:rPr>
      <w:t xml:space="preserve"> of </w:t>
    </w:r>
    <w:r w:rsidR="00B66083" w:rsidRPr="009320DD">
      <w:rPr>
        <w:sz w:val="18"/>
        <w:szCs w:val="18"/>
      </w:rPr>
      <w:fldChar w:fldCharType="begin"/>
    </w:r>
    <w:r w:rsidR="00B66083" w:rsidRPr="009320DD">
      <w:rPr>
        <w:sz w:val="18"/>
        <w:szCs w:val="18"/>
      </w:rPr>
      <w:instrText xml:space="preserve"> NUMPAGES </w:instrText>
    </w:r>
    <w:r w:rsidR="00B66083" w:rsidRPr="009320DD">
      <w:rPr>
        <w:sz w:val="18"/>
        <w:szCs w:val="18"/>
      </w:rPr>
      <w:fldChar w:fldCharType="separate"/>
    </w:r>
    <w:r w:rsidR="003176F7">
      <w:rPr>
        <w:noProof/>
        <w:sz w:val="18"/>
        <w:szCs w:val="18"/>
      </w:rPr>
      <w:t>6</w:t>
    </w:r>
    <w:r w:rsidR="00B66083" w:rsidRPr="009320D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04EA6" w14:textId="77777777" w:rsidR="006624D3" w:rsidRDefault="006624D3" w:rsidP="00471457">
      <w:r>
        <w:separator/>
      </w:r>
    </w:p>
  </w:footnote>
  <w:footnote w:type="continuationSeparator" w:id="0">
    <w:p w14:paraId="2C22EBD2" w14:textId="77777777" w:rsidR="006624D3" w:rsidRDefault="006624D3" w:rsidP="00471457">
      <w:r>
        <w:continuationSeparator/>
      </w:r>
    </w:p>
  </w:footnote>
  <w:footnote w:id="1">
    <w:p w14:paraId="0782CAD9" w14:textId="4C3B98EB" w:rsidR="001C1F13" w:rsidRDefault="001C1F13" w:rsidP="001C1F13">
      <w:pPr>
        <w:pStyle w:val="FootnoteText"/>
      </w:pPr>
      <w:r>
        <w:rPr>
          <w:rStyle w:val="FootnoteReference"/>
        </w:rPr>
        <w:footnoteRef/>
      </w:r>
      <w:r>
        <w:t xml:space="preserve"> For more information on the SVHC Roadmap: </w:t>
      </w:r>
      <w:hyperlink r:id="rId1" w:history="1">
        <w:r w:rsidR="00A03E87" w:rsidRPr="0022686E">
          <w:rPr>
            <w:rStyle w:val="Hyperlink"/>
          </w:rPr>
          <w:t>http://echa.europa.eu/addressing-chemicals-of-concern/substances-of-potential-concern/svhc-roadmap-to-2020-implementation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3A61" w14:textId="77777777" w:rsidR="00E86372" w:rsidRPr="00375712" w:rsidRDefault="00A41F93" w:rsidP="00E86372">
    <w:pPr>
      <w:ind w:right="26"/>
      <w:rPr>
        <w:lang w:eastAsia="en-GB"/>
      </w:rPr>
    </w:pPr>
    <w:r w:rsidRPr="00A41F93">
      <w:rPr>
        <w:lang w:val="fr-FR"/>
      </w:rPr>
      <w:t>RMOA CONCLUSION DOCUMENT</w:t>
    </w:r>
    <w:r>
      <w:ptab w:relativeTo="margin" w:alignment="center" w:leader="none"/>
    </w:r>
    <w:r>
      <w:ptab w:relativeTo="margin" w:alignment="right" w:leader="none"/>
    </w:r>
    <w:r w:rsidR="00E86372">
      <w:rPr>
        <w:lang w:eastAsia="en-GB"/>
      </w:rPr>
      <w:t xml:space="preserve"> _________________________________________________________________</w:t>
    </w:r>
  </w:p>
  <w:p w14:paraId="68353A62" w14:textId="77777777" w:rsidR="00A41F93" w:rsidRPr="00A41F93" w:rsidRDefault="00A41F9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CC1"/>
    <w:multiLevelType w:val="hybridMultilevel"/>
    <w:tmpl w:val="E4F06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881F60"/>
    <w:multiLevelType w:val="hybridMultilevel"/>
    <w:tmpl w:val="4D422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5635B"/>
    <w:multiLevelType w:val="hybridMultilevel"/>
    <w:tmpl w:val="0026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D7ED3"/>
    <w:multiLevelType w:val="hybridMultilevel"/>
    <w:tmpl w:val="5E36D17A"/>
    <w:lvl w:ilvl="0" w:tplc="C84E037E">
      <w:start w:val="1"/>
      <w:numFmt w:val="bullet"/>
      <w:pStyle w:val="ListBullet"/>
      <w:lvlText w:val=""/>
      <w:lvlJc w:val="left"/>
      <w:pPr>
        <w:tabs>
          <w:tab w:val="num" w:pos="425"/>
        </w:tabs>
        <w:ind w:left="425" w:hanging="425"/>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C61DB"/>
    <w:multiLevelType w:val="hybridMultilevel"/>
    <w:tmpl w:val="CC7EA8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FB73AA"/>
    <w:multiLevelType w:val="hybridMultilevel"/>
    <w:tmpl w:val="378C4214"/>
    <w:lvl w:ilvl="0" w:tplc="95B48F64">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1701CB"/>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4BF4DEE"/>
    <w:multiLevelType w:val="hybridMultilevel"/>
    <w:tmpl w:val="BD1AFFCA"/>
    <w:lvl w:ilvl="0" w:tplc="853CCEA8">
      <w:numFmt w:val="bullet"/>
      <w:lvlText w:val="-"/>
      <w:lvlJc w:val="left"/>
      <w:pPr>
        <w:ind w:left="435" w:hanging="360"/>
      </w:pPr>
      <w:rPr>
        <w:rFonts w:ascii="Verdana" w:eastAsiaTheme="minorHAnsi" w:hAnsi="Verdana"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444666FB"/>
    <w:multiLevelType w:val="multilevel"/>
    <w:tmpl w:val="607AC490"/>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9"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5D3458"/>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83E5807"/>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E614FC2"/>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1"/>
  </w:num>
  <w:num w:numId="3">
    <w:abstractNumId w:val="5"/>
  </w:num>
  <w:num w:numId="4">
    <w:abstractNumId w:val="0"/>
  </w:num>
  <w:num w:numId="5">
    <w:abstractNumId w:val="4"/>
  </w:num>
  <w:num w:numId="6">
    <w:abstractNumId w:val="13"/>
  </w:num>
  <w:num w:numId="7">
    <w:abstractNumId w:val="1"/>
  </w:num>
  <w:num w:numId="8">
    <w:abstractNumId w:val="2"/>
  </w:num>
  <w:num w:numId="9">
    <w:abstractNumId w:val="7"/>
  </w:num>
  <w:num w:numId="10">
    <w:abstractNumId w:val="8"/>
  </w:num>
  <w:num w:numId="11">
    <w:abstractNumId w:val="10"/>
  </w:num>
  <w:num w:numId="12">
    <w:abstractNumId w:val="6"/>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57"/>
    <w:rsid w:val="00002586"/>
    <w:rsid w:val="000042FA"/>
    <w:rsid w:val="0000560B"/>
    <w:rsid w:val="000060AC"/>
    <w:rsid w:val="000122ED"/>
    <w:rsid w:val="0001476D"/>
    <w:rsid w:val="000204C4"/>
    <w:rsid w:val="00024D48"/>
    <w:rsid w:val="00037F48"/>
    <w:rsid w:val="00047BEE"/>
    <w:rsid w:val="00054356"/>
    <w:rsid w:val="000633BF"/>
    <w:rsid w:val="000711F7"/>
    <w:rsid w:val="00077E65"/>
    <w:rsid w:val="0009452D"/>
    <w:rsid w:val="000A3AEB"/>
    <w:rsid w:val="000D5B93"/>
    <w:rsid w:val="000E2FC2"/>
    <w:rsid w:val="000E4E5B"/>
    <w:rsid w:val="000E7032"/>
    <w:rsid w:val="00112815"/>
    <w:rsid w:val="0011467E"/>
    <w:rsid w:val="001259BB"/>
    <w:rsid w:val="0012634F"/>
    <w:rsid w:val="00126494"/>
    <w:rsid w:val="001448AF"/>
    <w:rsid w:val="00144FCA"/>
    <w:rsid w:val="00166209"/>
    <w:rsid w:val="00183C4B"/>
    <w:rsid w:val="001915C8"/>
    <w:rsid w:val="001C1F13"/>
    <w:rsid w:val="001E6C1A"/>
    <w:rsid w:val="00201A44"/>
    <w:rsid w:val="00202966"/>
    <w:rsid w:val="00205775"/>
    <w:rsid w:val="002163CF"/>
    <w:rsid w:val="00220442"/>
    <w:rsid w:val="00227B7E"/>
    <w:rsid w:val="002460BF"/>
    <w:rsid w:val="00256417"/>
    <w:rsid w:val="00262180"/>
    <w:rsid w:val="002650FC"/>
    <w:rsid w:val="00270FFE"/>
    <w:rsid w:val="0027431B"/>
    <w:rsid w:val="002920AC"/>
    <w:rsid w:val="00294316"/>
    <w:rsid w:val="002C515C"/>
    <w:rsid w:val="002C6ADA"/>
    <w:rsid w:val="002D0A2E"/>
    <w:rsid w:val="002D7699"/>
    <w:rsid w:val="002E3562"/>
    <w:rsid w:val="002E4026"/>
    <w:rsid w:val="002E4672"/>
    <w:rsid w:val="002F261C"/>
    <w:rsid w:val="003065EE"/>
    <w:rsid w:val="003176F7"/>
    <w:rsid w:val="0032297A"/>
    <w:rsid w:val="00326F57"/>
    <w:rsid w:val="00332FF4"/>
    <w:rsid w:val="00363833"/>
    <w:rsid w:val="0036659A"/>
    <w:rsid w:val="003746D1"/>
    <w:rsid w:val="003B32BD"/>
    <w:rsid w:val="003C1375"/>
    <w:rsid w:val="003C2E00"/>
    <w:rsid w:val="003C3793"/>
    <w:rsid w:val="003D4597"/>
    <w:rsid w:val="003E1455"/>
    <w:rsid w:val="003E7258"/>
    <w:rsid w:val="00412208"/>
    <w:rsid w:val="00415B10"/>
    <w:rsid w:val="0042483F"/>
    <w:rsid w:val="004364C9"/>
    <w:rsid w:val="00436C19"/>
    <w:rsid w:val="00441EE7"/>
    <w:rsid w:val="0044304E"/>
    <w:rsid w:val="00444011"/>
    <w:rsid w:val="00452825"/>
    <w:rsid w:val="00463240"/>
    <w:rsid w:val="0046464F"/>
    <w:rsid w:val="00467561"/>
    <w:rsid w:val="00467619"/>
    <w:rsid w:val="00471457"/>
    <w:rsid w:val="00483960"/>
    <w:rsid w:val="00490007"/>
    <w:rsid w:val="00492518"/>
    <w:rsid w:val="004A5B50"/>
    <w:rsid w:val="004B10B4"/>
    <w:rsid w:val="004B48E4"/>
    <w:rsid w:val="004B63F1"/>
    <w:rsid w:val="004B7059"/>
    <w:rsid w:val="004C7EF4"/>
    <w:rsid w:val="004D24E8"/>
    <w:rsid w:val="004E0601"/>
    <w:rsid w:val="004E385D"/>
    <w:rsid w:val="004E7788"/>
    <w:rsid w:val="004F0B91"/>
    <w:rsid w:val="004F51B6"/>
    <w:rsid w:val="004F6831"/>
    <w:rsid w:val="00501202"/>
    <w:rsid w:val="00502ADE"/>
    <w:rsid w:val="00510C24"/>
    <w:rsid w:val="00513808"/>
    <w:rsid w:val="00515C08"/>
    <w:rsid w:val="00523442"/>
    <w:rsid w:val="00531303"/>
    <w:rsid w:val="005401E5"/>
    <w:rsid w:val="005437BE"/>
    <w:rsid w:val="005575E6"/>
    <w:rsid w:val="00586832"/>
    <w:rsid w:val="00594EC4"/>
    <w:rsid w:val="00596A10"/>
    <w:rsid w:val="005A2AD2"/>
    <w:rsid w:val="005C3710"/>
    <w:rsid w:val="005F2482"/>
    <w:rsid w:val="005F45D1"/>
    <w:rsid w:val="005F79AE"/>
    <w:rsid w:val="00600A04"/>
    <w:rsid w:val="00610621"/>
    <w:rsid w:val="00610DF1"/>
    <w:rsid w:val="00621CAC"/>
    <w:rsid w:val="00623882"/>
    <w:rsid w:val="006305CD"/>
    <w:rsid w:val="006617E0"/>
    <w:rsid w:val="006624D3"/>
    <w:rsid w:val="00676DCA"/>
    <w:rsid w:val="00680C20"/>
    <w:rsid w:val="00690F3B"/>
    <w:rsid w:val="006941E7"/>
    <w:rsid w:val="006A4ADE"/>
    <w:rsid w:val="006D39F4"/>
    <w:rsid w:val="006E2B7B"/>
    <w:rsid w:val="006E6B1A"/>
    <w:rsid w:val="006F6AE3"/>
    <w:rsid w:val="00705350"/>
    <w:rsid w:val="00713266"/>
    <w:rsid w:val="00741D90"/>
    <w:rsid w:val="00751518"/>
    <w:rsid w:val="00753065"/>
    <w:rsid w:val="00755D9F"/>
    <w:rsid w:val="00774DE9"/>
    <w:rsid w:val="00781EA6"/>
    <w:rsid w:val="00784A7F"/>
    <w:rsid w:val="0078730A"/>
    <w:rsid w:val="00791E13"/>
    <w:rsid w:val="007957E4"/>
    <w:rsid w:val="007A2C1C"/>
    <w:rsid w:val="007A39FF"/>
    <w:rsid w:val="007A3BA7"/>
    <w:rsid w:val="007B0208"/>
    <w:rsid w:val="007C0E6B"/>
    <w:rsid w:val="007C392B"/>
    <w:rsid w:val="007D3667"/>
    <w:rsid w:val="007D3F6A"/>
    <w:rsid w:val="007D495C"/>
    <w:rsid w:val="007E6C05"/>
    <w:rsid w:val="007F0D03"/>
    <w:rsid w:val="00801152"/>
    <w:rsid w:val="0080484C"/>
    <w:rsid w:val="00817B80"/>
    <w:rsid w:val="00821610"/>
    <w:rsid w:val="00835373"/>
    <w:rsid w:val="00835C68"/>
    <w:rsid w:val="00840BD5"/>
    <w:rsid w:val="00853E7D"/>
    <w:rsid w:val="00860FBA"/>
    <w:rsid w:val="00883931"/>
    <w:rsid w:val="008A1880"/>
    <w:rsid w:val="008C0CC7"/>
    <w:rsid w:val="008C795A"/>
    <w:rsid w:val="00920032"/>
    <w:rsid w:val="00922BBA"/>
    <w:rsid w:val="009253AC"/>
    <w:rsid w:val="00930C01"/>
    <w:rsid w:val="00933335"/>
    <w:rsid w:val="00933AC5"/>
    <w:rsid w:val="009369B2"/>
    <w:rsid w:val="00955691"/>
    <w:rsid w:val="00955D7A"/>
    <w:rsid w:val="00962549"/>
    <w:rsid w:val="009653E7"/>
    <w:rsid w:val="00980AC4"/>
    <w:rsid w:val="00983286"/>
    <w:rsid w:val="00983FBD"/>
    <w:rsid w:val="00985B7B"/>
    <w:rsid w:val="00986A52"/>
    <w:rsid w:val="009A4F2F"/>
    <w:rsid w:val="009B0296"/>
    <w:rsid w:val="009B4D5D"/>
    <w:rsid w:val="009C2172"/>
    <w:rsid w:val="009C590C"/>
    <w:rsid w:val="009C5A06"/>
    <w:rsid w:val="009D3C1E"/>
    <w:rsid w:val="009E696B"/>
    <w:rsid w:val="009F191D"/>
    <w:rsid w:val="00A03E87"/>
    <w:rsid w:val="00A14C19"/>
    <w:rsid w:val="00A14EC1"/>
    <w:rsid w:val="00A2487E"/>
    <w:rsid w:val="00A263C9"/>
    <w:rsid w:val="00A41F93"/>
    <w:rsid w:val="00A429E9"/>
    <w:rsid w:val="00A4316B"/>
    <w:rsid w:val="00A436BB"/>
    <w:rsid w:val="00A446BC"/>
    <w:rsid w:val="00A45B6C"/>
    <w:rsid w:val="00A54C28"/>
    <w:rsid w:val="00A75ACF"/>
    <w:rsid w:val="00A80DBE"/>
    <w:rsid w:val="00AB0322"/>
    <w:rsid w:val="00AB1228"/>
    <w:rsid w:val="00AC5ED0"/>
    <w:rsid w:val="00AC7509"/>
    <w:rsid w:val="00AC79ED"/>
    <w:rsid w:val="00AD0556"/>
    <w:rsid w:val="00AD40AE"/>
    <w:rsid w:val="00AE2396"/>
    <w:rsid w:val="00AF5158"/>
    <w:rsid w:val="00AF63F4"/>
    <w:rsid w:val="00AF6E00"/>
    <w:rsid w:val="00AF77F1"/>
    <w:rsid w:val="00B03339"/>
    <w:rsid w:val="00B2524D"/>
    <w:rsid w:val="00B32C2E"/>
    <w:rsid w:val="00B37A42"/>
    <w:rsid w:val="00B66083"/>
    <w:rsid w:val="00B92E74"/>
    <w:rsid w:val="00BB0CE8"/>
    <w:rsid w:val="00BB3275"/>
    <w:rsid w:val="00BC35A3"/>
    <w:rsid w:val="00BC5A7C"/>
    <w:rsid w:val="00BE1CEB"/>
    <w:rsid w:val="00BE5AF4"/>
    <w:rsid w:val="00BF5819"/>
    <w:rsid w:val="00BF63C3"/>
    <w:rsid w:val="00C0335E"/>
    <w:rsid w:val="00C0431D"/>
    <w:rsid w:val="00C0654A"/>
    <w:rsid w:val="00C32CBD"/>
    <w:rsid w:val="00C411EC"/>
    <w:rsid w:val="00C42DBF"/>
    <w:rsid w:val="00C52D40"/>
    <w:rsid w:val="00C54EBC"/>
    <w:rsid w:val="00C55123"/>
    <w:rsid w:val="00C629E5"/>
    <w:rsid w:val="00C70B2B"/>
    <w:rsid w:val="00C74112"/>
    <w:rsid w:val="00CB1FBE"/>
    <w:rsid w:val="00CB730C"/>
    <w:rsid w:val="00CC7A9E"/>
    <w:rsid w:val="00CE07AB"/>
    <w:rsid w:val="00CE2CAA"/>
    <w:rsid w:val="00CE5346"/>
    <w:rsid w:val="00D00E35"/>
    <w:rsid w:val="00D03326"/>
    <w:rsid w:val="00D11FC2"/>
    <w:rsid w:val="00D37806"/>
    <w:rsid w:val="00D462BD"/>
    <w:rsid w:val="00D5375D"/>
    <w:rsid w:val="00D53A3D"/>
    <w:rsid w:val="00D61F8B"/>
    <w:rsid w:val="00D70C76"/>
    <w:rsid w:val="00D72124"/>
    <w:rsid w:val="00DA5A25"/>
    <w:rsid w:val="00DA6B85"/>
    <w:rsid w:val="00DB0024"/>
    <w:rsid w:val="00DC1F12"/>
    <w:rsid w:val="00DD1882"/>
    <w:rsid w:val="00E14856"/>
    <w:rsid w:val="00E36635"/>
    <w:rsid w:val="00E464B0"/>
    <w:rsid w:val="00E55E07"/>
    <w:rsid w:val="00E702C1"/>
    <w:rsid w:val="00E85A6B"/>
    <w:rsid w:val="00E86372"/>
    <w:rsid w:val="00EA326C"/>
    <w:rsid w:val="00EA39D6"/>
    <w:rsid w:val="00EA6BD2"/>
    <w:rsid w:val="00EA7CF9"/>
    <w:rsid w:val="00EB3299"/>
    <w:rsid w:val="00ED048E"/>
    <w:rsid w:val="00ED10AD"/>
    <w:rsid w:val="00ED55A6"/>
    <w:rsid w:val="00ED5761"/>
    <w:rsid w:val="00EE475E"/>
    <w:rsid w:val="00F145F2"/>
    <w:rsid w:val="00F154FB"/>
    <w:rsid w:val="00F4442B"/>
    <w:rsid w:val="00F503E3"/>
    <w:rsid w:val="00F545EA"/>
    <w:rsid w:val="00F57736"/>
    <w:rsid w:val="00F67BB5"/>
    <w:rsid w:val="00F826BC"/>
    <w:rsid w:val="00F92D91"/>
    <w:rsid w:val="00FA4598"/>
    <w:rsid w:val="00FB30A3"/>
    <w:rsid w:val="00FB4C3F"/>
    <w:rsid w:val="00FC3096"/>
    <w:rsid w:val="00FC3640"/>
    <w:rsid w:val="00FE0975"/>
    <w:rsid w:val="00FE25D1"/>
    <w:rsid w:val="00FE37D9"/>
    <w:rsid w:val="00FF45DE"/>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353996"/>
  <w15:docId w15:val="{68F75B38-4836-422E-A615-59087104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457"/>
    <w:pPr>
      <w:widowControl w:val="0"/>
      <w:spacing w:after="0" w:line="240" w:lineRule="auto"/>
    </w:pPr>
    <w:rPr>
      <w:rFonts w:ascii="Verdana" w:eastAsia="Times New Roman" w:hAnsi="Verdana" w:cs="Times New Roman"/>
      <w:snapToGrid w:val="0"/>
      <w:sz w:val="20"/>
      <w:szCs w:val="20"/>
      <w:lang w:eastAsia="fi-FI"/>
    </w:rPr>
  </w:style>
  <w:style w:type="paragraph" w:styleId="Heading1">
    <w:name w:val="heading 1"/>
    <w:aliases w:val="ECHA Heading 1"/>
    <w:basedOn w:val="Normal"/>
    <w:next w:val="BodyText"/>
    <w:link w:val="Heading1Char"/>
    <w:uiPriority w:val="9"/>
    <w:qFormat/>
    <w:rsid w:val="00EA7CF9"/>
    <w:pPr>
      <w:keepNext/>
      <w:keepLines/>
      <w:spacing w:after="240"/>
      <w:outlineLvl w:val="0"/>
    </w:pPr>
    <w:rPr>
      <w:b/>
      <w:snapToGrid/>
      <w:color w:val="0046AD"/>
      <w:sz w:val="28"/>
      <w:szCs w:val="24"/>
    </w:rPr>
  </w:style>
  <w:style w:type="paragraph" w:styleId="Heading2">
    <w:name w:val="heading 2"/>
    <w:aliases w:val="ECHA Heading 2"/>
    <w:basedOn w:val="Heading1"/>
    <w:next w:val="BodyText"/>
    <w:link w:val="Heading2Char"/>
    <w:qFormat/>
    <w:rsid w:val="00EA7CF9"/>
    <w:pPr>
      <w:outlineLvl w:val="1"/>
    </w:pPr>
    <w:rPr>
      <w:rFonts w:cs="Arial"/>
      <w:sz w:val="24"/>
      <w:szCs w:val="22"/>
    </w:rPr>
  </w:style>
  <w:style w:type="paragraph" w:styleId="Heading3">
    <w:name w:val="heading 3"/>
    <w:aliases w:val="ECHA Heading 3"/>
    <w:basedOn w:val="Heading2"/>
    <w:next w:val="BodyText"/>
    <w:link w:val="Heading3Char"/>
    <w:uiPriority w:val="9"/>
    <w:qFormat/>
    <w:rsid w:val="00EA7CF9"/>
    <w:pPr>
      <w:outlineLvl w:val="2"/>
    </w:pPr>
    <w:rPr>
      <w:bCs/>
      <w:color w:val="000000"/>
      <w:sz w:val="22"/>
    </w:rPr>
  </w:style>
  <w:style w:type="paragraph" w:styleId="Heading4">
    <w:name w:val="heading 4"/>
    <w:aliases w:val="ECHA Heading 4"/>
    <w:basedOn w:val="Heading3"/>
    <w:next w:val="BodyText"/>
    <w:link w:val="Heading4Char"/>
    <w:qFormat/>
    <w:rsid w:val="00EA7CF9"/>
    <w:pPr>
      <w:outlineLvl w:val="3"/>
    </w:pPr>
    <w:rPr>
      <w:b w:val="0"/>
      <w:bCs w:val="0"/>
      <w:szCs w:val="28"/>
    </w:rPr>
  </w:style>
  <w:style w:type="paragraph" w:styleId="Heading5">
    <w:name w:val="heading 5"/>
    <w:aliases w:val="ECHA Heading 5"/>
    <w:basedOn w:val="Heading3"/>
    <w:next w:val="BodyText"/>
    <w:link w:val="Heading5Char"/>
    <w:qFormat/>
    <w:rsid w:val="00EA7CF9"/>
    <w:pPr>
      <w:outlineLvl w:val="4"/>
    </w:pPr>
    <w:rPr>
      <w:bCs w:val="0"/>
      <w:iCs/>
      <w:sz w:val="20"/>
      <w:szCs w:val="26"/>
    </w:rPr>
  </w:style>
  <w:style w:type="paragraph" w:styleId="Heading6">
    <w:name w:val="heading 6"/>
    <w:aliases w:val="ECHA Heading 6"/>
    <w:basedOn w:val="Heading5"/>
    <w:next w:val="BodyText"/>
    <w:link w:val="Heading6Char"/>
    <w:qFormat/>
    <w:rsid w:val="00EA7CF9"/>
    <w:pPr>
      <w:outlineLvl w:val="5"/>
    </w:pPr>
    <w:rPr>
      <w:bCs/>
      <w:szCs w:val="22"/>
    </w:rPr>
  </w:style>
  <w:style w:type="paragraph" w:styleId="Heading7">
    <w:name w:val="heading 7"/>
    <w:aliases w:val="ECHA Heading 7"/>
    <w:basedOn w:val="Heading5"/>
    <w:next w:val="BodyText"/>
    <w:link w:val="Heading7Char"/>
    <w:qFormat/>
    <w:rsid w:val="00EA7CF9"/>
    <w:pPr>
      <w:outlineLvl w:val="6"/>
    </w:pPr>
    <w:rPr>
      <w:szCs w:val="24"/>
    </w:rPr>
  </w:style>
  <w:style w:type="paragraph" w:styleId="Heading8">
    <w:name w:val="heading 8"/>
    <w:aliases w:val="ECHA Heading 8"/>
    <w:basedOn w:val="Heading5"/>
    <w:next w:val="BodyText"/>
    <w:link w:val="Heading8Char"/>
    <w:qFormat/>
    <w:rsid w:val="00EA7CF9"/>
    <w:pPr>
      <w:outlineLvl w:val="7"/>
    </w:pPr>
    <w:rPr>
      <w:iCs w:val="0"/>
      <w:szCs w:val="24"/>
    </w:rPr>
  </w:style>
  <w:style w:type="paragraph" w:styleId="Heading9">
    <w:name w:val="heading 9"/>
    <w:aliases w:val="ECHA Heading 9"/>
    <w:basedOn w:val="Heading5"/>
    <w:next w:val="BodyText"/>
    <w:link w:val="Heading9Char"/>
    <w:qFormat/>
    <w:rsid w:val="00EA7CF9"/>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HA Heading 1 Char"/>
    <w:basedOn w:val="DefaultParagraphFont"/>
    <w:link w:val="Heading1"/>
    <w:rsid w:val="00EA7CF9"/>
    <w:rPr>
      <w:rFonts w:ascii="Verdana" w:eastAsia="Times New Roman" w:hAnsi="Verdana" w:cs="Times New Roman"/>
      <w:b/>
      <w:snapToGrid w:val="0"/>
      <w:color w:val="0046AD"/>
      <w:sz w:val="28"/>
      <w:szCs w:val="24"/>
      <w:lang w:eastAsia="fi-FI"/>
    </w:rPr>
  </w:style>
  <w:style w:type="character" w:customStyle="1" w:styleId="Heading2Char">
    <w:name w:val="Heading 2 Char"/>
    <w:aliases w:val="ECHA Heading 2 Char"/>
    <w:basedOn w:val="DefaultParagraphFont"/>
    <w:link w:val="Heading2"/>
    <w:rsid w:val="00EA7CF9"/>
    <w:rPr>
      <w:rFonts w:ascii="Verdana" w:eastAsia="Times New Roman" w:hAnsi="Verdana" w:cs="Arial"/>
      <w:b/>
      <w:snapToGrid w:val="0"/>
      <w:color w:val="0046AD"/>
      <w:sz w:val="24"/>
      <w:lang w:eastAsia="fi-FI"/>
    </w:rPr>
  </w:style>
  <w:style w:type="character" w:customStyle="1" w:styleId="Heading3Char">
    <w:name w:val="Heading 3 Char"/>
    <w:aliases w:val="ECHA Heading 3 Char"/>
    <w:basedOn w:val="DefaultParagraphFont"/>
    <w:link w:val="Heading3"/>
    <w:rsid w:val="00EA7CF9"/>
    <w:rPr>
      <w:rFonts w:ascii="Verdana" w:eastAsia="Times New Roman" w:hAnsi="Verdana" w:cs="Arial"/>
      <w:b/>
      <w:bCs/>
      <w:snapToGrid w:val="0"/>
      <w:color w:val="000000"/>
      <w:lang w:eastAsia="fi-FI"/>
    </w:rPr>
  </w:style>
  <w:style w:type="character" w:customStyle="1" w:styleId="Heading4Char">
    <w:name w:val="Heading 4 Char"/>
    <w:aliases w:val="ECHA Heading 4 Char"/>
    <w:basedOn w:val="DefaultParagraphFont"/>
    <w:link w:val="Heading4"/>
    <w:rsid w:val="00EA7CF9"/>
    <w:rPr>
      <w:rFonts w:ascii="Verdana" w:eastAsia="Times New Roman" w:hAnsi="Verdana" w:cs="Arial"/>
      <w:snapToGrid w:val="0"/>
      <w:color w:val="000000"/>
      <w:szCs w:val="28"/>
      <w:lang w:eastAsia="fi-FI"/>
    </w:rPr>
  </w:style>
  <w:style w:type="character" w:customStyle="1" w:styleId="Heading5Char">
    <w:name w:val="Heading 5 Char"/>
    <w:aliases w:val="ECHA Heading 5 Char"/>
    <w:basedOn w:val="DefaultParagraphFont"/>
    <w:link w:val="Heading5"/>
    <w:rsid w:val="00EA7CF9"/>
    <w:rPr>
      <w:rFonts w:ascii="Verdana" w:eastAsia="Times New Roman" w:hAnsi="Verdana" w:cs="Arial"/>
      <w:b/>
      <w:iCs/>
      <w:snapToGrid w:val="0"/>
      <w:color w:val="000000"/>
      <w:sz w:val="20"/>
      <w:szCs w:val="26"/>
      <w:lang w:eastAsia="fi-FI"/>
    </w:rPr>
  </w:style>
  <w:style w:type="character" w:customStyle="1" w:styleId="Heading6Char">
    <w:name w:val="Heading 6 Char"/>
    <w:aliases w:val="ECHA Heading 6 Char"/>
    <w:basedOn w:val="DefaultParagraphFont"/>
    <w:link w:val="Heading6"/>
    <w:rsid w:val="00EA7CF9"/>
    <w:rPr>
      <w:rFonts w:ascii="Verdana" w:eastAsia="Times New Roman" w:hAnsi="Verdana" w:cs="Arial"/>
      <w:b/>
      <w:bCs/>
      <w:iCs/>
      <w:snapToGrid w:val="0"/>
      <w:color w:val="000000"/>
      <w:sz w:val="20"/>
      <w:lang w:eastAsia="fi-FI"/>
    </w:rPr>
  </w:style>
  <w:style w:type="character" w:customStyle="1" w:styleId="Heading7Char">
    <w:name w:val="Heading 7 Char"/>
    <w:aliases w:val="ECHA Heading 7 Char"/>
    <w:basedOn w:val="DefaultParagraphFont"/>
    <w:link w:val="Heading7"/>
    <w:rsid w:val="00EA7CF9"/>
    <w:rPr>
      <w:rFonts w:ascii="Verdana" w:eastAsia="Times New Roman" w:hAnsi="Verdana" w:cs="Arial"/>
      <w:b/>
      <w:iCs/>
      <w:snapToGrid w:val="0"/>
      <w:color w:val="000000"/>
      <w:sz w:val="20"/>
      <w:szCs w:val="24"/>
      <w:lang w:eastAsia="fi-FI"/>
    </w:rPr>
  </w:style>
  <w:style w:type="character" w:customStyle="1" w:styleId="Heading8Char">
    <w:name w:val="Heading 8 Char"/>
    <w:aliases w:val="ECHA Heading 8 Char"/>
    <w:basedOn w:val="DefaultParagraphFont"/>
    <w:link w:val="Heading8"/>
    <w:rsid w:val="00EA7CF9"/>
    <w:rPr>
      <w:rFonts w:ascii="Verdana" w:eastAsia="Times New Roman" w:hAnsi="Verdana" w:cs="Arial"/>
      <w:b/>
      <w:snapToGrid w:val="0"/>
      <w:color w:val="000000"/>
      <w:sz w:val="20"/>
      <w:szCs w:val="24"/>
      <w:lang w:eastAsia="fi-FI"/>
    </w:rPr>
  </w:style>
  <w:style w:type="character" w:customStyle="1" w:styleId="Heading9Char">
    <w:name w:val="Heading 9 Char"/>
    <w:aliases w:val="ECHA Heading 9 Char"/>
    <w:basedOn w:val="DefaultParagraphFont"/>
    <w:link w:val="Heading9"/>
    <w:rsid w:val="00EA7CF9"/>
    <w:rPr>
      <w:rFonts w:ascii="Verdana" w:eastAsia="Times New Roman" w:hAnsi="Verdana" w:cs="Arial"/>
      <w:b/>
      <w:iCs/>
      <w:snapToGrid w:val="0"/>
      <w:color w:val="000000"/>
      <w:sz w:val="20"/>
      <w:lang w:eastAsia="fi-FI"/>
    </w:rPr>
  </w:style>
  <w:style w:type="numbering" w:customStyle="1" w:styleId="ECHABulletlist">
    <w:name w:val="ECHA Bullet list"/>
    <w:basedOn w:val="NoList"/>
    <w:rsid w:val="00EA7CF9"/>
    <w:pPr>
      <w:numPr>
        <w:numId w:val="1"/>
      </w:numPr>
    </w:pPr>
  </w:style>
  <w:style w:type="numbering" w:customStyle="1" w:styleId="ECHANumberlist">
    <w:name w:val="ECHA Number list"/>
    <w:basedOn w:val="NoList"/>
    <w:rsid w:val="00EA7CF9"/>
    <w:pPr>
      <w:numPr>
        <w:numId w:val="2"/>
      </w:numPr>
    </w:pPr>
  </w:style>
  <w:style w:type="paragraph" w:styleId="BodyText">
    <w:name w:val="Body Text"/>
    <w:aliases w:val="Text"/>
    <w:basedOn w:val="Normal"/>
    <w:link w:val="BodyTextChar"/>
    <w:unhideWhenUsed/>
    <w:rsid w:val="00EA7CF9"/>
    <w:pPr>
      <w:spacing w:after="120"/>
    </w:pPr>
  </w:style>
  <w:style w:type="character" w:customStyle="1" w:styleId="BodyTextChar">
    <w:name w:val="Body Text Char"/>
    <w:aliases w:val="Text Char"/>
    <w:basedOn w:val="DefaultParagraphFont"/>
    <w:link w:val="BodyText"/>
    <w:rsid w:val="00EA7CF9"/>
  </w:style>
  <w:style w:type="paragraph" w:styleId="Title">
    <w:name w:val="Title"/>
    <w:aliases w:val="ECHA Heading"/>
    <w:basedOn w:val="Heading1"/>
    <w:next w:val="BodyText"/>
    <w:link w:val="TitleChar"/>
    <w:qFormat/>
    <w:rsid w:val="00EA7CF9"/>
    <w:rPr>
      <w:rFonts w:cs="Arial"/>
      <w:bCs/>
      <w:szCs w:val="32"/>
    </w:rPr>
  </w:style>
  <w:style w:type="character" w:customStyle="1" w:styleId="TitleChar">
    <w:name w:val="Title Char"/>
    <w:aliases w:val="ECHA Heading Char"/>
    <w:basedOn w:val="DefaultParagraphFont"/>
    <w:link w:val="Title"/>
    <w:rsid w:val="00EA7CF9"/>
    <w:rPr>
      <w:rFonts w:ascii="Verdana" w:eastAsia="Times New Roman" w:hAnsi="Verdana" w:cs="Arial"/>
      <w:b/>
      <w:bCs/>
      <w:snapToGrid w:val="0"/>
      <w:color w:val="0046AD"/>
      <w:sz w:val="28"/>
      <w:szCs w:val="32"/>
      <w:lang w:eastAsia="fi-FI"/>
    </w:rPr>
  </w:style>
  <w:style w:type="paragraph" w:styleId="FootnoteText">
    <w:name w:val="footnote text"/>
    <w:basedOn w:val="Normal"/>
    <w:link w:val="FootnoteTextChar"/>
    <w:uiPriority w:val="99"/>
    <w:semiHidden/>
    <w:qFormat/>
    <w:rsid w:val="00471457"/>
  </w:style>
  <w:style w:type="character" w:customStyle="1" w:styleId="FootnoteTextChar">
    <w:name w:val="Footnote Text Char"/>
    <w:basedOn w:val="DefaultParagraphFont"/>
    <w:link w:val="FootnoteText"/>
    <w:uiPriority w:val="99"/>
    <w:semiHidden/>
    <w:rsid w:val="00471457"/>
    <w:rPr>
      <w:rFonts w:ascii="Verdana" w:eastAsia="Times New Roman" w:hAnsi="Verdana" w:cs="Times New Roman"/>
      <w:snapToGrid w:val="0"/>
      <w:sz w:val="20"/>
      <w:szCs w:val="20"/>
      <w:lang w:eastAsia="fi-FI"/>
    </w:rPr>
  </w:style>
  <w:style w:type="character" w:styleId="FootnoteReference">
    <w:name w:val="footnote reference"/>
    <w:aliases w:val="Footnote"/>
    <w:uiPriority w:val="99"/>
    <w:semiHidden/>
    <w:qFormat/>
    <w:rsid w:val="00471457"/>
    <w:rPr>
      <w:vertAlign w:val="superscript"/>
    </w:rPr>
  </w:style>
  <w:style w:type="paragraph" w:styleId="ListParagraph">
    <w:name w:val="List Paragraph"/>
    <w:basedOn w:val="Normal"/>
    <w:uiPriority w:val="34"/>
    <w:qFormat/>
    <w:rsid w:val="00471457"/>
    <w:pPr>
      <w:ind w:left="720"/>
    </w:pPr>
  </w:style>
  <w:style w:type="paragraph" w:styleId="BalloonText">
    <w:name w:val="Balloon Text"/>
    <w:basedOn w:val="Normal"/>
    <w:link w:val="BalloonTextChar"/>
    <w:uiPriority w:val="99"/>
    <w:semiHidden/>
    <w:unhideWhenUsed/>
    <w:rsid w:val="005F45D1"/>
    <w:rPr>
      <w:rFonts w:ascii="Tahoma" w:hAnsi="Tahoma" w:cs="Tahoma"/>
      <w:sz w:val="16"/>
      <w:szCs w:val="16"/>
    </w:rPr>
  </w:style>
  <w:style w:type="character" w:customStyle="1" w:styleId="BalloonTextChar">
    <w:name w:val="Balloon Text Char"/>
    <w:basedOn w:val="DefaultParagraphFont"/>
    <w:link w:val="BalloonText"/>
    <w:uiPriority w:val="99"/>
    <w:semiHidden/>
    <w:rsid w:val="005F45D1"/>
    <w:rPr>
      <w:rFonts w:ascii="Tahoma" w:eastAsia="Times New Roman" w:hAnsi="Tahoma" w:cs="Tahoma"/>
      <w:snapToGrid w:val="0"/>
      <w:sz w:val="16"/>
      <w:szCs w:val="16"/>
      <w:lang w:eastAsia="fi-FI"/>
    </w:rPr>
  </w:style>
  <w:style w:type="character" w:styleId="CommentReference">
    <w:name w:val="annotation reference"/>
    <w:basedOn w:val="DefaultParagraphFont"/>
    <w:uiPriority w:val="99"/>
    <w:semiHidden/>
    <w:unhideWhenUsed/>
    <w:rsid w:val="002F261C"/>
    <w:rPr>
      <w:sz w:val="16"/>
      <w:szCs w:val="16"/>
    </w:rPr>
  </w:style>
  <w:style w:type="paragraph" w:styleId="CommentText">
    <w:name w:val="annotation text"/>
    <w:basedOn w:val="Normal"/>
    <w:link w:val="CommentTextChar"/>
    <w:uiPriority w:val="99"/>
    <w:unhideWhenUsed/>
    <w:rsid w:val="002F261C"/>
  </w:style>
  <w:style w:type="character" w:customStyle="1" w:styleId="CommentTextChar">
    <w:name w:val="Comment Text Char"/>
    <w:basedOn w:val="DefaultParagraphFont"/>
    <w:link w:val="CommentText"/>
    <w:uiPriority w:val="99"/>
    <w:rsid w:val="002F261C"/>
    <w:rPr>
      <w:rFonts w:ascii="Verdana" w:eastAsia="Times New Roman" w:hAnsi="Verdana" w:cs="Times New Roman"/>
      <w:snapToGrid w:val="0"/>
      <w:sz w:val="20"/>
      <w:szCs w:val="20"/>
      <w:lang w:eastAsia="fi-FI"/>
    </w:rPr>
  </w:style>
  <w:style w:type="paragraph" w:styleId="CommentSubject">
    <w:name w:val="annotation subject"/>
    <w:basedOn w:val="CommentText"/>
    <w:next w:val="CommentText"/>
    <w:link w:val="CommentSubjectChar"/>
    <w:uiPriority w:val="99"/>
    <w:semiHidden/>
    <w:unhideWhenUsed/>
    <w:rsid w:val="002F261C"/>
    <w:rPr>
      <w:b/>
      <w:bCs/>
    </w:rPr>
  </w:style>
  <w:style w:type="character" w:customStyle="1" w:styleId="CommentSubjectChar">
    <w:name w:val="Comment Subject Char"/>
    <w:basedOn w:val="CommentTextChar"/>
    <w:link w:val="CommentSubject"/>
    <w:uiPriority w:val="99"/>
    <w:semiHidden/>
    <w:rsid w:val="002F261C"/>
    <w:rPr>
      <w:rFonts w:ascii="Verdana" w:eastAsia="Times New Roman" w:hAnsi="Verdana" w:cs="Times New Roman"/>
      <w:b/>
      <w:bCs/>
      <w:snapToGrid w:val="0"/>
      <w:sz w:val="20"/>
      <w:szCs w:val="20"/>
      <w:lang w:eastAsia="fi-FI"/>
    </w:rPr>
  </w:style>
  <w:style w:type="paragraph" w:styleId="Header">
    <w:name w:val="header"/>
    <w:basedOn w:val="Normal"/>
    <w:link w:val="HeaderChar"/>
    <w:uiPriority w:val="99"/>
    <w:unhideWhenUsed/>
    <w:rsid w:val="00A41F93"/>
    <w:pPr>
      <w:tabs>
        <w:tab w:val="center" w:pos="4513"/>
        <w:tab w:val="right" w:pos="9026"/>
      </w:tabs>
    </w:pPr>
  </w:style>
  <w:style w:type="character" w:customStyle="1" w:styleId="HeaderChar">
    <w:name w:val="Header Char"/>
    <w:basedOn w:val="DefaultParagraphFont"/>
    <w:link w:val="Header"/>
    <w:uiPriority w:val="99"/>
    <w:rsid w:val="00A41F93"/>
    <w:rPr>
      <w:rFonts w:ascii="Verdana" w:eastAsia="Times New Roman" w:hAnsi="Verdana" w:cs="Times New Roman"/>
      <w:snapToGrid w:val="0"/>
      <w:sz w:val="20"/>
      <w:szCs w:val="20"/>
      <w:lang w:eastAsia="fi-FI"/>
    </w:rPr>
  </w:style>
  <w:style w:type="paragraph" w:styleId="Footer">
    <w:name w:val="footer"/>
    <w:basedOn w:val="Normal"/>
    <w:link w:val="FooterChar"/>
    <w:uiPriority w:val="99"/>
    <w:unhideWhenUsed/>
    <w:rsid w:val="00A41F93"/>
    <w:pPr>
      <w:tabs>
        <w:tab w:val="center" w:pos="4513"/>
        <w:tab w:val="right" w:pos="9026"/>
      </w:tabs>
    </w:pPr>
  </w:style>
  <w:style w:type="character" w:customStyle="1" w:styleId="FooterChar">
    <w:name w:val="Footer Char"/>
    <w:basedOn w:val="DefaultParagraphFont"/>
    <w:link w:val="Footer"/>
    <w:uiPriority w:val="99"/>
    <w:rsid w:val="00A41F93"/>
    <w:rPr>
      <w:rFonts w:ascii="Verdana" w:eastAsia="Times New Roman" w:hAnsi="Verdana" w:cs="Times New Roman"/>
      <w:snapToGrid w:val="0"/>
      <w:sz w:val="20"/>
      <w:szCs w:val="20"/>
      <w:lang w:eastAsia="fi-FI"/>
    </w:rPr>
  </w:style>
  <w:style w:type="character" w:styleId="Hyperlink">
    <w:name w:val="Hyperlink"/>
    <w:basedOn w:val="DefaultParagraphFont"/>
    <w:uiPriority w:val="99"/>
    <w:rsid w:val="002E4026"/>
    <w:rPr>
      <w:rFonts w:ascii="Verdana" w:hAnsi="Verdana"/>
      <w:color w:val="0000FF"/>
      <w:sz w:val="20"/>
      <w:u w:val="single"/>
    </w:rPr>
  </w:style>
  <w:style w:type="character" w:styleId="FollowedHyperlink">
    <w:name w:val="FollowedHyperlink"/>
    <w:basedOn w:val="DefaultParagraphFont"/>
    <w:uiPriority w:val="99"/>
    <w:semiHidden/>
    <w:unhideWhenUsed/>
    <w:rsid w:val="00A03E87"/>
    <w:rPr>
      <w:color w:val="800080" w:themeColor="followedHyperlink"/>
      <w:u w:val="single"/>
    </w:rPr>
  </w:style>
  <w:style w:type="paragraph" w:styleId="Caption">
    <w:name w:val="caption"/>
    <w:aliases w:val="Caption Table"/>
    <w:next w:val="BodyText"/>
    <w:link w:val="CaptionChar"/>
    <w:qFormat/>
    <w:rsid w:val="00EA39D6"/>
    <w:pPr>
      <w:keepNext/>
      <w:spacing w:before="120" w:after="90" w:line="240" w:lineRule="auto"/>
      <w:ind w:left="57"/>
    </w:pPr>
    <w:rPr>
      <w:rFonts w:ascii="Times New Roman Bold" w:eastAsia="Times New Roman" w:hAnsi="Times New Roman Bold" w:cs="Times New Roman"/>
      <w:bCs/>
      <w:sz w:val="24"/>
      <w:szCs w:val="20"/>
    </w:rPr>
  </w:style>
  <w:style w:type="character" w:customStyle="1" w:styleId="CaptionChar">
    <w:name w:val="Caption Char"/>
    <w:aliases w:val="Caption Table Char"/>
    <w:link w:val="Caption"/>
    <w:rsid w:val="00EA39D6"/>
    <w:rPr>
      <w:rFonts w:ascii="Times New Roman Bold" w:eastAsia="Times New Roman" w:hAnsi="Times New Roman Bold" w:cs="Times New Roman"/>
      <w:bCs/>
      <w:sz w:val="24"/>
      <w:szCs w:val="20"/>
    </w:rPr>
  </w:style>
  <w:style w:type="paragraph" w:styleId="ListBullet">
    <w:name w:val="List Bullet"/>
    <w:next w:val="BodyText"/>
    <w:rsid w:val="00EA39D6"/>
    <w:pPr>
      <w:numPr>
        <w:numId w:val="14"/>
      </w:numPr>
      <w:tabs>
        <w:tab w:val="clear" w:pos="425"/>
        <w:tab w:val="left" w:pos="357"/>
      </w:tabs>
      <w:spacing w:after="0" w:line="240" w:lineRule="auto"/>
      <w:ind w:left="357" w:hanging="357"/>
      <w:jc w:val="both"/>
    </w:pPr>
    <w:rPr>
      <w:rFonts w:ascii="Times New Roman" w:eastAsia="Times New Roman" w:hAnsi="Times New Roman" w:cs="Times New Roman"/>
      <w:sz w:val="24"/>
      <w:szCs w:val="20"/>
    </w:rPr>
  </w:style>
  <w:style w:type="paragraph" w:customStyle="1" w:styleId="Default">
    <w:name w:val="Default"/>
    <w:rsid w:val="00EA39D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emf"/></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addressing-chemicals-of-concern/substances-of-potential-concern/svhc-roadmap-to-2020-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2.xml><?xml version="1.0" encoding="utf-8"?>
<p:properties xmlns:p="http://schemas.microsoft.com/office/2006/metadata/properties" xmlns:xsi="http://www.w3.org/2001/XMLSchema-instance" xmlns:pc="http://schemas.microsoft.com/office/infopath/2007/PartnerControls">
  <documentManagement>
    <ECHADocumentTypeTaxHTField0 xmlns="4811b924-dee2-413a-bdc8-2cc023473c17">
      <Terms xmlns="http://schemas.microsoft.com/office/infopath/2007/PartnerControls"/>
    </ECHADocumentTypeTaxHTField0>
    <ECHACategoryTaxHTField0 xmlns="4811b924-dee2-413a-bdc8-2cc023473c17">
      <Terms xmlns="http://schemas.microsoft.com/office/infopath/2007/PartnerControls"/>
    </ECHACategoryTaxHTField0>
    <ECHAProcessTaxHTField0 xmlns="4811b924-dee2-413a-bdc8-2cc023473c17">
      <Terms xmlns="http://schemas.microsoft.com/office/infopath/2007/PartnerControls"/>
    </ECHAProcessTaxHTField0>
    <_dlc_DocId xmlns="b80ede5c-af4c-4bf2-9a87-706a3579dc11" xsi:nil="true"/>
    <TaxCatchAll xmlns="b80ede5c-af4c-4bf2-9a87-706a3579dc11"/>
    <ECHASecClassTaxHTField0 xmlns="4811b924-dee2-413a-bdc8-2cc023473c17">
      <Terms xmlns="http://schemas.microsoft.com/office/infopath/2007/PartnerControls"/>
    </ECHASecClassTaxHTField0>
    <_dlc_DocIdUrl xmlns="b80ede5c-af4c-4bf2-9a87-706a3579dc11">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808A1CA0E4EF14790F53ECF057752F5" ma:contentTypeVersion="16" ma:contentTypeDescription="Content type for ECHA process documents" ma:contentTypeScope="" ma:versionID="4ad06edc44e47dd803ed236971bd80b1">
  <xsd:schema xmlns:xsd="http://www.w3.org/2001/XMLSchema" xmlns:xs="http://www.w3.org/2001/XMLSchema" xmlns:p="http://schemas.microsoft.com/office/2006/metadata/properties" xmlns:ns2="4811b924-dee2-413a-bdc8-2cc023473c17" xmlns:ns3="b80ede5c-af4c-4bf2-9a87-706a3579dc11" targetNamespace="http://schemas.microsoft.com/office/2006/metadata/properties" ma:root="true" ma:fieldsID="f4d5235ea4be938ed52839c5b79c8146" ns2:_="" ns3:_="">
    <xsd:import namespace="4811b924-dee2-413a-bdc8-2cc023473c17"/>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2f01920a-32c0-4bfc-852f-a78ec103ad1f}" ma:internalName="TaxCatchAll" ma:showField="CatchAllData" ma:web="4811b924-dee2-413a-bdc8-2cc023473c1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f01920a-32c0-4bfc-852f-a78ec103ad1f}" ma:internalName="TaxCatchAllLabel" ma:readOnly="true" ma:showField="CatchAllDataLabel" ma:web="4811b924-dee2-413a-bdc8-2cc023473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4A4DA-6220-401F-9FBC-DBFBD929C8E3}">
  <ds:schemaRefs>
    <ds:schemaRef ds:uri="Microsoft.SharePoint.Taxonomy.ContentTypeSync"/>
  </ds:schemaRefs>
</ds:datastoreItem>
</file>

<file path=customXml/itemProps2.xml><?xml version="1.0" encoding="utf-8"?>
<ds:datastoreItem xmlns:ds="http://schemas.openxmlformats.org/officeDocument/2006/customXml" ds:itemID="{FB8C6060-E70E-4A37-913A-A00BF7D052E3}">
  <ds:schemaRefs>
    <ds:schemaRef ds:uri="http://schemas.microsoft.com/office/2006/metadata/properties"/>
    <ds:schemaRef ds:uri="http://schemas.microsoft.com/office/infopath/2007/PartnerControls"/>
    <ds:schemaRef ds:uri="4811b924-dee2-413a-bdc8-2cc023473c17"/>
    <ds:schemaRef ds:uri="b80ede5c-af4c-4bf2-9a87-706a3579dc11"/>
  </ds:schemaRefs>
</ds:datastoreItem>
</file>

<file path=customXml/itemProps3.xml><?xml version="1.0" encoding="utf-8"?>
<ds:datastoreItem xmlns:ds="http://schemas.openxmlformats.org/officeDocument/2006/customXml" ds:itemID="{04B0A82C-9F0F-4A45-B5C2-5C8C1C023A73}">
  <ds:schemaRefs>
    <ds:schemaRef ds:uri="http://schemas.microsoft.com/sharepoint/events"/>
  </ds:schemaRefs>
</ds:datastoreItem>
</file>

<file path=customXml/itemProps4.xml><?xml version="1.0" encoding="utf-8"?>
<ds:datastoreItem xmlns:ds="http://schemas.openxmlformats.org/officeDocument/2006/customXml" ds:itemID="{AABFB3E3-EBBC-4869-B4C1-04C930B5F05A}">
  <ds:schemaRefs>
    <ds:schemaRef ds:uri="http://schemas.microsoft.com/sharepoint/v3/contenttype/forms"/>
  </ds:schemaRefs>
</ds:datastoreItem>
</file>

<file path=customXml/itemProps5.xml><?xml version="1.0" encoding="utf-8"?>
<ds:datastoreItem xmlns:ds="http://schemas.openxmlformats.org/officeDocument/2006/customXml" ds:itemID="{491B9FA1-F855-4497-8528-FF1A9843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06FE1C-AB25-4B0C-B403-4F677086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1451</Words>
  <Characters>8272</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Chemicals Agency</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CLENAGHAN Conor</dc:creator>
  <cp:lastModifiedBy>SUOMELA Sanna</cp:lastModifiedBy>
  <cp:revision>5</cp:revision>
  <cp:lastPrinted>2015-08-11T11:20:00Z</cp:lastPrinted>
  <dcterms:created xsi:type="dcterms:W3CDTF">2020-11-03T07:31:00Z</dcterms:created>
  <dcterms:modified xsi:type="dcterms:W3CDTF">2020-12-03T12:54:00Z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Process">
    <vt:lpwstr>2;#03.01 Preparation for Risk management|d80fe072-1fec-4844-8783-25e18f728697</vt:lpwstr>
  </property>
  <property fmtid="{D5CDD505-2E9C-101B-9397-08002B2CF9AE}" pid="3" name="_dlc_DocIdItemGuid">
    <vt:lpwstr>e8fafb9e-51d1-4195-b565-50d6f7fca025</vt:lpwstr>
  </property>
  <property fmtid="{D5CDD505-2E9C-101B-9397-08002B2CF9AE}" pid="4" name="ContentTypeId">
    <vt:lpwstr>0x010100B558917389A54ADDB58930FBD7E6FD57008586DED9191B4C4CBD31A5DF7F304A71007808A1CA0E4EF14790F53ECF057752F5</vt:lpwstr>
  </property>
  <property fmtid="{D5CDD505-2E9C-101B-9397-08002B2CF9AE}" pid="5" name="ECHADocumentType">
    <vt:lpwstr/>
  </property>
  <property fmtid="{D5CDD505-2E9C-101B-9397-08002B2CF9AE}" pid="6" name="ECHASecClass">
    <vt:lpwstr>1;#|a0307bc2-faf9-4068-8aeb-b713e4fa2a0f</vt:lpwstr>
  </property>
  <property fmtid="{D5CDD505-2E9C-101B-9397-08002B2CF9AE}" pid="7" name="ECHACategory">
    <vt:lpwstr/>
  </property>
  <property fmtid="{D5CDD505-2E9C-101B-9397-08002B2CF9AE}" pid="8" name="ContentRemapped">
    <vt:lpwstr>true</vt:lpwstr>
  </property>
</Properties>
</file>