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BD91" w14:textId="6DEAC79D" w:rsidR="005C1A2A" w:rsidRPr="00BD2EF1" w:rsidRDefault="00926BBC" w:rsidP="005C1A2A">
      <w:pPr>
        <w:tabs>
          <w:tab w:val="left" w:pos="8505"/>
        </w:tabs>
        <w:spacing w:before="480"/>
        <w:ind w:left="-142" w:right="-45"/>
        <w:jc w:val="center"/>
        <w:rPr>
          <w:sz w:val="36"/>
          <w:szCs w:val="36"/>
        </w:rPr>
      </w:pPr>
      <w:r>
        <w:rPr>
          <w:noProof/>
          <w:sz w:val="36"/>
          <w:szCs w:val="36"/>
          <w:lang w:val="nl-NL" w:eastAsia="nl-NL"/>
        </w:rPr>
        <mc:AlternateContent>
          <mc:Choice Requires="wps">
            <w:drawing>
              <wp:anchor distT="0" distB="0" distL="114300" distR="114300" simplePos="0" relativeHeight="251659264" behindDoc="0" locked="0" layoutInCell="1" allowOverlap="1" wp14:anchorId="1DF4CEA2" wp14:editId="51DB8785">
                <wp:simplePos x="0" y="0"/>
                <wp:positionH relativeFrom="column">
                  <wp:posOffset>-394335</wp:posOffset>
                </wp:positionH>
                <wp:positionV relativeFrom="paragraph">
                  <wp:posOffset>6985</wp:posOffset>
                </wp:positionV>
                <wp:extent cx="6528435" cy="8867775"/>
                <wp:effectExtent l="0" t="0" r="24765" b="28575"/>
                <wp:wrapNone/>
                <wp:docPr id="3"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4012" id="Rechthoek 2" o:spid="_x0000_s1026" style="position:absolute;margin-left:-31.05pt;margin-top:.55pt;width:514.05pt;height:6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" filled="f"/>
            </w:pict>
          </mc:Fallback>
        </mc:AlternateContent>
      </w:r>
      <w:r w:rsidR="005C1A2A" w:rsidRPr="00BD2EF1">
        <w:rPr>
          <w:sz w:val="36"/>
          <w:szCs w:val="36"/>
        </w:rPr>
        <w:t>Regulation (EU) No 528/2012 concerning the making available on the market and use of biocidal products</w:t>
      </w:r>
    </w:p>
    <w:p w14:paraId="52884CCD" w14:textId="77777777" w:rsidR="005C1A2A" w:rsidRPr="00BD2EF1" w:rsidRDefault="005C1A2A" w:rsidP="005C1A2A">
      <w:pPr>
        <w:tabs>
          <w:tab w:val="left" w:pos="8505"/>
        </w:tabs>
        <w:ind w:left="-142" w:right="-45"/>
      </w:pPr>
    </w:p>
    <w:p w14:paraId="51F7283E" w14:textId="77777777" w:rsidR="005C1A2A" w:rsidRPr="00BD2EF1" w:rsidRDefault="005C1A2A" w:rsidP="005C1A2A">
      <w:pPr>
        <w:tabs>
          <w:tab w:val="left" w:pos="8505"/>
        </w:tabs>
        <w:ind w:left="-142" w:right="-45"/>
        <w:jc w:val="center"/>
        <w:rPr>
          <w:b/>
          <w:bCs/>
          <w:sz w:val="22"/>
          <w:szCs w:val="36"/>
        </w:rPr>
      </w:pPr>
    </w:p>
    <w:p w14:paraId="11CFAF36" w14:textId="77777777" w:rsidR="005C1A2A" w:rsidRPr="00BD2EF1" w:rsidRDefault="005C1A2A" w:rsidP="005C1A2A">
      <w:pPr>
        <w:jc w:val="center"/>
        <w:rPr>
          <w:b/>
          <w:bCs/>
          <w:sz w:val="36"/>
          <w:szCs w:val="36"/>
        </w:rPr>
      </w:pPr>
      <w:r w:rsidRPr="00BD2EF1">
        <w:rPr>
          <w:b/>
          <w:bCs/>
          <w:sz w:val="36"/>
          <w:szCs w:val="36"/>
        </w:rPr>
        <w:t>PRODUCT ASSESSMENT REPORT OF A BIOCIDAL PRODUCT FOR NATIONAL AUTHORISATION APPLICATIONS</w:t>
      </w:r>
    </w:p>
    <w:p w14:paraId="6781788A" w14:textId="77777777" w:rsidR="005C1A2A" w:rsidRPr="00BD2EF1" w:rsidRDefault="005C1A2A" w:rsidP="00943A25">
      <w:pPr>
        <w:jc w:val="center"/>
      </w:pPr>
    </w:p>
    <w:p w14:paraId="6CFA42BC" w14:textId="77777777" w:rsidR="005C1A2A" w:rsidRPr="00BD2EF1" w:rsidRDefault="005C1A2A" w:rsidP="00943A25"/>
    <w:p w14:paraId="57DF291F" w14:textId="77777777" w:rsidR="005C1A2A" w:rsidRPr="00BD2EF1" w:rsidRDefault="005C1A2A" w:rsidP="005C1A2A">
      <w:pPr>
        <w:tabs>
          <w:tab w:val="left" w:pos="8505"/>
        </w:tabs>
        <w:ind w:left="-142" w:right="-45"/>
        <w:jc w:val="center"/>
        <w:rPr>
          <w:b/>
          <w:sz w:val="36"/>
        </w:rPr>
      </w:pPr>
      <w:r w:rsidRPr="00BD2EF1">
        <w:rPr>
          <w:noProof/>
          <w:lang w:val="nl-NL" w:eastAsia="nl-NL"/>
        </w:rPr>
        <w:drawing>
          <wp:inline distT="0" distB="0" distL="0" distR="0" wp14:anchorId="53A7D8CB" wp14:editId="6934C992">
            <wp:extent cx="1200150" cy="12477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47775"/>
                    </a:xfrm>
                    <a:prstGeom prst="rect">
                      <a:avLst/>
                    </a:prstGeom>
                    <a:noFill/>
                    <a:ln>
                      <a:noFill/>
                    </a:ln>
                  </pic:spPr>
                </pic:pic>
              </a:graphicData>
            </a:graphic>
          </wp:inline>
        </w:drawing>
      </w:r>
    </w:p>
    <w:p w14:paraId="273969CC" w14:textId="77777777" w:rsidR="005C1A2A" w:rsidRPr="00BD2EF1" w:rsidRDefault="00DE0D09" w:rsidP="005C1A2A">
      <w:pPr>
        <w:keepNext/>
        <w:widowControl w:val="0"/>
        <w:tabs>
          <w:tab w:val="left" w:pos="1304"/>
        </w:tabs>
        <w:suppressAutoHyphens/>
        <w:autoSpaceDE w:val="0"/>
        <w:autoSpaceDN w:val="0"/>
        <w:adjustRightInd w:val="0"/>
        <w:spacing w:before="480" w:after="120" w:line="400" w:lineRule="atLeast"/>
        <w:jc w:val="center"/>
        <w:rPr>
          <w:bCs/>
          <w:sz w:val="32"/>
          <w:szCs w:val="32"/>
        </w:rPr>
      </w:pPr>
      <w:r>
        <w:rPr>
          <w:bCs/>
          <w:sz w:val="32"/>
          <w:szCs w:val="32"/>
        </w:rPr>
        <w:t xml:space="preserve">Insect Repellent </w:t>
      </w:r>
      <w:r w:rsidR="00885FF8">
        <w:rPr>
          <w:bCs/>
          <w:sz w:val="32"/>
          <w:szCs w:val="32"/>
        </w:rPr>
        <w:t>Lotion IR3535</w:t>
      </w:r>
      <w:r w:rsidR="00E26E24" w:rsidRPr="00E26E24">
        <w:rPr>
          <w:bCs/>
          <w:sz w:val="32"/>
          <w:szCs w:val="32"/>
          <w:vertAlign w:val="superscript"/>
        </w:rPr>
        <w:t>®</w:t>
      </w:r>
      <w:r w:rsidR="00885FF8">
        <w:rPr>
          <w:bCs/>
          <w:sz w:val="32"/>
          <w:szCs w:val="32"/>
        </w:rPr>
        <w:t xml:space="preserve"> 1</w:t>
      </w:r>
      <w:r>
        <w:rPr>
          <w:bCs/>
          <w:sz w:val="32"/>
          <w:szCs w:val="32"/>
        </w:rPr>
        <w:t>0%</w:t>
      </w:r>
    </w:p>
    <w:p w14:paraId="609C8149" w14:textId="77777777" w:rsidR="005C1A2A" w:rsidRPr="00BD2EF1" w:rsidRDefault="005C1A2A" w:rsidP="005C1A2A">
      <w:pPr>
        <w:rPr>
          <w:bCs/>
        </w:rPr>
      </w:pPr>
    </w:p>
    <w:p w14:paraId="6F18C6FA" w14:textId="77777777" w:rsidR="005C1A2A" w:rsidRPr="00BD2EF1" w:rsidRDefault="005C1A2A" w:rsidP="005C1A2A">
      <w:pPr>
        <w:tabs>
          <w:tab w:val="left" w:pos="8505"/>
        </w:tabs>
        <w:ind w:left="-142" w:right="-45"/>
        <w:jc w:val="center"/>
        <w:rPr>
          <w:bCs/>
          <w:sz w:val="32"/>
          <w:szCs w:val="32"/>
        </w:rPr>
      </w:pPr>
      <w:r w:rsidRPr="00BD2EF1">
        <w:rPr>
          <w:bCs/>
          <w:sz w:val="32"/>
          <w:szCs w:val="32"/>
        </w:rPr>
        <w:t>Product type</w:t>
      </w:r>
      <w:r w:rsidR="00DE0D09">
        <w:rPr>
          <w:bCs/>
          <w:sz w:val="32"/>
          <w:szCs w:val="32"/>
        </w:rPr>
        <w:t xml:space="preserve"> 19</w:t>
      </w:r>
    </w:p>
    <w:p w14:paraId="24964F85" w14:textId="77777777" w:rsidR="005C1A2A" w:rsidRPr="00BD2EF1" w:rsidRDefault="005C1A2A" w:rsidP="005C1A2A">
      <w:pPr>
        <w:tabs>
          <w:tab w:val="left" w:pos="8505"/>
        </w:tabs>
        <w:ind w:right="-45"/>
        <w:rPr>
          <w:bCs/>
        </w:rPr>
      </w:pPr>
    </w:p>
    <w:p w14:paraId="35756DF8" w14:textId="77777777" w:rsidR="005C1A2A" w:rsidRPr="00BD2EF1" w:rsidRDefault="00DE0D09" w:rsidP="005C1A2A">
      <w:pPr>
        <w:tabs>
          <w:tab w:val="left" w:pos="8505"/>
        </w:tabs>
        <w:ind w:left="-142" w:right="-45"/>
        <w:jc w:val="center"/>
        <w:rPr>
          <w:bCs/>
          <w:sz w:val="32"/>
          <w:szCs w:val="32"/>
        </w:rPr>
      </w:pPr>
      <w:r>
        <w:rPr>
          <w:bCs/>
          <w:sz w:val="32"/>
          <w:szCs w:val="32"/>
        </w:rPr>
        <w:t xml:space="preserve">Ethyl </w:t>
      </w:r>
      <w:proofErr w:type="spellStart"/>
      <w:r>
        <w:rPr>
          <w:bCs/>
          <w:sz w:val="32"/>
          <w:szCs w:val="32"/>
        </w:rPr>
        <w:t>butylacetylaminopropionate</w:t>
      </w:r>
      <w:proofErr w:type="spellEnd"/>
      <w:r w:rsidR="00E26E24">
        <w:rPr>
          <w:bCs/>
          <w:sz w:val="32"/>
          <w:szCs w:val="32"/>
        </w:rPr>
        <w:br/>
      </w:r>
      <w:r w:rsidR="00E26E24" w:rsidRPr="00E26E24">
        <w:rPr>
          <w:bCs/>
          <w:sz w:val="28"/>
          <w:szCs w:val="32"/>
        </w:rPr>
        <w:t>(Further referred to as IR3535</w:t>
      </w:r>
      <w:r w:rsidR="00E26E24" w:rsidRPr="00E26E24">
        <w:rPr>
          <w:bCs/>
          <w:sz w:val="28"/>
          <w:szCs w:val="32"/>
          <w:vertAlign w:val="superscript"/>
        </w:rPr>
        <w:t>®</w:t>
      </w:r>
      <w:r w:rsidR="00E26E24" w:rsidRPr="00E26E24">
        <w:rPr>
          <w:bCs/>
          <w:sz w:val="28"/>
          <w:szCs w:val="32"/>
        </w:rPr>
        <w:t>)</w:t>
      </w:r>
    </w:p>
    <w:p w14:paraId="750895F6" w14:textId="77777777" w:rsidR="005C1A2A" w:rsidRPr="00BD2EF1" w:rsidRDefault="005C1A2A" w:rsidP="005C1A2A">
      <w:pPr>
        <w:tabs>
          <w:tab w:val="left" w:pos="8505"/>
        </w:tabs>
        <w:ind w:right="-45"/>
        <w:rPr>
          <w:bCs/>
        </w:rPr>
      </w:pPr>
    </w:p>
    <w:p w14:paraId="656DFA85" w14:textId="77777777" w:rsidR="005C1A2A" w:rsidRPr="00BD2EF1" w:rsidRDefault="005C1A2A" w:rsidP="005C1A2A">
      <w:pPr>
        <w:tabs>
          <w:tab w:val="left" w:pos="8505"/>
        </w:tabs>
        <w:ind w:right="-45"/>
        <w:jc w:val="center"/>
        <w:rPr>
          <w:bCs/>
          <w:sz w:val="32"/>
          <w:szCs w:val="32"/>
        </w:rPr>
      </w:pPr>
      <w:r w:rsidRPr="00BD2EF1">
        <w:rPr>
          <w:bCs/>
          <w:sz w:val="32"/>
          <w:szCs w:val="32"/>
        </w:rPr>
        <w:t xml:space="preserve">Case Number in R4BP: </w:t>
      </w:r>
      <w:r w:rsidR="00885FF8" w:rsidRPr="00885FF8">
        <w:rPr>
          <w:bCs/>
          <w:sz w:val="32"/>
          <w:szCs w:val="32"/>
        </w:rPr>
        <w:t>BC-QE019739-30</w:t>
      </w:r>
    </w:p>
    <w:p w14:paraId="4730BFC5" w14:textId="77777777" w:rsidR="005C1A2A" w:rsidRPr="00BD2EF1" w:rsidRDefault="005C1A2A" w:rsidP="005C1A2A">
      <w:pPr>
        <w:tabs>
          <w:tab w:val="left" w:pos="8505"/>
        </w:tabs>
        <w:ind w:right="-45"/>
        <w:rPr>
          <w:bCs/>
        </w:rPr>
      </w:pPr>
    </w:p>
    <w:p w14:paraId="3439C148" w14:textId="77777777" w:rsidR="005C1A2A" w:rsidRPr="00BD2EF1" w:rsidRDefault="005C1A2A" w:rsidP="005C1A2A">
      <w:pPr>
        <w:tabs>
          <w:tab w:val="left" w:pos="8505"/>
        </w:tabs>
        <w:ind w:left="-142" w:right="-45"/>
        <w:jc w:val="center"/>
        <w:rPr>
          <w:bCs/>
          <w:sz w:val="32"/>
          <w:szCs w:val="32"/>
        </w:rPr>
      </w:pPr>
      <w:r w:rsidRPr="00BD2EF1">
        <w:rPr>
          <w:bCs/>
          <w:sz w:val="32"/>
          <w:szCs w:val="32"/>
        </w:rPr>
        <w:t>E</w:t>
      </w:r>
      <w:r w:rsidR="00DE0D09">
        <w:rPr>
          <w:bCs/>
          <w:sz w:val="32"/>
          <w:szCs w:val="32"/>
        </w:rPr>
        <w:t>valuating Competent Authority: Belgium</w:t>
      </w:r>
    </w:p>
    <w:p w14:paraId="26B8C365" w14:textId="77777777" w:rsidR="005C1A2A" w:rsidRPr="00BD2EF1" w:rsidRDefault="005C1A2A" w:rsidP="005C1A2A">
      <w:pPr>
        <w:tabs>
          <w:tab w:val="left" w:pos="8505"/>
        </w:tabs>
        <w:ind w:left="-142" w:right="-45"/>
        <w:jc w:val="center"/>
      </w:pPr>
      <w:r w:rsidRPr="00BD2EF1">
        <w:t xml:space="preserve"> </w:t>
      </w:r>
    </w:p>
    <w:p w14:paraId="192CC42C" w14:textId="05402FA2" w:rsidR="005C1A2A" w:rsidRPr="00BD2EF1" w:rsidRDefault="007C5F36" w:rsidP="00943A25">
      <w:pPr>
        <w:jc w:val="center"/>
        <w:rPr>
          <w:bCs/>
          <w:sz w:val="32"/>
          <w:szCs w:val="32"/>
        </w:rPr>
      </w:pPr>
      <w:r>
        <w:rPr>
          <w:bCs/>
          <w:sz w:val="32"/>
          <w:szCs w:val="32"/>
        </w:rPr>
        <w:t>Date: 4/11/2019</w:t>
      </w:r>
    </w:p>
    <w:p w14:paraId="656E9497" w14:textId="77777777" w:rsidR="005C1A2A" w:rsidRDefault="005C1A2A">
      <w:pPr>
        <w:spacing w:after="160" w:line="259" w:lineRule="auto"/>
        <w:rPr>
          <w:bCs/>
          <w:sz w:val="32"/>
          <w:szCs w:val="32"/>
        </w:rPr>
      </w:pPr>
    </w:p>
    <w:p w14:paraId="5E473F11" w14:textId="77777777" w:rsidR="00DE0D09" w:rsidRPr="00BD2EF1" w:rsidRDefault="00DE0D09">
      <w:pPr>
        <w:spacing w:after="160" w:line="259" w:lineRule="auto"/>
        <w:rPr>
          <w:bCs/>
          <w:sz w:val="32"/>
          <w:szCs w:val="32"/>
        </w:rPr>
        <w:sectPr w:rsidR="00DE0D09" w:rsidRPr="00BD2EF1" w:rsidSect="006456D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6E4B63B0" w14:textId="77777777" w:rsidR="00C5528E" w:rsidRPr="00BD2EF1" w:rsidRDefault="00DA3C10" w:rsidP="00DA3C10">
      <w:pPr>
        <w:pStyle w:val="Titre1"/>
        <w:numPr>
          <w:ilvl w:val="0"/>
          <w:numId w:val="0"/>
        </w:numPr>
      </w:pPr>
      <w:bookmarkStart w:id="0" w:name="_Toc12967091"/>
      <w:r w:rsidRPr="00BD2EF1">
        <w:lastRenderedPageBreak/>
        <w:t>Table of Contents</w:t>
      </w:r>
      <w:bookmarkEnd w:id="0"/>
    </w:p>
    <w:p w14:paraId="55BB3AFC" w14:textId="2E0612DB" w:rsidR="004A02EA" w:rsidRDefault="00816022">
      <w:pPr>
        <w:pStyle w:val="TM1"/>
        <w:tabs>
          <w:tab w:val="right" w:leader="dot" w:pos="9402"/>
        </w:tabs>
        <w:rPr>
          <w:rFonts w:asciiTheme="minorHAnsi" w:eastAsiaTheme="minorEastAsia" w:hAnsiTheme="minorHAnsi" w:cstheme="minorBidi"/>
          <w:b w:val="0"/>
          <w:caps w:val="0"/>
          <w:noProof/>
          <w:sz w:val="22"/>
          <w:szCs w:val="22"/>
          <w:lang w:val="en-US" w:eastAsia="en-US"/>
        </w:rPr>
      </w:pPr>
      <w:r w:rsidRPr="009E5EEE">
        <w:rPr>
          <w:sz w:val="22"/>
        </w:rPr>
        <w:fldChar w:fldCharType="begin"/>
      </w:r>
      <w:r w:rsidR="00A14D85" w:rsidRPr="009E5EEE">
        <w:rPr>
          <w:sz w:val="22"/>
        </w:rPr>
        <w:instrText xml:space="preserve"> TOC \o "1-5" \h \z \u </w:instrText>
      </w:r>
      <w:r w:rsidRPr="009E5EEE">
        <w:rPr>
          <w:sz w:val="22"/>
        </w:rPr>
        <w:fldChar w:fldCharType="separate"/>
      </w:r>
      <w:hyperlink w:anchor="_Toc12967091" w:history="1">
        <w:r w:rsidR="004A02EA" w:rsidRPr="00E924BB">
          <w:rPr>
            <w:rStyle w:val="Lienhypertexte"/>
            <w:noProof/>
          </w:rPr>
          <w:t>Table of Contents</w:t>
        </w:r>
        <w:r w:rsidR="004A02EA">
          <w:rPr>
            <w:noProof/>
            <w:webHidden/>
          </w:rPr>
          <w:tab/>
        </w:r>
        <w:r w:rsidR="004A02EA">
          <w:rPr>
            <w:noProof/>
            <w:webHidden/>
          </w:rPr>
          <w:fldChar w:fldCharType="begin"/>
        </w:r>
        <w:r w:rsidR="004A02EA">
          <w:rPr>
            <w:noProof/>
            <w:webHidden/>
          </w:rPr>
          <w:instrText xml:space="preserve"> PAGEREF _Toc12967091 \h </w:instrText>
        </w:r>
        <w:r w:rsidR="004A02EA">
          <w:rPr>
            <w:noProof/>
            <w:webHidden/>
          </w:rPr>
        </w:r>
        <w:r w:rsidR="004A02EA">
          <w:rPr>
            <w:noProof/>
            <w:webHidden/>
          </w:rPr>
          <w:fldChar w:fldCharType="separate"/>
        </w:r>
        <w:r w:rsidR="00901C2F">
          <w:rPr>
            <w:noProof/>
            <w:webHidden/>
          </w:rPr>
          <w:t>2</w:t>
        </w:r>
        <w:r w:rsidR="004A02EA">
          <w:rPr>
            <w:noProof/>
            <w:webHidden/>
          </w:rPr>
          <w:fldChar w:fldCharType="end"/>
        </w:r>
      </w:hyperlink>
    </w:p>
    <w:p w14:paraId="0AD2C69E" w14:textId="312E2FF4" w:rsidR="004A02EA" w:rsidRDefault="00C85279">
      <w:pPr>
        <w:pStyle w:val="TM1"/>
        <w:tabs>
          <w:tab w:val="left" w:pos="400"/>
          <w:tab w:val="right" w:leader="dot" w:pos="9402"/>
        </w:tabs>
        <w:rPr>
          <w:rFonts w:asciiTheme="minorHAnsi" w:eastAsiaTheme="minorEastAsia" w:hAnsiTheme="minorHAnsi" w:cstheme="minorBidi"/>
          <w:b w:val="0"/>
          <w:caps w:val="0"/>
          <w:noProof/>
          <w:sz w:val="22"/>
          <w:szCs w:val="22"/>
          <w:lang w:val="en-US" w:eastAsia="en-US"/>
        </w:rPr>
      </w:pPr>
      <w:hyperlink w:anchor="_Toc12967092" w:history="1">
        <w:r w:rsidR="004A02EA" w:rsidRPr="00E924BB">
          <w:rPr>
            <w:rStyle w:val="Lienhypertexte"/>
            <w:noProof/>
          </w:rPr>
          <w:t>1</w:t>
        </w:r>
        <w:r w:rsidR="004A02EA">
          <w:rPr>
            <w:rFonts w:asciiTheme="minorHAnsi" w:eastAsiaTheme="minorEastAsia" w:hAnsiTheme="minorHAnsi" w:cstheme="minorBidi"/>
            <w:b w:val="0"/>
            <w:caps w:val="0"/>
            <w:noProof/>
            <w:sz w:val="22"/>
            <w:szCs w:val="22"/>
            <w:lang w:val="en-US" w:eastAsia="en-US"/>
          </w:rPr>
          <w:tab/>
        </w:r>
        <w:r w:rsidR="004A02EA" w:rsidRPr="00E924BB">
          <w:rPr>
            <w:rStyle w:val="Lienhypertexte"/>
            <w:noProof/>
          </w:rPr>
          <w:t>Conclusion</w:t>
        </w:r>
        <w:r w:rsidR="004A02EA">
          <w:rPr>
            <w:noProof/>
            <w:webHidden/>
          </w:rPr>
          <w:tab/>
        </w:r>
        <w:r w:rsidR="004A02EA">
          <w:rPr>
            <w:noProof/>
            <w:webHidden/>
          </w:rPr>
          <w:fldChar w:fldCharType="begin"/>
        </w:r>
        <w:r w:rsidR="004A02EA">
          <w:rPr>
            <w:noProof/>
            <w:webHidden/>
          </w:rPr>
          <w:instrText xml:space="preserve"> PAGEREF _Toc12967092 \h </w:instrText>
        </w:r>
        <w:r w:rsidR="004A02EA">
          <w:rPr>
            <w:noProof/>
            <w:webHidden/>
          </w:rPr>
        </w:r>
        <w:r w:rsidR="004A02EA">
          <w:rPr>
            <w:noProof/>
            <w:webHidden/>
          </w:rPr>
          <w:fldChar w:fldCharType="separate"/>
        </w:r>
        <w:r w:rsidR="00901C2F">
          <w:rPr>
            <w:noProof/>
            <w:webHidden/>
          </w:rPr>
          <w:t>6</w:t>
        </w:r>
        <w:r w:rsidR="004A02EA">
          <w:rPr>
            <w:noProof/>
            <w:webHidden/>
          </w:rPr>
          <w:fldChar w:fldCharType="end"/>
        </w:r>
      </w:hyperlink>
    </w:p>
    <w:p w14:paraId="531A528B" w14:textId="187FAC76" w:rsidR="004A02EA" w:rsidRDefault="00C85279">
      <w:pPr>
        <w:pStyle w:val="TM1"/>
        <w:tabs>
          <w:tab w:val="left" w:pos="400"/>
          <w:tab w:val="right" w:leader="dot" w:pos="9402"/>
        </w:tabs>
        <w:rPr>
          <w:rFonts w:asciiTheme="minorHAnsi" w:eastAsiaTheme="minorEastAsia" w:hAnsiTheme="minorHAnsi" w:cstheme="minorBidi"/>
          <w:b w:val="0"/>
          <w:caps w:val="0"/>
          <w:noProof/>
          <w:sz w:val="22"/>
          <w:szCs w:val="22"/>
          <w:lang w:val="en-US" w:eastAsia="en-US"/>
        </w:rPr>
      </w:pPr>
      <w:hyperlink w:anchor="_Toc12967093" w:history="1">
        <w:r w:rsidR="004A02EA" w:rsidRPr="00E924BB">
          <w:rPr>
            <w:rStyle w:val="Lienhypertexte"/>
            <w:noProof/>
          </w:rPr>
          <w:t>2</w:t>
        </w:r>
        <w:r w:rsidR="004A02EA">
          <w:rPr>
            <w:rFonts w:asciiTheme="minorHAnsi" w:eastAsiaTheme="minorEastAsia" w:hAnsiTheme="minorHAnsi" w:cstheme="minorBidi"/>
            <w:b w:val="0"/>
            <w:caps w:val="0"/>
            <w:noProof/>
            <w:sz w:val="22"/>
            <w:szCs w:val="22"/>
            <w:lang w:val="en-US" w:eastAsia="en-US"/>
          </w:rPr>
          <w:tab/>
        </w:r>
        <w:r w:rsidR="004A02EA" w:rsidRPr="00E924BB">
          <w:rPr>
            <w:rStyle w:val="Lienhypertexte"/>
            <w:noProof/>
          </w:rPr>
          <w:t>Assessment Report</w:t>
        </w:r>
        <w:r w:rsidR="004A02EA">
          <w:rPr>
            <w:noProof/>
            <w:webHidden/>
          </w:rPr>
          <w:tab/>
        </w:r>
        <w:r w:rsidR="004A02EA">
          <w:rPr>
            <w:noProof/>
            <w:webHidden/>
          </w:rPr>
          <w:fldChar w:fldCharType="begin"/>
        </w:r>
        <w:r w:rsidR="004A02EA">
          <w:rPr>
            <w:noProof/>
            <w:webHidden/>
          </w:rPr>
          <w:instrText xml:space="preserve"> PAGEREF _Toc12967093 \h </w:instrText>
        </w:r>
        <w:r w:rsidR="004A02EA">
          <w:rPr>
            <w:noProof/>
            <w:webHidden/>
          </w:rPr>
        </w:r>
        <w:r w:rsidR="004A02EA">
          <w:rPr>
            <w:noProof/>
            <w:webHidden/>
          </w:rPr>
          <w:fldChar w:fldCharType="separate"/>
        </w:r>
        <w:r w:rsidR="00901C2F">
          <w:rPr>
            <w:noProof/>
            <w:webHidden/>
          </w:rPr>
          <w:t>7</w:t>
        </w:r>
        <w:r w:rsidR="004A02EA">
          <w:rPr>
            <w:noProof/>
            <w:webHidden/>
          </w:rPr>
          <w:fldChar w:fldCharType="end"/>
        </w:r>
      </w:hyperlink>
    </w:p>
    <w:p w14:paraId="33DD92B6" w14:textId="4D2B4223" w:rsidR="004A02EA" w:rsidRDefault="00C85279">
      <w:pPr>
        <w:pStyle w:val="TM2"/>
        <w:tabs>
          <w:tab w:val="left" w:pos="800"/>
          <w:tab w:val="right" w:leader="dot" w:pos="9402"/>
        </w:tabs>
        <w:rPr>
          <w:rFonts w:asciiTheme="minorHAnsi" w:eastAsiaTheme="minorEastAsia" w:hAnsiTheme="minorHAnsi" w:cstheme="minorBidi"/>
          <w:caps w:val="0"/>
          <w:noProof/>
          <w:sz w:val="22"/>
          <w:szCs w:val="22"/>
          <w:lang w:val="en-US" w:eastAsia="en-US"/>
        </w:rPr>
      </w:pPr>
      <w:hyperlink w:anchor="_Toc12967094" w:history="1">
        <w:r w:rsidR="004A02EA" w:rsidRPr="00E924BB">
          <w:rPr>
            <w:rStyle w:val="Lienhypertexte"/>
            <w:noProof/>
          </w:rPr>
          <w:t>2.1</w:t>
        </w:r>
        <w:r w:rsidR="004A02EA">
          <w:rPr>
            <w:rFonts w:asciiTheme="minorHAnsi" w:eastAsiaTheme="minorEastAsia" w:hAnsiTheme="minorHAnsi" w:cstheme="minorBidi"/>
            <w:caps w:val="0"/>
            <w:noProof/>
            <w:sz w:val="22"/>
            <w:szCs w:val="22"/>
            <w:lang w:val="en-US" w:eastAsia="en-US"/>
          </w:rPr>
          <w:tab/>
        </w:r>
        <w:r w:rsidR="004A02EA" w:rsidRPr="00E924BB">
          <w:rPr>
            <w:rStyle w:val="Lienhypertexte"/>
            <w:noProof/>
          </w:rPr>
          <w:t>Summary of the product assessment</w:t>
        </w:r>
        <w:r w:rsidR="004A02EA">
          <w:rPr>
            <w:noProof/>
            <w:webHidden/>
          </w:rPr>
          <w:tab/>
        </w:r>
        <w:r w:rsidR="004A02EA">
          <w:rPr>
            <w:noProof/>
            <w:webHidden/>
          </w:rPr>
          <w:fldChar w:fldCharType="begin"/>
        </w:r>
        <w:r w:rsidR="004A02EA">
          <w:rPr>
            <w:noProof/>
            <w:webHidden/>
          </w:rPr>
          <w:instrText xml:space="preserve"> PAGEREF _Toc12967094 \h </w:instrText>
        </w:r>
        <w:r w:rsidR="004A02EA">
          <w:rPr>
            <w:noProof/>
            <w:webHidden/>
          </w:rPr>
        </w:r>
        <w:r w:rsidR="004A02EA">
          <w:rPr>
            <w:noProof/>
            <w:webHidden/>
          </w:rPr>
          <w:fldChar w:fldCharType="separate"/>
        </w:r>
        <w:r w:rsidR="00901C2F">
          <w:rPr>
            <w:noProof/>
            <w:webHidden/>
          </w:rPr>
          <w:t>7</w:t>
        </w:r>
        <w:r w:rsidR="004A02EA">
          <w:rPr>
            <w:noProof/>
            <w:webHidden/>
          </w:rPr>
          <w:fldChar w:fldCharType="end"/>
        </w:r>
      </w:hyperlink>
    </w:p>
    <w:p w14:paraId="56521F64" w14:textId="64042E1F"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095" w:history="1">
        <w:r w:rsidR="004A02EA" w:rsidRPr="00E924BB">
          <w:rPr>
            <w:rStyle w:val="Lienhypertexte"/>
            <w:noProof/>
            <w:lang w:eastAsia="en-US"/>
          </w:rPr>
          <w:t>2.1.1</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lang w:eastAsia="en-US"/>
          </w:rPr>
          <w:t>Administrative information</w:t>
        </w:r>
        <w:r w:rsidR="004A02EA">
          <w:rPr>
            <w:noProof/>
            <w:webHidden/>
          </w:rPr>
          <w:tab/>
        </w:r>
        <w:r w:rsidR="004A02EA">
          <w:rPr>
            <w:noProof/>
            <w:webHidden/>
          </w:rPr>
          <w:fldChar w:fldCharType="begin"/>
        </w:r>
        <w:r w:rsidR="004A02EA">
          <w:rPr>
            <w:noProof/>
            <w:webHidden/>
          </w:rPr>
          <w:instrText xml:space="preserve"> PAGEREF _Toc12967095 \h </w:instrText>
        </w:r>
        <w:r w:rsidR="004A02EA">
          <w:rPr>
            <w:noProof/>
            <w:webHidden/>
          </w:rPr>
        </w:r>
        <w:r w:rsidR="004A02EA">
          <w:rPr>
            <w:noProof/>
            <w:webHidden/>
          </w:rPr>
          <w:fldChar w:fldCharType="separate"/>
        </w:r>
        <w:r w:rsidR="00901C2F">
          <w:rPr>
            <w:noProof/>
            <w:webHidden/>
          </w:rPr>
          <w:t>7</w:t>
        </w:r>
        <w:r w:rsidR="004A02EA">
          <w:rPr>
            <w:noProof/>
            <w:webHidden/>
          </w:rPr>
          <w:fldChar w:fldCharType="end"/>
        </w:r>
      </w:hyperlink>
    </w:p>
    <w:p w14:paraId="278B1FEA" w14:textId="78953757" w:rsidR="004A02EA" w:rsidRDefault="00C85279">
      <w:pPr>
        <w:pStyle w:val="TM4"/>
        <w:rPr>
          <w:rFonts w:asciiTheme="minorHAnsi" w:eastAsiaTheme="minorEastAsia" w:hAnsiTheme="minorHAnsi" w:cstheme="minorBidi"/>
          <w:noProof/>
          <w:sz w:val="22"/>
          <w:szCs w:val="22"/>
          <w:lang w:val="en-US" w:eastAsia="en-US"/>
        </w:rPr>
      </w:pPr>
      <w:hyperlink w:anchor="_Toc12967096" w:history="1">
        <w:r w:rsidR="004A02EA" w:rsidRPr="00E924BB">
          <w:rPr>
            <w:rStyle w:val="Lienhypertexte"/>
            <w:noProof/>
          </w:rPr>
          <w:t>2.1.1.1</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Identifier of the product</w:t>
        </w:r>
        <w:r w:rsidR="004A02EA">
          <w:rPr>
            <w:noProof/>
            <w:webHidden/>
          </w:rPr>
          <w:tab/>
        </w:r>
        <w:r w:rsidR="004A02EA">
          <w:rPr>
            <w:noProof/>
            <w:webHidden/>
          </w:rPr>
          <w:fldChar w:fldCharType="begin"/>
        </w:r>
        <w:r w:rsidR="004A02EA">
          <w:rPr>
            <w:noProof/>
            <w:webHidden/>
          </w:rPr>
          <w:instrText xml:space="preserve"> PAGEREF _Toc12967096 \h </w:instrText>
        </w:r>
        <w:r w:rsidR="004A02EA">
          <w:rPr>
            <w:noProof/>
            <w:webHidden/>
          </w:rPr>
        </w:r>
        <w:r w:rsidR="004A02EA">
          <w:rPr>
            <w:noProof/>
            <w:webHidden/>
          </w:rPr>
          <w:fldChar w:fldCharType="separate"/>
        </w:r>
        <w:r w:rsidR="00901C2F">
          <w:rPr>
            <w:noProof/>
            <w:webHidden/>
          </w:rPr>
          <w:t>7</w:t>
        </w:r>
        <w:r w:rsidR="004A02EA">
          <w:rPr>
            <w:noProof/>
            <w:webHidden/>
          </w:rPr>
          <w:fldChar w:fldCharType="end"/>
        </w:r>
      </w:hyperlink>
    </w:p>
    <w:p w14:paraId="1F540CA8" w14:textId="2CF47667" w:rsidR="004A02EA" w:rsidRDefault="00C85279">
      <w:pPr>
        <w:pStyle w:val="TM4"/>
        <w:rPr>
          <w:rFonts w:asciiTheme="minorHAnsi" w:eastAsiaTheme="minorEastAsia" w:hAnsiTheme="minorHAnsi" w:cstheme="minorBidi"/>
          <w:noProof/>
          <w:sz w:val="22"/>
          <w:szCs w:val="22"/>
          <w:lang w:val="en-US" w:eastAsia="en-US"/>
        </w:rPr>
      </w:pPr>
      <w:hyperlink w:anchor="_Toc12967097" w:history="1">
        <w:r w:rsidR="004A02EA" w:rsidRPr="00E924BB">
          <w:rPr>
            <w:rStyle w:val="Lienhypertexte"/>
            <w:noProof/>
          </w:rPr>
          <w:t>2.1.1.2</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Authorisation holder</w:t>
        </w:r>
        <w:r w:rsidR="004A02EA">
          <w:rPr>
            <w:noProof/>
            <w:webHidden/>
          </w:rPr>
          <w:tab/>
        </w:r>
        <w:r w:rsidR="004A02EA">
          <w:rPr>
            <w:noProof/>
            <w:webHidden/>
          </w:rPr>
          <w:fldChar w:fldCharType="begin"/>
        </w:r>
        <w:r w:rsidR="004A02EA">
          <w:rPr>
            <w:noProof/>
            <w:webHidden/>
          </w:rPr>
          <w:instrText xml:space="preserve"> PAGEREF _Toc12967097 \h </w:instrText>
        </w:r>
        <w:r w:rsidR="004A02EA">
          <w:rPr>
            <w:noProof/>
            <w:webHidden/>
          </w:rPr>
        </w:r>
        <w:r w:rsidR="004A02EA">
          <w:rPr>
            <w:noProof/>
            <w:webHidden/>
          </w:rPr>
          <w:fldChar w:fldCharType="separate"/>
        </w:r>
        <w:r w:rsidR="00901C2F">
          <w:rPr>
            <w:noProof/>
            <w:webHidden/>
          </w:rPr>
          <w:t>7</w:t>
        </w:r>
        <w:r w:rsidR="004A02EA">
          <w:rPr>
            <w:noProof/>
            <w:webHidden/>
          </w:rPr>
          <w:fldChar w:fldCharType="end"/>
        </w:r>
      </w:hyperlink>
    </w:p>
    <w:p w14:paraId="767648CB" w14:textId="74063167" w:rsidR="004A02EA" w:rsidRDefault="00C85279">
      <w:pPr>
        <w:pStyle w:val="TM4"/>
        <w:rPr>
          <w:rFonts w:asciiTheme="minorHAnsi" w:eastAsiaTheme="minorEastAsia" w:hAnsiTheme="minorHAnsi" w:cstheme="minorBidi"/>
          <w:noProof/>
          <w:sz w:val="22"/>
          <w:szCs w:val="22"/>
          <w:lang w:val="en-US" w:eastAsia="en-US"/>
        </w:rPr>
      </w:pPr>
      <w:hyperlink w:anchor="_Toc12967098" w:history="1">
        <w:r w:rsidR="004A02EA" w:rsidRPr="00E924BB">
          <w:rPr>
            <w:rStyle w:val="Lienhypertexte"/>
            <w:noProof/>
          </w:rPr>
          <w:t>2.1.1.3</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Manufacturer(s) of the products of the family</w:t>
        </w:r>
        <w:r w:rsidR="004A02EA">
          <w:rPr>
            <w:noProof/>
            <w:webHidden/>
          </w:rPr>
          <w:tab/>
        </w:r>
        <w:r w:rsidR="004A02EA">
          <w:rPr>
            <w:noProof/>
            <w:webHidden/>
          </w:rPr>
          <w:fldChar w:fldCharType="begin"/>
        </w:r>
        <w:r w:rsidR="004A02EA">
          <w:rPr>
            <w:noProof/>
            <w:webHidden/>
          </w:rPr>
          <w:instrText xml:space="preserve"> PAGEREF _Toc12967098 \h </w:instrText>
        </w:r>
        <w:r w:rsidR="004A02EA">
          <w:rPr>
            <w:noProof/>
            <w:webHidden/>
          </w:rPr>
        </w:r>
        <w:r w:rsidR="004A02EA">
          <w:rPr>
            <w:noProof/>
            <w:webHidden/>
          </w:rPr>
          <w:fldChar w:fldCharType="separate"/>
        </w:r>
        <w:r w:rsidR="00901C2F">
          <w:rPr>
            <w:noProof/>
            <w:webHidden/>
          </w:rPr>
          <w:t>7</w:t>
        </w:r>
        <w:r w:rsidR="004A02EA">
          <w:rPr>
            <w:noProof/>
            <w:webHidden/>
          </w:rPr>
          <w:fldChar w:fldCharType="end"/>
        </w:r>
      </w:hyperlink>
    </w:p>
    <w:p w14:paraId="32D383B1" w14:textId="64087372" w:rsidR="004A02EA" w:rsidRDefault="00C85279">
      <w:pPr>
        <w:pStyle w:val="TM4"/>
        <w:rPr>
          <w:rFonts w:asciiTheme="minorHAnsi" w:eastAsiaTheme="minorEastAsia" w:hAnsiTheme="minorHAnsi" w:cstheme="minorBidi"/>
          <w:noProof/>
          <w:sz w:val="22"/>
          <w:szCs w:val="22"/>
          <w:lang w:val="en-US" w:eastAsia="en-US"/>
        </w:rPr>
      </w:pPr>
      <w:hyperlink w:anchor="_Toc12967099" w:history="1">
        <w:r w:rsidR="004A02EA" w:rsidRPr="00E924BB">
          <w:rPr>
            <w:rStyle w:val="Lienhypertexte"/>
            <w:noProof/>
          </w:rPr>
          <w:t>2.1.1.4</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Manufacturer(s) of the active substance(s)</w:t>
        </w:r>
        <w:r w:rsidR="004A02EA">
          <w:rPr>
            <w:noProof/>
            <w:webHidden/>
          </w:rPr>
          <w:tab/>
        </w:r>
        <w:r w:rsidR="004A02EA">
          <w:rPr>
            <w:noProof/>
            <w:webHidden/>
          </w:rPr>
          <w:fldChar w:fldCharType="begin"/>
        </w:r>
        <w:r w:rsidR="004A02EA">
          <w:rPr>
            <w:noProof/>
            <w:webHidden/>
          </w:rPr>
          <w:instrText xml:space="preserve"> PAGEREF _Toc12967099 \h </w:instrText>
        </w:r>
        <w:r w:rsidR="004A02EA">
          <w:rPr>
            <w:noProof/>
            <w:webHidden/>
          </w:rPr>
        </w:r>
        <w:r w:rsidR="004A02EA">
          <w:rPr>
            <w:noProof/>
            <w:webHidden/>
          </w:rPr>
          <w:fldChar w:fldCharType="separate"/>
        </w:r>
        <w:r w:rsidR="00901C2F">
          <w:rPr>
            <w:noProof/>
            <w:webHidden/>
          </w:rPr>
          <w:t>7</w:t>
        </w:r>
        <w:r w:rsidR="004A02EA">
          <w:rPr>
            <w:noProof/>
            <w:webHidden/>
          </w:rPr>
          <w:fldChar w:fldCharType="end"/>
        </w:r>
      </w:hyperlink>
    </w:p>
    <w:p w14:paraId="776FDF29" w14:textId="7C5B3D60"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00" w:history="1">
        <w:r w:rsidR="004A02EA" w:rsidRPr="00E924BB">
          <w:rPr>
            <w:rStyle w:val="Lienhypertexte"/>
            <w:noProof/>
            <w:lang w:eastAsia="en-US"/>
          </w:rPr>
          <w:t>2.1.2</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lang w:eastAsia="en-US"/>
          </w:rPr>
          <w:t>Product composition and formulation</w:t>
        </w:r>
        <w:r w:rsidR="004A02EA">
          <w:rPr>
            <w:noProof/>
            <w:webHidden/>
          </w:rPr>
          <w:tab/>
        </w:r>
        <w:r w:rsidR="004A02EA">
          <w:rPr>
            <w:noProof/>
            <w:webHidden/>
          </w:rPr>
          <w:fldChar w:fldCharType="begin"/>
        </w:r>
        <w:r w:rsidR="004A02EA">
          <w:rPr>
            <w:noProof/>
            <w:webHidden/>
          </w:rPr>
          <w:instrText xml:space="preserve"> PAGEREF _Toc12967100 \h </w:instrText>
        </w:r>
        <w:r w:rsidR="004A02EA">
          <w:rPr>
            <w:noProof/>
            <w:webHidden/>
          </w:rPr>
        </w:r>
        <w:r w:rsidR="004A02EA">
          <w:rPr>
            <w:noProof/>
            <w:webHidden/>
          </w:rPr>
          <w:fldChar w:fldCharType="separate"/>
        </w:r>
        <w:r w:rsidR="00901C2F">
          <w:rPr>
            <w:noProof/>
            <w:webHidden/>
          </w:rPr>
          <w:t>8</w:t>
        </w:r>
        <w:r w:rsidR="004A02EA">
          <w:rPr>
            <w:noProof/>
            <w:webHidden/>
          </w:rPr>
          <w:fldChar w:fldCharType="end"/>
        </w:r>
      </w:hyperlink>
    </w:p>
    <w:p w14:paraId="19D11B23" w14:textId="06161BD0" w:rsidR="004A02EA" w:rsidRDefault="00C85279">
      <w:pPr>
        <w:pStyle w:val="TM4"/>
        <w:rPr>
          <w:rFonts w:asciiTheme="minorHAnsi" w:eastAsiaTheme="minorEastAsia" w:hAnsiTheme="minorHAnsi" w:cstheme="minorBidi"/>
          <w:noProof/>
          <w:sz w:val="22"/>
          <w:szCs w:val="22"/>
          <w:lang w:val="en-US" w:eastAsia="en-US"/>
        </w:rPr>
      </w:pPr>
      <w:hyperlink w:anchor="_Toc12967101" w:history="1">
        <w:r w:rsidR="004A02EA" w:rsidRPr="00E924BB">
          <w:rPr>
            <w:rStyle w:val="Lienhypertexte"/>
            <w:noProof/>
          </w:rPr>
          <w:t>2.1.2.1</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Identity of the active substance</w:t>
        </w:r>
        <w:r w:rsidR="004A02EA">
          <w:rPr>
            <w:noProof/>
            <w:webHidden/>
          </w:rPr>
          <w:tab/>
        </w:r>
        <w:r w:rsidR="004A02EA">
          <w:rPr>
            <w:noProof/>
            <w:webHidden/>
          </w:rPr>
          <w:fldChar w:fldCharType="begin"/>
        </w:r>
        <w:r w:rsidR="004A02EA">
          <w:rPr>
            <w:noProof/>
            <w:webHidden/>
          </w:rPr>
          <w:instrText xml:space="preserve"> PAGEREF _Toc12967101 \h </w:instrText>
        </w:r>
        <w:r w:rsidR="004A02EA">
          <w:rPr>
            <w:noProof/>
            <w:webHidden/>
          </w:rPr>
        </w:r>
        <w:r w:rsidR="004A02EA">
          <w:rPr>
            <w:noProof/>
            <w:webHidden/>
          </w:rPr>
          <w:fldChar w:fldCharType="separate"/>
        </w:r>
        <w:r w:rsidR="00901C2F">
          <w:rPr>
            <w:noProof/>
            <w:webHidden/>
          </w:rPr>
          <w:t>8</w:t>
        </w:r>
        <w:r w:rsidR="004A02EA">
          <w:rPr>
            <w:noProof/>
            <w:webHidden/>
          </w:rPr>
          <w:fldChar w:fldCharType="end"/>
        </w:r>
      </w:hyperlink>
    </w:p>
    <w:p w14:paraId="060ACF48" w14:textId="3D5990AC" w:rsidR="004A02EA" w:rsidRDefault="00C85279">
      <w:pPr>
        <w:pStyle w:val="TM4"/>
        <w:rPr>
          <w:rFonts w:asciiTheme="minorHAnsi" w:eastAsiaTheme="minorEastAsia" w:hAnsiTheme="minorHAnsi" w:cstheme="minorBidi"/>
          <w:noProof/>
          <w:sz w:val="22"/>
          <w:szCs w:val="22"/>
          <w:lang w:val="en-US" w:eastAsia="en-US"/>
        </w:rPr>
      </w:pPr>
      <w:hyperlink w:anchor="_Toc12967102" w:history="1">
        <w:r w:rsidR="004A02EA" w:rsidRPr="00E924BB">
          <w:rPr>
            <w:rStyle w:val="Lienhypertexte"/>
            <w:noProof/>
          </w:rPr>
          <w:t>2.1.2.2</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Candidate(s) for substitution</w:t>
        </w:r>
        <w:r w:rsidR="004A02EA">
          <w:rPr>
            <w:noProof/>
            <w:webHidden/>
          </w:rPr>
          <w:tab/>
        </w:r>
        <w:r w:rsidR="004A02EA">
          <w:rPr>
            <w:noProof/>
            <w:webHidden/>
          </w:rPr>
          <w:fldChar w:fldCharType="begin"/>
        </w:r>
        <w:r w:rsidR="004A02EA">
          <w:rPr>
            <w:noProof/>
            <w:webHidden/>
          </w:rPr>
          <w:instrText xml:space="preserve"> PAGEREF _Toc12967102 \h </w:instrText>
        </w:r>
        <w:r w:rsidR="004A02EA">
          <w:rPr>
            <w:noProof/>
            <w:webHidden/>
          </w:rPr>
        </w:r>
        <w:r w:rsidR="004A02EA">
          <w:rPr>
            <w:noProof/>
            <w:webHidden/>
          </w:rPr>
          <w:fldChar w:fldCharType="separate"/>
        </w:r>
        <w:r w:rsidR="00901C2F">
          <w:rPr>
            <w:noProof/>
            <w:webHidden/>
          </w:rPr>
          <w:t>8</w:t>
        </w:r>
        <w:r w:rsidR="004A02EA">
          <w:rPr>
            <w:noProof/>
            <w:webHidden/>
          </w:rPr>
          <w:fldChar w:fldCharType="end"/>
        </w:r>
      </w:hyperlink>
    </w:p>
    <w:p w14:paraId="67BEAE28" w14:textId="6F9A4547" w:rsidR="004A02EA" w:rsidRDefault="00C85279">
      <w:pPr>
        <w:pStyle w:val="TM4"/>
        <w:rPr>
          <w:rFonts w:asciiTheme="minorHAnsi" w:eastAsiaTheme="minorEastAsia" w:hAnsiTheme="minorHAnsi" w:cstheme="minorBidi"/>
          <w:noProof/>
          <w:sz w:val="22"/>
          <w:szCs w:val="22"/>
          <w:lang w:val="en-US" w:eastAsia="en-US"/>
        </w:rPr>
      </w:pPr>
      <w:hyperlink w:anchor="_Toc12967103" w:history="1">
        <w:r w:rsidR="004A02EA" w:rsidRPr="00E924BB">
          <w:rPr>
            <w:rStyle w:val="Lienhypertexte"/>
            <w:noProof/>
          </w:rPr>
          <w:t>2.1.2.3</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Qualitative and quantitative information on the composition of the biocidal product</w:t>
        </w:r>
        <w:r w:rsidR="004A02EA">
          <w:rPr>
            <w:noProof/>
            <w:webHidden/>
          </w:rPr>
          <w:tab/>
        </w:r>
        <w:r w:rsidR="004A02EA">
          <w:rPr>
            <w:noProof/>
            <w:webHidden/>
          </w:rPr>
          <w:fldChar w:fldCharType="begin"/>
        </w:r>
        <w:r w:rsidR="004A02EA">
          <w:rPr>
            <w:noProof/>
            <w:webHidden/>
          </w:rPr>
          <w:instrText xml:space="preserve"> PAGEREF _Toc12967103 \h </w:instrText>
        </w:r>
        <w:r w:rsidR="004A02EA">
          <w:rPr>
            <w:noProof/>
            <w:webHidden/>
          </w:rPr>
        </w:r>
        <w:r w:rsidR="004A02EA">
          <w:rPr>
            <w:noProof/>
            <w:webHidden/>
          </w:rPr>
          <w:fldChar w:fldCharType="separate"/>
        </w:r>
        <w:r w:rsidR="00901C2F">
          <w:rPr>
            <w:noProof/>
            <w:webHidden/>
          </w:rPr>
          <w:t>8</w:t>
        </w:r>
        <w:r w:rsidR="004A02EA">
          <w:rPr>
            <w:noProof/>
            <w:webHidden/>
          </w:rPr>
          <w:fldChar w:fldCharType="end"/>
        </w:r>
      </w:hyperlink>
    </w:p>
    <w:p w14:paraId="192C2CCB" w14:textId="72912909" w:rsidR="004A02EA" w:rsidRDefault="00C85279">
      <w:pPr>
        <w:pStyle w:val="TM4"/>
        <w:rPr>
          <w:rFonts w:asciiTheme="minorHAnsi" w:eastAsiaTheme="minorEastAsia" w:hAnsiTheme="minorHAnsi" w:cstheme="minorBidi"/>
          <w:noProof/>
          <w:sz w:val="22"/>
          <w:szCs w:val="22"/>
          <w:lang w:val="en-US" w:eastAsia="en-US"/>
        </w:rPr>
      </w:pPr>
      <w:hyperlink w:anchor="_Toc12967104" w:history="1">
        <w:r w:rsidR="004A02EA" w:rsidRPr="00E924BB">
          <w:rPr>
            <w:rStyle w:val="Lienhypertexte"/>
            <w:noProof/>
          </w:rPr>
          <w:t>2.1.2.4</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Information on technical equivalence</w:t>
        </w:r>
        <w:r w:rsidR="004A02EA">
          <w:rPr>
            <w:noProof/>
            <w:webHidden/>
          </w:rPr>
          <w:tab/>
        </w:r>
        <w:r w:rsidR="004A02EA">
          <w:rPr>
            <w:noProof/>
            <w:webHidden/>
          </w:rPr>
          <w:fldChar w:fldCharType="begin"/>
        </w:r>
        <w:r w:rsidR="004A02EA">
          <w:rPr>
            <w:noProof/>
            <w:webHidden/>
          </w:rPr>
          <w:instrText xml:space="preserve"> PAGEREF _Toc12967104 \h </w:instrText>
        </w:r>
        <w:r w:rsidR="004A02EA">
          <w:rPr>
            <w:noProof/>
            <w:webHidden/>
          </w:rPr>
        </w:r>
        <w:r w:rsidR="004A02EA">
          <w:rPr>
            <w:noProof/>
            <w:webHidden/>
          </w:rPr>
          <w:fldChar w:fldCharType="separate"/>
        </w:r>
        <w:r w:rsidR="00901C2F">
          <w:rPr>
            <w:noProof/>
            <w:webHidden/>
          </w:rPr>
          <w:t>8</w:t>
        </w:r>
        <w:r w:rsidR="004A02EA">
          <w:rPr>
            <w:noProof/>
            <w:webHidden/>
          </w:rPr>
          <w:fldChar w:fldCharType="end"/>
        </w:r>
      </w:hyperlink>
    </w:p>
    <w:p w14:paraId="4EBF2FAD" w14:textId="475093B3" w:rsidR="004A02EA" w:rsidRDefault="00C85279">
      <w:pPr>
        <w:pStyle w:val="TM4"/>
        <w:rPr>
          <w:rFonts w:asciiTheme="minorHAnsi" w:eastAsiaTheme="minorEastAsia" w:hAnsiTheme="minorHAnsi" w:cstheme="minorBidi"/>
          <w:noProof/>
          <w:sz w:val="22"/>
          <w:szCs w:val="22"/>
          <w:lang w:val="en-US" w:eastAsia="en-US"/>
        </w:rPr>
      </w:pPr>
      <w:hyperlink w:anchor="_Toc12967105" w:history="1">
        <w:r w:rsidR="004A02EA" w:rsidRPr="00E924BB">
          <w:rPr>
            <w:rStyle w:val="Lienhypertexte"/>
            <w:noProof/>
          </w:rPr>
          <w:t>2.1.2.5</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Information on the substance(s) of concern</w:t>
        </w:r>
        <w:r w:rsidR="004A02EA">
          <w:rPr>
            <w:noProof/>
            <w:webHidden/>
          </w:rPr>
          <w:tab/>
        </w:r>
        <w:r w:rsidR="004A02EA">
          <w:rPr>
            <w:noProof/>
            <w:webHidden/>
          </w:rPr>
          <w:fldChar w:fldCharType="begin"/>
        </w:r>
        <w:r w:rsidR="004A02EA">
          <w:rPr>
            <w:noProof/>
            <w:webHidden/>
          </w:rPr>
          <w:instrText xml:space="preserve"> PAGEREF _Toc12967105 \h </w:instrText>
        </w:r>
        <w:r w:rsidR="004A02EA">
          <w:rPr>
            <w:noProof/>
            <w:webHidden/>
          </w:rPr>
        </w:r>
        <w:r w:rsidR="004A02EA">
          <w:rPr>
            <w:noProof/>
            <w:webHidden/>
          </w:rPr>
          <w:fldChar w:fldCharType="separate"/>
        </w:r>
        <w:r w:rsidR="00901C2F">
          <w:rPr>
            <w:noProof/>
            <w:webHidden/>
          </w:rPr>
          <w:t>8</w:t>
        </w:r>
        <w:r w:rsidR="004A02EA">
          <w:rPr>
            <w:noProof/>
            <w:webHidden/>
          </w:rPr>
          <w:fldChar w:fldCharType="end"/>
        </w:r>
      </w:hyperlink>
    </w:p>
    <w:p w14:paraId="1794E813" w14:textId="05A78947" w:rsidR="004A02EA" w:rsidRDefault="00C85279">
      <w:pPr>
        <w:pStyle w:val="TM4"/>
        <w:rPr>
          <w:rFonts w:asciiTheme="minorHAnsi" w:eastAsiaTheme="minorEastAsia" w:hAnsiTheme="minorHAnsi" w:cstheme="minorBidi"/>
          <w:noProof/>
          <w:sz w:val="22"/>
          <w:szCs w:val="22"/>
          <w:lang w:val="en-US" w:eastAsia="en-US"/>
        </w:rPr>
      </w:pPr>
      <w:hyperlink w:anchor="_Toc12967106" w:history="1">
        <w:r w:rsidR="004A02EA" w:rsidRPr="00E924BB">
          <w:rPr>
            <w:rStyle w:val="Lienhypertexte"/>
            <w:noProof/>
          </w:rPr>
          <w:t>2.1.2.6</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Type of formulation</w:t>
        </w:r>
        <w:r w:rsidR="004A02EA">
          <w:rPr>
            <w:noProof/>
            <w:webHidden/>
          </w:rPr>
          <w:tab/>
        </w:r>
        <w:r w:rsidR="004A02EA">
          <w:rPr>
            <w:noProof/>
            <w:webHidden/>
          </w:rPr>
          <w:fldChar w:fldCharType="begin"/>
        </w:r>
        <w:r w:rsidR="004A02EA">
          <w:rPr>
            <w:noProof/>
            <w:webHidden/>
          </w:rPr>
          <w:instrText xml:space="preserve"> PAGEREF _Toc12967106 \h </w:instrText>
        </w:r>
        <w:r w:rsidR="004A02EA">
          <w:rPr>
            <w:noProof/>
            <w:webHidden/>
          </w:rPr>
        </w:r>
        <w:r w:rsidR="004A02EA">
          <w:rPr>
            <w:noProof/>
            <w:webHidden/>
          </w:rPr>
          <w:fldChar w:fldCharType="separate"/>
        </w:r>
        <w:r w:rsidR="00901C2F">
          <w:rPr>
            <w:noProof/>
            <w:webHidden/>
          </w:rPr>
          <w:t>9</w:t>
        </w:r>
        <w:r w:rsidR="004A02EA">
          <w:rPr>
            <w:noProof/>
            <w:webHidden/>
          </w:rPr>
          <w:fldChar w:fldCharType="end"/>
        </w:r>
      </w:hyperlink>
    </w:p>
    <w:p w14:paraId="4697EDC7" w14:textId="431F7E3C"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07" w:history="1">
        <w:r w:rsidR="004A02EA" w:rsidRPr="00E924BB">
          <w:rPr>
            <w:rStyle w:val="Lienhypertexte"/>
            <w:noProof/>
          </w:rPr>
          <w:t>2.1.3</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rPr>
          <w:t>Hazard and precautionary statements</w:t>
        </w:r>
        <w:r w:rsidR="004A02EA">
          <w:rPr>
            <w:noProof/>
            <w:webHidden/>
          </w:rPr>
          <w:tab/>
        </w:r>
        <w:r w:rsidR="004A02EA">
          <w:rPr>
            <w:noProof/>
            <w:webHidden/>
          </w:rPr>
          <w:fldChar w:fldCharType="begin"/>
        </w:r>
        <w:r w:rsidR="004A02EA">
          <w:rPr>
            <w:noProof/>
            <w:webHidden/>
          </w:rPr>
          <w:instrText xml:space="preserve"> PAGEREF _Toc12967107 \h </w:instrText>
        </w:r>
        <w:r w:rsidR="004A02EA">
          <w:rPr>
            <w:noProof/>
            <w:webHidden/>
          </w:rPr>
        </w:r>
        <w:r w:rsidR="004A02EA">
          <w:rPr>
            <w:noProof/>
            <w:webHidden/>
          </w:rPr>
          <w:fldChar w:fldCharType="separate"/>
        </w:r>
        <w:r w:rsidR="00901C2F">
          <w:rPr>
            <w:noProof/>
            <w:webHidden/>
          </w:rPr>
          <w:t>9</w:t>
        </w:r>
        <w:r w:rsidR="004A02EA">
          <w:rPr>
            <w:noProof/>
            <w:webHidden/>
          </w:rPr>
          <w:fldChar w:fldCharType="end"/>
        </w:r>
      </w:hyperlink>
    </w:p>
    <w:p w14:paraId="4D89D311" w14:textId="2773343B"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08" w:history="1">
        <w:r w:rsidR="004A02EA" w:rsidRPr="00E924BB">
          <w:rPr>
            <w:rStyle w:val="Lienhypertexte"/>
            <w:noProof/>
          </w:rPr>
          <w:t>2.1.4</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rPr>
          <w:t>Authorised use(s)</w:t>
        </w:r>
        <w:r w:rsidR="004A02EA">
          <w:rPr>
            <w:noProof/>
            <w:webHidden/>
          </w:rPr>
          <w:tab/>
        </w:r>
        <w:r w:rsidR="004A02EA">
          <w:rPr>
            <w:noProof/>
            <w:webHidden/>
          </w:rPr>
          <w:fldChar w:fldCharType="begin"/>
        </w:r>
        <w:r w:rsidR="004A02EA">
          <w:rPr>
            <w:noProof/>
            <w:webHidden/>
          </w:rPr>
          <w:instrText xml:space="preserve"> PAGEREF _Toc12967108 \h </w:instrText>
        </w:r>
        <w:r w:rsidR="004A02EA">
          <w:rPr>
            <w:noProof/>
            <w:webHidden/>
          </w:rPr>
        </w:r>
        <w:r w:rsidR="004A02EA">
          <w:rPr>
            <w:noProof/>
            <w:webHidden/>
          </w:rPr>
          <w:fldChar w:fldCharType="separate"/>
        </w:r>
        <w:r w:rsidR="00901C2F">
          <w:rPr>
            <w:noProof/>
            <w:webHidden/>
          </w:rPr>
          <w:t>10</w:t>
        </w:r>
        <w:r w:rsidR="004A02EA">
          <w:rPr>
            <w:noProof/>
            <w:webHidden/>
          </w:rPr>
          <w:fldChar w:fldCharType="end"/>
        </w:r>
      </w:hyperlink>
    </w:p>
    <w:p w14:paraId="3B7322F8" w14:textId="7B22469A" w:rsidR="004A02EA" w:rsidRDefault="00C85279">
      <w:pPr>
        <w:pStyle w:val="TM4"/>
        <w:rPr>
          <w:rFonts w:asciiTheme="minorHAnsi" w:eastAsiaTheme="minorEastAsia" w:hAnsiTheme="minorHAnsi" w:cstheme="minorBidi"/>
          <w:noProof/>
          <w:sz w:val="22"/>
          <w:szCs w:val="22"/>
          <w:lang w:val="en-US" w:eastAsia="en-US"/>
        </w:rPr>
      </w:pPr>
      <w:hyperlink w:anchor="_Toc12967109" w:history="1">
        <w:r w:rsidR="004A02EA" w:rsidRPr="00E924BB">
          <w:rPr>
            <w:rStyle w:val="Lienhypertexte"/>
            <w:noProof/>
          </w:rPr>
          <w:t>2.1.4.1</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Use description</w:t>
        </w:r>
        <w:r w:rsidR="004A02EA">
          <w:rPr>
            <w:noProof/>
            <w:webHidden/>
          </w:rPr>
          <w:tab/>
        </w:r>
        <w:r w:rsidR="004A02EA">
          <w:rPr>
            <w:noProof/>
            <w:webHidden/>
          </w:rPr>
          <w:fldChar w:fldCharType="begin"/>
        </w:r>
        <w:r w:rsidR="004A02EA">
          <w:rPr>
            <w:noProof/>
            <w:webHidden/>
          </w:rPr>
          <w:instrText xml:space="preserve"> PAGEREF _Toc12967109 \h </w:instrText>
        </w:r>
        <w:r w:rsidR="004A02EA">
          <w:rPr>
            <w:noProof/>
            <w:webHidden/>
          </w:rPr>
        </w:r>
        <w:r w:rsidR="004A02EA">
          <w:rPr>
            <w:noProof/>
            <w:webHidden/>
          </w:rPr>
          <w:fldChar w:fldCharType="separate"/>
        </w:r>
        <w:r w:rsidR="00901C2F">
          <w:rPr>
            <w:noProof/>
            <w:webHidden/>
          </w:rPr>
          <w:t>10</w:t>
        </w:r>
        <w:r w:rsidR="004A02EA">
          <w:rPr>
            <w:noProof/>
            <w:webHidden/>
          </w:rPr>
          <w:fldChar w:fldCharType="end"/>
        </w:r>
      </w:hyperlink>
    </w:p>
    <w:p w14:paraId="4B115E3B" w14:textId="05E552C4" w:rsidR="004A02EA" w:rsidRDefault="00C85279">
      <w:pPr>
        <w:pStyle w:val="TM4"/>
        <w:rPr>
          <w:rFonts w:asciiTheme="minorHAnsi" w:eastAsiaTheme="minorEastAsia" w:hAnsiTheme="minorHAnsi" w:cstheme="minorBidi"/>
          <w:noProof/>
          <w:sz w:val="22"/>
          <w:szCs w:val="22"/>
          <w:lang w:val="en-US" w:eastAsia="en-US"/>
        </w:rPr>
      </w:pPr>
      <w:hyperlink w:anchor="_Toc12967110" w:history="1">
        <w:r w:rsidR="004A02EA" w:rsidRPr="00E924BB">
          <w:rPr>
            <w:rStyle w:val="Lienhypertexte"/>
            <w:noProof/>
          </w:rPr>
          <w:t>2.1.4.2</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Use-specific instructions for use</w:t>
        </w:r>
        <w:r w:rsidR="004A02EA">
          <w:rPr>
            <w:noProof/>
            <w:webHidden/>
          </w:rPr>
          <w:tab/>
        </w:r>
        <w:r w:rsidR="004A02EA">
          <w:rPr>
            <w:noProof/>
            <w:webHidden/>
          </w:rPr>
          <w:fldChar w:fldCharType="begin"/>
        </w:r>
        <w:r w:rsidR="004A02EA">
          <w:rPr>
            <w:noProof/>
            <w:webHidden/>
          </w:rPr>
          <w:instrText xml:space="preserve"> PAGEREF _Toc12967110 \h </w:instrText>
        </w:r>
        <w:r w:rsidR="004A02EA">
          <w:rPr>
            <w:noProof/>
            <w:webHidden/>
          </w:rPr>
        </w:r>
        <w:r w:rsidR="004A02EA">
          <w:rPr>
            <w:noProof/>
            <w:webHidden/>
          </w:rPr>
          <w:fldChar w:fldCharType="separate"/>
        </w:r>
        <w:r w:rsidR="00901C2F">
          <w:rPr>
            <w:noProof/>
            <w:webHidden/>
          </w:rPr>
          <w:t>10</w:t>
        </w:r>
        <w:r w:rsidR="004A02EA">
          <w:rPr>
            <w:noProof/>
            <w:webHidden/>
          </w:rPr>
          <w:fldChar w:fldCharType="end"/>
        </w:r>
      </w:hyperlink>
    </w:p>
    <w:p w14:paraId="7458EAFA" w14:textId="537C5ED9" w:rsidR="004A02EA" w:rsidRDefault="00C85279">
      <w:pPr>
        <w:pStyle w:val="TM4"/>
        <w:rPr>
          <w:rFonts w:asciiTheme="minorHAnsi" w:eastAsiaTheme="minorEastAsia" w:hAnsiTheme="minorHAnsi" w:cstheme="minorBidi"/>
          <w:noProof/>
          <w:sz w:val="22"/>
          <w:szCs w:val="22"/>
          <w:lang w:val="en-US" w:eastAsia="en-US"/>
        </w:rPr>
      </w:pPr>
      <w:hyperlink w:anchor="_Toc12967111" w:history="1">
        <w:r w:rsidR="004A02EA" w:rsidRPr="00E924BB">
          <w:rPr>
            <w:rStyle w:val="Lienhypertexte"/>
            <w:noProof/>
          </w:rPr>
          <w:t>2.1.4.3</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Use-specific risk mitigation measures</w:t>
        </w:r>
        <w:r w:rsidR="004A02EA">
          <w:rPr>
            <w:noProof/>
            <w:webHidden/>
          </w:rPr>
          <w:tab/>
        </w:r>
        <w:r w:rsidR="004A02EA">
          <w:rPr>
            <w:noProof/>
            <w:webHidden/>
          </w:rPr>
          <w:fldChar w:fldCharType="begin"/>
        </w:r>
        <w:r w:rsidR="004A02EA">
          <w:rPr>
            <w:noProof/>
            <w:webHidden/>
          </w:rPr>
          <w:instrText xml:space="preserve"> PAGEREF _Toc12967111 \h </w:instrText>
        </w:r>
        <w:r w:rsidR="004A02EA">
          <w:rPr>
            <w:noProof/>
            <w:webHidden/>
          </w:rPr>
        </w:r>
        <w:r w:rsidR="004A02EA">
          <w:rPr>
            <w:noProof/>
            <w:webHidden/>
          </w:rPr>
          <w:fldChar w:fldCharType="separate"/>
        </w:r>
        <w:r w:rsidR="00901C2F">
          <w:rPr>
            <w:noProof/>
            <w:webHidden/>
          </w:rPr>
          <w:t>11</w:t>
        </w:r>
        <w:r w:rsidR="004A02EA">
          <w:rPr>
            <w:noProof/>
            <w:webHidden/>
          </w:rPr>
          <w:fldChar w:fldCharType="end"/>
        </w:r>
      </w:hyperlink>
    </w:p>
    <w:p w14:paraId="123B6818" w14:textId="3A05A51A" w:rsidR="004A02EA" w:rsidRDefault="00C85279">
      <w:pPr>
        <w:pStyle w:val="TM4"/>
        <w:rPr>
          <w:rFonts w:asciiTheme="minorHAnsi" w:eastAsiaTheme="minorEastAsia" w:hAnsiTheme="minorHAnsi" w:cstheme="minorBidi"/>
          <w:noProof/>
          <w:sz w:val="22"/>
          <w:szCs w:val="22"/>
          <w:lang w:val="en-US" w:eastAsia="en-US"/>
        </w:rPr>
      </w:pPr>
      <w:hyperlink w:anchor="_Toc12967112" w:history="1">
        <w:r w:rsidR="004A02EA" w:rsidRPr="00E924BB">
          <w:rPr>
            <w:rStyle w:val="Lienhypertexte"/>
            <w:noProof/>
          </w:rPr>
          <w:t>2.1.4.4</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Where specific to the use, the particulars of likely direct or indirect effects, first aid instructions and emergency measures to protect the environment</w:t>
        </w:r>
        <w:r w:rsidR="004A02EA">
          <w:rPr>
            <w:noProof/>
            <w:webHidden/>
          </w:rPr>
          <w:tab/>
        </w:r>
        <w:r w:rsidR="004A02EA">
          <w:rPr>
            <w:noProof/>
            <w:webHidden/>
          </w:rPr>
          <w:fldChar w:fldCharType="begin"/>
        </w:r>
        <w:r w:rsidR="004A02EA">
          <w:rPr>
            <w:noProof/>
            <w:webHidden/>
          </w:rPr>
          <w:instrText xml:space="preserve"> PAGEREF _Toc12967112 \h </w:instrText>
        </w:r>
        <w:r w:rsidR="004A02EA">
          <w:rPr>
            <w:noProof/>
            <w:webHidden/>
          </w:rPr>
        </w:r>
        <w:r w:rsidR="004A02EA">
          <w:rPr>
            <w:noProof/>
            <w:webHidden/>
          </w:rPr>
          <w:fldChar w:fldCharType="separate"/>
        </w:r>
        <w:r w:rsidR="00901C2F">
          <w:rPr>
            <w:noProof/>
            <w:webHidden/>
          </w:rPr>
          <w:t>11</w:t>
        </w:r>
        <w:r w:rsidR="004A02EA">
          <w:rPr>
            <w:noProof/>
            <w:webHidden/>
          </w:rPr>
          <w:fldChar w:fldCharType="end"/>
        </w:r>
      </w:hyperlink>
    </w:p>
    <w:p w14:paraId="0C150A28" w14:textId="3E2BD032" w:rsidR="004A02EA" w:rsidRDefault="00C85279">
      <w:pPr>
        <w:pStyle w:val="TM4"/>
        <w:rPr>
          <w:rFonts w:asciiTheme="minorHAnsi" w:eastAsiaTheme="minorEastAsia" w:hAnsiTheme="minorHAnsi" w:cstheme="minorBidi"/>
          <w:noProof/>
          <w:sz w:val="22"/>
          <w:szCs w:val="22"/>
          <w:lang w:val="en-US" w:eastAsia="en-US"/>
        </w:rPr>
      </w:pPr>
      <w:hyperlink w:anchor="_Toc12967113" w:history="1">
        <w:r w:rsidR="004A02EA" w:rsidRPr="00E924BB">
          <w:rPr>
            <w:rStyle w:val="Lienhypertexte"/>
            <w:noProof/>
          </w:rPr>
          <w:t>2.1.4.5</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Where specific to the use, the instructions for safe disposal of the product and its packaging</w:t>
        </w:r>
        <w:r w:rsidR="004A02EA">
          <w:rPr>
            <w:noProof/>
            <w:webHidden/>
          </w:rPr>
          <w:tab/>
        </w:r>
        <w:r w:rsidR="004A02EA">
          <w:rPr>
            <w:noProof/>
            <w:webHidden/>
          </w:rPr>
          <w:fldChar w:fldCharType="begin"/>
        </w:r>
        <w:r w:rsidR="004A02EA">
          <w:rPr>
            <w:noProof/>
            <w:webHidden/>
          </w:rPr>
          <w:instrText xml:space="preserve"> PAGEREF _Toc12967113 \h </w:instrText>
        </w:r>
        <w:r w:rsidR="004A02EA">
          <w:rPr>
            <w:noProof/>
            <w:webHidden/>
          </w:rPr>
        </w:r>
        <w:r w:rsidR="004A02EA">
          <w:rPr>
            <w:noProof/>
            <w:webHidden/>
          </w:rPr>
          <w:fldChar w:fldCharType="separate"/>
        </w:r>
        <w:r w:rsidR="00901C2F">
          <w:rPr>
            <w:noProof/>
            <w:webHidden/>
          </w:rPr>
          <w:t>11</w:t>
        </w:r>
        <w:r w:rsidR="004A02EA">
          <w:rPr>
            <w:noProof/>
            <w:webHidden/>
          </w:rPr>
          <w:fldChar w:fldCharType="end"/>
        </w:r>
      </w:hyperlink>
    </w:p>
    <w:p w14:paraId="1E33652B" w14:textId="4EF305FC" w:rsidR="004A02EA" w:rsidRDefault="00C85279">
      <w:pPr>
        <w:pStyle w:val="TM4"/>
        <w:rPr>
          <w:rFonts w:asciiTheme="minorHAnsi" w:eastAsiaTheme="minorEastAsia" w:hAnsiTheme="minorHAnsi" w:cstheme="minorBidi"/>
          <w:noProof/>
          <w:sz w:val="22"/>
          <w:szCs w:val="22"/>
          <w:lang w:val="en-US" w:eastAsia="en-US"/>
        </w:rPr>
      </w:pPr>
      <w:hyperlink w:anchor="_Toc12967114" w:history="1">
        <w:r w:rsidR="004A02EA" w:rsidRPr="00E924BB">
          <w:rPr>
            <w:rStyle w:val="Lienhypertexte"/>
            <w:noProof/>
          </w:rPr>
          <w:t>2.1.4.6</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Where specific to the use, the conditions of storage and shelf-life of the product under normal conditions of storage</w:t>
        </w:r>
        <w:r w:rsidR="004A02EA">
          <w:rPr>
            <w:noProof/>
            <w:webHidden/>
          </w:rPr>
          <w:tab/>
        </w:r>
        <w:r w:rsidR="004A02EA">
          <w:rPr>
            <w:noProof/>
            <w:webHidden/>
          </w:rPr>
          <w:fldChar w:fldCharType="begin"/>
        </w:r>
        <w:r w:rsidR="004A02EA">
          <w:rPr>
            <w:noProof/>
            <w:webHidden/>
          </w:rPr>
          <w:instrText xml:space="preserve"> PAGEREF _Toc12967114 \h </w:instrText>
        </w:r>
        <w:r w:rsidR="004A02EA">
          <w:rPr>
            <w:noProof/>
            <w:webHidden/>
          </w:rPr>
        </w:r>
        <w:r w:rsidR="004A02EA">
          <w:rPr>
            <w:noProof/>
            <w:webHidden/>
          </w:rPr>
          <w:fldChar w:fldCharType="separate"/>
        </w:r>
        <w:r w:rsidR="00901C2F">
          <w:rPr>
            <w:noProof/>
            <w:webHidden/>
          </w:rPr>
          <w:t>11</w:t>
        </w:r>
        <w:r w:rsidR="004A02EA">
          <w:rPr>
            <w:noProof/>
            <w:webHidden/>
          </w:rPr>
          <w:fldChar w:fldCharType="end"/>
        </w:r>
      </w:hyperlink>
    </w:p>
    <w:p w14:paraId="34BCE4C9" w14:textId="21E5224B" w:rsidR="004A02EA" w:rsidRDefault="00C85279">
      <w:pPr>
        <w:pStyle w:val="TM4"/>
        <w:rPr>
          <w:rFonts w:asciiTheme="minorHAnsi" w:eastAsiaTheme="minorEastAsia" w:hAnsiTheme="minorHAnsi" w:cstheme="minorBidi"/>
          <w:noProof/>
          <w:sz w:val="22"/>
          <w:szCs w:val="22"/>
          <w:lang w:val="en-US" w:eastAsia="en-US"/>
        </w:rPr>
      </w:pPr>
      <w:hyperlink w:anchor="_Toc12967115" w:history="1">
        <w:r w:rsidR="004A02EA" w:rsidRPr="00E924BB">
          <w:rPr>
            <w:rStyle w:val="Lienhypertexte"/>
            <w:noProof/>
          </w:rPr>
          <w:t>2.1.4.7</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Use description</w:t>
        </w:r>
        <w:r w:rsidR="004A02EA">
          <w:rPr>
            <w:noProof/>
            <w:webHidden/>
          </w:rPr>
          <w:tab/>
        </w:r>
        <w:r w:rsidR="004A02EA">
          <w:rPr>
            <w:noProof/>
            <w:webHidden/>
          </w:rPr>
          <w:fldChar w:fldCharType="begin"/>
        </w:r>
        <w:r w:rsidR="004A02EA">
          <w:rPr>
            <w:noProof/>
            <w:webHidden/>
          </w:rPr>
          <w:instrText xml:space="preserve"> PAGEREF _Toc12967115 \h </w:instrText>
        </w:r>
        <w:r w:rsidR="004A02EA">
          <w:rPr>
            <w:noProof/>
            <w:webHidden/>
          </w:rPr>
        </w:r>
        <w:r w:rsidR="004A02EA">
          <w:rPr>
            <w:noProof/>
            <w:webHidden/>
          </w:rPr>
          <w:fldChar w:fldCharType="separate"/>
        </w:r>
        <w:r w:rsidR="00901C2F">
          <w:rPr>
            <w:noProof/>
            <w:webHidden/>
          </w:rPr>
          <w:t>11</w:t>
        </w:r>
        <w:r w:rsidR="004A02EA">
          <w:rPr>
            <w:noProof/>
            <w:webHidden/>
          </w:rPr>
          <w:fldChar w:fldCharType="end"/>
        </w:r>
      </w:hyperlink>
    </w:p>
    <w:p w14:paraId="4DA1B568" w14:textId="2A67743C" w:rsidR="004A02EA" w:rsidRDefault="00C85279">
      <w:pPr>
        <w:pStyle w:val="TM4"/>
        <w:rPr>
          <w:rFonts w:asciiTheme="minorHAnsi" w:eastAsiaTheme="minorEastAsia" w:hAnsiTheme="minorHAnsi" w:cstheme="minorBidi"/>
          <w:noProof/>
          <w:sz w:val="22"/>
          <w:szCs w:val="22"/>
          <w:lang w:val="en-US" w:eastAsia="en-US"/>
        </w:rPr>
      </w:pPr>
      <w:hyperlink w:anchor="_Toc12967116" w:history="1">
        <w:r w:rsidR="004A02EA" w:rsidRPr="00E924BB">
          <w:rPr>
            <w:rStyle w:val="Lienhypertexte"/>
            <w:noProof/>
          </w:rPr>
          <w:t>2.1.4.8</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Use-specific instructions for use</w:t>
        </w:r>
        <w:r w:rsidR="004A02EA">
          <w:rPr>
            <w:noProof/>
            <w:webHidden/>
          </w:rPr>
          <w:tab/>
        </w:r>
        <w:r w:rsidR="004A02EA">
          <w:rPr>
            <w:noProof/>
            <w:webHidden/>
          </w:rPr>
          <w:fldChar w:fldCharType="begin"/>
        </w:r>
        <w:r w:rsidR="004A02EA">
          <w:rPr>
            <w:noProof/>
            <w:webHidden/>
          </w:rPr>
          <w:instrText xml:space="preserve"> PAGEREF _Toc12967116 \h </w:instrText>
        </w:r>
        <w:r w:rsidR="004A02EA">
          <w:rPr>
            <w:noProof/>
            <w:webHidden/>
          </w:rPr>
        </w:r>
        <w:r w:rsidR="004A02EA">
          <w:rPr>
            <w:noProof/>
            <w:webHidden/>
          </w:rPr>
          <w:fldChar w:fldCharType="separate"/>
        </w:r>
        <w:r w:rsidR="00901C2F">
          <w:rPr>
            <w:noProof/>
            <w:webHidden/>
          </w:rPr>
          <w:t>12</w:t>
        </w:r>
        <w:r w:rsidR="004A02EA">
          <w:rPr>
            <w:noProof/>
            <w:webHidden/>
          </w:rPr>
          <w:fldChar w:fldCharType="end"/>
        </w:r>
      </w:hyperlink>
    </w:p>
    <w:p w14:paraId="4FB92E12" w14:textId="67807206" w:rsidR="004A02EA" w:rsidRDefault="00C85279">
      <w:pPr>
        <w:pStyle w:val="TM4"/>
        <w:rPr>
          <w:rFonts w:asciiTheme="minorHAnsi" w:eastAsiaTheme="minorEastAsia" w:hAnsiTheme="minorHAnsi" w:cstheme="minorBidi"/>
          <w:noProof/>
          <w:sz w:val="22"/>
          <w:szCs w:val="22"/>
          <w:lang w:val="en-US" w:eastAsia="en-US"/>
        </w:rPr>
      </w:pPr>
      <w:hyperlink w:anchor="_Toc12967117" w:history="1">
        <w:r w:rsidR="004A02EA" w:rsidRPr="00E924BB">
          <w:rPr>
            <w:rStyle w:val="Lienhypertexte"/>
            <w:noProof/>
          </w:rPr>
          <w:t>2.1.4.9</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Use-specific risk mitigation measures</w:t>
        </w:r>
        <w:r w:rsidR="004A02EA">
          <w:rPr>
            <w:noProof/>
            <w:webHidden/>
          </w:rPr>
          <w:tab/>
        </w:r>
        <w:r w:rsidR="004A02EA">
          <w:rPr>
            <w:noProof/>
            <w:webHidden/>
          </w:rPr>
          <w:fldChar w:fldCharType="begin"/>
        </w:r>
        <w:r w:rsidR="004A02EA">
          <w:rPr>
            <w:noProof/>
            <w:webHidden/>
          </w:rPr>
          <w:instrText xml:space="preserve"> PAGEREF _Toc12967117 \h </w:instrText>
        </w:r>
        <w:r w:rsidR="004A02EA">
          <w:rPr>
            <w:noProof/>
            <w:webHidden/>
          </w:rPr>
        </w:r>
        <w:r w:rsidR="004A02EA">
          <w:rPr>
            <w:noProof/>
            <w:webHidden/>
          </w:rPr>
          <w:fldChar w:fldCharType="separate"/>
        </w:r>
        <w:r w:rsidR="00901C2F">
          <w:rPr>
            <w:noProof/>
            <w:webHidden/>
          </w:rPr>
          <w:t>12</w:t>
        </w:r>
        <w:r w:rsidR="004A02EA">
          <w:rPr>
            <w:noProof/>
            <w:webHidden/>
          </w:rPr>
          <w:fldChar w:fldCharType="end"/>
        </w:r>
      </w:hyperlink>
    </w:p>
    <w:p w14:paraId="0E2959D6" w14:textId="2202774C" w:rsidR="004A02EA" w:rsidRDefault="00C85279">
      <w:pPr>
        <w:pStyle w:val="TM4"/>
        <w:rPr>
          <w:rFonts w:asciiTheme="minorHAnsi" w:eastAsiaTheme="minorEastAsia" w:hAnsiTheme="minorHAnsi" w:cstheme="minorBidi"/>
          <w:noProof/>
          <w:sz w:val="22"/>
          <w:szCs w:val="22"/>
          <w:lang w:val="en-US" w:eastAsia="en-US"/>
        </w:rPr>
      </w:pPr>
      <w:hyperlink w:anchor="_Toc12967118" w:history="1">
        <w:r w:rsidR="004A02EA" w:rsidRPr="00E924BB">
          <w:rPr>
            <w:rStyle w:val="Lienhypertexte"/>
            <w:noProof/>
          </w:rPr>
          <w:t>2.1.4.10</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Where specific to the use, the particulars of likely direct or indirect effects, first aid instructions and emergency measures to protect the environment</w:t>
        </w:r>
        <w:r w:rsidR="004A02EA">
          <w:rPr>
            <w:noProof/>
            <w:webHidden/>
          </w:rPr>
          <w:tab/>
        </w:r>
        <w:r w:rsidR="004A02EA">
          <w:rPr>
            <w:noProof/>
            <w:webHidden/>
          </w:rPr>
          <w:fldChar w:fldCharType="begin"/>
        </w:r>
        <w:r w:rsidR="004A02EA">
          <w:rPr>
            <w:noProof/>
            <w:webHidden/>
          </w:rPr>
          <w:instrText xml:space="preserve"> PAGEREF _Toc12967118 \h </w:instrText>
        </w:r>
        <w:r w:rsidR="004A02EA">
          <w:rPr>
            <w:noProof/>
            <w:webHidden/>
          </w:rPr>
        </w:r>
        <w:r w:rsidR="004A02EA">
          <w:rPr>
            <w:noProof/>
            <w:webHidden/>
          </w:rPr>
          <w:fldChar w:fldCharType="separate"/>
        </w:r>
        <w:r w:rsidR="00901C2F">
          <w:rPr>
            <w:noProof/>
            <w:webHidden/>
          </w:rPr>
          <w:t>12</w:t>
        </w:r>
        <w:r w:rsidR="004A02EA">
          <w:rPr>
            <w:noProof/>
            <w:webHidden/>
          </w:rPr>
          <w:fldChar w:fldCharType="end"/>
        </w:r>
      </w:hyperlink>
    </w:p>
    <w:p w14:paraId="63680C6E" w14:textId="584C41E6" w:rsidR="004A02EA" w:rsidRDefault="00C85279">
      <w:pPr>
        <w:pStyle w:val="TM4"/>
        <w:rPr>
          <w:rFonts w:asciiTheme="minorHAnsi" w:eastAsiaTheme="minorEastAsia" w:hAnsiTheme="minorHAnsi" w:cstheme="minorBidi"/>
          <w:noProof/>
          <w:sz w:val="22"/>
          <w:szCs w:val="22"/>
          <w:lang w:val="en-US" w:eastAsia="en-US"/>
        </w:rPr>
      </w:pPr>
      <w:hyperlink w:anchor="_Toc12967119" w:history="1">
        <w:r w:rsidR="004A02EA" w:rsidRPr="00E924BB">
          <w:rPr>
            <w:rStyle w:val="Lienhypertexte"/>
            <w:noProof/>
          </w:rPr>
          <w:t>2.1.4.11</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Where specific to the use, the instructions for safe disposal of the product and its packaging</w:t>
        </w:r>
        <w:r w:rsidR="004A02EA">
          <w:rPr>
            <w:noProof/>
            <w:webHidden/>
          </w:rPr>
          <w:tab/>
        </w:r>
        <w:r w:rsidR="004A02EA">
          <w:rPr>
            <w:noProof/>
            <w:webHidden/>
          </w:rPr>
          <w:fldChar w:fldCharType="begin"/>
        </w:r>
        <w:r w:rsidR="004A02EA">
          <w:rPr>
            <w:noProof/>
            <w:webHidden/>
          </w:rPr>
          <w:instrText xml:space="preserve"> PAGEREF _Toc12967119 \h </w:instrText>
        </w:r>
        <w:r w:rsidR="004A02EA">
          <w:rPr>
            <w:noProof/>
            <w:webHidden/>
          </w:rPr>
        </w:r>
        <w:r w:rsidR="004A02EA">
          <w:rPr>
            <w:noProof/>
            <w:webHidden/>
          </w:rPr>
          <w:fldChar w:fldCharType="separate"/>
        </w:r>
        <w:r w:rsidR="00901C2F">
          <w:rPr>
            <w:noProof/>
            <w:webHidden/>
          </w:rPr>
          <w:t>12</w:t>
        </w:r>
        <w:r w:rsidR="004A02EA">
          <w:rPr>
            <w:noProof/>
            <w:webHidden/>
          </w:rPr>
          <w:fldChar w:fldCharType="end"/>
        </w:r>
      </w:hyperlink>
    </w:p>
    <w:p w14:paraId="29B1BFD0" w14:textId="23C0813D" w:rsidR="004A02EA" w:rsidRDefault="00C85279">
      <w:pPr>
        <w:pStyle w:val="TM4"/>
        <w:rPr>
          <w:rFonts w:asciiTheme="minorHAnsi" w:eastAsiaTheme="minorEastAsia" w:hAnsiTheme="minorHAnsi" w:cstheme="minorBidi"/>
          <w:noProof/>
          <w:sz w:val="22"/>
          <w:szCs w:val="22"/>
          <w:lang w:val="en-US" w:eastAsia="en-US"/>
        </w:rPr>
      </w:pPr>
      <w:hyperlink w:anchor="_Toc12967120" w:history="1">
        <w:r w:rsidR="004A02EA" w:rsidRPr="00E924BB">
          <w:rPr>
            <w:rStyle w:val="Lienhypertexte"/>
            <w:noProof/>
          </w:rPr>
          <w:t>2.1.4.12</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Where specific to the use, the conditions of storage and shelf-life of the product under normal conditions of storage</w:t>
        </w:r>
        <w:r w:rsidR="004A02EA">
          <w:rPr>
            <w:noProof/>
            <w:webHidden/>
          </w:rPr>
          <w:tab/>
        </w:r>
        <w:r w:rsidR="004A02EA">
          <w:rPr>
            <w:noProof/>
            <w:webHidden/>
          </w:rPr>
          <w:fldChar w:fldCharType="begin"/>
        </w:r>
        <w:r w:rsidR="004A02EA">
          <w:rPr>
            <w:noProof/>
            <w:webHidden/>
          </w:rPr>
          <w:instrText xml:space="preserve"> PAGEREF _Toc12967120 \h </w:instrText>
        </w:r>
        <w:r w:rsidR="004A02EA">
          <w:rPr>
            <w:noProof/>
            <w:webHidden/>
          </w:rPr>
        </w:r>
        <w:r w:rsidR="004A02EA">
          <w:rPr>
            <w:noProof/>
            <w:webHidden/>
          </w:rPr>
          <w:fldChar w:fldCharType="separate"/>
        </w:r>
        <w:r w:rsidR="00901C2F">
          <w:rPr>
            <w:noProof/>
            <w:webHidden/>
          </w:rPr>
          <w:t>12</w:t>
        </w:r>
        <w:r w:rsidR="004A02EA">
          <w:rPr>
            <w:noProof/>
            <w:webHidden/>
          </w:rPr>
          <w:fldChar w:fldCharType="end"/>
        </w:r>
      </w:hyperlink>
    </w:p>
    <w:p w14:paraId="23185EF6" w14:textId="2523778E"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21" w:history="1">
        <w:r w:rsidR="004A02EA" w:rsidRPr="00E924BB">
          <w:rPr>
            <w:rStyle w:val="Lienhypertexte"/>
            <w:noProof/>
          </w:rPr>
          <w:t>2.1.5</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rPr>
          <w:t>General directions for use</w:t>
        </w:r>
        <w:r w:rsidR="004A02EA">
          <w:rPr>
            <w:noProof/>
            <w:webHidden/>
          </w:rPr>
          <w:tab/>
        </w:r>
        <w:r w:rsidR="004A02EA">
          <w:rPr>
            <w:noProof/>
            <w:webHidden/>
          </w:rPr>
          <w:fldChar w:fldCharType="begin"/>
        </w:r>
        <w:r w:rsidR="004A02EA">
          <w:rPr>
            <w:noProof/>
            <w:webHidden/>
          </w:rPr>
          <w:instrText xml:space="preserve"> PAGEREF _Toc12967121 \h </w:instrText>
        </w:r>
        <w:r w:rsidR="004A02EA">
          <w:rPr>
            <w:noProof/>
            <w:webHidden/>
          </w:rPr>
        </w:r>
        <w:r w:rsidR="004A02EA">
          <w:rPr>
            <w:noProof/>
            <w:webHidden/>
          </w:rPr>
          <w:fldChar w:fldCharType="separate"/>
        </w:r>
        <w:r w:rsidR="00901C2F">
          <w:rPr>
            <w:noProof/>
            <w:webHidden/>
          </w:rPr>
          <w:t>12</w:t>
        </w:r>
        <w:r w:rsidR="004A02EA">
          <w:rPr>
            <w:noProof/>
            <w:webHidden/>
          </w:rPr>
          <w:fldChar w:fldCharType="end"/>
        </w:r>
      </w:hyperlink>
    </w:p>
    <w:p w14:paraId="78FFD962" w14:textId="27186EFA" w:rsidR="004A02EA" w:rsidRDefault="00C85279">
      <w:pPr>
        <w:pStyle w:val="TM4"/>
        <w:rPr>
          <w:rFonts w:asciiTheme="minorHAnsi" w:eastAsiaTheme="minorEastAsia" w:hAnsiTheme="minorHAnsi" w:cstheme="minorBidi"/>
          <w:noProof/>
          <w:sz w:val="22"/>
          <w:szCs w:val="22"/>
          <w:lang w:val="en-US" w:eastAsia="en-US"/>
        </w:rPr>
      </w:pPr>
      <w:hyperlink w:anchor="_Toc12967122" w:history="1">
        <w:r w:rsidR="004A02EA" w:rsidRPr="00E924BB">
          <w:rPr>
            <w:rStyle w:val="Lienhypertexte"/>
            <w:noProof/>
          </w:rPr>
          <w:t>2.1.5.1</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Instructions for use</w:t>
        </w:r>
        <w:r w:rsidR="004A02EA">
          <w:rPr>
            <w:noProof/>
            <w:webHidden/>
          </w:rPr>
          <w:tab/>
        </w:r>
        <w:r w:rsidR="004A02EA">
          <w:rPr>
            <w:noProof/>
            <w:webHidden/>
          </w:rPr>
          <w:fldChar w:fldCharType="begin"/>
        </w:r>
        <w:r w:rsidR="004A02EA">
          <w:rPr>
            <w:noProof/>
            <w:webHidden/>
          </w:rPr>
          <w:instrText xml:space="preserve"> PAGEREF _Toc12967122 \h </w:instrText>
        </w:r>
        <w:r w:rsidR="004A02EA">
          <w:rPr>
            <w:noProof/>
            <w:webHidden/>
          </w:rPr>
        </w:r>
        <w:r w:rsidR="004A02EA">
          <w:rPr>
            <w:noProof/>
            <w:webHidden/>
          </w:rPr>
          <w:fldChar w:fldCharType="separate"/>
        </w:r>
        <w:r w:rsidR="00901C2F">
          <w:rPr>
            <w:noProof/>
            <w:webHidden/>
          </w:rPr>
          <w:t>12</w:t>
        </w:r>
        <w:r w:rsidR="004A02EA">
          <w:rPr>
            <w:noProof/>
            <w:webHidden/>
          </w:rPr>
          <w:fldChar w:fldCharType="end"/>
        </w:r>
      </w:hyperlink>
    </w:p>
    <w:p w14:paraId="0A437286" w14:textId="3D256772" w:rsidR="004A02EA" w:rsidRDefault="00C85279">
      <w:pPr>
        <w:pStyle w:val="TM4"/>
        <w:rPr>
          <w:rFonts w:asciiTheme="minorHAnsi" w:eastAsiaTheme="minorEastAsia" w:hAnsiTheme="minorHAnsi" w:cstheme="minorBidi"/>
          <w:noProof/>
          <w:sz w:val="22"/>
          <w:szCs w:val="22"/>
          <w:lang w:val="en-US" w:eastAsia="en-US"/>
        </w:rPr>
      </w:pPr>
      <w:hyperlink w:anchor="_Toc12967123" w:history="1">
        <w:r w:rsidR="004A02EA" w:rsidRPr="00E924BB">
          <w:rPr>
            <w:rStyle w:val="Lienhypertexte"/>
            <w:noProof/>
          </w:rPr>
          <w:t>2.1.5.2</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Risk mitigation measures</w:t>
        </w:r>
        <w:r w:rsidR="004A02EA">
          <w:rPr>
            <w:noProof/>
            <w:webHidden/>
          </w:rPr>
          <w:tab/>
        </w:r>
        <w:r w:rsidR="004A02EA">
          <w:rPr>
            <w:noProof/>
            <w:webHidden/>
          </w:rPr>
          <w:fldChar w:fldCharType="begin"/>
        </w:r>
        <w:r w:rsidR="004A02EA">
          <w:rPr>
            <w:noProof/>
            <w:webHidden/>
          </w:rPr>
          <w:instrText xml:space="preserve"> PAGEREF _Toc12967123 \h </w:instrText>
        </w:r>
        <w:r w:rsidR="004A02EA">
          <w:rPr>
            <w:noProof/>
            <w:webHidden/>
          </w:rPr>
        </w:r>
        <w:r w:rsidR="004A02EA">
          <w:rPr>
            <w:noProof/>
            <w:webHidden/>
          </w:rPr>
          <w:fldChar w:fldCharType="separate"/>
        </w:r>
        <w:r w:rsidR="00901C2F">
          <w:rPr>
            <w:noProof/>
            <w:webHidden/>
          </w:rPr>
          <w:t>13</w:t>
        </w:r>
        <w:r w:rsidR="004A02EA">
          <w:rPr>
            <w:noProof/>
            <w:webHidden/>
          </w:rPr>
          <w:fldChar w:fldCharType="end"/>
        </w:r>
      </w:hyperlink>
    </w:p>
    <w:p w14:paraId="588D4423" w14:textId="5BF3A2A6" w:rsidR="004A02EA" w:rsidRDefault="00C85279">
      <w:pPr>
        <w:pStyle w:val="TM4"/>
        <w:rPr>
          <w:rFonts w:asciiTheme="minorHAnsi" w:eastAsiaTheme="minorEastAsia" w:hAnsiTheme="minorHAnsi" w:cstheme="minorBidi"/>
          <w:noProof/>
          <w:sz w:val="22"/>
          <w:szCs w:val="22"/>
          <w:lang w:val="en-US" w:eastAsia="en-US"/>
        </w:rPr>
      </w:pPr>
      <w:hyperlink w:anchor="_Toc12967124" w:history="1">
        <w:r w:rsidR="004A02EA" w:rsidRPr="00E924BB">
          <w:rPr>
            <w:rStyle w:val="Lienhypertexte"/>
            <w:noProof/>
          </w:rPr>
          <w:t>2.1.5.3</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Particulars of likely direct or indirect effects, first aid instructions and emergency measures to protect the environment</w:t>
        </w:r>
        <w:r w:rsidR="004A02EA">
          <w:rPr>
            <w:noProof/>
            <w:webHidden/>
          </w:rPr>
          <w:tab/>
        </w:r>
        <w:r w:rsidR="004A02EA">
          <w:rPr>
            <w:noProof/>
            <w:webHidden/>
          </w:rPr>
          <w:fldChar w:fldCharType="begin"/>
        </w:r>
        <w:r w:rsidR="004A02EA">
          <w:rPr>
            <w:noProof/>
            <w:webHidden/>
          </w:rPr>
          <w:instrText xml:space="preserve"> PAGEREF _Toc12967124 \h </w:instrText>
        </w:r>
        <w:r w:rsidR="004A02EA">
          <w:rPr>
            <w:noProof/>
            <w:webHidden/>
          </w:rPr>
        </w:r>
        <w:r w:rsidR="004A02EA">
          <w:rPr>
            <w:noProof/>
            <w:webHidden/>
          </w:rPr>
          <w:fldChar w:fldCharType="separate"/>
        </w:r>
        <w:r w:rsidR="00901C2F">
          <w:rPr>
            <w:noProof/>
            <w:webHidden/>
          </w:rPr>
          <w:t>13</w:t>
        </w:r>
        <w:r w:rsidR="004A02EA">
          <w:rPr>
            <w:noProof/>
            <w:webHidden/>
          </w:rPr>
          <w:fldChar w:fldCharType="end"/>
        </w:r>
      </w:hyperlink>
    </w:p>
    <w:p w14:paraId="3E7BDB2A" w14:textId="0451F28F" w:rsidR="004A02EA" w:rsidRDefault="00C85279">
      <w:pPr>
        <w:pStyle w:val="TM4"/>
        <w:rPr>
          <w:rFonts w:asciiTheme="minorHAnsi" w:eastAsiaTheme="minorEastAsia" w:hAnsiTheme="minorHAnsi" w:cstheme="minorBidi"/>
          <w:noProof/>
          <w:sz w:val="22"/>
          <w:szCs w:val="22"/>
          <w:lang w:val="en-US" w:eastAsia="en-US"/>
        </w:rPr>
      </w:pPr>
      <w:hyperlink w:anchor="_Toc12967125" w:history="1">
        <w:r w:rsidR="004A02EA" w:rsidRPr="00E924BB">
          <w:rPr>
            <w:rStyle w:val="Lienhypertexte"/>
            <w:noProof/>
          </w:rPr>
          <w:t>2.1.5.4</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Instructions for safe disposal of the product and its packaging</w:t>
        </w:r>
        <w:r w:rsidR="004A02EA">
          <w:rPr>
            <w:noProof/>
            <w:webHidden/>
          </w:rPr>
          <w:tab/>
        </w:r>
        <w:r w:rsidR="004A02EA">
          <w:rPr>
            <w:noProof/>
            <w:webHidden/>
          </w:rPr>
          <w:fldChar w:fldCharType="begin"/>
        </w:r>
        <w:r w:rsidR="004A02EA">
          <w:rPr>
            <w:noProof/>
            <w:webHidden/>
          </w:rPr>
          <w:instrText xml:space="preserve"> PAGEREF _Toc12967125 \h </w:instrText>
        </w:r>
        <w:r w:rsidR="004A02EA">
          <w:rPr>
            <w:noProof/>
            <w:webHidden/>
          </w:rPr>
        </w:r>
        <w:r w:rsidR="004A02EA">
          <w:rPr>
            <w:noProof/>
            <w:webHidden/>
          </w:rPr>
          <w:fldChar w:fldCharType="separate"/>
        </w:r>
        <w:r w:rsidR="00901C2F">
          <w:rPr>
            <w:noProof/>
            <w:webHidden/>
          </w:rPr>
          <w:t>14</w:t>
        </w:r>
        <w:r w:rsidR="004A02EA">
          <w:rPr>
            <w:noProof/>
            <w:webHidden/>
          </w:rPr>
          <w:fldChar w:fldCharType="end"/>
        </w:r>
      </w:hyperlink>
    </w:p>
    <w:p w14:paraId="3093BC0A" w14:textId="7B3BD151" w:rsidR="004A02EA" w:rsidRDefault="00C85279">
      <w:pPr>
        <w:pStyle w:val="TM4"/>
        <w:rPr>
          <w:rFonts w:asciiTheme="minorHAnsi" w:eastAsiaTheme="minorEastAsia" w:hAnsiTheme="minorHAnsi" w:cstheme="minorBidi"/>
          <w:noProof/>
          <w:sz w:val="22"/>
          <w:szCs w:val="22"/>
          <w:lang w:val="en-US" w:eastAsia="en-US"/>
        </w:rPr>
      </w:pPr>
      <w:hyperlink w:anchor="_Toc12967126" w:history="1">
        <w:r w:rsidR="004A02EA" w:rsidRPr="00E924BB">
          <w:rPr>
            <w:rStyle w:val="Lienhypertexte"/>
            <w:noProof/>
          </w:rPr>
          <w:t>2.1.5.5</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Conditions of storage and shelf-life of the product under normal conditions of storage</w:t>
        </w:r>
        <w:r w:rsidR="004A02EA">
          <w:rPr>
            <w:noProof/>
            <w:webHidden/>
          </w:rPr>
          <w:tab/>
        </w:r>
        <w:r w:rsidR="004A02EA">
          <w:rPr>
            <w:noProof/>
            <w:webHidden/>
          </w:rPr>
          <w:fldChar w:fldCharType="begin"/>
        </w:r>
        <w:r w:rsidR="004A02EA">
          <w:rPr>
            <w:noProof/>
            <w:webHidden/>
          </w:rPr>
          <w:instrText xml:space="preserve"> PAGEREF _Toc12967126 \h </w:instrText>
        </w:r>
        <w:r w:rsidR="004A02EA">
          <w:rPr>
            <w:noProof/>
            <w:webHidden/>
          </w:rPr>
        </w:r>
        <w:r w:rsidR="004A02EA">
          <w:rPr>
            <w:noProof/>
            <w:webHidden/>
          </w:rPr>
          <w:fldChar w:fldCharType="separate"/>
        </w:r>
        <w:r w:rsidR="00901C2F">
          <w:rPr>
            <w:noProof/>
            <w:webHidden/>
          </w:rPr>
          <w:t>14</w:t>
        </w:r>
        <w:r w:rsidR="004A02EA">
          <w:rPr>
            <w:noProof/>
            <w:webHidden/>
          </w:rPr>
          <w:fldChar w:fldCharType="end"/>
        </w:r>
      </w:hyperlink>
    </w:p>
    <w:p w14:paraId="2EA1A70C" w14:textId="065B5DA8"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27" w:history="1">
        <w:r w:rsidR="004A02EA" w:rsidRPr="00E924BB">
          <w:rPr>
            <w:rStyle w:val="Lienhypertexte"/>
            <w:noProof/>
          </w:rPr>
          <w:t>2.1.6</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rPr>
          <w:t>Other information</w:t>
        </w:r>
        <w:r w:rsidR="004A02EA">
          <w:rPr>
            <w:noProof/>
            <w:webHidden/>
          </w:rPr>
          <w:tab/>
        </w:r>
        <w:r w:rsidR="004A02EA">
          <w:rPr>
            <w:noProof/>
            <w:webHidden/>
          </w:rPr>
          <w:fldChar w:fldCharType="begin"/>
        </w:r>
        <w:r w:rsidR="004A02EA">
          <w:rPr>
            <w:noProof/>
            <w:webHidden/>
          </w:rPr>
          <w:instrText xml:space="preserve"> PAGEREF _Toc12967127 \h </w:instrText>
        </w:r>
        <w:r w:rsidR="004A02EA">
          <w:rPr>
            <w:noProof/>
            <w:webHidden/>
          </w:rPr>
        </w:r>
        <w:r w:rsidR="004A02EA">
          <w:rPr>
            <w:noProof/>
            <w:webHidden/>
          </w:rPr>
          <w:fldChar w:fldCharType="separate"/>
        </w:r>
        <w:r w:rsidR="00901C2F">
          <w:rPr>
            <w:noProof/>
            <w:webHidden/>
          </w:rPr>
          <w:t>14</w:t>
        </w:r>
        <w:r w:rsidR="004A02EA">
          <w:rPr>
            <w:noProof/>
            <w:webHidden/>
          </w:rPr>
          <w:fldChar w:fldCharType="end"/>
        </w:r>
      </w:hyperlink>
    </w:p>
    <w:p w14:paraId="0A9241EB" w14:textId="6B3455A6"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28" w:history="1">
        <w:r w:rsidR="004A02EA" w:rsidRPr="00E924BB">
          <w:rPr>
            <w:rStyle w:val="Lienhypertexte"/>
            <w:noProof/>
          </w:rPr>
          <w:t>2.1.7</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rPr>
          <w:t>Packaging of the biocidal product</w:t>
        </w:r>
        <w:r w:rsidR="004A02EA">
          <w:rPr>
            <w:noProof/>
            <w:webHidden/>
          </w:rPr>
          <w:tab/>
        </w:r>
        <w:r w:rsidR="004A02EA">
          <w:rPr>
            <w:noProof/>
            <w:webHidden/>
          </w:rPr>
          <w:fldChar w:fldCharType="begin"/>
        </w:r>
        <w:r w:rsidR="004A02EA">
          <w:rPr>
            <w:noProof/>
            <w:webHidden/>
          </w:rPr>
          <w:instrText xml:space="preserve"> PAGEREF _Toc12967128 \h </w:instrText>
        </w:r>
        <w:r w:rsidR="004A02EA">
          <w:rPr>
            <w:noProof/>
            <w:webHidden/>
          </w:rPr>
        </w:r>
        <w:r w:rsidR="004A02EA">
          <w:rPr>
            <w:noProof/>
            <w:webHidden/>
          </w:rPr>
          <w:fldChar w:fldCharType="separate"/>
        </w:r>
        <w:r w:rsidR="00901C2F">
          <w:rPr>
            <w:noProof/>
            <w:webHidden/>
          </w:rPr>
          <w:t>14</w:t>
        </w:r>
        <w:r w:rsidR="004A02EA">
          <w:rPr>
            <w:noProof/>
            <w:webHidden/>
          </w:rPr>
          <w:fldChar w:fldCharType="end"/>
        </w:r>
      </w:hyperlink>
    </w:p>
    <w:p w14:paraId="27F77D95" w14:textId="4BD5E534"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29" w:history="1">
        <w:r w:rsidR="004A02EA" w:rsidRPr="00E924BB">
          <w:rPr>
            <w:rStyle w:val="Lienhypertexte"/>
            <w:noProof/>
          </w:rPr>
          <w:t>2.1.8</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rPr>
          <w:t>Documentation</w:t>
        </w:r>
        <w:r w:rsidR="004A02EA">
          <w:rPr>
            <w:noProof/>
            <w:webHidden/>
          </w:rPr>
          <w:tab/>
        </w:r>
        <w:r w:rsidR="004A02EA">
          <w:rPr>
            <w:noProof/>
            <w:webHidden/>
          </w:rPr>
          <w:fldChar w:fldCharType="begin"/>
        </w:r>
        <w:r w:rsidR="004A02EA">
          <w:rPr>
            <w:noProof/>
            <w:webHidden/>
          </w:rPr>
          <w:instrText xml:space="preserve"> PAGEREF _Toc12967129 \h </w:instrText>
        </w:r>
        <w:r w:rsidR="004A02EA">
          <w:rPr>
            <w:noProof/>
            <w:webHidden/>
          </w:rPr>
        </w:r>
        <w:r w:rsidR="004A02EA">
          <w:rPr>
            <w:noProof/>
            <w:webHidden/>
          </w:rPr>
          <w:fldChar w:fldCharType="separate"/>
        </w:r>
        <w:r w:rsidR="00901C2F">
          <w:rPr>
            <w:noProof/>
            <w:webHidden/>
          </w:rPr>
          <w:t>16</w:t>
        </w:r>
        <w:r w:rsidR="004A02EA">
          <w:rPr>
            <w:noProof/>
            <w:webHidden/>
          </w:rPr>
          <w:fldChar w:fldCharType="end"/>
        </w:r>
      </w:hyperlink>
    </w:p>
    <w:p w14:paraId="5C999338" w14:textId="54218029" w:rsidR="004A02EA" w:rsidRDefault="00C85279">
      <w:pPr>
        <w:pStyle w:val="TM4"/>
        <w:rPr>
          <w:rFonts w:asciiTheme="minorHAnsi" w:eastAsiaTheme="minorEastAsia" w:hAnsiTheme="minorHAnsi" w:cstheme="minorBidi"/>
          <w:noProof/>
          <w:sz w:val="22"/>
          <w:szCs w:val="22"/>
          <w:lang w:val="en-US" w:eastAsia="en-US"/>
        </w:rPr>
      </w:pPr>
      <w:hyperlink w:anchor="_Toc12967130" w:history="1">
        <w:r w:rsidR="004A02EA" w:rsidRPr="00E924BB">
          <w:rPr>
            <w:rStyle w:val="Lienhypertexte"/>
            <w:noProof/>
          </w:rPr>
          <w:t>2.1.8.1</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Data submitted in relation to product application</w:t>
        </w:r>
        <w:r w:rsidR="004A02EA">
          <w:rPr>
            <w:noProof/>
            <w:webHidden/>
          </w:rPr>
          <w:tab/>
        </w:r>
        <w:r w:rsidR="004A02EA">
          <w:rPr>
            <w:noProof/>
            <w:webHidden/>
          </w:rPr>
          <w:fldChar w:fldCharType="begin"/>
        </w:r>
        <w:r w:rsidR="004A02EA">
          <w:rPr>
            <w:noProof/>
            <w:webHidden/>
          </w:rPr>
          <w:instrText xml:space="preserve"> PAGEREF _Toc12967130 \h </w:instrText>
        </w:r>
        <w:r w:rsidR="004A02EA">
          <w:rPr>
            <w:noProof/>
            <w:webHidden/>
          </w:rPr>
        </w:r>
        <w:r w:rsidR="004A02EA">
          <w:rPr>
            <w:noProof/>
            <w:webHidden/>
          </w:rPr>
          <w:fldChar w:fldCharType="separate"/>
        </w:r>
        <w:r w:rsidR="00901C2F">
          <w:rPr>
            <w:noProof/>
            <w:webHidden/>
          </w:rPr>
          <w:t>16</w:t>
        </w:r>
        <w:r w:rsidR="004A02EA">
          <w:rPr>
            <w:noProof/>
            <w:webHidden/>
          </w:rPr>
          <w:fldChar w:fldCharType="end"/>
        </w:r>
      </w:hyperlink>
    </w:p>
    <w:p w14:paraId="0AB1C03C" w14:textId="1081B694" w:rsidR="004A02EA" w:rsidRDefault="00C85279">
      <w:pPr>
        <w:pStyle w:val="TM4"/>
        <w:rPr>
          <w:rFonts w:asciiTheme="minorHAnsi" w:eastAsiaTheme="minorEastAsia" w:hAnsiTheme="minorHAnsi" w:cstheme="minorBidi"/>
          <w:noProof/>
          <w:sz w:val="22"/>
          <w:szCs w:val="22"/>
          <w:lang w:val="en-US" w:eastAsia="en-US"/>
        </w:rPr>
      </w:pPr>
      <w:hyperlink w:anchor="_Toc12967131" w:history="1">
        <w:r w:rsidR="004A02EA" w:rsidRPr="00E924BB">
          <w:rPr>
            <w:rStyle w:val="Lienhypertexte"/>
            <w:noProof/>
          </w:rPr>
          <w:t>2.1.8.2</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Access to documentation</w:t>
        </w:r>
        <w:r w:rsidR="004A02EA">
          <w:rPr>
            <w:noProof/>
            <w:webHidden/>
          </w:rPr>
          <w:tab/>
        </w:r>
        <w:r w:rsidR="004A02EA">
          <w:rPr>
            <w:noProof/>
            <w:webHidden/>
          </w:rPr>
          <w:fldChar w:fldCharType="begin"/>
        </w:r>
        <w:r w:rsidR="004A02EA">
          <w:rPr>
            <w:noProof/>
            <w:webHidden/>
          </w:rPr>
          <w:instrText xml:space="preserve"> PAGEREF _Toc12967131 \h </w:instrText>
        </w:r>
        <w:r w:rsidR="004A02EA">
          <w:rPr>
            <w:noProof/>
            <w:webHidden/>
          </w:rPr>
        </w:r>
        <w:r w:rsidR="004A02EA">
          <w:rPr>
            <w:noProof/>
            <w:webHidden/>
          </w:rPr>
          <w:fldChar w:fldCharType="separate"/>
        </w:r>
        <w:r w:rsidR="00901C2F">
          <w:rPr>
            <w:noProof/>
            <w:webHidden/>
          </w:rPr>
          <w:t>16</w:t>
        </w:r>
        <w:r w:rsidR="004A02EA">
          <w:rPr>
            <w:noProof/>
            <w:webHidden/>
          </w:rPr>
          <w:fldChar w:fldCharType="end"/>
        </w:r>
      </w:hyperlink>
    </w:p>
    <w:p w14:paraId="60287F0F" w14:textId="28FE8C72" w:rsidR="004A02EA" w:rsidRDefault="00C85279">
      <w:pPr>
        <w:pStyle w:val="TM2"/>
        <w:tabs>
          <w:tab w:val="left" w:pos="800"/>
          <w:tab w:val="right" w:leader="dot" w:pos="9402"/>
        </w:tabs>
        <w:rPr>
          <w:rFonts w:asciiTheme="minorHAnsi" w:eastAsiaTheme="minorEastAsia" w:hAnsiTheme="minorHAnsi" w:cstheme="minorBidi"/>
          <w:caps w:val="0"/>
          <w:noProof/>
          <w:sz w:val="22"/>
          <w:szCs w:val="22"/>
          <w:lang w:val="en-US" w:eastAsia="en-US"/>
        </w:rPr>
      </w:pPr>
      <w:hyperlink w:anchor="_Toc12967132" w:history="1">
        <w:r w:rsidR="004A02EA" w:rsidRPr="00E924BB">
          <w:rPr>
            <w:rStyle w:val="Lienhypertexte"/>
            <w:noProof/>
          </w:rPr>
          <w:t>2.2</w:t>
        </w:r>
        <w:r w:rsidR="004A02EA">
          <w:rPr>
            <w:rFonts w:asciiTheme="minorHAnsi" w:eastAsiaTheme="minorEastAsia" w:hAnsiTheme="minorHAnsi" w:cstheme="minorBidi"/>
            <w:caps w:val="0"/>
            <w:noProof/>
            <w:sz w:val="22"/>
            <w:szCs w:val="22"/>
            <w:lang w:val="en-US" w:eastAsia="en-US"/>
          </w:rPr>
          <w:tab/>
        </w:r>
        <w:r w:rsidR="004A02EA" w:rsidRPr="00E924BB">
          <w:rPr>
            <w:rStyle w:val="Lienhypertexte"/>
            <w:noProof/>
          </w:rPr>
          <w:t>Assessment of the biocidal product</w:t>
        </w:r>
        <w:r w:rsidR="004A02EA">
          <w:rPr>
            <w:noProof/>
            <w:webHidden/>
          </w:rPr>
          <w:tab/>
        </w:r>
        <w:r w:rsidR="004A02EA">
          <w:rPr>
            <w:noProof/>
            <w:webHidden/>
          </w:rPr>
          <w:fldChar w:fldCharType="begin"/>
        </w:r>
        <w:r w:rsidR="004A02EA">
          <w:rPr>
            <w:noProof/>
            <w:webHidden/>
          </w:rPr>
          <w:instrText xml:space="preserve"> PAGEREF _Toc12967132 \h </w:instrText>
        </w:r>
        <w:r w:rsidR="004A02EA">
          <w:rPr>
            <w:noProof/>
            <w:webHidden/>
          </w:rPr>
        </w:r>
        <w:r w:rsidR="004A02EA">
          <w:rPr>
            <w:noProof/>
            <w:webHidden/>
          </w:rPr>
          <w:fldChar w:fldCharType="separate"/>
        </w:r>
        <w:r w:rsidR="00901C2F">
          <w:rPr>
            <w:noProof/>
            <w:webHidden/>
          </w:rPr>
          <w:t>17</w:t>
        </w:r>
        <w:r w:rsidR="004A02EA">
          <w:rPr>
            <w:noProof/>
            <w:webHidden/>
          </w:rPr>
          <w:fldChar w:fldCharType="end"/>
        </w:r>
      </w:hyperlink>
    </w:p>
    <w:p w14:paraId="0C9F444F" w14:textId="74471536"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33" w:history="1">
        <w:r w:rsidR="004A02EA" w:rsidRPr="00E924BB">
          <w:rPr>
            <w:rStyle w:val="Lienhypertexte"/>
            <w:noProof/>
            <w:lang w:eastAsia="en-US"/>
          </w:rPr>
          <w:t>2.2.1</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lang w:eastAsia="en-US"/>
          </w:rPr>
          <w:t>Intended use(s) as applied for by the applicant</w:t>
        </w:r>
        <w:r w:rsidR="004A02EA">
          <w:rPr>
            <w:noProof/>
            <w:webHidden/>
          </w:rPr>
          <w:tab/>
        </w:r>
        <w:r w:rsidR="004A02EA">
          <w:rPr>
            <w:noProof/>
            <w:webHidden/>
          </w:rPr>
          <w:fldChar w:fldCharType="begin"/>
        </w:r>
        <w:r w:rsidR="004A02EA">
          <w:rPr>
            <w:noProof/>
            <w:webHidden/>
          </w:rPr>
          <w:instrText xml:space="preserve"> PAGEREF _Toc12967133 \h </w:instrText>
        </w:r>
        <w:r w:rsidR="004A02EA">
          <w:rPr>
            <w:noProof/>
            <w:webHidden/>
          </w:rPr>
        </w:r>
        <w:r w:rsidR="004A02EA">
          <w:rPr>
            <w:noProof/>
            <w:webHidden/>
          </w:rPr>
          <w:fldChar w:fldCharType="separate"/>
        </w:r>
        <w:r w:rsidR="00901C2F">
          <w:rPr>
            <w:noProof/>
            <w:webHidden/>
          </w:rPr>
          <w:t>17</w:t>
        </w:r>
        <w:r w:rsidR="004A02EA">
          <w:rPr>
            <w:noProof/>
            <w:webHidden/>
          </w:rPr>
          <w:fldChar w:fldCharType="end"/>
        </w:r>
      </w:hyperlink>
    </w:p>
    <w:p w14:paraId="550C46B7" w14:textId="00AAAED7"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34" w:history="1">
        <w:r w:rsidR="004A02EA" w:rsidRPr="00E924BB">
          <w:rPr>
            <w:rStyle w:val="Lienhypertexte"/>
            <w:noProof/>
            <w:lang w:eastAsia="en-US"/>
          </w:rPr>
          <w:t>2.2.2</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lang w:eastAsia="en-US"/>
          </w:rPr>
          <w:t>Clarification on product composition and compositions tested</w:t>
        </w:r>
        <w:r w:rsidR="004A02EA">
          <w:rPr>
            <w:noProof/>
            <w:webHidden/>
          </w:rPr>
          <w:tab/>
        </w:r>
        <w:r w:rsidR="004A02EA">
          <w:rPr>
            <w:noProof/>
            <w:webHidden/>
          </w:rPr>
          <w:fldChar w:fldCharType="begin"/>
        </w:r>
        <w:r w:rsidR="004A02EA">
          <w:rPr>
            <w:noProof/>
            <w:webHidden/>
          </w:rPr>
          <w:instrText xml:space="preserve"> PAGEREF _Toc12967134 \h </w:instrText>
        </w:r>
        <w:r w:rsidR="004A02EA">
          <w:rPr>
            <w:noProof/>
            <w:webHidden/>
          </w:rPr>
        </w:r>
        <w:r w:rsidR="004A02EA">
          <w:rPr>
            <w:noProof/>
            <w:webHidden/>
          </w:rPr>
          <w:fldChar w:fldCharType="separate"/>
        </w:r>
        <w:r w:rsidR="00901C2F">
          <w:rPr>
            <w:noProof/>
            <w:webHidden/>
          </w:rPr>
          <w:t>18</w:t>
        </w:r>
        <w:r w:rsidR="004A02EA">
          <w:rPr>
            <w:noProof/>
            <w:webHidden/>
          </w:rPr>
          <w:fldChar w:fldCharType="end"/>
        </w:r>
      </w:hyperlink>
    </w:p>
    <w:p w14:paraId="5301C747" w14:textId="01533159"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35" w:history="1">
        <w:r w:rsidR="004A02EA" w:rsidRPr="00E924BB">
          <w:rPr>
            <w:rStyle w:val="Lienhypertexte"/>
            <w:noProof/>
            <w:lang w:eastAsia="en-US"/>
          </w:rPr>
          <w:t>2.2.3</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lang w:eastAsia="en-US"/>
          </w:rPr>
          <w:t>Physical, chemical and technical properties</w:t>
        </w:r>
        <w:r w:rsidR="004A02EA">
          <w:rPr>
            <w:noProof/>
            <w:webHidden/>
          </w:rPr>
          <w:tab/>
        </w:r>
        <w:r w:rsidR="004A02EA">
          <w:rPr>
            <w:noProof/>
            <w:webHidden/>
          </w:rPr>
          <w:fldChar w:fldCharType="begin"/>
        </w:r>
        <w:r w:rsidR="004A02EA">
          <w:rPr>
            <w:noProof/>
            <w:webHidden/>
          </w:rPr>
          <w:instrText xml:space="preserve"> PAGEREF _Toc12967135 \h </w:instrText>
        </w:r>
        <w:r w:rsidR="004A02EA">
          <w:rPr>
            <w:noProof/>
            <w:webHidden/>
          </w:rPr>
        </w:r>
        <w:r w:rsidR="004A02EA">
          <w:rPr>
            <w:noProof/>
            <w:webHidden/>
          </w:rPr>
          <w:fldChar w:fldCharType="separate"/>
        </w:r>
        <w:r w:rsidR="00901C2F">
          <w:rPr>
            <w:noProof/>
            <w:webHidden/>
          </w:rPr>
          <w:t>18</w:t>
        </w:r>
        <w:r w:rsidR="004A02EA">
          <w:rPr>
            <w:noProof/>
            <w:webHidden/>
          </w:rPr>
          <w:fldChar w:fldCharType="end"/>
        </w:r>
      </w:hyperlink>
    </w:p>
    <w:p w14:paraId="0646BEBF" w14:textId="543AD308"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36" w:history="1">
        <w:r w:rsidR="004A02EA" w:rsidRPr="00E924BB">
          <w:rPr>
            <w:rStyle w:val="Lienhypertexte"/>
            <w:noProof/>
            <w:lang w:eastAsia="en-US"/>
          </w:rPr>
          <w:t>2.2.4</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lang w:eastAsia="en-US"/>
          </w:rPr>
          <w:t>Physical hazards and respective characteristics</w:t>
        </w:r>
        <w:r w:rsidR="004A02EA">
          <w:rPr>
            <w:noProof/>
            <w:webHidden/>
          </w:rPr>
          <w:tab/>
        </w:r>
        <w:r w:rsidR="004A02EA">
          <w:rPr>
            <w:noProof/>
            <w:webHidden/>
          </w:rPr>
          <w:fldChar w:fldCharType="begin"/>
        </w:r>
        <w:r w:rsidR="004A02EA">
          <w:rPr>
            <w:noProof/>
            <w:webHidden/>
          </w:rPr>
          <w:instrText xml:space="preserve"> PAGEREF _Toc12967136 \h </w:instrText>
        </w:r>
        <w:r w:rsidR="004A02EA">
          <w:rPr>
            <w:noProof/>
            <w:webHidden/>
          </w:rPr>
        </w:r>
        <w:r w:rsidR="004A02EA">
          <w:rPr>
            <w:noProof/>
            <w:webHidden/>
          </w:rPr>
          <w:fldChar w:fldCharType="separate"/>
        </w:r>
        <w:r w:rsidR="00901C2F">
          <w:rPr>
            <w:noProof/>
            <w:webHidden/>
          </w:rPr>
          <w:t>25</w:t>
        </w:r>
        <w:r w:rsidR="004A02EA">
          <w:rPr>
            <w:noProof/>
            <w:webHidden/>
          </w:rPr>
          <w:fldChar w:fldCharType="end"/>
        </w:r>
      </w:hyperlink>
    </w:p>
    <w:p w14:paraId="63105198" w14:textId="052D1398"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37" w:history="1">
        <w:r w:rsidR="004A02EA" w:rsidRPr="00E924BB">
          <w:rPr>
            <w:rStyle w:val="Lienhypertexte"/>
            <w:noProof/>
          </w:rPr>
          <w:t>2.2.5</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rPr>
          <w:t>Methods for detection and identification</w:t>
        </w:r>
        <w:r w:rsidR="004A02EA">
          <w:rPr>
            <w:noProof/>
            <w:webHidden/>
          </w:rPr>
          <w:tab/>
        </w:r>
        <w:r w:rsidR="004A02EA">
          <w:rPr>
            <w:noProof/>
            <w:webHidden/>
          </w:rPr>
          <w:fldChar w:fldCharType="begin"/>
        </w:r>
        <w:r w:rsidR="004A02EA">
          <w:rPr>
            <w:noProof/>
            <w:webHidden/>
          </w:rPr>
          <w:instrText xml:space="preserve"> PAGEREF _Toc12967137 \h </w:instrText>
        </w:r>
        <w:r w:rsidR="004A02EA">
          <w:rPr>
            <w:noProof/>
            <w:webHidden/>
          </w:rPr>
        </w:r>
        <w:r w:rsidR="004A02EA">
          <w:rPr>
            <w:noProof/>
            <w:webHidden/>
          </w:rPr>
          <w:fldChar w:fldCharType="separate"/>
        </w:r>
        <w:r w:rsidR="00901C2F">
          <w:rPr>
            <w:noProof/>
            <w:webHidden/>
          </w:rPr>
          <w:t>28</w:t>
        </w:r>
        <w:r w:rsidR="004A02EA">
          <w:rPr>
            <w:noProof/>
            <w:webHidden/>
          </w:rPr>
          <w:fldChar w:fldCharType="end"/>
        </w:r>
      </w:hyperlink>
    </w:p>
    <w:p w14:paraId="04171481" w14:textId="3DD14F83"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38" w:history="1">
        <w:r w:rsidR="004A02EA" w:rsidRPr="00E924BB">
          <w:rPr>
            <w:rStyle w:val="Lienhypertexte"/>
            <w:noProof/>
            <w:lang w:eastAsia="en-US"/>
          </w:rPr>
          <w:t>2.2.6</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lang w:eastAsia="en-US"/>
          </w:rPr>
          <w:t>Efficacy against target organisms</w:t>
        </w:r>
        <w:r w:rsidR="004A02EA">
          <w:rPr>
            <w:noProof/>
            <w:webHidden/>
          </w:rPr>
          <w:tab/>
        </w:r>
        <w:r w:rsidR="004A02EA">
          <w:rPr>
            <w:noProof/>
            <w:webHidden/>
          </w:rPr>
          <w:fldChar w:fldCharType="begin"/>
        </w:r>
        <w:r w:rsidR="004A02EA">
          <w:rPr>
            <w:noProof/>
            <w:webHidden/>
          </w:rPr>
          <w:instrText xml:space="preserve"> PAGEREF _Toc12967138 \h </w:instrText>
        </w:r>
        <w:r w:rsidR="004A02EA">
          <w:rPr>
            <w:noProof/>
            <w:webHidden/>
          </w:rPr>
        </w:r>
        <w:r w:rsidR="004A02EA">
          <w:rPr>
            <w:noProof/>
            <w:webHidden/>
          </w:rPr>
          <w:fldChar w:fldCharType="separate"/>
        </w:r>
        <w:r w:rsidR="00901C2F">
          <w:rPr>
            <w:noProof/>
            <w:webHidden/>
          </w:rPr>
          <w:t>32</w:t>
        </w:r>
        <w:r w:rsidR="004A02EA">
          <w:rPr>
            <w:noProof/>
            <w:webHidden/>
          </w:rPr>
          <w:fldChar w:fldCharType="end"/>
        </w:r>
      </w:hyperlink>
    </w:p>
    <w:p w14:paraId="047A5C01" w14:textId="48605472" w:rsidR="004A02EA" w:rsidRDefault="00C85279">
      <w:pPr>
        <w:pStyle w:val="TM4"/>
        <w:rPr>
          <w:rFonts w:asciiTheme="minorHAnsi" w:eastAsiaTheme="minorEastAsia" w:hAnsiTheme="minorHAnsi" w:cstheme="minorBidi"/>
          <w:noProof/>
          <w:sz w:val="22"/>
          <w:szCs w:val="22"/>
          <w:lang w:val="en-US" w:eastAsia="en-US"/>
        </w:rPr>
      </w:pPr>
      <w:hyperlink w:anchor="_Toc12967139" w:history="1">
        <w:r w:rsidR="004A02EA" w:rsidRPr="00E924BB">
          <w:rPr>
            <w:rStyle w:val="Lienhypertexte"/>
            <w:noProof/>
          </w:rPr>
          <w:t>2.2.6.1</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Function and field of use</w:t>
        </w:r>
        <w:r w:rsidR="004A02EA">
          <w:rPr>
            <w:noProof/>
            <w:webHidden/>
          </w:rPr>
          <w:tab/>
        </w:r>
        <w:r w:rsidR="004A02EA">
          <w:rPr>
            <w:noProof/>
            <w:webHidden/>
          </w:rPr>
          <w:fldChar w:fldCharType="begin"/>
        </w:r>
        <w:r w:rsidR="004A02EA">
          <w:rPr>
            <w:noProof/>
            <w:webHidden/>
          </w:rPr>
          <w:instrText xml:space="preserve"> PAGEREF _Toc12967139 \h </w:instrText>
        </w:r>
        <w:r w:rsidR="004A02EA">
          <w:rPr>
            <w:noProof/>
            <w:webHidden/>
          </w:rPr>
        </w:r>
        <w:r w:rsidR="004A02EA">
          <w:rPr>
            <w:noProof/>
            <w:webHidden/>
          </w:rPr>
          <w:fldChar w:fldCharType="separate"/>
        </w:r>
        <w:r w:rsidR="00901C2F">
          <w:rPr>
            <w:noProof/>
            <w:webHidden/>
          </w:rPr>
          <w:t>32</w:t>
        </w:r>
        <w:r w:rsidR="004A02EA">
          <w:rPr>
            <w:noProof/>
            <w:webHidden/>
          </w:rPr>
          <w:fldChar w:fldCharType="end"/>
        </w:r>
      </w:hyperlink>
    </w:p>
    <w:p w14:paraId="65283C3F" w14:textId="03D15965" w:rsidR="004A02EA" w:rsidRDefault="00C85279">
      <w:pPr>
        <w:pStyle w:val="TM4"/>
        <w:rPr>
          <w:rFonts w:asciiTheme="minorHAnsi" w:eastAsiaTheme="minorEastAsia" w:hAnsiTheme="minorHAnsi" w:cstheme="minorBidi"/>
          <w:noProof/>
          <w:sz w:val="22"/>
          <w:szCs w:val="22"/>
          <w:lang w:val="en-US" w:eastAsia="en-US"/>
        </w:rPr>
      </w:pPr>
      <w:hyperlink w:anchor="_Toc12967140" w:history="1">
        <w:r w:rsidR="004A02EA" w:rsidRPr="00E924BB">
          <w:rPr>
            <w:rStyle w:val="Lienhypertexte"/>
            <w:noProof/>
          </w:rPr>
          <w:t>2.2.6.2</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Organisms to be controlled and products, organisms or objects to be protected</w:t>
        </w:r>
        <w:r w:rsidR="004A02EA">
          <w:rPr>
            <w:noProof/>
            <w:webHidden/>
          </w:rPr>
          <w:tab/>
        </w:r>
        <w:r w:rsidR="004A02EA">
          <w:rPr>
            <w:noProof/>
            <w:webHidden/>
          </w:rPr>
          <w:fldChar w:fldCharType="begin"/>
        </w:r>
        <w:r w:rsidR="004A02EA">
          <w:rPr>
            <w:noProof/>
            <w:webHidden/>
          </w:rPr>
          <w:instrText xml:space="preserve"> PAGEREF _Toc12967140 \h </w:instrText>
        </w:r>
        <w:r w:rsidR="004A02EA">
          <w:rPr>
            <w:noProof/>
            <w:webHidden/>
          </w:rPr>
        </w:r>
        <w:r w:rsidR="004A02EA">
          <w:rPr>
            <w:noProof/>
            <w:webHidden/>
          </w:rPr>
          <w:fldChar w:fldCharType="separate"/>
        </w:r>
        <w:r w:rsidR="00901C2F">
          <w:rPr>
            <w:noProof/>
            <w:webHidden/>
          </w:rPr>
          <w:t>32</w:t>
        </w:r>
        <w:r w:rsidR="004A02EA">
          <w:rPr>
            <w:noProof/>
            <w:webHidden/>
          </w:rPr>
          <w:fldChar w:fldCharType="end"/>
        </w:r>
      </w:hyperlink>
    </w:p>
    <w:p w14:paraId="539C2B55" w14:textId="0889BF02" w:rsidR="004A02EA" w:rsidRDefault="00C85279">
      <w:pPr>
        <w:pStyle w:val="TM4"/>
        <w:rPr>
          <w:rFonts w:asciiTheme="minorHAnsi" w:eastAsiaTheme="minorEastAsia" w:hAnsiTheme="minorHAnsi" w:cstheme="minorBidi"/>
          <w:noProof/>
          <w:sz w:val="22"/>
          <w:szCs w:val="22"/>
          <w:lang w:val="en-US" w:eastAsia="en-US"/>
        </w:rPr>
      </w:pPr>
      <w:hyperlink w:anchor="_Toc12967141" w:history="1">
        <w:r w:rsidR="004A02EA" w:rsidRPr="00E924BB">
          <w:rPr>
            <w:rStyle w:val="Lienhypertexte"/>
            <w:noProof/>
          </w:rPr>
          <w:t>2.2.6.3</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Effects on target organisms, including unacceptable suffering</w:t>
        </w:r>
        <w:r w:rsidR="004A02EA">
          <w:rPr>
            <w:noProof/>
            <w:webHidden/>
          </w:rPr>
          <w:tab/>
        </w:r>
        <w:r w:rsidR="004A02EA">
          <w:rPr>
            <w:noProof/>
            <w:webHidden/>
          </w:rPr>
          <w:fldChar w:fldCharType="begin"/>
        </w:r>
        <w:r w:rsidR="004A02EA">
          <w:rPr>
            <w:noProof/>
            <w:webHidden/>
          </w:rPr>
          <w:instrText xml:space="preserve"> PAGEREF _Toc12967141 \h </w:instrText>
        </w:r>
        <w:r w:rsidR="004A02EA">
          <w:rPr>
            <w:noProof/>
            <w:webHidden/>
          </w:rPr>
        </w:r>
        <w:r w:rsidR="004A02EA">
          <w:rPr>
            <w:noProof/>
            <w:webHidden/>
          </w:rPr>
          <w:fldChar w:fldCharType="separate"/>
        </w:r>
        <w:r w:rsidR="00901C2F">
          <w:rPr>
            <w:noProof/>
            <w:webHidden/>
          </w:rPr>
          <w:t>32</w:t>
        </w:r>
        <w:r w:rsidR="004A02EA">
          <w:rPr>
            <w:noProof/>
            <w:webHidden/>
          </w:rPr>
          <w:fldChar w:fldCharType="end"/>
        </w:r>
      </w:hyperlink>
    </w:p>
    <w:p w14:paraId="29372BAE" w14:textId="43061E6D" w:rsidR="004A02EA" w:rsidRDefault="00C85279">
      <w:pPr>
        <w:pStyle w:val="TM4"/>
        <w:rPr>
          <w:rFonts w:asciiTheme="minorHAnsi" w:eastAsiaTheme="minorEastAsia" w:hAnsiTheme="minorHAnsi" w:cstheme="minorBidi"/>
          <w:noProof/>
          <w:sz w:val="22"/>
          <w:szCs w:val="22"/>
          <w:lang w:val="en-US" w:eastAsia="en-US"/>
        </w:rPr>
      </w:pPr>
      <w:hyperlink w:anchor="_Toc12967142" w:history="1">
        <w:r w:rsidR="004A02EA" w:rsidRPr="00E924BB">
          <w:rPr>
            <w:rStyle w:val="Lienhypertexte"/>
            <w:noProof/>
          </w:rPr>
          <w:t>2.2.6.4</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Mode of action, including time delay</w:t>
        </w:r>
        <w:r w:rsidR="004A02EA">
          <w:rPr>
            <w:noProof/>
            <w:webHidden/>
          </w:rPr>
          <w:tab/>
        </w:r>
        <w:r w:rsidR="004A02EA">
          <w:rPr>
            <w:noProof/>
            <w:webHidden/>
          </w:rPr>
          <w:fldChar w:fldCharType="begin"/>
        </w:r>
        <w:r w:rsidR="004A02EA">
          <w:rPr>
            <w:noProof/>
            <w:webHidden/>
          </w:rPr>
          <w:instrText xml:space="preserve"> PAGEREF _Toc12967142 \h </w:instrText>
        </w:r>
        <w:r w:rsidR="004A02EA">
          <w:rPr>
            <w:noProof/>
            <w:webHidden/>
          </w:rPr>
        </w:r>
        <w:r w:rsidR="004A02EA">
          <w:rPr>
            <w:noProof/>
            <w:webHidden/>
          </w:rPr>
          <w:fldChar w:fldCharType="separate"/>
        </w:r>
        <w:r w:rsidR="00901C2F">
          <w:rPr>
            <w:noProof/>
            <w:webHidden/>
          </w:rPr>
          <w:t>32</w:t>
        </w:r>
        <w:r w:rsidR="004A02EA">
          <w:rPr>
            <w:noProof/>
            <w:webHidden/>
          </w:rPr>
          <w:fldChar w:fldCharType="end"/>
        </w:r>
      </w:hyperlink>
    </w:p>
    <w:p w14:paraId="449376D8" w14:textId="4FB67A95" w:rsidR="004A02EA" w:rsidRDefault="00C85279">
      <w:pPr>
        <w:pStyle w:val="TM4"/>
        <w:rPr>
          <w:rFonts w:asciiTheme="minorHAnsi" w:eastAsiaTheme="minorEastAsia" w:hAnsiTheme="minorHAnsi" w:cstheme="minorBidi"/>
          <w:noProof/>
          <w:sz w:val="22"/>
          <w:szCs w:val="22"/>
          <w:lang w:val="en-US" w:eastAsia="en-US"/>
        </w:rPr>
      </w:pPr>
      <w:hyperlink w:anchor="_Toc12967143" w:history="1">
        <w:r w:rsidR="004A02EA" w:rsidRPr="00E924BB">
          <w:rPr>
            <w:rStyle w:val="Lienhypertexte"/>
            <w:noProof/>
          </w:rPr>
          <w:t>2.2.6.5</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Efficacy data</w:t>
        </w:r>
        <w:r w:rsidR="004A02EA">
          <w:rPr>
            <w:noProof/>
            <w:webHidden/>
          </w:rPr>
          <w:tab/>
        </w:r>
        <w:r w:rsidR="004A02EA">
          <w:rPr>
            <w:noProof/>
            <w:webHidden/>
          </w:rPr>
          <w:fldChar w:fldCharType="begin"/>
        </w:r>
        <w:r w:rsidR="004A02EA">
          <w:rPr>
            <w:noProof/>
            <w:webHidden/>
          </w:rPr>
          <w:instrText xml:space="preserve"> PAGEREF _Toc12967143 \h </w:instrText>
        </w:r>
        <w:r w:rsidR="004A02EA">
          <w:rPr>
            <w:noProof/>
            <w:webHidden/>
          </w:rPr>
        </w:r>
        <w:r w:rsidR="004A02EA">
          <w:rPr>
            <w:noProof/>
            <w:webHidden/>
          </w:rPr>
          <w:fldChar w:fldCharType="separate"/>
        </w:r>
        <w:r w:rsidR="00901C2F">
          <w:rPr>
            <w:noProof/>
            <w:webHidden/>
          </w:rPr>
          <w:t>33</w:t>
        </w:r>
        <w:r w:rsidR="004A02EA">
          <w:rPr>
            <w:noProof/>
            <w:webHidden/>
          </w:rPr>
          <w:fldChar w:fldCharType="end"/>
        </w:r>
      </w:hyperlink>
    </w:p>
    <w:p w14:paraId="684324FE" w14:textId="05F90802" w:rsidR="004A02EA" w:rsidRDefault="00C85279">
      <w:pPr>
        <w:pStyle w:val="TM4"/>
        <w:rPr>
          <w:rFonts w:asciiTheme="minorHAnsi" w:eastAsiaTheme="minorEastAsia" w:hAnsiTheme="minorHAnsi" w:cstheme="minorBidi"/>
          <w:noProof/>
          <w:sz w:val="22"/>
          <w:szCs w:val="22"/>
          <w:lang w:val="en-US" w:eastAsia="en-US"/>
        </w:rPr>
      </w:pPr>
      <w:hyperlink w:anchor="_Toc12967144" w:history="1">
        <w:r w:rsidR="004A02EA" w:rsidRPr="00E924BB">
          <w:rPr>
            <w:rStyle w:val="Lienhypertexte"/>
            <w:noProof/>
          </w:rPr>
          <w:t>2.2.6.6</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Occurrence of resistance and resistance management</w:t>
        </w:r>
        <w:r w:rsidR="004A02EA">
          <w:rPr>
            <w:noProof/>
            <w:webHidden/>
          </w:rPr>
          <w:tab/>
        </w:r>
        <w:r w:rsidR="004A02EA">
          <w:rPr>
            <w:noProof/>
            <w:webHidden/>
          </w:rPr>
          <w:fldChar w:fldCharType="begin"/>
        </w:r>
        <w:r w:rsidR="004A02EA">
          <w:rPr>
            <w:noProof/>
            <w:webHidden/>
          </w:rPr>
          <w:instrText xml:space="preserve"> PAGEREF _Toc12967144 \h </w:instrText>
        </w:r>
        <w:r w:rsidR="004A02EA">
          <w:rPr>
            <w:noProof/>
            <w:webHidden/>
          </w:rPr>
        </w:r>
        <w:r w:rsidR="004A02EA">
          <w:rPr>
            <w:noProof/>
            <w:webHidden/>
          </w:rPr>
          <w:fldChar w:fldCharType="separate"/>
        </w:r>
        <w:r w:rsidR="00901C2F">
          <w:rPr>
            <w:noProof/>
            <w:webHidden/>
          </w:rPr>
          <w:t>43</w:t>
        </w:r>
        <w:r w:rsidR="004A02EA">
          <w:rPr>
            <w:noProof/>
            <w:webHidden/>
          </w:rPr>
          <w:fldChar w:fldCharType="end"/>
        </w:r>
      </w:hyperlink>
    </w:p>
    <w:p w14:paraId="72EF0D05" w14:textId="60B59F21" w:rsidR="004A02EA" w:rsidRDefault="00C85279">
      <w:pPr>
        <w:pStyle w:val="TM4"/>
        <w:rPr>
          <w:rFonts w:asciiTheme="minorHAnsi" w:eastAsiaTheme="minorEastAsia" w:hAnsiTheme="minorHAnsi" w:cstheme="minorBidi"/>
          <w:noProof/>
          <w:sz w:val="22"/>
          <w:szCs w:val="22"/>
          <w:lang w:val="en-US" w:eastAsia="en-US"/>
        </w:rPr>
      </w:pPr>
      <w:hyperlink w:anchor="_Toc12967145" w:history="1">
        <w:r w:rsidR="004A02EA" w:rsidRPr="00E924BB">
          <w:rPr>
            <w:rStyle w:val="Lienhypertexte"/>
            <w:noProof/>
          </w:rPr>
          <w:t>2.2.6.7</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Known limitations</w:t>
        </w:r>
        <w:r w:rsidR="004A02EA">
          <w:rPr>
            <w:noProof/>
            <w:webHidden/>
          </w:rPr>
          <w:tab/>
        </w:r>
        <w:r w:rsidR="004A02EA">
          <w:rPr>
            <w:noProof/>
            <w:webHidden/>
          </w:rPr>
          <w:fldChar w:fldCharType="begin"/>
        </w:r>
        <w:r w:rsidR="004A02EA">
          <w:rPr>
            <w:noProof/>
            <w:webHidden/>
          </w:rPr>
          <w:instrText xml:space="preserve"> PAGEREF _Toc12967145 \h </w:instrText>
        </w:r>
        <w:r w:rsidR="004A02EA">
          <w:rPr>
            <w:noProof/>
            <w:webHidden/>
          </w:rPr>
        </w:r>
        <w:r w:rsidR="004A02EA">
          <w:rPr>
            <w:noProof/>
            <w:webHidden/>
          </w:rPr>
          <w:fldChar w:fldCharType="separate"/>
        </w:r>
        <w:r w:rsidR="00901C2F">
          <w:rPr>
            <w:noProof/>
            <w:webHidden/>
          </w:rPr>
          <w:t>43</w:t>
        </w:r>
        <w:r w:rsidR="004A02EA">
          <w:rPr>
            <w:noProof/>
            <w:webHidden/>
          </w:rPr>
          <w:fldChar w:fldCharType="end"/>
        </w:r>
      </w:hyperlink>
    </w:p>
    <w:p w14:paraId="57D37678" w14:textId="3D7F8D22" w:rsidR="004A02EA" w:rsidRDefault="00C85279">
      <w:pPr>
        <w:pStyle w:val="TM4"/>
        <w:rPr>
          <w:rFonts w:asciiTheme="minorHAnsi" w:eastAsiaTheme="minorEastAsia" w:hAnsiTheme="minorHAnsi" w:cstheme="minorBidi"/>
          <w:noProof/>
          <w:sz w:val="22"/>
          <w:szCs w:val="22"/>
          <w:lang w:val="en-US" w:eastAsia="en-US"/>
        </w:rPr>
      </w:pPr>
      <w:hyperlink w:anchor="_Toc12967146" w:history="1">
        <w:r w:rsidR="004A02EA" w:rsidRPr="00E924BB">
          <w:rPr>
            <w:rStyle w:val="Lienhypertexte"/>
            <w:noProof/>
          </w:rPr>
          <w:t>2.2.6.8</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Evaluation of the label claims</w:t>
        </w:r>
        <w:r w:rsidR="004A02EA">
          <w:rPr>
            <w:noProof/>
            <w:webHidden/>
          </w:rPr>
          <w:tab/>
        </w:r>
        <w:r w:rsidR="004A02EA">
          <w:rPr>
            <w:noProof/>
            <w:webHidden/>
          </w:rPr>
          <w:fldChar w:fldCharType="begin"/>
        </w:r>
        <w:r w:rsidR="004A02EA">
          <w:rPr>
            <w:noProof/>
            <w:webHidden/>
          </w:rPr>
          <w:instrText xml:space="preserve"> PAGEREF _Toc12967146 \h </w:instrText>
        </w:r>
        <w:r w:rsidR="004A02EA">
          <w:rPr>
            <w:noProof/>
            <w:webHidden/>
          </w:rPr>
        </w:r>
        <w:r w:rsidR="004A02EA">
          <w:rPr>
            <w:noProof/>
            <w:webHidden/>
          </w:rPr>
          <w:fldChar w:fldCharType="separate"/>
        </w:r>
        <w:r w:rsidR="00901C2F">
          <w:rPr>
            <w:noProof/>
            <w:webHidden/>
          </w:rPr>
          <w:t>43</w:t>
        </w:r>
        <w:r w:rsidR="004A02EA">
          <w:rPr>
            <w:noProof/>
            <w:webHidden/>
          </w:rPr>
          <w:fldChar w:fldCharType="end"/>
        </w:r>
      </w:hyperlink>
    </w:p>
    <w:p w14:paraId="6674CAF5" w14:textId="407C1737" w:rsidR="004A02EA" w:rsidRDefault="00C85279">
      <w:pPr>
        <w:pStyle w:val="TM4"/>
        <w:rPr>
          <w:rFonts w:asciiTheme="minorHAnsi" w:eastAsiaTheme="minorEastAsia" w:hAnsiTheme="minorHAnsi" w:cstheme="minorBidi"/>
          <w:noProof/>
          <w:sz w:val="22"/>
          <w:szCs w:val="22"/>
          <w:lang w:val="en-US" w:eastAsia="en-US"/>
        </w:rPr>
      </w:pPr>
      <w:hyperlink w:anchor="_Toc12967147" w:history="1">
        <w:r w:rsidR="004A02EA" w:rsidRPr="00E924BB">
          <w:rPr>
            <w:rStyle w:val="Lienhypertexte"/>
            <w:noProof/>
          </w:rPr>
          <w:t>2.2.6.9</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Relevant information if the product is intended to be authorised for use with other biocidal product(s)</w:t>
        </w:r>
        <w:r w:rsidR="004A02EA">
          <w:rPr>
            <w:noProof/>
            <w:webHidden/>
          </w:rPr>
          <w:tab/>
        </w:r>
        <w:r w:rsidR="004A02EA">
          <w:rPr>
            <w:noProof/>
            <w:webHidden/>
          </w:rPr>
          <w:fldChar w:fldCharType="begin"/>
        </w:r>
        <w:r w:rsidR="004A02EA">
          <w:rPr>
            <w:noProof/>
            <w:webHidden/>
          </w:rPr>
          <w:instrText xml:space="preserve"> PAGEREF _Toc12967147 \h </w:instrText>
        </w:r>
        <w:r w:rsidR="004A02EA">
          <w:rPr>
            <w:noProof/>
            <w:webHidden/>
          </w:rPr>
        </w:r>
        <w:r w:rsidR="004A02EA">
          <w:rPr>
            <w:noProof/>
            <w:webHidden/>
          </w:rPr>
          <w:fldChar w:fldCharType="separate"/>
        </w:r>
        <w:r w:rsidR="00901C2F">
          <w:rPr>
            <w:noProof/>
            <w:webHidden/>
          </w:rPr>
          <w:t>43</w:t>
        </w:r>
        <w:r w:rsidR="004A02EA">
          <w:rPr>
            <w:noProof/>
            <w:webHidden/>
          </w:rPr>
          <w:fldChar w:fldCharType="end"/>
        </w:r>
      </w:hyperlink>
    </w:p>
    <w:p w14:paraId="299B1264" w14:textId="7C01A470"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48" w:history="1">
        <w:r w:rsidR="004A02EA" w:rsidRPr="00E924BB">
          <w:rPr>
            <w:rStyle w:val="Lienhypertexte"/>
            <w:noProof/>
          </w:rPr>
          <w:t>2.2.7</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rPr>
          <w:t>Risk assessment for human health</w:t>
        </w:r>
        <w:r w:rsidR="004A02EA">
          <w:rPr>
            <w:noProof/>
            <w:webHidden/>
          </w:rPr>
          <w:tab/>
        </w:r>
        <w:r w:rsidR="004A02EA">
          <w:rPr>
            <w:noProof/>
            <w:webHidden/>
          </w:rPr>
          <w:fldChar w:fldCharType="begin"/>
        </w:r>
        <w:r w:rsidR="004A02EA">
          <w:rPr>
            <w:noProof/>
            <w:webHidden/>
          </w:rPr>
          <w:instrText xml:space="preserve"> PAGEREF _Toc12967148 \h </w:instrText>
        </w:r>
        <w:r w:rsidR="004A02EA">
          <w:rPr>
            <w:noProof/>
            <w:webHidden/>
          </w:rPr>
        </w:r>
        <w:r w:rsidR="004A02EA">
          <w:rPr>
            <w:noProof/>
            <w:webHidden/>
          </w:rPr>
          <w:fldChar w:fldCharType="separate"/>
        </w:r>
        <w:r w:rsidR="00901C2F">
          <w:rPr>
            <w:noProof/>
            <w:webHidden/>
          </w:rPr>
          <w:t>44</w:t>
        </w:r>
        <w:r w:rsidR="004A02EA">
          <w:rPr>
            <w:noProof/>
            <w:webHidden/>
          </w:rPr>
          <w:fldChar w:fldCharType="end"/>
        </w:r>
      </w:hyperlink>
    </w:p>
    <w:p w14:paraId="3D1D43B2" w14:textId="50A3E1D9" w:rsidR="004A02EA" w:rsidRDefault="00C85279">
      <w:pPr>
        <w:pStyle w:val="TM4"/>
        <w:rPr>
          <w:rFonts w:asciiTheme="minorHAnsi" w:eastAsiaTheme="minorEastAsia" w:hAnsiTheme="minorHAnsi" w:cstheme="minorBidi"/>
          <w:noProof/>
          <w:sz w:val="22"/>
          <w:szCs w:val="22"/>
          <w:lang w:val="en-US" w:eastAsia="en-US"/>
        </w:rPr>
      </w:pPr>
      <w:hyperlink w:anchor="_Toc12967149" w:history="1">
        <w:r w:rsidR="004A02EA" w:rsidRPr="00E924BB">
          <w:rPr>
            <w:rStyle w:val="Lienhypertexte"/>
            <w:noProof/>
          </w:rPr>
          <w:t>2.2.7.1</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Assessment of effects on Human Health</w:t>
        </w:r>
        <w:r w:rsidR="004A02EA">
          <w:rPr>
            <w:noProof/>
            <w:webHidden/>
          </w:rPr>
          <w:tab/>
        </w:r>
        <w:r w:rsidR="004A02EA">
          <w:rPr>
            <w:noProof/>
            <w:webHidden/>
          </w:rPr>
          <w:fldChar w:fldCharType="begin"/>
        </w:r>
        <w:r w:rsidR="004A02EA">
          <w:rPr>
            <w:noProof/>
            <w:webHidden/>
          </w:rPr>
          <w:instrText xml:space="preserve"> PAGEREF _Toc12967149 \h </w:instrText>
        </w:r>
        <w:r w:rsidR="004A02EA">
          <w:rPr>
            <w:noProof/>
            <w:webHidden/>
          </w:rPr>
        </w:r>
        <w:r w:rsidR="004A02EA">
          <w:rPr>
            <w:noProof/>
            <w:webHidden/>
          </w:rPr>
          <w:fldChar w:fldCharType="separate"/>
        </w:r>
        <w:r w:rsidR="00901C2F">
          <w:rPr>
            <w:noProof/>
            <w:webHidden/>
          </w:rPr>
          <w:t>44</w:t>
        </w:r>
        <w:r w:rsidR="004A02EA">
          <w:rPr>
            <w:noProof/>
            <w:webHidden/>
          </w:rPr>
          <w:fldChar w:fldCharType="end"/>
        </w:r>
      </w:hyperlink>
    </w:p>
    <w:p w14:paraId="26BAD470" w14:textId="66B9E07C"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50" w:history="1">
        <w:r w:rsidR="004A02EA" w:rsidRPr="00E924BB">
          <w:rPr>
            <w:rStyle w:val="Lienhypertexte"/>
            <w:noProof/>
          </w:rPr>
          <w:t>(I)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Skin corrosion and irritation</w:t>
        </w:r>
        <w:r w:rsidR="004A02EA">
          <w:rPr>
            <w:noProof/>
            <w:webHidden/>
          </w:rPr>
          <w:tab/>
        </w:r>
        <w:r w:rsidR="004A02EA">
          <w:rPr>
            <w:noProof/>
            <w:webHidden/>
          </w:rPr>
          <w:fldChar w:fldCharType="begin"/>
        </w:r>
        <w:r w:rsidR="004A02EA">
          <w:rPr>
            <w:noProof/>
            <w:webHidden/>
          </w:rPr>
          <w:instrText xml:space="preserve"> PAGEREF _Toc12967150 \h </w:instrText>
        </w:r>
        <w:r w:rsidR="004A02EA">
          <w:rPr>
            <w:noProof/>
            <w:webHidden/>
          </w:rPr>
        </w:r>
        <w:r w:rsidR="004A02EA">
          <w:rPr>
            <w:noProof/>
            <w:webHidden/>
          </w:rPr>
          <w:fldChar w:fldCharType="separate"/>
        </w:r>
        <w:r w:rsidR="00901C2F">
          <w:rPr>
            <w:noProof/>
            <w:webHidden/>
          </w:rPr>
          <w:t>44</w:t>
        </w:r>
        <w:r w:rsidR="004A02EA">
          <w:rPr>
            <w:noProof/>
            <w:webHidden/>
          </w:rPr>
          <w:fldChar w:fldCharType="end"/>
        </w:r>
      </w:hyperlink>
    </w:p>
    <w:p w14:paraId="68749F2E" w14:textId="273DD297"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51" w:history="1">
        <w:r w:rsidR="004A02EA" w:rsidRPr="00E924BB">
          <w:rPr>
            <w:rStyle w:val="Lienhypertexte"/>
            <w:noProof/>
          </w:rPr>
          <w:t>(II)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Eye Irritation</w:t>
        </w:r>
        <w:r w:rsidR="004A02EA">
          <w:rPr>
            <w:noProof/>
            <w:webHidden/>
          </w:rPr>
          <w:tab/>
        </w:r>
        <w:r w:rsidR="004A02EA">
          <w:rPr>
            <w:noProof/>
            <w:webHidden/>
          </w:rPr>
          <w:fldChar w:fldCharType="begin"/>
        </w:r>
        <w:r w:rsidR="004A02EA">
          <w:rPr>
            <w:noProof/>
            <w:webHidden/>
          </w:rPr>
          <w:instrText xml:space="preserve"> PAGEREF _Toc12967151 \h </w:instrText>
        </w:r>
        <w:r w:rsidR="004A02EA">
          <w:rPr>
            <w:noProof/>
            <w:webHidden/>
          </w:rPr>
        </w:r>
        <w:r w:rsidR="004A02EA">
          <w:rPr>
            <w:noProof/>
            <w:webHidden/>
          </w:rPr>
          <w:fldChar w:fldCharType="separate"/>
        </w:r>
        <w:r w:rsidR="00901C2F">
          <w:rPr>
            <w:noProof/>
            <w:webHidden/>
          </w:rPr>
          <w:t>46</w:t>
        </w:r>
        <w:r w:rsidR="004A02EA">
          <w:rPr>
            <w:noProof/>
            <w:webHidden/>
          </w:rPr>
          <w:fldChar w:fldCharType="end"/>
        </w:r>
      </w:hyperlink>
    </w:p>
    <w:p w14:paraId="5D0BA763" w14:textId="580C0843"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52" w:history="1">
        <w:r w:rsidR="004A02EA" w:rsidRPr="00E924BB">
          <w:rPr>
            <w:rStyle w:val="Lienhypertexte"/>
            <w:noProof/>
          </w:rPr>
          <w:t>(III)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Respiratory tract irritation</w:t>
        </w:r>
        <w:r w:rsidR="004A02EA">
          <w:rPr>
            <w:noProof/>
            <w:webHidden/>
          </w:rPr>
          <w:tab/>
        </w:r>
        <w:r w:rsidR="004A02EA">
          <w:rPr>
            <w:noProof/>
            <w:webHidden/>
          </w:rPr>
          <w:fldChar w:fldCharType="begin"/>
        </w:r>
        <w:r w:rsidR="004A02EA">
          <w:rPr>
            <w:noProof/>
            <w:webHidden/>
          </w:rPr>
          <w:instrText xml:space="preserve"> PAGEREF _Toc12967152 \h </w:instrText>
        </w:r>
        <w:r w:rsidR="004A02EA">
          <w:rPr>
            <w:noProof/>
            <w:webHidden/>
          </w:rPr>
        </w:r>
        <w:r w:rsidR="004A02EA">
          <w:rPr>
            <w:noProof/>
            <w:webHidden/>
          </w:rPr>
          <w:fldChar w:fldCharType="separate"/>
        </w:r>
        <w:r w:rsidR="00901C2F">
          <w:rPr>
            <w:noProof/>
            <w:webHidden/>
          </w:rPr>
          <w:t>49</w:t>
        </w:r>
        <w:r w:rsidR="004A02EA">
          <w:rPr>
            <w:noProof/>
            <w:webHidden/>
          </w:rPr>
          <w:fldChar w:fldCharType="end"/>
        </w:r>
      </w:hyperlink>
    </w:p>
    <w:p w14:paraId="23216E96" w14:textId="58177E86"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53" w:history="1">
        <w:r w:rsidR="004A02EA" w:rsidRPr="00E924BB">
          <w:rPr>
            <w:rStyle w:val="Lienhypertexte"/>
            <w:noProof/>
          </w:rPr>
          <w:t>(IV)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Skin sensitization</w:t>
        </w:r>
        <w:r w:rsidR="004A02EA">
          <w:rPr>
            <w:noProof/>
            <w:webHidden/>
          </w:rPr>
          <w:tab/>
        </w:r>
        <w:r w:rsidR="004A02EA">
          <w:rPr>
            <w:noProof/>
            <w:webHidden/>
          </w:rPr>
          <w:fldChar w:fldCharType="begin"/>
        </w:r>
        <w:r w:rsidR="004A02EA">
          <w:rPr>
            <w:noProof/>
            <w:webHidden/>
          </w:rPr>
          <w:instrText xml:space="preserve"> PAGEREF _Toc12967153 \h </w:instrText>
        </w:r>
        <w:r w:rsidR="004A02EA">
          <w:rPr>
            <w:noProof/>
            <w:webHidden/>
          </w:rPr>
        </w:r>
        <w:r w:rsidR="004A02EA">
          <w:rPr>
            <w:noProof/>
            <w:webHidden/>
          </w:rPr>
          <w:fldChar w:fldCharType="separate"/>
        </w:r>
        <w:r w:rsidR="00901C2F">
          <w:rPr>
            <w:noProof/>
            <w:webHidden/>
          </w:rPr>
          <w:t>50</w:t>
        </w:r>
        <w:r w:rsidR="004A02EA">
          <w:rPr>
            <w:noProof/>
            <w:webHidden/>
          </w:rPr>
          <w:fldChar w:fldCharType="end"/>
        </w:r>
      </w:hyperlink>
    </w:p>
    <w:p w14:paraId="549C405D" w14:textId="5D61C9CE"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54" w:history="1">
        <w:r w:rsidR="004A02EA" w:rsidRPr="00E924BB">
          <w:rPr>
            <w:rStyle w:val="Lienhypertexte"/>
            <w:noProof/>
          </w:rPr>
          <w:t>(V)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Respiratory sensitization (ADS)</w:t>
        </w:r>
        <w:r w:rsidR="004A02EA">
          <w:rPr>
            <w:noProof/>
            <w:webHidden/>
          </w:rPr>
          <w:tab/>
        </w:r>
        <w:r w:rsidR="004A02EA">
          <w:rPr>
            <w:noProof/>
            <w:webHidden/>
          </w:rPr>
          <w:fldChar w:fldCharType="begin"/>
        </w:r>
        <w:r w:rsidR="004A02EA">
          <w:rPr>
            <w:noProof/>
            <w:webHidden/>
          </w:rPr>
          <w:instrText xml:space="preserve"> PAGEREF _Toc12967154 \h </w:instrText>
        </w:r>
        <w:r w:rsidR="004A02EA">
          <w:rPr>
            <w:noProof/>
            <w:webHidden/>
          </w:rPr>
        </w:r>
        <w:r w:rsidR="004A02EA">
          <w:rPr>
            <w:noProof/>
            <w:webHidden/>
          </w:rPr>
          <w:fldChar w:fldCharType="separate"/>
        </w:r>
        <w:r w:rsidR="00901C2F">
          <w:rPr>
            <w:noProof/>
            <w:webHidden/>
          </w:rPr>
          <w:t>51</w:t>
        </w:r>
        <w:r w:rsidR="004A02EA">
          <w:rPr>
            <w:noProof/>
            <w:webHidden/>
          </w:rPr>
          <w:fldChar w:fldCharType="end"/>
        </w:r>
      </w:hyperlink>
    </w:p>
    <w:p w14:paraId="095E21C1" w14:textId="763E9112"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55" w:history="1">
        <w:r w:rsidR="004A02EA" w:rsidRPr="00E924BB">
          <w:rPr>
            <w:rStyle w:val="Lienhypertexte"/>
            <w:noProof/>
          </w:rPr>
          <w:t>(VI)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Acute toxicity</w:t>
        </w:r>
        <w:r w:rsidR="004A02EA">
          <w:rPr>
            <w:noProof/>
            <w:webHidden/>
          </w:rPr>
          <w:tab/>
        </w:r>
        <w:r w:rsidR="004A02EA">
          <w:rPr>
            <w:noProof/>
            <w:webHidden/>
          </w:rPr>
          <w:fldChar w:fldCharType="begin"/>
        </w:r>
        <w:r w:rsidR="004A02EA">
          <w:rPr>
            <w:noProof/>
            <w:webHidden/>
          </w:rPr>
          <w:instrText xml:space="preserve"> PAGEREF _Toc12967155 \h </w:instrText>
        </w:r>
        <w:r w:rsidR="004A02EA">
          <w:rPr>
            <w:noProof/>
            <w:webHidden/>
          </w:rPr>
        </w:r>
        <w:r w:rsidR="004A02EA">
          <w:rPr>
            <w:noProof/>
            <w:webHidden/>
          </w:rPr>
          <w:fldChar w:fldCharType="separate"/>
        </w:r>
        <w:r w:rsidR="00901C2F">
          <w:rPr>
            <w:noProof/>
            <w:webHidden/>
          </w:rPr>
          <w:t>52</w:t>
        </w:r>
        <w:r w:rsidR="004A02EA">
          <w:rPr>
            <w:noProof/>
            <w:webHidden/>
          </w:rPr>
          <w:fldChar w:fldCharType="end"/>
        </w:r>
      </w:hyperlink>
    </w:p>
    <w:p w14:paraId="7B41A727" w14:textId="7A19FD7E"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56" w:history="1">
        <w:r w:rsidR="004A02EA" w:rsidRPr="00E924BB">
          <w:rPr>
            <w:rStyle w:val="Lienhypertexte"/>
            <w:noProof/>
          </w:rPr>
          <w:t>(VII)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Information on dermal absorption</w:t>
        </w:r>
        <w:r w:rsidR="004A02EA">
          <w:rPr>
            <w:noProof/>
            <w:webHidden/>
          </w:rPr>
          <w:tab/>
        </w:r>
        <w:r w:rsidR="004A02EA">
          <w:rPr>
            <w:noProof/>
            <w:webHidden/>
          </w:rPr>
          <w:fldChar w:fldCharType="begin"/>
        </w:r>
        <w:r w:rsidR="004A02EA">
          <w:rPr>
            <w:noProof/>
            <w:webHidden/>
          </w:rPr>
          <w:instrText xml:space="preserve"> PAGEREF _Toc12967156 \h </w:instrText>
        </w:r>
        <w:r w:rsidR="004A02EA">
          <w:rPr>
            <w:noProof/>
            <w:webHidden/>
          </w:rPr>
        </w:r>
        <w:r w:rsidR="004A02EA">
          <w:rPr>
            <w:noProof/>
            <w:webHidden/>
          </w:rPr>
          <w:fldChar w:fldCharType="separate"/>
        </w:r>
        <w:r w:rsidR="00901C2F">
          <w:rPr>
            <w:noProof/>
            <w:webHidden/>
          </w:rPr>
          <w:t>55</w:t>
        </w:r>
        <w:r w:rsidR="004A02EA">
          <w:rPr>
            <w:noProof/>
            <w:webHidden/>
          </w:rPr>
          <w:fldChar w:fldCharType="end"/>
        </w:r>
      </w:hyperlink>
    </w:p>
    <w:p w14:paraId="20B66C4B" w14:textId="7EA075B4"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57" w:history="1">
        <w:r w:rsidR="004A02EA" w:rsidRPr="00E924BB">
          <w:rPr>
            <w:rStyle w:val="Lienhypertexte"/>
            <w:noProof/>
          </w:rPr>
          <w:t>(VIII)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Available toxicological data relating to non active substance(s) (i.e. substance(s) of concern)</w:t>
        </w:r>
        <w:r w:rsidR="004A02EA">
          <w:rPr>
            <w:noProof/>
            <w:webHidden/>
          </w:rPr>
          <w:tab/>
        </w:r>
        <w:r w:rsidR="004A02EA">
          <w:rPr>
            <w:noProof/>
            <w:webHidden/>
          </w:rPr>
          <w:fldChar w:fldCharType="begin"/>
        </w:r>
        <w:r w:rsidR="004A02EA">
          <w:rPr>
            <w:noProof/>
            <w:webHidden/>
          </w:rPr>
          <w:instrText xml:space="preserve"> PAGEREF _Toc12967157 \h </w:instrText>
        </w:r>
        <w:r w:rsidR="004A02EA">
          <w:rPr>
            <w:noProof/>
            <w:webHidden/>
          </w:rPr>
        </w:r>
        <w:r w:rsidR="004A02EA">
          <w:rPr>
            <w:noProof/>
            <w:webHidden/>
          </w:rPr>
          <w:fldChar w:fldCharType="separate"/>
        </w:r>
        <w:r w:rsidR="00901C2F">
          <w:rPr>
            <w:noProof/>
            <w:webHidden/>
          </w:rPr>
          <w:t>56</w:t>
        </w:r>
        <w:r w:rsidR="004A02EA">
          <w:rPr>
            <w:noProof/>
            <w:webHidden/>
          </w:rPr>
          <w:fldChar w:fldCharType="end"/>
        </w:r>
      </w:hyperlink>
    </w:p>
    <w:p w14:paraId="11654D18" w14:textId="15B102E5"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58" w:history="1">
        <w:r w:rsidR="004A02EA" w:rsidRPr="00E924BB">
          <w:rPr>
            <w:rStyle w:val="Lienhypertexte"/>
            <w:noProof/>
          </w:rPr>
          <w:t>(IX)</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Available toxicological data relating to a mixture</w:t>
        </w:r>
        <w:r w:rsidR="004A02EA">
          <w:rPr>
            <w:noProof/>
            <w:webHidden/>
          </w:rPr>
          <w:tab/>
        </w:r>
        <w:r w:rsidR="004A02EA">
          <w:rPr>
            <w:noProof/>
            <w:webHidden/>
          </w:rPr>
          <w:fldChar w:fldCharType="begin"/>
        </w:r>
        <w:r w:rsidR="004A02EA">
          <w:rPr>
            <w:noProof/>
            <w:webHidden/>
          </w:rPr>
          <w:instrText xml:space="preserve"> PAGEREF _Toc12967158 \h </w:instrText>
        </w:r>
        <w:r w:rsidR="004A02EA">
          <w:rPr>
            <w:noProof/>
            <w:webHidden/>
          </w:rPr>
        </w:r>
        <w:r w:rsidR="004A02EA">
          <w:rPr>
            <w:noProof/>
            <w:webHidden/>
          </w:rPr>
          <w:fldChar w:fldCharType="separate"/>
        </w:r>
        <w:r w:rsidR="00901C2F">
          <w:rPr>
            <w:noProof/>
            <w:webHidden/>
          </w:rPr>
          <w:t>56</w:t>
        </w:r>
        <w:r w:rsidR="004A02EA">
          <w:rPr>
            <w:noProof/>
            <w:webHidden/>
          </w:rPr>
          <w:fldChar w:fldCharType="end"/>
        </w:r>
      </w:hyperlink>
    </w:p>
    <w:p w14:paraId="764B4F02" w14:textId="2DA5D0FF"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59" w:history="1">
        <w:r w:rsidR="004A02EA" w:rsidRPr="00E924BB">
          <w:rPr>
            <w:rStyle w:val="Lienhypertexte"/>
            <w:noProof/>
          </w:rPr>
          <w:t>(X)</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Other</w:t>
        </w:r>
        <w:r w:rsidR="004A02EA">
          <w:rPr>
            <w:noProof/>
            <w:webHidden/>
          </w:rPr>
          <w:tab/>
        </w:r>
        <w:r w:rsidR="004A02EA">
          <w:rPr>
            <w:noProof/>
            <w:webHidden/>
          </w:rPr>
          <w:fldChar w:fldCharType="begin"/>
        </w:r>
        <w:r w:rsidR="004A02EA">
          <w:rPr>
            <w:noProof/>
            <w:webHidden/>
          </w:rPr>
          <w:instrText xml:space="preserve"> PAGEREF _Toc12967159 \h </w:instrText>
        </w:r>
        <w:r w:rsidR="004A02EA">
          <w:rPr>
            <w:noProof/>
            <w:webHidden/>
          </w:rPr>
        </w:r>
        <w:r w:rsidR="004A02EA">
          <w:rPr>
            <w:noProof/>
            <w:webHidden/>
          </w:rPr>
          <w:fldChar w:fldCharType="separate"/>
        </w:r>
        <w:r w:rsidR="00901C2F">
          <w:rPr>
            <w:noProof/>
            <w:webHidden/>
          </w:rPr>
          <w:t>56</w:t>
        </w:r>
        <w:r w:rsidR="004A02EA">
          <w:rPr>
            <w:noProof/>
            <w:webHidden/>
          </w:rPr>
          <w:fldChar w:fldCharType="end"/>
        </w:r>
      </w:hyperlink>
    </w:p>
    <w:p w14:paraId="4222EFE5" w14:textId="016D89C6" w:rsidR="004A02EA" w:rsidRDefault="00C85279">
      <w:pPr>
        <w:pStyle w:val="TM4"/>
        <w:rPr>
          <w:rFonts w:asciiTheme="minorHAnsi" w:eastAsiaTheme="minorEastAsia" w:hAnsiTheme="minorHAnsi" w:cstheme="minorBidi"/>
          <w:noProof/>
          <w:sz w:val="22"/>
          <w:szCs w:val="22"/>
          <w:lang w:val="en-US" w:eastAsia="en-US"/>
        </w:rPr>
      </w:pPr>
      <w:hyperlink w:anchor="_Toc12967160" w:history="1">
        <w:r w:rsidR="004A02EA" w:rsidRPr="00E924BB">
          <w:rPr>
            <w:rStyle w:val="Lienhypertexte"/>
            <w:noProof/>
            <w:lang w:val="en-US"/>
          </w:rPr>
          <w:t>2.2.7.2</w:t>
        </w:r>
        <w:r w:rsidR="004A02EA">
          <w:rPr>
            <w:rFonts w:asciiTheme="minorHAnsi" w:eastAsiaTheme="minorEastAsia" w:hAnsiTheme="minorHAnsi" w:cstheme="minorBidi"/>
            <w:noProof/>
            <w:sz w:val="22"/>
            <w:szCs w:val="22"/>
            <w:lang w:val="en-US" w:eastAsia="en-US"/>
          </w:rPr>
          <w:tab/>
        </w:r>
        <w:r w:rsidR="004A02EA" w:rsidRPr="00E924BB">
          <w:rPr>
            <w:rStyle w:val="Lienhypertexte"/>
            <w:noProof/>
            <w:lang w:val="en-US"/>
          </w:rPr>
          <w:t>Exposure assessment</w:t>
        </w:r>
        <w:r w:rsidR="004A02EA">
          <w:rPr>
            <w:noProof/>
            <w:webHidden/>
          </w:rPr>
          <w:tab/>
        </w:r>
        <w:r w:rsidR="004A02EA">
          <w:rPr>
            <w:noProof/>
            <w:webHidden/>
          </w:rPr>
          <w:fldChar w:fldCharType="begin"/>
        </w:r>
        <w:r w:rsidR="004A02EA">
          <w:rPr>
            <w:noProof/>
            <w:webHidden/>
          </w:rPr>
          <w:instrText xml:space="preserve"> PAGEREF _Toc12967160 \h </w:instrText>
        </w:r>
        <w:r w:rsidR="004A02EA">
          <w:rPr>
            <w:noProof/>
            <w:webHidden/>
          </w:rPr>
        </w:r>
        <w:r w:rsidR="004A02EA">
          <w:rPr>
            <w:noProof/>
            <w:webHidden/>
          </w:rPr>
          <w:fldChar w:fldCharType="separate"/>
        </w:r>
        <w:r w:rsidR="00901C2F">
          <w:rPr>
            <w:noProof/>
            <w:webHidden/>
          </w:rPr>
          <w:t>57</w:t>
        </w:r>
        <w:r w:rsidR="004A02EA">
          <w:rPr>
            <w:noProof/>
            <w:webHidden/>
          </w:rPr>
          <w:fldChar w:fldCharType="end"/>
        </w:r>
      </w:hyperlink>
    </w:p>
    <w:p w14:paraId="5159FAE2" w14:textId="784A753E" w:rsidR="004A02EA" w:rsidRDefault="00C85279">
      <w:pPr>
        <w:pStyle w:val="TM5"/>
        <w:tabs>
          <w:tab w:val="right" w:leader="dot" w:pos="9402"/>
        </w:tabs>
        <w:rPr>
          <w:rFonts w:asciiTheme="minorHAnsi" w:eastAsiaTheme="minorEastAsia" w:hAnsiTheme="minorHAnsi" w:cstheme="minorBidi"/>
          <w:i w:val="0"/>
          <w:noProof/>
          <w:color w:val="auto"/>
          <w:sz w:val="22"/>
          <w:szCs w:val="22"/>
          <w:lang w:val="en-US" w:eastAsia="en-US"/>
        </w:rPr>
      </w:pPr>
      <w:hyperlink w:anchor="_Toc12967161" w:history="1">
        <w:r w:rsidR="004A02EA" w:rsidRPr="00E924BB">
          <w:rPr>
            <w:rStyle w:val="Lienhypertexte"/>
            <w:noProof/>
          </w:rPr>
          <w:t>Identification of main paths of human exposure towards active substance(s) and substances of concern from its use in biocidal product</w:t>
        </w:r>
        <w:r w:rsidR="004A02EA">
          <w:rPr>
            <w:noProof/>
            <w:webHidden/>
          </w:rPr>
          <w:tab/>
        </w:r>
        <w:r w:rsidR="004A02EA">
          <w:rPr>
            <w:noProof/>
            <w:webHidden/>
          </w:rPr>
          <w:fldChar w:fldCharType="begin"/>
        </w:r>
        <w:r w:rsidR="004A02EA">
          <w:rPr>
            <w:noProof/>
            <w:webHidden/>
          </w:rPr>
          <w:instrText xml:space="preserve"> PAGEREF _Toc12967161 \h </w:instrText>
        </w:r>
        <w:r w:rsidR="004A02EA">
          <w:rPr>
            <w:noProof/>
            <w:webHidden/>
          </w:rPr>
        </w:r>
        <w:r w:rsidR="004A02EA">
          <w:rPr>
            <w:noProof/>
            <w:webHidden/>
          </w:rPr>
          <w:fldChar w:fldCharType="separate"/>
        </w:r>
        <w:r w:rsidR="00901C2F">
          <w:rPr>
            <w:noProof/>
            <w:webHidden/>
          </w:rPr>
          <w:t>57</w:t>
        </w:r>
        <w:r w:rsidR="004A02EA">
          <w:rPr>
            <w:noProof/>
            <w:webHidden/>
          </w:rPr>
          <w:fldChar w:fldCharType="end"/>
        </w:r>
      </w:hyperlink>
    </w:p>
    <w:p w14:paraId="03FA9004" w14:textId="77D507B9"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62" w:history="1">
        <w:r w:rsidR="004A02EA" w:rsidRPr="00E924BB">
          <w:rPr>
            <w:rStyle w:val="Lienhypertexte"/>
            <w:noProof/>
          </w:rPr>
          <w:t>(I)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General information</w:t>
        </w:r>
        <w:r w:rsidR="004A02EA">
          <w:rPr>
            <w:noProof/>
            <w:webHidden/>
          </w:rPr>
          <w:tab/>
        </w:r>
        <w:r w:rsidR="004A02EA">
          <w:rPr>
            <w:noProof/>
            <w:webHidden/>
          </w:rPr>
          <w:fldChar w:fldCharType="begin"/>
        </w:r>
        <w:r w:rsidR="004A02EA">
          <w:rPr>
            <w:noProof/>
            <w:webHidden/>
          </w:rPr>
          <w:instrText xml:space="preserve"> PAGEREF _Toc12967162 \h </w:instrText>
        </w:r>
        <w:r w:rsidR="004A02EA">
          <w:rPr>
            <w:noProof/>
            <w:webHidden/>
          </w:rPr>
        </w:r>
        <w:r w:rsidR="004A02EA">
          <w:rPr>
            <w:noProof/>
            <w:webHidden/>
          </w:rPr>
          <w:fldChar w:fldCharType="separate"/>
        </w:r>
        <w:r w:rsidR="00901C2F">
          <w:rPr>
            <w:noProof/>
            <w:webHidden/>
          </w:rPr>
          <w:t>58</w:t>
        </w:r>
        <w:r w:rsidR="004A02EA">
          <w:rPr>
            <w:noProof/>
            <w:webHidden/>
          </w:rPr>
          <w:fldChar w:fldCharType="end"/>
        </w:r>
      </w:hyperlink>
    </w:p>
    <w:p w14:paraId="3E7389BF" w14:textId="1AAE57C1"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63" w:history="1">
        <w:r w:rsidR="004A02EA" w:rsidRPr="00E924BB">
          <w:rPr>
            <w:rStyle w:val="Lienhypertexte"/>
            <w:noProof/>
          </w:rPr>
          <w:t>(II)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List of scenarios</w:t>
        </w:r>
        <w:r w:rsidR="004A02EA">
          <w:rPr>
            <w:noProof/>
            <w:webHidden/>
          </w:rPr>
          <w:tab/>
        </w:r>
        <w:r w:rsidR="004A02EA">
          <w:rPr>
            <w:noProof/>
            <w:webHidden/>
          </w:rPr>
          <w:fldChar w:fldCharType="begin"/>
        </w:r>
        <w:r w:rsidR="004A02EA">
          <w:rPr>
            <w:noProof/>
            <w:webHidden/>
          </w:rPr>
          <w:instrText xml:space="preserve"> PAGEREF _Toc12967163 \h </w:instrText>
        </w:r>
        <w:r w:rsidR="004A02EA">
          <w:rPr>
            <w:noProof/>
            <w:webHidden/>
          </w:rPr>
        </w:r>
        <w:r w:rsidR="004A02EA">
          <w:rPr>
            <w:noProof/>
            <w:webHidden/>
          </w:rPr>
          <w:fldChar w:fldCharType="separate"/>
        </w:r>
        <w:r w:rsidR="00901C2F">
          <w:rPr>
            <w:noProof/>
            <w:webHidden/>
          </w:rPr>
          <w:t>61</w:t>
        </w:r>
        <w:r w:rsidR="004A02EA">
          <w:rPr>
            <w:noProof/>
            <w:webHidden/>
          </w:rPr>
          <w:fldChar w:fldCharType="end"/>
        </w:r>
      </w:hyperlink>
    </w:p>
    <w:p w14:paraId="7178493D" w14:textId="38332D74"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64" w:history="1">
        <w:r w:rsidR="004A02EA" w:rsidRPr="00E924BB">
          <w:rPr>
            <w:rStyle w:val="Lienhypertexte"/>
            <w:noProof/>
          </w:rPr>
          <w:t>(III)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Industrial exposure</w:t>
        </w:r>
        <w:r w:rsidR="004A02EA">
          <w:rPr>
            <w:noProof/>
            <w:webHidden/>
          </w:rPr>
          <w:tab/>
        </w:r>
        <w:r w:rsidR="004A02EA">
          <w:rPr>
            <w:noProof/>
            <w:webHidden/>
          </w:rPr>
          <w:fldChar w:fldCharType="begin"/>
        </w:r>
        <w:r w:rsidR="004A02EA">
          <w:rPr>
            <w:noProof/>
            <w:webHidden/>
          </w:rPr>
          <w:instrText xml:space="preserve"> PAGEREF _Toc12967164 \h </w:instrText>
        </w:r>
        <w:r w:rsidR="004A02EA">
          <w:rPr>
            <w:noProof/>
            <w:webHidden/>
          </w:rPr>
        </w:r>
        <w:r w:rsidR="004A02EA">
          <w:rPr>
            <w:noProof/>
            <w:webHidden/>
          </w:rPr>
          <w:fldChar w:fldCharType="separate"/>
        </w:r>
        <w:r w:rsidR="00901C2F">
          <w:rPr>
            <w:noProof/>
            <w:webHidden/>
          </w:rPr>
          <w:t>62</w:t>
        </w:r>
        <w:r w:rsidR="004A02EA">
          <w:rPr>
            <w:noProof/>
            <w:webHidden/>
          </w:rPr>
          <w:fldChar w:fldCharType="end"/>
        </w:r>
      </w:hyperlink>
    </w:p>
    <w:p w14:paraId="2E9E95BC" w14:textId="69E4BA8E"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65" w:history="1">
        <w:r w:rsidR="004A02EA" w:rsidRPr="00E924BB">
          <w:rPr>
            <w:rStyle w:val="Lienhypertexte"/>
            <w:noProof/>
          </w:rPr>
          <w:t>(IV)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Professional exposure</w:t>
        </w:r>
        <w:r w:rsidR="004A02EA">
          <w:rPr>
            <w:noProof/>
            <w:webHidden/>
          </w:rPr>
          <w:tab/>
        </w:r>
        <w:r w:rsidR="004A02EA">
          <w:rPr>
            <w:noProof/>
            <w:webHidden/>
          </w:rPr>
          <w:fldChar w:fldCharType="begin"/>
        </w:r>
        <w:r w:rsidR="004A02EA">
          <w:rPr>
            <w:noProof/>
            <w:webHidden/>
          </w:rPr>
          <w:instrText xml:space="preserve"> PAGEREF _Toc12967165 \h </w:instrText>
        </w:r>
        <w:r w:rsidR="004A02EA">
          <w:rPr>
            <w:noProof/>
            <w:webHidden/>
          </w:rPr>
        </w:r>
        <w:r w:rsidR="004A02EA">
          <w:rPr>
            <w:noProof/>
            <w:webHidden/>
          </w:rPr>
          <w:fldChar w:fldCharType="separate"/>
        </w:r>
        <w:r w:rsidR="00901C2F">
          <w:rPr>
            <w:noProof/>
            <w:webHidden/>
          </w:rPr>
          <w:t>62</w:t>
        </w:r>
        <w:r w:rsidR="004A02EA">
          <w:rPr>
            <w:noProof/>
            <w:webHidden/>
          </w:rPr>
          <w:fldChar w:fldCharType="end"/>
        </w:r>
      </w:hyperlink>
    </w:p>
    <w:p w14:paraId="14E3086B" w14:textId="54E00E41"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66" w:history="1">
        <w:r w:rsidR="004A02EA" w:rsidRPr="00E924BB">
          <w:rPr>
            <w:rStyle w:val="Lienhypertexte"/>
            <w:noProof/>
          </w:rPr>
          <w:t>(V)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Non-professional exposure</w:t>
        </w:r>
        <w:r w:rsidR="004A02EA">
          <w:rPr>
            <w:noProof/>
            <w:webHidden/>
          </w:rPr>
          <w:tab/>
        </w:r>
        <w:r w:rsidR="004A02EA">
          <w:rPr>
            <w:noProof/>
            <w:webHidden/>
          </w:rPr>
          <w:fldChar w:fldCharType="begin"/>
        </w:r>
        <w:r w:rsidR="004A02EA">
          <w:rPr>
            <w:noProof/>
            <w:webHidden/>
          </w:rPr>
          <w:instrText xml:space="preserve"> PAGEREF _Toc12967166 \h </w:instrText>
        </w:r>
        <w:r w:rsidR="004A02EA">
          <w:rPr>
            <w:noProof/>
            <w:webHidden/>
          </w:rPr>
        </w:r>
        <w:r w:rsidR="004A02EA">
          <w:rPr>
            <w:noProof/>
            <w:webHidden/>
          </w:rPr>
          <w:fldChar w:fldCharType="separate"/>
        </w:r>
        <w:r w:rsidR="00901C2F">
          <w:rPr>
            <w:noProof/>
            <w:webHidden/>
          </w:rPr>
          <w:t>63</w:t>
        </w:r>
        <w:r w:rsidR="004A02EA">
          <w:rPr>
            <w:noProof/>
            <w:webHidden/>
          </w:rPr>
          <w:fldChar w:fldCharType="end"/>
        </w:r>
      </w:hyperlink>
    </w:p>
    <w:p w14:paraId="64C6B069" w14:textId="4BECF919"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67" w:history="1">
        <w:r w:rsidR="004A02EA" w:rsidRPr="00E924BB">
          <w:rPr>
            <w:rStyle w:val="Lienhypertexte"/>
            <w:noProof/>
          </w:rPr>
          <w:t>(VI)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Exposure of the general public</w:t>
        </w:r>
        <w:r w:rsidR="004A02EA">
          <w:rPr>
            <w:noProof/>
            <w:webHidden/>
          </w:rPr>
          <w:tab/>
        </w:r>
        <w:r w:rsidR="004A02EA">
          <w:rPr>
            <w:noProof/>
            <w:webHidden/>
          </w:rPr>
          <w:fldChar w:fldCharType="begin"/>
        </w:r>
        <w:r w:rsidR="004A02EA">
          <w:rPr>
            <w:noProof/>
            <w:webHidden/>
          </w:rPr>
          <w:instrText xml:space="preserve"> PAGEREF _Toc12967167 \h </w:instrText>
        </w:r>
        <w:r w:rsidR="004A02EA">
          <w:rPr>
            <w:noProof/>
            <w:webHidden/>
          </w:rPr>
        </w:r>
        <w:r w:rsidR="004A02EA">
          <w:rPr>
            <w:noProof/>
            <w:webHidden/>
          </w:rPr>
          <w:fldChar w:fldCharType="separate"/>
        </w:r>
        <w:r w:rsidR="00901C2F">
          <w:rPr>
            <w:noProof/>
            <w:webHidden/>
          </w:rPr>
          <w:t>76</w:t>
        </w:r>
        <w:r w:rsidR="004A02EA">
          <w:rPr>
            <w:noProof/>
            <w:webHidden/>
          </w:rPr>
          <w:fldChar w:fldCharType="end"/>
        </w:r>
      </w:hyperlink>
    </w:p>
    <w:p w14:paraId="356A872F" w14:textId="3FC87B9A"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68" w:history="1">
        <w:r w:rsidR="004A02EA" w:rsidRPr="00E924BB">
          <w:rPr>
            <w:rStyle w:val="Lienhypertexte"/>
            <w:noProof/>
          </w:rPr>
          <w:t>(VII)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Monitoring data</w:t>
        </w:r>
        <w:r w:rsidR="004A02EA">
          <w:rPr>
            <w:noProof/>
            <w:webHidden/>
          </w:rPr>
          <w:tab/>
        </w:r>
        <w:r w:rsidR="004A02EA">
          <w:rPr>
            <w:noProof/>
            <w:webHidden/>
          </w:rPr>
          <w:fldChar w:fldCharType="begin"/>
        </w:r>
        <w:r w:rsidR="004A02EA">
          <w:rPr>
            <w:noProof/>
            <w:webHidden/>
          </w:rPr>
          <w:instrText xml:space="preserve"> PAGEREF _Toc12967168 \h </w:instrText>
        </w:r>
        <w:r w:rsidR="004A02EA">
          <w:rPr>
            <w:noProof/>
            <w:webHidden/>
          </w:rPr>
        </w:r>
        <w:r w:rsidR="004A02EA">
          <w:rPr>
            <w:noProof/>
            <w:webHidden/>
          </w:rPr>
          <w:fldChar w:fldCharType="separate"/>
        </w:r>
        <w:r w:rsidR="00901C2F">
          <w:rPr>
            <w:noProof/>
            <w:webHidden/>
          </w:rPr>
          <w:t>76</w:t>
        </w:r>
        <w:r w:rsidR="004A02EA">
          <w:rPr>
            <w:noProof/>
            <w:webHidden/>
          </w:rPr>
          <w:fldChar w:fldCharType="end"/>
        </w:r>
      </w:hyperlink>
    </w:p>
    <w:p w14:paraId="52D0E426" w14:textId="2AA5E549"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69" w:history="1">
        <w:r w:rsidR="004A02EA" w:rsidRPr="00E924BB">
          <w:rPr>
            <w:rStyle w:val="Lienhypertexte"/>
            <w:noProof/>
          </w:rPr>
          <w:t>(VIII)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Dietary exposure</w:t>
        </w:r>
        <w:r w:rsidR="004A02EA">
          <w:rPr>
            <w:noProof/>
            <w:webHidden/>
          </w:rPr>
          <w:tab/>
        </w:r>
        <w:r w:rsidR="004A02EA">
          <w:rPr>
            <w:noProof/>
            <w:webHidden/>
          </w:rPr>
          <w:fldChar w:fldCharType="begin"/>
        </w:r>
        <w:r w:rsidR="004A02EA">
          <w:rPr>
            <w:noProof/>
            <w:webHidden/>
          </w:rPr>
          <w:instrText xml:space="preserve"> PAGEREF _Toc12967169 \h </w:instrText>
        </w:r>
        <w:r w:rsidR="004A02EA">
          <w:rPr>
            <w:noProof/>
            <w:webHidden/>
          </w:rPr>
        </w:r>
        <w:r w:rsidR="004A02EA">
          <w:rPr>
            <w:noProof/>
            <w:webHidden/>
          </w:rPr>
          <w:fldChar w:fldCharType="separate"/>
        </w:r>
        <w:r w:rsidR="00901C2F">
          <w:rPr>
            <w:noProof/>
            <w:webHidden/>
          </w:rPr>
          <w:t>76</w:t>
        </w:r>
        <w:r w:rsidR="004A02EA">
          <w:rPr>
            <w:noProof/>
            <w:webHidden/>
          </w:rPr>
          <w:fldChar w:fldCharType="end"/>
        </w:r>
      </w:hyperlink>
    </w:p>
    <w:p w14:paraId="32CD69FC" w14:textId="496F083A"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70" w:history="1">
        <w:r w:rsidR="004A02EA" w:rsidRPr="00E924BB">
          <w:rPr>
            <w:rStyle w:val="Lienhypertexte"/>
            <w:noProof/>
          </w:rPr>
          <w:t>(IX)</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Exposure associated with production, formulation and disposal of the biocidal product</w:t>
        </w:r>
        <w:r w:rsidR="004A02EA">
          <w:rPr>
            <w:noProof/>
            <w:webHidden/>
          </w:rPr>
          <w:tab/>
        </w:r>
        <w:r w:rsidR="004A02EA">
          <w:rPr>
            <w:noProof/>
            <w:webHidden/>
          </w:rPr>
          <w:fldChar w:fldCharType="begin"/>
        </w:r>
        <w:r w:rsidR="004A02EA">
          <w:rPr>
            <w:noProof/>
            <w:webHidden/>
          </w:rPr>
          <w:instrText xml:space="preserve"> PAGEREF _Toc12967170 \h </w:instrText>
        </w:r>
        <w:r w:rsidR="004A02EA">
          <w:rPr>
            <w:noProof/>
            <w:webHidden/>
          </w:rPr>
        </w:r>
        <w:r w:rsidR="004A02EA">
          <w:rPr>
            <w:noProof/>
            <w:webHidden/>
          </w:rPr>
          <w:fldChar w:fldCharType="separate"/>
        </w:r>
        <w:r w:rsidR="00901C2F">
          <w:rPr>
            <w:noProof/>
            <w:webHidden/>
          </w:rPr>
          <w:t>77</w:t>
        </w:r>
        <w:r w:rsidR="004A02EA">
          <w:rPr>
            <w:noProof/>
            <w:webHidden/>
          </w:rPr>
          <w:fldChar w:fldCharType="end"/>
        </w:r>
      </w:hyperlink>
    </w:p>
    <w:p w14:paraId="0D67BCC5" w14:textId="3DAE0527"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71" w:history="1">
        <w:r w:rsidR="004A02EA" w:rsidRPr="00E924BB">
          <w:rPr>
            <w:rStyle w:val="Lienhypertexte"/>
            <w:noProof/>
          </w:rPr>
          <w:t>(X)</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Aggregated exposure</w:t>
        </w:r>
        <w:r w:rsidR="004A02EA">
          <w:rPr>
            <w:noProof/>
            <w:webHidden/>
          </w:rPr>
          <w:tab/>
        </w:r>
        <w:r w:rsidR="004A02EA">
          <w:rPr>
            <w:noProof/>
            <w:webHidden/>
          </w:rPr>
          <w:fldChar w:fldCharType="begin"/>
        </w:r>
        <w:r w:rsidR="004A02EA">
          <w:rPr>
            <w:noProof/>
            <w:webHidden/>
          </w:rPr>
          <w:instrText xml:space="preserve"> PAGEREF _Toc12967171 \h </w:instrText>
        </w:r>
        <w:r w:rsidR="004A02EA">
          <w:rPr>
            <w:noProof/>
            <w:webHidden/>
          </w:rPr>
        </w:r>
        <w:r w:rsidR="004A02EA">
          <w:rPr>
            <w:noProof/>
            <w:webHidden/>
          </w:rPr>
          <w:fldChar w:fldCharType="separate"/>
        </w:r>
        <w:r w:rsidR="00901C2F">
          <w:rPr>
            <w:noProof/>
            <w:webHidden/>
          </w:rPr>
          <w:t>77</w:t>
        </w:r>
        <w:r w:rsidR="004A02EA">
          <w:rPr>
            <w:noProof/>
            <w:webHidden/>
          </w:rPr>
          <w:fldChar w:fldCharType="end"/>
        </w:r>
      </w:hyperlink>
    </w:p>
    <w:p w14:paraId="5FC18B56" w14:textId="59B653F9"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72" w:history="1">
        <w:r w:rsidR="004A02EA" w:rsidRPr="00E924BB">
          <w:rPr>
            <w:rStyle w:val="Lienhypertexte"/>
            <w:noProof/>
          </w:rPr>
          <w:t>(XI)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Summary of exposure assessment</w:t>
        </w:r>
        <w:r w:rsidR="004A02EA">
          <w:rPr>
            <w:noProof/>
            <w:webHidden/>
          </w:rPr>
          <w:tab/>
        </w:r>
        <w:r w:rsidR="004A02EA">
          <w:rPr>
            <w:noProof/>
            <w:webHidden/>
          </w:rPr>
          <w:fldChar w:fldCharType="begin"/>
        </w:r>
        <w:r w:rsidR="004A02EA">
          <w:rPr>
            <w:noProof/>
            <w:webHidden/>
          </w:rPr>
          <w:instrText xml:space="preserve"> PAGEREF _Toc12967172 \h </w:instrText>
        </w:r>
        <w:r w:rsidR="004A02EA">
          <w:rPr>
            <w:noProof/>
            <w:webHidden/>
          </w:rPr>
        </w:r>
        <w:r w:rsidR="004A02EA">
          <w:rPr>
            <w:noProof/>
            <w:webHidden/>
          </w:rPr>
          <w:fldChar w:fldCharType="separate"/>
        </w:r>
        <w:r w:rsidR="00901C2F">
          <w:rPr>
            <w:noProof/>
            <w:webHidden/>
          </w:rPr>
          <w:t>77</w:t>
        </w:r>
        <w:r w:rsidR="004A02EA">
          <w:rPr>
            <w:noProof/>
            <w:webHidden/>
          </w:rPr>
          <w:fldChar w:fldCharType="end"/>
        </w:r>
      </w:hyperlink>
    </w:p>
    <w:p w14:paraId="1F0B3DCF" w14:textId="6B9ECCDE" w:rsidR="004A02EA" w:rsidRDefault="00C85279">
      <w:pPr>
        <w:pStyle w:val="TM4"/>
        <w:rPr>
          <w:rFonts w:asciiTheme="minorHAnsi" w:eastAsiaTheme="minorEastAsia" w:hAnsiTheme="minorHAnsi" w:cstheme="minorBidi"/>
          <w:noProof/>
          <w:sz w:val="22"/>
          <w:szCs w:val="22"/>
          <w:lang w:val="en-US" w:eastAsia="en-US"/>
        </w:rPr>
      </w:pPr>
      <w:hyperlink w:anchor="_Toc12967173" w:history="1">
        <w:r w:rsidR="004A02EA" w:rsidRPr="00E924BB">
          <w:rPr>
            <w:rStyle w:val="Lienhypertexte"/>
            <w:noProof/>
          </w:rPr>
          <w:t>2.2.7.3</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Risk characterisation for human health</w:t>
        </w:r>
        <w:r w:rsidR="004A02EA">
          <w:rPr>
            <w:noProof/>
            <w:webHidden/>
          </w:rPr>
          <w:tab/>
        </w:r>
        <w:r w:rsidR="004A02EA">
          <w:rPr>
            <w:noProof/>
            <w:webHidden/>
          </w:rPr>
          <w:fldChar w:fldCharType="begin"/>
        </w:r>
        <w:r w:rsidR="004A02EA">
          <w:rPr>
            <w:noProof/>
            <w:webHidden/>
          </w:rPr>
          <w:instrText xml:space="preserve"> PAGEREF _Toc12967173 \h </w:instrText>
        </w:r>
        <w:r w:rsidR="004A02EA">
          <w:rPr>
            <w:noProof/>
            <w:webHidden/>
          </w:rPr>
        </w:r>
        <w:r w:rsidR="004A02EA">
          <w:rPr>
            <w:noProof/>
            <w:webHidden/>
          </w:rPr>
          <w:fldChar w:fldCharType="separate"/>
        </w:r>
        <w:r w:rsidR="00901C2F">
          <w:rPr>
            <w:noProof/>
            <w:webHidden/>
          </w:rPr>
          <w:t>80</w:t>
        </w:r>
        <w:r w:rsidR="004A02EA">
          <w:rPr>
            <w:noProof/>
            <w:webHidden/>
          </w:rPr>
          <w:fldChar w:fldCharType="end"/>
        </w:r>
      </w:hyperlink>
    </w:p>
    <w:p w14:paraId="0D4EE054" w14:textId="473395FA" w:rsidR="004A02EA" w:rsidRDefault="00C85279">
      <w:pPr>
        <w:pStyle w:val="TM5"/>
        <w:tabs>
          <w:tab w:val="right" w:leader="dot" w:pos="9402"/>
        </w:tabs>
        <w:rPr>
          <w:rFonts w:asciiTheme="minorHAnsi" w:eastAsiaTheme="minorEastAsia" w:hAnsiTheme="minorHAnsi" w:cstheme="minorBidi"/>
          <w:i w:val="0"/>
          <w:noProof/>
          <w:color w:val="auto"/>
          <w:sz w:val="22"/>
          <w:szCs w:val="22"/>
          <w:lang w:val="en-US" w:eastAsia="en-US"/>
        </w:rPr>
      </w:pPr>
      <w:hyperlink w:anchor="_Toc12967174" w:history="1">
        <w:r w:rsidR="004A02EA" w:rsidRPr="00E924BB">
          <w:rPr>
            <w:rStyle w:val="Lienhypertexte"/>
            <w:noProof/>
          </w:rPr>
          <w:t>Reference values to be used in Risk Characterisation</w:t>
        </w:r>
        <w:r w:rsidR="004A02EA">
          <w:rPr>
            <w:noProof/>
            <w:webHidden/>
          </w:rPr>
          <w:tab/>
        </w:r>
        <w:r w:rsidR="004A02EA">
          <w:rPr>
            <w:noProof/>
            <w:webHidden/>
          </w:rPr>
          <w:fldChar w:fldCharType="begin"/>
        </w:r>
        <w:r w:rsidR="004A02EA">
          <w:rPr>
            <w:noProof/>
            <w:webHidden/>
          </w:rPr>
          <w:instrText xml:space="preserve"> PAGEREF _Toc12967174 \h </w:instrText>
        </w:r>
        <w:r w:rsidR="004A02EA">
          <w:rPr>
            <w:noProof/>
            <w:webHidden/>
          </w:rPr>
        </w:r>
        <w:r w:rsidR="004A02EA">
          <w:rPr>
            <w:noProof/>
            <w:webHidden/>
          </w:rPr>
          <w:fldChar w:fldCharType="separate"/>
        </w:r>
        <w:r w:rsidR="00901C2F">
          <w:rPr>
            <w:noProof/>
            <w:webHidden/>
          </w:rPr>
          <w:t>80</w:t>
        </w:r>
        <w:r w:rsidR="004A02EA">
          <w:rPr>
            <w:noProof/>
            <w:webHidden/>
          </w:rPr>
          <w:fldChar w:fldCharType="end"/>
        </w:r>
      </w:hyperlink>
    </w:p>
    <w:p w14:paraId="2600BDD9" w14:textId="1C49CC82"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75" w:history="1">
        <w:r w:rsidR="004A02EA" w:rsidRPr="00E924BB">
          <w:rPr>
            <w:rStyle w:val="Lienhypertexte"/>
            <w:noProof/>
          </w:rPr>
          <w:t>(I)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Risk for industrial users</w:t>
        </w:r>
        <w:r w:rsidR="004A02EA">
          <w:rPr>
            <w:noProof/>
            <w:webHidden/>
          </w:rPr>
          <w:tab/>
        </w:r>
        <w:r w:rsidR="004A02EA">
          <w:rPr>
            <w:noProof/>
            <w:webHidden/>
          </w:rPr>
          <w:fldChar w:fldCharType="begin"/>
        </w:r>
        <w:r w:rsidR="004A02EA">
          <w:rPr>
            <w:noProof/>
            <w:webHidden/>
          </w:rPr>
          <w:instrText xml:space="preserve"> PAGEREF _Toc12967175 \h </w:instrText>
        </w:r>
        <w:r w:rsidR="004A02EA">
          <w:rPr>
            <w:noProof/>
            <w:webHidden/>
          </w:rPr>
        </w:r>
        <w:r w:rsidR="004A02EA">
          <w:rPr>
            <w:noProof/>
            <w:webHidden/>
          </w:rPr>
          <w:fldChar w:fldCharType="separate"/>
        </w:r>
        <w:r w:rsidR="00901C2F">
          <w:rPr>
            <w:noProof/>
            <w:webHidden/>
          </w:rPr>
          <w:t>81</w:t>
        </w:r>
        <w:r w:rsidR="004A02EA">
          <w:rPr>
            <w:noProof/>
            <w:webHidden/>
          </w:rPr>
          <w:fldChar w:fldCharType="end"/>
        </w:r>
      </w:hyperlink>
    </w:p>
    <w:p w14:paraId="058004AE" w14:textId="2458F49F"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76" w:history="1">
        <w:r w:rsidR="004A02EA" w:rsidRPr="00E924BB">
          <w:rPr>
            <w:rStyle w:val="Lienhypertexte"/>
            <w:noProof/>
          </w:rPr>
          <w:t>(II)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Risk for professional users</w:t>
        </w:r>
        <w:r w:rsidR="004A02EA">
          <w:rPr>
            <w:noProof/>
            <w:webHidden/>
          </w:rPr>
          <w:tab/>
        </w:r>
        <w:r w:rsidR="004A02EA">
          <w:rPr>
            <w:noProof/>
            <w:webHidden/>
          </w:rPr>
          <w:fldChar w:fldCharType="begin"/>
        </w:r>
        <w:r w:rsidR="004A02EA">
          <w:rPr>
            <w:noProof/>
            <w:webHidden/>
          </w:rPr>
          <w:instrText xml:space="preserve"> PAGEREF _Toc12967176 \h </w:instrText>
        </w:r>
        <w:r w:rsidR="004A02EA">
          <w:rPr>
            <w:noProof/>
            <w:webHidden/>
          </w:rPr>
        </w:r>
        <w:r w:rsidR="004A02EA">
          <w:rPr>
            <w:noProof/>
            <w:webHidden/>
          </w:rPr>
          <w:fldChar w:fldCharType="separate"/>
        </w:r>
        <w:r w:rsidR="00901C2F">
          <w:rPr>
            <w:noProof/>
            <w:webHidden/>
          </w:rPr>
          <w:t>81</w:t>
        </w:r>
        <w:r w:rsidR="004A02EA">
          <w:rPr>
            <w:noProof/>
            <w:webHidden/>
          </w:rPr>
          <w:fldChar w:fldCharType="end"/>
        </w:r>
      </w:hyperlink>
    </w:p>
    <w:p w14:paraId="1B402855" w14:textId="29518771"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77" w:history="1">
        <w:r w:rsidR="004A02EA" w:rsidRPr="00E924BB">
          <w:rPr>
            <w:rStyle w:val="Lienhypertexte"/>
            <w:noProof/>
          </w:rPr>
          <w:t>(III)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Risk for non-professional users</w:t>
        </w:r>
        <w:r w:rsidR="004A02EA">
          <w:rPr>
            <w:noProof/>
            <w:webHidden/>
          </w:rPr>
          <w:tab/>
        </w:r>
        <w:r w:rsidR="004A02EA">
          <w:rPr>
            <w:noProof/>
            <w:webHidden/>
          </w:rPr>
          <w:fldChar w:fldCharType="begin"/>
        </w:r>
        <w:r w:rsidR="004A02EA">
          <w:rPr>
            <w:noProof/>
            <w:webHidden/>
          </w:rPr>
          <w:instrText xml:space="preserve"> PAGEREF _Toc12967177 \h </w:instrText>
        </w:r>
        <w:r w:rsidR="004A02EA">
          <w:rPr>
            <w:noProof/>
            <w:webHidden/>
          </w:rPr>
        </w:r>
        <w:r w:rsidR="004A02EA">
          <w:rPr>
            <w:noProof/>
            <w:webHidden/>
          </w:rPr>
          <w:fldChar w:fldCharType="separate"/>
        </w:r>
        <w:r w:rsidR="00901C2F">
          <w:rPr>
            <w:noProof/>
            <w:webHidden/>
          </w:rPr>
          <w:t>81</w:t>
        </w:r>
        <w:r w:rsidR="004A02EA">
          <w:rPr>
            <w:noProof/>
            <w:webHidden/>
          </w:rPr>
          <w:fldChar w:fldCharType="end"/>
        </w:r>
      </w:hyperlink>
    </w:p>
    <w:p w14:paraId="0758034C" w14:textId="373FB2F7"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78" w:history="1">
        <w:r w:rsidR="004A02EA" w:rsidRPr="00E924BB">
          <w:rPr>
            <w:rStyle w:val="Lienhypertexte"/>
            <w:noProof/>
          </w:rPr>
          <w:t>(IV)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Risk for the general public</w:t>
        </w:r>
        <w:r w:rsidR="004A02EA">
          <w:rPr>
            <w:noProof/>
            <w:webHidden/>
          </w:rPr>
          <w:tab/>
        </w:r>
        <w:r w:rsidR="004A02EA">
          <w:rPr>
            <w:noProof/>
            <w:webHidden/>
          </w:rPr>
          <w:fldChar w:fldCharType="begin"/>
        </w:r>
        <w:r w:rsidR="004A02EA">
          <w:rPr>
            <w:noProof/>
            <w:webHidden/>
          </w:rPr>
          <w:instrText xml:space="preserve"> PAGEREF _Toc12967178 \h </w:instrText>
        </w:r>
        <w:r w:rsidR="004A02EA">
          <w:rPr>
            <w:noProof/>
            <w:webHidden/>
          </w:rPr>
        </w:r>
        <w:r w:rsidR="004A02EA">
          <w:rPr>
            <w:noProof/>
            <w:webHidden/>
          </w:rPr>
          <w:fldChar w:fldCharType="separate"/>
        </w:r>
        <w:r w:rsidR="00901C2F">
          <w:rPr>
            <w:noProof/>
            <w:webHidden/>
          </w:rPr>
          <w:t>84</w:t>
        </w:r>
        <w:r w:rsidR="004A02EA">
          <w:rPr>
            <w:noProof/>
            <w:webHidden/>
          </w:rPr>
          <w:fldChar w:fldCharType="end"/>
        </w:r>
      </w:hyperlink>
    </w:p>
    <w:p w14:paraId="568339D9" w14:textId="151984A4"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79" w:history="1">
        <w:r w:rsidR="004A02EA" w:rsidRPr="00E924BB">
          <w:rPr>
            <w:rStyle w:val="Lienhypertexte"/>
            <w:noProof/>
          </w:rPr>
          <w:t>(V)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Risk for consumers via residues in food</w:t>
        </w:r>
        <w:r w:rsidR="004A02EA">
          <w:rPr>
            <w:noProof/>
            <w:webHidden/>
          </w:rPr>
          <w:tab/>
        </w:r>
        <w:r w:rsidR="004A02EA">
          <w:rPr>
            <w:noProof/>
            <w:webHidden/>
          </w:rPr>
          <w:fldChar w:fldCharType="begin"/>
        </w:r>
        <w:r w:rsidR="004A02EA">
          <w:rPr>
            <w:noProof/>
            <w:webHidden/>
          </w:rPr>
          <w:instrText xml:space="preserve"> PAGEREF _Toc12967179 \h </w:instrText>
        </w:r>
        <w:r w:rsidR="004A02EA">
          <w:rPr>
            <w:noProof/>
            <w:webHidden/>
          </w:rPr>
        </w:r>
        <w:r w:rsidR="004A02EA">
          <w:rPr>
            <w:noProof/>
            <w:webHidden/>
          </w:rPr>
          <w:fldChar w:fldCharType="separate"/>
        </w:r>
        <w:r w:rsidR="00901C2F">
          <w:rPr>
            <w:noProof/>
            <w:webHidden/>
          </w:rPr>
          <w:t>84</w:t>
        </w:r>
        <w:r w:rsidR="004A02EA">
          <w:rPr>
            <w:noProof/>
            <w:webHidden/>
          </w:rPr>
          <w:fldChar w:fldCharType="end"/>
        </w:r>
      </w:hyperlink>
    </w:p>
    <w:p w14:paraId="034F1F5D" w14:textId="657AA46B"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80" w:history="1">
        <w:r w:rsidR="004A02EA" w:rsidRPr="00E924BB">
          <w:rPr>
            <w:rStyle w:val="Lienhypertexte"/>
            <w:noProof/>
          </w:rPr>
          <w:t>(VI)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Risk characterisation from combined exposure to several active substances or substances of concern within a biocidal product</w:t>
        </w:r>
        <w:r w:rsidR="004A02EA">
          <w:rPr>
            <w:noProof/>
            <w:webHidden/>
          </w:rPr>
          <w:tab/>
        </w:r>
        <w:r w:rsidR="004A02EA">
          <w:rPr>
            <w:noProof/>
            <w:webHidden/>
          </w:rPr>
          <w:fldChar w:fldCharType="begin"/>
        </w:r>
        <w:r w:rsidR="004A02EA">
          <w:rPr>
            <w:noProof/>
            <w:webHidden/>
          </w:rPr>
          <w:instrText xml:space="preserve"> PAGEREF _Toc12967180 \h </w:instrText>
        </w:r>
        <w:r w:rsidR="004A02EA">
          <w:rPr>
            <w:noProof/>
            <w:webHidden/>
          </w:rPr>
        </w:r>
        <w:r w:rsidR="004A02EA">
          <w:rPr>
            <w:noProof/>
            <w:webHidden/>
          </w:rPr>
          <w:fldChar w:fldCharType="separate"/>
        </w:r>
        <w:r w:rsidR="00901C2F">
          <w:rPr>
            <w:noProof/>
            <w:webHidden/>
          </w:rPr>
          <w:t>84</w:t>
        </w:r>
        <w:r w:rsidR="004A02EA">
          <w:rPr>
            <w:noProof/>
            <w:webHidden/>
          </w:rPr>
          <w:fldChar w:fldCharType="end"/>
        </w:r>
      </w:hyperlink>
    </w:p>
    <w:p w14:paraId="0D72EAFC" w14:textId="54150454"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81" w:history="1">
        <w:r w:rsidR="004A02EA" w:rsidRPr="00E924BB">
          <w:rPr>
            <w:rStyle w:val="Lienhypertexte"/>
            <w:rFonts w:eastAsia="Calibri"/>
            <w:noProof/>
            <w:lang w:eastAsia="en-US"/>
          </w:rPr>
          <w:t>2.2.8</w:t>
        </w:r>
        <w:r w:rsidR="004A02EA">
          <w:rPr>
            <w:rFonts w:asciiTheme="minorHAnsi" w:eastAsiaTheme="minorEastAsia" w:hAnsiTheme="minorHAnsi" w:cstheme="minorBidi"/>
            <w:i w:val="0"/>
            <w:noProof/>
            <w:sz w:val="22"/>
            <w:szCs w:val="22"/>
            <w:lang w:val="en-US" w:eastAsia="en-US"/>
          </w:rPr>
          <w:tab/>
        </w:r>
        <w:r w:rsidR="004A02EA" w:rsidRPr="00E924BB">
          <w:rPr>
            <w:rStyle w:val="Lienhypertexte"/>
            <w:rFonts w:eastAsia="Calibri"/>
            <w:noProof/>
            <w:lang w:eastAsia="en-US"/>
          </w:rPr>
          <w:t>Risk assessment for animal health</w:t>
        </w:r>
        <w:r w:rsidR="004A02EA">
          <w:rPr>
            <w:noProof/>
            <w:webHidden/>
          </w:rPr>
          <w:tab/>
        </w:r>
        <w:r w:rsidR="004A02EA">
          <w:rPr>
            <w:noProof/>
            <w:webHidden/>
          </w:rPr>
          <w:fldChar w:fldCharType="begin"/>
        </w:r>
        <w:r w:rsidR="004A02EA">
          <w:rPr>
            <w:noProof/>
            <w:webHidden/>
          </w:rPr>
          <w:instrText xml:space="preserve"> PAGEREF _Toc12967181 \h </w:instrText>
        </w:r>
        <w:r w:rsidR="004A02EA">
          <w:rPr>
            <w:noProof/>
            <w:webHidden/>
          </w:rPr>
        </w:r>
        <w:r w:rsidR="004A02EA">
          <w:rPr>
            <w:noProof/>
            <w:webHidden/>
          </w:rPr>
          <w:fldChar w:fldCharType="separate"/>
        </w:r>
        <w:r w:rsidR="00901C2F">
          <w:rPr>
            <w:noProof/>
            <w:webHidden/>
          </w:rPr>
          <w:t>84</w:t>
        </w:r>
        <w:r w:rsidR="004A02EA">
          <w:rPr>
            <w:noProof/>
            <w:webHidden/>
          </w:rPr>
          <w:fldChar w:fldCharType="end"/>
        </w:r>
      </w:hyperlink>
    </w:p>
    <w:p w14:paraId="0CAD81DF" w14:textId="41380887"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182" w:history="1">
        <w:r w:rsidR="004A02EA" w:rsidRPr="00E924BB">
          <w:rPr>
            <w:rStyle w:val="Lienhypertexte"/>
            <w:rFonts w:eastAsia="Calibri"/>
            <w:noProof/>
            <w:lang w:eastAsia="en-US"/>
          </w:rPr>
          <w:t>2.2.9</w:t>
        </w:r>
        <w:r w:rsidR="004A02EA">
          <w:rPr>
            <w:rFonts w:asciiTheme="minorHAnsi" w:eastAsiaTheme="minorEastAsia" w:hAnsiTheme="minorHAnsi" w:cstheme="minorBidi"/>
            <w:i w:val="0"/>
            <w:noProof/>
            <w:sz w:val="22"/>
            <w:szCs w:val="22"/>
            <w:lang w:val="en-US" w:eastAsia="en-US"/>
          </w:rPr>
          <w:tab/>
        </w:r>
        <w:r w:rsidR="004A02EA" w:rsidRPr="00E924BB">
          <w:rPr>
            <w:rStyle w:val="Lienhypertexte"/>
            <w:rFonts w:eastAsia="Calibri"/>
            <w:noProof/>
            <w:lang w:eastAsia="en-US"/>
          </w:rPr>
          <w:t>Assessment of ED properties</w:t>
        </w:r>
        <w:r w:rsidR="004A02EA">
          <w:rPr>
            <w:noProof/>
            <w:webHidden/>
          </w:rPr>
          <w:tab/>
        </w:r>
        <w:r w:rsidR="004A02EA">
          <w:rPr>
            <w:noProof/>
            <w:webHidden/>
          </w:rPr>
          <w:fldChar w:fldCharType="begin"/>
        </w:r>
        <w:r w:rsidR="004A02EA">
          <w:rPr>
            <w:noProof/>
            <w:webHidden/>
          </w:rPr>
          <w:instrText xml:space="preserve"> PAGEREF _Toc12967182 \h </w:instrText>
        </w:r>
        <w:r w:rsidR="004A02EA">
          <w:rPr>
            <w:noProof/>
            <w:webHidden/>
          </w:rPr>
        </w:r>
        <w:r w:rsidR="004A02EA">
          <w:rPr>
            <w:noProof/>
            <w:webHidden/>
          </w:rPr>
          <w:fldChar w:fldCharType="separate"/>
        </w:r>
        <w:r w:rsidR="00901C2F">
          <w:rPr>
            <w:noProof/>
            <w:webHidden/>
          </w:rPr>
          <w:t>85</w:t>
        </w:r>
        <w:r w:rsidR="004A02EA">
          <w:rPr>
            <w:noProof/>
            <w:webHidden/>
          </w:rPr>
          <w:fldChar w:fldCharType="end"/>
        </w:r>
      </w:hyperlink>
    </w:p>
    <w:p w14:paraId="775BF497" w14:textId="6B72CBDD" w:rsidR="004A02EA" w:rsidRDefault="00C85279">
      <w:pPr>
        <w:pStyle w:val="TM3"/>
        <w:tabs>
          <w:tab w:val="left" w:pos="1540"/>
          <w:tab w:val="right" w:leader="dot" w:pos="9402"/>
        </w:tabs>
        <w:rPr>
          <w:rFonts w:asciiTheme="minorHAnsi" w:eastAsiaTheme="minorEastAsia" w:hAnsiTheme="minorHAnsi" w:cstheme="minorBidi"/>
          <w:i w:val="0"/>
          <w:noProof/>
          <w:sz w:val="22"/>
          <w:szCs w:val="22"/>
          <w:lang w:val="en-US" w:eastAsia="en-US"/>
        </w:rPr>
      </w:pPr>
      <w:hyperlink w:anchor="_Toc12967183" w:history="1">
        <w:r w:rsidR="004A02EA" w:rsidRPr="00E924BB">
          <w:rPr>
            <w:rStyle w:val="Lienhypertexte"/>
            <w:rFonts w:eastAsia="Calibri"/>
            <w:noProof/>
            <w:lang w:eastAsia="en-US"/>
          </w:rPr>
          <w:t>2.2.10</w:t>
        </w:r>
        <w:r w:rsidR="004A02EA">
          <w:rPr>
            <w:rFonts w:asciiTheme="minorHAnsi" w:eastAsiaTheme="minorEastAsia" w:hAnsiTheme="minorHAnsi" w:cstheme="minorBidi"/>
            <w:i w:val="0"/>
            <w:noProof/>
            <w:sz w:val="22"/>
            <w:szCs w:val="22"/>
            <w:lang w:val="en-US" w:eastAsia="en-US"/>
          </w:rPr>
          <w:tab/>
        </w:r>
        <w:r w:rsidR="004A02EA" w:rsidRPr="00E924BB">
          <w:rPr>
            <w:rStyle w:val="Lienhypertexte"/>
            <w:rFonts w:eastAsia="Calibri"/>
            <w:noProof/>
            <w:lang w:eastAsia="en-US"/>
          </w:rPr>
          <w:t>Risk assessment for the environment</w:t>
        </w:r>
        <w:r w:rsidR="004A02EA">
          <w:rPr>
            <w:noProof/>
            <w:webHidden/>
          </w:rPr>
          <w:tab/>
        </w:r>
        <w:r w:rsidR="004A02EA">
          <w:rPr>
            <w:noProof/>
            <w:webHidden/>
          </w:rPr>
          <w:fldChar w:fldCharType="begin"/>
        </w:r>
        <w:r w:rsidR="004A02EA">
          <w:rPr>
            <w:noProof/>
            <w:webHidden/>
          </w:rPr>
          <w:instrText xml:space="preserve"> PAGEREF _Toc12967183 \h </w:instrText>
        </w:r>
        <w:r w:rsidR="004A02EA">
          <w:rPr>
            <w:noProof/>
            <w:webHidden/>
          </w:rPr>
        </w:r>
        <w:r w:rsidR="004A02EA">
          <w:rPr>
            <w:noProof/>
            <w:webHidden/>
          </w:rPr>
          <w:fldChar w:fldCharType="separate"/>
        </w:r>
        <w:r w:rsidR="00901C2F">
          <w:rPr>
            <w:noProof/>
            <w:webHidden/>
          </w:rPr>
          <w:t>86</w:t>
        </w:r>
        <w:r w:rsidR="004A02EA">
          <w:rPr>
            <w:noProof/>
            <w:webHidden/>
          </w:rPr>
          <w:fldChar w:fldCharType="end"/>
        </w:r>
      </w:hyperlink>
    </w:p>
    <w:p w14:paraId="1DC347FB" w14:textId="640A44F4" w:rsidR="004A02EA" w:rsidRDefault="00C85279">
      <w:pPr>
        <w:pStyle w:val="TM4"/>
        <w:rPr>
          <w:rFonts w:asciiTheme="minorHAnsi" w:eastAsiaTheme="minorEastAsia" w:hAnsiTheme="minorHAnsi" w:cstheme="minorBidi"/>
          <w:noProof/>
          <w:sz w:val="22"/>
          <w:szCs w:val="22"/>
          <w:lang w:val="en-US" w:eastAsia="en-US"/>
        </w:rPr>
      </w:pPr>
      <w:hyperlink w:anchor="_Toc12967184" w:history="1">
        <w:r w:rsidR="004A02EA" w:rsidRPr="00E924BB">
          <w:rPr>
            <w:rStyle w:val="Lienhypertexte"/>
            <w:noProof/>
          </w:rPr>
          <w:t>2.2.10.1</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Effects assessment on the environment</w:t>
        </w:r>
        <w:r w:rsidR="004A02EA">
          <w:rPr>
            <w:noProof/>
            <w:webHidden/>
          </w:rPr>
          <w:tab/>
        </w:r>
        <w:r w:rsidR="004A02EA">
          <w:rPr>
            <w:noProof/>
            <w:webHidden/>
          </w:rPr>
          <w:fldChar w:fldCharType="begin"/>
        </w:r>
        <w:r w:rsidR="004A02EA">
          <w:rPr>
            <w:noProof/>
            <w:webHidden/>
          </w:rPr>
          <w:instrText xml:space="preserve"> PAGEREF _Toc12967184 \h </w:instrText>
        </w:r>
        <w:r w:rsidR="004A02EA">
          <w:rPr>
            <w:noProof/>
            <w:webHidden/>
          </w:rPr>
        </w:r>
        <w:r w:rsidR="004A02EA">
          <w:rPr>
            <w:noProof/>
            <w:webHidden/>
          </w:rPr>
          <w:fldChar w:fldCharType="separate"/>
        </w:r>
        <w:r w:rsidR="00901C2F">
          <w:rPr>
            <w:noProof/>
            <w:webHidden/>
          </w:rPr>
          <w:t>86</w:t>
        </w:r>
        <w:r w:rsidR="004A02EA">
          <w:rPr>
            <w:noProof/>
            <w:webHidden/>
          </w:rPr>
          <w:fldChar w:fldCharType="end"/>
        </w:r>
      </w:hyperlink>
    </w:p>
    <w:p w14:paraId="67AD3D3A" w14:textId="30092FBA" w:rsidR="004A02EA" w:rsidRDefault="00C85279">
      <w:pPr>
        <w:pStyle w:val="TM5"/>
        <w:tabs>
          <w:tab w:val="right" w:leader="dot" w:pos="9402"/>
        </w:tabs>
        <w:rPr>
          <w:rFonts w:asciiTheme="minorHAnsi" w:eastAsiaTheme="minorEastAsia" w:hAnsiTheme="minorHAnsi" w:cstheme="minorBidi"/>
          <w:i w:val="0"/>
          <w:noProof/>
          <w:color w:val="auto"/>
          <w:sz w:val="22"/>
          <w:szCs w:val="22"/>
          <w:lang w:val="en-US" w:eastAsia="en-US"/>
        </w:rPr>
      </w:pPr>
      <w:hyperlink w:anchor="_Toc12967185" w:history="1">
        <w:r w:rsidR="004A02EA" w:rsidRPr="00E924BB">
          <w:rPr>
            <w:rStyle w:val="Lienhypertexte"/>
            <w:noProof/>
          </w:rPr>
          <w:t>Environmental fate and behavior of the active substance</w:t>
        </w:r>
        <w:r w:rsidR="004A02EA">
          <w:rPr>
            <w:noProof/>
            <w:webHidden/>
          </w:rPr>
          <w:tab/>
        </w:r>
        <w:r w:rsidR="004A02EA">
          <w:rPr>
            <w:noProof/>
            <w:webHidden/>
          </w:rPr>
          <w:fldChar w:fldCharType="begin"/>
        </w:r>
        <w:r w:rsidR="004A02EA">
          <w:rPr>
            <w:noProof/>
            <w:webHidden/>
          </w:rPr>
          <w:instrText xml:space="preserve"> PAGEREF _Toc12967185 \h </w:instrText>
        </w:r>
        <w:r w:rsidR="004A02EA">
          <w:rPr>
            <w:noProof/>
            <w:webHidden/>
          </w:rPr>
        </w:r>
        <w:r w:rsidR="004A02EA">
          <w:rPr>
            <w:noProof/>
            <w:webHidden/>
          </w:rPr>
          <w:fldChar w:fldCharType="separate"/>
        </w:r>
        <w:r w:rsidR="00901C2F">
          <w:rPr>
            <w:noProof/>
            <w:webHidden/>
          </w:rPr>
          <w:t>86</w:t>
        </w:r>
        <w:r w:rsidR="004A02EA">
          <w:rPr>
            <w:noProof/>
            <w:webHidden/>
          </w:rPr>
          <w:fldChar w:fldCharType="end"/>
        </w:r>
      </w:hyperlink>
    </w:p>
    <w:p w14:paraId="7C12BA20" w14:textId="0FA09F5C" w:rsidR="004A02EA" w:rsidRDefault="00C85279">
      <w:pPr>
        <w:pStyle w:val="TM5"/>
        <w:tabs>
          <w:tab w:val="right" w:leader="dot" w:pos="9402"/>
        </w:tabs>
        <w:rPr>
          <w:rFonts w:asciiTheme="minorHAnsi" w:eastAsiaTheme="minorEastAsia" w:hAnsiTheme="minorHAnsi" w:cstheme="minorBidi"/>
          <w:i w:val="0"/>
          <w:noProof/>
          <w:color w:val="auto"/>
          <w:sz w:val="22"/>
          <w:szCs w:val="22"/>
          <w:lang w:val="en-US" w:eastAsia="en-US"/>
        </w:rPr>
      </w:pPr>
      <w:hyperlink w:anchor="_Toc12967186" w:history="1">
        <w:r w:rsidR="004A02EA" w:rsidRPr="00E924BB">
          <w:rPr>
            <w:rStyle w:val="Lienhypertexte"/>
            <w:noProof/>
          </w:rPr>
          <w:t>Effect assessment of the active substance</w:t>
        </w:r>
        <w:r w:rsidR="004A02EA">
          <w:rPr>
            <w:noProof/>
            <w:webHidden/>
          </w:rPr>
          <w:tab/>
        </w:r>
        <w:r w:rsidR="004A02EA">
          <w:rPr>
            <w:noProof/>
            <w:webHidden/>
          </w:rPr>
          <w:fldChar w:fldCharType="begin"/>
        </w:r>
        <w:r w:rsidR="004A02EA">
          <w:rPr>
            <w:noProof/>
            <w:webHidden/>
          </w:rPr>
          <w:instrText xml:space="preserve"> PAGEREF _Toc12967186 \h </w:instrText>
        </w:r>
        <w:r w:rsidR="004A02EA">
          <w:rPr>
            <w:noProof/>
            <w:webHidden/>
          </w:rPr>
        </w:r>
        <w:r w:rsidR="004A02EA">
          <w:rPr>
            <w:noProof/>
            <w:webHidden/>
          </w:rPr>
          <w:fldChar w:fldCharType="separate"/>
        </w:r>
        <w:r w:rsidR="00901C2F">
          <w:rPr>
            <w:noProof/>
            <w:webHidden/>
          </w:rPr>
          <w:t>86</w:t>
        </w:r>
        <w:r w:rsidR="004A02EA">
          <w:rPr>
            <w:noProof/>
            <w:webHidden/>
          </w:rPr>
          <w:fldChar w:fldCharType="end"/>
        </w:r>
      </w:hyperlink>
    </w:p>
    <w:p w14:paraId="757B5894" w14:textId="605C8DB4"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87" w:history="1">
        <w:r w:rsidR="004A02EA" w:rsidRPr="00E924BB">
          <w:rPr>
            <w:rStyle w:val="Lienhypertexte"/>
            <w:noProof/>
          </w:rPr>
          <w:t>(I)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Information relating to the ecotoxicity of the biocidal product which is sufficient to enable a decision to be made concerning the classification of the product is required</w:t>
        </w:r>
        <w:r w:rsidR="004A02EA">
          <w:rPr>
            <w:noProof/>
            <w:webHidden/>
          </w:rPr>
          <w:tab/>
        </w:r>
        <w:r w:rsidR="004A02EA">
          <w:rPr>
            <w:noProof/>
            <w:webHidden/>
          </w:rPr>
          <w:fldChar w:fldCharType="begin"/>
        </w:r>
        <w:r w:rsidR="004A02EA">
          <w:rPr>
            <w:noProof/>
            <w:webHidden/>
          </w:rPr>
          <w:instrText xml:space="preserve"> PAGEREF _Toc12967187 \h </w:instrText>
        </w:r>
        <w:r w:rsidR="004A02EA">
          <w:rPr>
            <w:noProof/>
            <w:webHidden/>
          </w:rPr>
        </w:r>
        <w:r w:rsidR="004A02EA">
          <w:rPr>
            <w:noProof/>
            <w:webHidden/>
          </w:rPr>
          <w:fldChar w:fldCharType="separate"/>
        </w:r>
        <w:r w:rsidR="00901C2F">
          <w:rPr>
            <w:noProof/>
            <w:webHidden/>
          </w:rPr>
          <w:t>87</w:t>
        </w:r>
        <w:r w:rsidR="004A02EA">
          <w:rPr>
            <w:noProof/>
            <w:webHidden/>
          </w:rPr>
          <w:fldChar w:fldCharType="end"/>
        </w:r>
      </w:hyperlink>
    </w:p>
    <w:p w14:paraId="180228D1" w14:textId="154C1AF3"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88" w:history="1">
        <w:r w:rsidR="004A02EA" w:rsidRPr="00E924BB">
          <w:rPr>
            <w:rStyle w:val="Lienhypertexte"/>
            <w:noProof/>
          </w:rPr>
          <w:t>(II)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Further Ecotoxicological studies</w:t>
        </w:r>
        <w:r w:rsidR="004A02EA">
          <w:rPr>
            <w:noProof/>
            <w:webHidden/>
          </w:rPr>
          <w:tab/>
        </w:r>
        <w:r w:rsidR="004A02EA">
          <w:rPr>
            <w:noProof/>
            <w:webHidden/>
          </w:rPr>
          <w:fldChar w:fldCharType="begin"/>
        </w:r>
        <w:r w:rsidR="004A02EA">
          <w:rPr>
            <w:noProof/>
            <w:webHidden/>
          </w:rPr>
          <w:instrText xml:space="preserve"> PAGEREF _Toc12967188 \h </w:instrText>
        </w:r>
        <w:r w:rsidR="004A02EA">
          <w:rPr>
            <w:noProof/>
            <w:webHidden/>
          </w:rPr>
        </w:r>
        <w:r w:rsidR="004A02EA">
          <w:rPr>
            <w:noProof/>
            <w:webHidden/>
          </w:rPr>
          <w:fldChar w:fldCharType="separate"/>
        </w:r>
        <w:r w:rsidR="00901C2F">
          <w:rPr>
            <w:noProof/>
            <w:webHidden/>
          </w:rPr>
          <w:t>88</w:t>
        </w:r>
        <w:r w:rsidR="004A02EA">
          <w:rPr>
            <w:noProof/>
            <w:webHidden/>
          </w:rPr>
          <w:fldChar w:fldCharType="end"/>
        </w:r>
      </w:hyperlink>
    </w:p>
    <w:p w14:paraId="25E4A7EE" w14:textId="1413B2DB"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89" w:history="1">
        <w:r w:rsidR="004A02EA" w:rsidRPr="00E924BB">
          <w:rPr>
            <w:rStyle w:val="Lienhypertexte"/>
            <w:noProof/>
          </w:rPr>
          <w:t>(III)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Effects on any other specific, non-target organisms (flora and fauna) believed to be at risk (ADS)</w:t>
        </w:r>
        <w:r w:rsidR="004A02EA">
          <w:rPr>
            <w:noProof/>
            <w:webHidden/>
          </w:rPr>
          <w:tab/>
        </w:r>
        <w:r w:rsidR="004A02EA">
          <w:rPr>
            <w:noProof/>
            <w:webHidden/>
          </w:rPr>
          <w:fldChar w:fldCharType="begin"/>
        </w:r>
        <w:r w:rsidR="004A02EA">
          <w:rPr>
            <w:noProof/>
            <w:webHidden/>
          </w:rPr>
          <w:instrText xml:space="preserve"> PAGEREF _Toc12967189 \h </w:instrText>
        </w:r>
        <w:r w:rsidR="004A02EA">
          <w:rPr>
            <w:noProof/>
            <w:webHidden/>
          </w:rPr>
        </w:r>
        <w:r w:rsidR="004A02EA">
          <w:rPr>
            <w:noProof/>
            <w:webHidden/>
          </w:rPr>
          <w:fldChar w:fldCharType="separate"/>
        </w:r>
        <w:r w:rsidR="00901C2F">
          <w:rPr>
            <w:noProof/>
            <w:webHidden/>
          </w:rPr>
          <w:t>88</w:t>
        </w:r>
        <w:r w:rsidR="004A02EA">
          <w:rPr>
            <w:noProof/>
            <w:webHidden/>
          </w:rPr>
          <w:fldChar w:fldCharType="end"/>
        </w:r>
      </w:hyperlink>
    </w:p>
    <w:p w14:paraId="500B0C4F" w14:textId="5C46CF20"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90" w:history="1">
        <w:r w:rsidR="004A02EA" w:rsidRPr="00E924BB">
          <w:rPr>
            <w:rStyle w:val="Lienhypertexte"/>
            <w:noProof/>
          </w:rPr>
          <w:t>(IV)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Supervised trials to assess risks to non-target organisms under field conditions</w:t>
        </w:r>
        <w:r w:rsidR="004A02EA">
          <w:rPr>
            <w:noProof/>
            <w:webHidden/>
          </w:rPr>
          <w:tab/>
        </w:r>
        <w:r w:rsidR="004A02EA">
          <w:rPr>
            <w:noProof/>
            <w:webHidden/>
          </w:rPr>
          <w:fldChar w:fldCharType="begin"/>
        </w:r>
        <w:r w:rsidR="004A02EA">
          <w:rPr>
            <w:noProof/>
            <w:webHidden/>
          </w:rPr>
          <w:instrText xml:space="preserve"> PAGEREF _Toc12967190 \h </w:instrText>
        </w:r>
        <w:r w:rsidR="004A02EA">
          <w:rPr>
            <w:noProof/>
            <w:webHidden/>
          </w:rPr>
        </w:r>
        <w:r w:rsidR="004A02EA">
          <w:rPr>
            <w:noProof/>
            <w:webHidden/>
          </w:rPr>
          <w:fldChar w:fldCharType="separate"/>
        </w:r>
        <w:r w:rsidR="00901C2F">
          <w:rPr>
            <w:noProof/>
            <w:webHidden/>
          </w:rPr>
          <w:t>88</w:t>
        </w:r>
        <w:r w:rsidR="004A02EA">
          <w:rPr>
            <w:noProof/>
            <w:webHidden/>
          </w:rPr>
          <w:fldChar w:fldCharType="end"/>
        </w:r>
      </w:hyperlink>
    </w:p>
    <w:p w14:paraId="52E40B0A" w14:textId="3B06982E"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91" w:history="1">
        <w:r w:rsidR="004A02EA" w:rsidRPr="00E924BB">
          <w:rPr>
            <w:rStyle w:val="Lienhypertexte"/>
            <w:noProof/>
          </w:rPr>
          <w:t>(V)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Studies on acceptance by ingestion of the biocidal product by any non-target organisms thought to be at risk</w:t>
        </w:r>
        <w:r w:rsidR="004A02EA">
          <w:rPr>
            <w:noProof/>
            <w:webHidden/>
          </w:rPr>
          <w:tab/>
        </w:r>
        <w:r w:rsidR="004A02EA">
          <w:rPr>
            <w:noProof/>
            <w:webHidden/>
          </w:rPr>
          <w:fldChar w:fldCharType="begin"/>
        </w:r>
        <w:r w:rsidR="004A02EA">
          <w:rPr>
            <w:noProof/>
            <w:webHidden/>
          </w:rPr>
          <w:instrText xml:space="preserve"> PAGEREF _Toc12967191 \h </w:instrText>
        </w:r>
        <w:r w:rsidR="004A02EA">
          <w:rPr>
            <w:noProof/>
            <w:webHidden/>
          </w:rPr>
        </w:r>
        <w:r w:rsidR="004A02EA">
          <w:rPr>
            <w:noProof/>
            <w:webHidden/>
          </w:rPr>
          <w:fldChar w:fldCharType="separate"/>
        </w:r>
        <w:r w:rsidR="00901C2F">
          <w:rPr>
            <w:noProof/>
            <w:webHidden/>
          </w:rPr>
          <w:t>88</w:t>
        </w:r>
        <w:r w:rsidR="004A02EA">
          <w:rPr>
            <w:noProof/>
            <w:webHidden/>
          </w:rPr>
          <w:fldChar w:fldCharType="end"/>
        </w:r>
      </w:hyperlink>
    </w:p>
    <w:p w14:paraId="11885E65" w14:textId="7A77B877"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92" w:history="1">
        <w:r w:rsidR="004A02EA" w:rsidRPr="00E924BB">
          <w:rPr>
            <w:rStyle w:val="Lienhypertexte"/>
            <w:noProof/>
          </w:rPr>
          <w:t>(VI)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Secondary ecological effect e.g. when a large proportion of a specific habitat type is treated (ADS)</w:t>
        </w:r>
        <w:r w:rsidR="004A02EA">
          <w:rPr>
            <w:noProof/>
            <w:webHidden/>
          </w:rPr>
          <w:tab/>
        </w:r>
        <w:r w:rsidR="004A02EA">
          <w:rPr>
            <w:noProof/>
            <w:webHidden/>
          </w:rPr>
          <w:fldChar w:fldCharType="begin"/>
        </w:r>
        <w:r w:rsidR="004A02EA">
          <w:rPr>
            <w:noProof/>
            <w:webHidden/>
          </w:rPr>
          <w:instrText xml:space="preserve"> PAGEREF _Toc12967192 \h </w:instrText>
        </w:r>
        <w:r w:rsidR="004A02EA">
          <w:rPr>
            <w:noProof/>
            <w:webHidden/>
          </w:rPr>
        </w:r>
        <w:r w:rsidR="004A02EA">
          <w:rPr>
            <w:noProof/>
            <w:webHidden/>
          </w:rPr>
          <w:fldChar w:fldCharType="separate"/>
        </w:r>
        <w:r w:rsidR="00901C2F">
          <w:rPr>
            <w:noProof/>
            <w:webHidden/>
          </w:rPr>
          <w:t>88</w:t>
        </w:r>
        <w:r w:rsidR="004A02EA">
          <w:rPr>
            <w:noProof/>
            <w:webHidden/>
          </w:rPr>
          <w:fldChar w:fldCharType="end"/>
        </w:r>
      </w:hyperlink>
    </w:p>
    <w:p w14:paraId="379A016A" w14:textId="5AF75662"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93" w:history="1">
        <w:r w:rsidR="004A02EA" w:rsidRPr="00E924BB">
          <w:rPr>
            <w:rStyle w:val="Lienhypertexte"/>
            <w:noProof/>
          </w:rPr>
          <w:t>(VII)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Foreseeable routes of entry into the environment on the basis of the use envisaged</w:t>
        </w:r>
        <w:r w:rsidR="004A02EA">
          <w:rPr>
            <w:noProof/>
            <w:webHidden/>
          </w:rPr>
          <w:tab/>
        </w:r>
        <w:r w:rsidR="004A02EA">
          <w:rPr>
            <w:noProof/>
            <w:webHidden/>
          </w:rPr>
          <w:fldChar w:fldCharType="begin"/>
        </w:r>
        <w:r w:rsidR="004A02EA">
          <w:rPr>
            <w:noProof/>
            <w:webHidden/>
          </w:rPr>
          <w:instrText xml:space="preserve"> PAGEREF _Toc12967193 \h </w:instrText>
        </w:r>
        <w:r w:rsidR="004A02EA">
          <w:rPr>
            <w:noProof/>
            <w:webHidden/>
          </w:rPr>
        </w:r>
        <w:r w:rsidR="004A02EA">
          <w:rPr>
            <w:noProof/>
            <w:webHidden/>
          </w:rPr>
          <w:fldChar w:fldCharType="separate"/>
        </w:r>
        <w:r w:rsidR="00901C2F">
          <w:rPr>
            <w:noProof/>
            <w:webHidden/>
          </w:rPr>
          <w:t>88</w:t>
        </w:r>
        <w:r w:rsidR="004A02EA">
          <w:rPr>
            <w:noProof/>
            <w:webHidden/>
          </w:rPr>
          <w:fldChar w:fldCharType="end"/>
        </w:r>
      </w:hyperlink>
    </w:p>
    <w:p w14:paraId="2A35063E" w14:textId="3A98320F"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94" w:history="1">
        <w:r w:rsidR="004A02EA" w:rsidRPr="00E924BB">
          <w:rPr>
            <w:rStyle w:val="Lienhypertexte"/>
            <w:noProof/>
          </w:rPr>
          <w:t>(VIII)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Further studies on fate and behaviour in the environment (ADS)</w:t>
        </w:r>
        <w:r w:rsidR="004A02EA">
          <w:rPr>
            <w:noProof/>
            <w:webHidden/>
          </w:rPr>
          <w:tab/>
        </w:r>
        <w:r w:rsidR="004A02EA">
          <w:rPr>
            <w:noProof/>
            <w:webHidden/>
          </w:rPr>
          <w:fldChar w:fldCharType="begin"/>
        </w:r>
        <w:r w:rsidR="004A02EA">
          <w:rPr>
            <w:noProof/>
            <w:webHidden/>
          </w:rPr>
          <w:instrText xml:space="preserve"> PAGEREF _Toc12967194 \h </w:instrText>
        </w:r>
        <w:r w:rsidR="004A02EA">
          <w:rPr>
            <w:noProof/>
            <w:webHidden/>
          </w:rPr>
        </w:r>
        <w:r w:rsidR="004A02EA">
          <w:rPr>
            <w:noProof/>
            <w:webHidden/>
          </w:rPr>
          <w:fldChar w:fldCharType="separate"/>
        </w:r>
        <w:r w:rsidR="00901C2F">
          <w:rPr>
            <w:noProof/>
            <w:webHidden/>
          </w:rPr>
          <w:t>88</w:t>
        </w:r>
        <w:r w:rsidR="004A02EA">
          <w:rPr>
            <w:noProof/>
            <w:webHidden/>
          </w:rPr>
          <w:fldChar w:fldCharType="end"/>
        </w:r>
      </w:hyperlink>
    </w:p>
    <w:p w14:paraId="4F3D3DFB" w14:textId="5B260EDF"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95" w:history="1">
        <w:r w:rsidR="004A02EA" w:rsidRPr="00E924BB">
          <w:rPr>
            <w:rStyle w:val="Lienhypertexte"/>
            <w:noProof/>
          </w:rPr>
          <w:t>(IX)</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Leaching behaviour (ADS)</w:t>
        </w:r>
        <w:r w:rsidR="004A02EA">
          <w:rPr>
            <w:noProof/>
            <w:webHidden/>
          </w:rPr>
          <w:tab/>
        </w:r>
        <w:r w:rsidR="004A02EA">
          <w:rPr>
            <w:noProof/>
            <w:webHidden/>
          </w:rPr>
          <w:fldChar w:fldCharType="begin"/>
        </w:r>
        <w:r w:rsidR="004A02EA">
          <w:rPr>
            <w:noProof/>
            <w:webHidden/>
          </w:rPr>
          <w:instrText xml:space="preserve"> PAGEREF _Toc12967195 \h </w:instrText>
        </w:r>
        <w:r w:rsidR="004A02EA">
          <w:rPr>
            <w:noProof/>
            <w:webHidden/>
          </w:rPr>
        </w:r>
        <w:r w:rsidR="004A02EA">
          <w:rPr>
            <w:noProof/>
            <w:webHidden/>
          </w:rPr>
          <w:fldChar w:fldCharType="separate"/>
        </w:r>
        <w:r w:rsidR="00901C2F">
          <w:rPr>
            <w:noProof/>
            <w:webHidden/>
          </w:rPr>
          <w:t>89</w:t>
        </w:r>
        <w:r w:rsidR="004A02EA">
          <w:rPr>
            <w:noProof/>
            <w:webHidden/>
          </w:rPr>
          <w:fldChar w:fldCharType="end"/>
        </w:r>
      </w:hyperlink>
    </w:p>
    <w:p w14:paraId="7B7FAEA1" w14:textId="750EA612"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96" w:history="1">
        <w:r w:rsidR="004A02EA" w:rsidRPr="00E924BB">
          <w:rPr>
            <w:rStyle w:val="Lienhypertexte"/>
            <w:noProof/>
          </w:rPr>
          <w:t>(X)</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Testing for distribution and dissipation in soil (ADS)</w:t>
        </w:r>
        <w:r w:rsidR="004A02EA">
          <w:rPr>
            <w:noProof/>
            <w:webHidden/>
          </w:rPr>
          <w:tab/>
        </w:r>
        <w:r w:rsidR="004A02EA">
          <w:rPr>
            <w:noProof/>
            <w:webHidden/>
          </w:rPr>
          <w:fldChar w:fldCharType="begin"/>
        </w:r>
        <w:r w:rsidR="004A02EA">
          <w:rPr>
            <w:noProof/>
            <w:webHidden/>
          </w:rPr>
          <w:instrText xml:space="preserve"> PAGEREF _Toc12967196 \h </w:instrText>
        </w:r>
        <w:r w:rsidR="004A02EA">
          <w:rPr>
            <w:noProof/>
            <w:webHidden/>
          </w:rPr>
        </w:r>
        <w:r w:rsidR="004A02EA">
          <w:rPr>
            <w:noProof/>
            <w:webHidden/>
          </w:rPr>
          <w:fldChar w:fldCharType="separate"/>
        </w:r>
        <w:r w:rsidR="00901C2F">
          <w:rPr>
            <w:noProof/>
            <w:webHidden/>
          </w:rPr>
          <w:t>89</w:t>
        </w:r>
        <w:r w:rsidR="004A02EA">
          <w:rPr>
            <w:noProof/>
            <w:webHidden/>
          </w:rPr>
          <w:fldChar w:fldCharType="end"/>
        </w:r>
      </w:hyperlink>
    </w:p>
    <w:p w14:paraId="6C5B5EA1" w14:textId="55859FB8"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97" w:history="1">
        <w:r w:rsidR="004A02EA" w:rsidRPr="00E924BB">
          <w:rPr>
            <w:rStyle w:val="Lienhypertexte"/>
            <w:noProof/>
          </w:rPr>
          <w:t>(XI)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Testing for distribution and dissipation in water and sediment (ADS)</w:t>
        </w:r>
        <w:r w:rsidR="004A02EA">
          <w:rPr>
            <w:noProof/>
            <w:webHidden/>
          </w:rPr>
          <w:tab/>
        </w:r>
        <w:r w:rsidR="004A02EA">
          <w:rPr>
            <w:noProof/>
            <w:webHidden/>
          </w:rPr>
          <w:fldChar w:fldCharType="begin"/>
        </w:r>
        <w:r w:rsidR="004A02EA">
          <w:rPr>
            <w:noProof/>
            <w:webHidden/>
          </w:rPr>
          <w:instrText xml:space="preserve"> PAGEREF _Toc12967197 \h </w:instrText>
        </w:r>
        <w:r w:rsidR="004A02EA">
          <w:rPr>
            <w:noProof/>
            <w:webHidden/>
          </w:rPr>
        </w:r>
        <w:r w:rsidR="004A02EA">
          <w:rPr>
            <w:noProof/>
            <w:webHidden/>
          </w:rPr>
          <w:fldChar w:fldCharType="separate"/>
        </w:r>
        <w:r w:rsidR="00901C2F">
          <w:rPr>
            <w:noProof/>
            <w:webHidden/>
          </w:rPr>
          <w:t>89</w:t>
        </w:r>
        <w:r w:rsidR="004A02EA">
          <w:rPr>
            <w:noProof/>
            <w:webHidden/>
          </w:rPr>
          <w:fldChar w:fldCharType="end"/>
        </w:r>
      </w:hyperlink>
    </w:p>
    <w:p w14:paraId="084A4858" w14:textId="6975585A"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98" w:history="1">
        <w:r w:rsidR="004A02EA" w:rsidRPr="00E924BB">
          <w:rPr>
            <w:rStyle w:val="Lienhypertexte"/>
            <w:noProof/>
          </w:rPr>
          <w:t>(XII)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Testing for distribution and dissipation in air (ADS)</w:t>
        </w:r>
        <w:r w:rsidR="004A02EA">
          <w:rPr>
            <w:noProof/>
            <w:webHidden/>
          </w:rPr>
          <w:tab/>
        </w:r>
        <w:r w:rsidR="004A02EA">
          <w:rPr>
            <w:noProof/>
            <w:webHidden/>
          </w:rPr>
          <w:fldChar w:fldCharType="begin"/>
        </w:r>
        <w:r w:rsidR="004A02EA">
          <w:rPr>
            <w:noProof/>
            <w:webHidden/>
          </w:rPr>
          <w:instrText xml:space="preserve"> PAGEREF _Toc12967198 \h </w:instrText>
        </w:r>
        <w:r w:rsidR="004A02EA">
          <w:rPr>
            <w:noProof/>
            <w:webHidden/>
          </w:rPr>
        </w:r>
        <w:r w:rsidR="004A02EA">
          <w:rPr>
            <w:noProof/>
            <w:webHidden/>
          </w:rPr>
          <w:fldChar w:fldCharType="separate"/>
        </w:r>
        <w:r w:rsidR="00901C2F">
          <w:rPr>
            <w:noProof/>
            <w:webHidden/>
          </w:rPr>
          <w:t>89</w:t>
        </w:r>
        <w:r w:rsidR="004A02EA">
          <w:rPr>
            <w:noProof/>
            <w:webHidden/>
          </w:rPr>
          <w:fldChar w:fldCharType="end"/>
        </w:r>
      </w:hyperlink>
    </w:p>
    <w:p w14:paraId="24C60334" w14:textId="7684C46E"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199" w:history="1">
        <w:r w:rsidR="004A02EA" w:rsidRPr="00E924BB">
          <w:rPr>
            <w:rStyle w:val="Lienhypertexte"/>
            <w:noProof/>
          </w:rPr>
          <w:t>(XIII)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If the biocidal product is to be sprayed near to surface waters then an overspray study may be required to assess risks to aquatic organisms or plants under field conditions (ADS)</w:t>
        </w:r>
        <w:r w:rsidR="004A02EA">
          <w:rPr>
            <w:noProof/>
            <w:webHidden/>
          </w:rPr>
          <w:tab/>
        </w:r>
        <w:r w:rsidR="004A02EA">
          <w:rPr>
            <w:noProof/>
            <w:webHidden/>
          </w:rPr>
          <w:fldChar w:fldCharType="begin"/>
        </w:r>
        <w:r w:rsidR="004A02EA">
          <w:rPr>
            <w:noProof/>
            <w:webHidden/>
          </w:rPr>
          <w:instrText xml:space="preserve"> PAGEREF _Toc12967199 \h </w:instrText>
        </w:r>
        <w:r w:rsidR="004A02EA">
          <w:rPr>
            <w:noProof/>
            <w:webHidden/>
          </w:rPr>
        </w:r>
        <w:r w:rsidR="004A02EA">
          <w:rPr>
            <w:noProof/>
            <w:webHidden/>
          </w:rPr>
          <w:fldChar w:fldCharType="separate"/>
        </w:r>
        <w:r w:rsidR="00901C2F">
          <w:rPr>
            <w:noProof/>
            <w:webHidden/>
          </w:rPr>
          <w:t>89</w:t>
        </w:r>
        <w:r w:rsidR="004A02EA">
          <w:rPr>
            <w:noProof/>
            <w:webHidden/>
          </w:rPr>
          <w:fldChar w:fldCharType="end"/>
        </w:r>
      </w:hyperlink>
    </w:p>
    <w:p w14:paraId="5B75B44F" w14:textId="21432E1D"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00" w:history="1">
        <w:r w:rsidR="004A02EA" w:rsidRPr="00E924BB">
          <w:rPr>
            <w:rStyle w:val="Lienhypertexte"/>
            <w:noProof/>
          </w:rPr>
          <w:t>(XIV)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If the biocidal product is to be sprayed outside or if potential for large scale formation of dust is given then data on overspray behaviour may be required to assess risks to bees and non-target arthropods under field conditions (ADS)</w:t>
        </w:r>
        <w:r w:rsidR="004A02EA">
          <w:rPr>
            <w:noProof/>
            <w:webHidden/>
          </w:rPr>
          <w:tab/>
        </w:r>
        <w:r w:rsidR="004A02EA">
          <w:rPr>
            <w:noProof/>
            <w:webHidden/>
          </w:rPr>
          <w:fldChar w:fldCharType="begin"/>
        </w:r>
        <w:r w:rsidR="004A02EA">
          <w:rPr>
            <w:noProof/>
            <w:webHidden/>
          </w:rPr>
          <w:instrText xml:space="preserve"> PAGEREF _Toc12967200 \h </w:instrText>
        </w:r>
        <w:r w:rsidR="004A02EA">
          <w:rPr>
            <w:noProof/>
            <w:webHidden/>
          </w:rPr>
        </w:r>
        <w:r w:rsidR="004A02EA">
          <w:rPr>
            <w:noProof/>
            <w:webHidden/>
          </w:rPr>
          <w:fldChar w:fldCharType="separate"/>
        </w:r>
        <w:r w:rsidR="00901C2F">
          <w:rPr>
            <w:noProof/>
            <w:webHidden/>
          </w:rPr>
          <w:t>89</w:t>
        </w:r>
        <w:r w:rsidR="004A02EA">
          <w:rPr>
            <w:noProof/>
            <w:webHidden/>
          </w:rPr>
          <w:fldChar w:fldCharType="end"/>
        </w:r>
      </w:hyperlink>
    </w:p>
    <w:p w14:paraId="4D933368" w14:textId="0495B268" w:rsidR="004A02EA" w:rsidRDefault="00C85279">
      <w:pPr>
        <w:pStyle w:val="TM4"/>
        <w:rPr>
          <w:rFonts w:asciiTheme="minorHAnsi" w:eastAsiaTheme="minorEastAsia" w:hAnsiTheme="minorHAnsi" w:cstheme="minorBidi"/>
          <w:noProof/>
          <w:sz w:val="22"/>
          <w:szCs w:val="22"/>
          <w:lang w:val="en-US" w:eastAsia="en-US"/>
        </w:rPr>
      </w:pPr>
      <w:hyperlink w:anchor="_Toc12967201" w:history="1">
        <w:r w:rsidR="004A02EA" w:rsidRPr="00E924BB">
          <w:rPr>
            <w:rStyle w:val="Lienhypertexte"/>
            <w:noProof/>
          </w:rPr>
          <w:t>2.2.10.2</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Exposure assessment</w:t>
        </w:r>
        <w:r w:rsidR="004A02EA">
          <w:rPr>
            <w:noProof/>
            <w:webHidden/>
          </w:rPr>
          <w:tab/>
        </w:r>
        <w:r w:rsidR="004A02EA">
          <w:rPr>
            <w:noProof/>
            <w:webHidden/>
          </w:rPr>
          <w:fldChar w:fldCharType="begin"/>
        </w:r>
        <w:r w:rsidR="004A02EA">
          <w:rPr>
            <w:noProof/>
            <w:webHidden/>
          </w:rPr>
          <w:instrText xml:space="preserve"> PAGEREF _Toc12967201 \h </w:instrText>
        </w:r>
        <w:r w:rsidR="004A02EA">
          <w:rPr>
            <w:noProof/>
            <w:webHidden/>
          </w:rPr>
        </w:r>
        <w:r w:rsidR="004A02EA">
          <w:rPr>
            <w:noProof/>
            <w:webHidden/>
          </w:rPr>
          <w:fldChar w:fldCharType="separate"/>
        </w:r>
        <w:r w:rsidR="00901C2F">
          <w:rPr>
            <w:noProof/>
            <w:webHidden/>
          </w:rPr>
          <w:t>90</w:t>
        </w:r>
        <w:r w:rsidR="004A02EA">
          <w:rPr>
            <w:noProof/>
            <w:webHidden/>
          </w:rPr>
          <w:fldChar w:fldCharType="end"/>
        </w:r>
      </w:hyperlink>
    </w:p>
    <w:p w14:paraId="23280E86" w14:textId="13F7D336"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02" w:history="1">
        <w:r w:rsidR="004A02EA" w:rsidRPr="00E924BB">
          <w:rPr>
            <w:rStyle w:val="Lienhypertexte"/>
            <w:noProof/>
          </w:rPr>
          <w:t>(I)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General information</w:t>
        </w:r>
        <w:r w:rsidR="004A02EA">
          <w:rPr>
            <w:noProof/>
            <w:webHidden/>
          </w:rPr>
          <w:tab/>
        </w:r>
        <w:r w:rsidR="004A02EA">
          <w:rPr>
            <w:noProof/>
            <w:webHidden/>
          </w:rPr>
          <w:fldChar w:fldCharType="begin"/>
        </w:r>
        <w:r w:rsidR="004A02EA">
          <w:rPr>
            <w:noProof/>
            <w:webHidden/>
          </w:rPr>
          <w:instrText xml:space="preserve"> PAGEREF _Toc12967202 \h </w:instrText>
        </w:r>
        <w:r w:rsidR="004A02EA">
          <w:rPr>
            <w:noProof/>
            <w:webHidden/>
          </w:rPr>
        </w:r>
        <w:r w:rsidR="004A02EA">
          <w:rPr>
            <w:noProof/>
            <w:webHidden/>
          </w:rPr>
          <w:fldChar w:fldCharType="separate"/>
        </w:r>
        <w:r w:rsidR="00901C2F">
          <w:rPr>
            <w:noProof/>
            <w:webHidden/>
          </w:rPr>
          <w:t>90</w:t>
        </w:r>
        <w:r w:rsidR="004A02EA">
          <w:rPr>
            <w:noProof/>
            <w:webHidden/>
          </w:rPr>
          <w:fldChar w:fldCharType="end"/>
        </w:r>
      </w:hyperlink>
    </w:p>
    <w:p w14:paraId="52C1FA2E" w14:textId="19F64A91"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03" w:history="1">
        <w:r w:rsidR="004A02EA" w:rsidRPr="00E924BB">
          <w:rPr>
            <w:rStyle w:val="Lienhypertexte"/>
            <w:noProof/>
          </w:rPr>
          <w:t>(II)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Emission estimation</w:t>
        </w:r>
        <w:r w:rsidR="004A02EA">
          <w:rPr>
            <w:noProof/>
            <w:webHidden/>
          </w:rPr>
          <w:tab/>
        </w:r>
        <w:r w:rsidR="004A02EA">
          <w:rPr>
            <w:noProof/>
            <w:webHidden/>
          </w:rPr>
          <w:fldChar w:fldCharType="begin"/>
        </w:r>
        <w:r w:rsidR="004A02EA">
          <w:rPr>
            <w:noProof/>
            <w:webHidden/>
          </w:rPr>
          <w:instrText xml:space="preserve"> PAGEREF _Toc12967203 \h </w:instrText>
        </w:r>
        <w:r w:rsidR="004A02EA">
          <w:rPr>
            <w:noProof/>
            <w:webHidden/>
          </w:rPr>
        </w:r>
        <w:r w:rsidR="004A02EA">
          <w:rPr>
            <w:noProof/>
            <w:webHidden/>
          </w:rPr>
          <w:fldChar w:fldCharType="separate"/>
        </w:r>
        <w:r w:rsidR="00901C2F">
          <w:rPr>
            <w:noProof/>
            <w:webHidden/>
          </w:rPr>
          <w:t>91</w:t>
        </w:r>
        <w:r w:rsidR="004A02EA">
          <w:rPr>
            <w:noProof/>
            <w:webHidden/>
          </w:rPr>
          <w:fldChar w:fldCharType="end"/>
        </w:r>
      </w:hyperlink>
    </w:p>
    <w:p w14:paraId="76A785D5" w14:textId="7EE8057A"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04" w:history="1">
        <w:r w:rsidR="004A02EA" w:rsidRPr="00E924BB">
          <w:rPr>
            <w:rStyle w:val="Lienhypertexte"/>
            <w:noProof/>
          </w:rPr>
          <w:t>(III)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Fate and distribution in exposed environmental compartments</w:t>
        </w:r>
        <w:r w:rsidR="004A02EA">
          <w:rPr>
            <w:noProof/>
            <w:webHidden/>
          </w:rPr>
          <w:tab/>
        </w:r>
        <w:r w:rsidR="004A02EA">
          <w:rPr>
            <w:noProof/>
            <w:webHidden/>
          </w:rPr>
          <w:fldChar w:fldCharType="begin"/>
        </w:r>
        <w:r w:rsidR="004A02EA">
          <w:rPr>
            <w:noProof/>
            <w:webHidden/>
          </w:rPr>
          <w:instrText xml:space="preserve"> PAGEREF _Toc12967204 \h </w:instrText>
        </w:r>
        <w:r w:rsidR="004A02EA">
          <w:rPr>
            <w:noProof/>
            <w:webHidden/>
          </w:rPr>
        </w:r>
        <w:r w:rsidR="004A02EA">
          <w:rPr>
            <w:noProof/>
            <w:webHidden/>
          </w:rPr>
          <w:fldChar w:fldCharType="separate"/>
        </w:r>
        <w:r w:rsidR="00901C2F">
          <w:rPr>
            <w:noProof/>
            <w:webHidden/>
          </w:rPr>
          <w:t>95</w:t>
        </w:r>
        <w:r w:rsidR="004A02EA">
          <w:rPr>
            <w:noProof/>
            <w:webHidden/>
          </w:rPr>
          <w:fldChar w:fldCharType="end"/>
        </w:r>
      </w:hyperlink>
    </w:p>
    <w:p w14:paraId="13C63564" w14:textId="43111230"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05" w:history="1">
        <w:r w:rsidR="004A02EA" w:rsidRPr="00E924BB">
          <w:rPr>
            <w:rStyle w:val="Lienhypertexte"/>
            <w:noProof/>
          </w:rPr>
          <w:t>(IV)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Calculated PEC values</w:t>
        </w:r>
        <w:r w:rsidR="004A02EA">
          <w:rPr>
            <w:noProof/>
            <w:webHidden/>
          </w:rPr>
          <w:tab/>
        </w:r>
        <w:r w:rsidR="004A02EA">
          <w:rPr>
            <w:noProof/>
            <w:webHidden/>
          </w:rPr>
          <w:fldChar w:fldCharType="begin"/>
        </w:r>
        <w:r w:rsidR="004A02EA">
          <w:rPr>
            <w:noProof/>
            <w:webHidden/>
          </w:rPr>
          <w:instrText xml:space="preserve"> PAGEREF _Toc12967205 \h </w:instrText>
        </w:r>
        <w:r w:rsidR="004A02EA">
          <w:rPr>
            <w:noProof/>
            <w:webHidden/>
          </w:rPr>
        </w:r>
        <w:r w:rsidR="004A02EA">
          <w:rPr>
            <w:noProof/>
            <w:webHidden/>
          </w:rPr>
          <w:fldChar w:fldCharType="separate"/>
        </w:r>
        <w:r w:rsidR="00901C2F">
          <w:rPr>
            <w:noProof/>
            <w:webHidden/>
          </w:rPr>
          <w:t>96</w:t>
        </w:r>
        <w:r w:rsidR="004A02EA">
          <w:rPr>
            <w:noProof/>
            <w:webHidden/>
          </w:rPr>
          <w:fldChar w:fldCharType="end"/>
        </w:r>
      </w:hyperlink>
    </w:p>
    <w:p w14:paraId="35FAFE4B" w14:textId="1C22B16C"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06" w:history="1">
        <w:r w:rsidR="004A02EA" w:rsidRPr="00E924BB">
          <w:rPr>
            <w:rStyle w:val="Lienhypertexte"/>
            <w:noProof/>
          </w:rPr>
          <w:t>(V)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Primary and secondary poisoning</w:t>
        </w:r>
        <w:r w:rsidR="004A02EA">
          <w:rPr>
            <w:noProof/>
            <w:webHidden/>
          </w:rPr>
          <w:tab/>
        </w:r>
        <w:r w:rsidR="004A02EA">
          <w:rPr>
            <w:noProof/>
            <w:webHidden/>
          </w:rPr>
          <w:fldChar w:fldCharType="begin"/>
        </w:r>
        <w:r w:rsidR="004A02EA">
          <w:rPr>
            <w:noProof/>
            <w:webHidden/>
          </w:rPr>
          <w:instrText xml:space="preserve"> PAGEREF _Toc12967206 \h </w:instrText>
        </w:r>
        <w:r w:rsidR="004A02EA">
          <w:rPr>
            <w:noProof/>
            <w:webHidden/>
          </w:rPr>
        </w:r>
        <w:r w:rsidR="004A02EA">
          <w:rPr>
            <w:noProof/>
            <w:webHidden/>
          </w:rPr>
          <w:fldChar w:fldCharType="separate"/>
        </w:r>
        <w:r w:rsidR="00901C2F">
          <w:rPr>
            <w:noProof/>
            <w:webHidden/>
          </w:rPr>
          <w:t>96</w:t>
        </w:r>
        <w:r w:rsidR="004A02EA">
          <w:rPr>
            <w:noProof/>
            <w:webHidden/>
          </w:rPr>
          <w:fldChar w:fldCharType="end"/>
        </w:r>
      </w:hyperlink>
    </w:p>
    <w:p w14:paraId="78FA493A" w14:textId="05B3E166" w:rsidR="004A02EA" w:rsidRDefault="00C85279">
      <w:pPr>
        <w:pStyle w:val="TM4"/>
        <w:rPr>
          <w:rFonts w:asciiTheme="minorHAnsi" w:eastAsiaTheme="minorEastAsia" w:hAnsiTheme="minorHAnsi" w:cstheme="minorBidi"/>
          <w:noProof/>
          <w:sz w:val="22"/>
          <w:szCs w:val="22"/>
          <w:lang w:val="en-US" w:eastAsia="en-US"/>
        </w:rPr>
      </w:pPr>
      <w:hyperlink w:anchor="_Toc12967207" w:history="1">
        <w:r w:rsidR="004A02EA" w:rsidRPr="00E924BB">
          <w:rPr>
            <w:rStyle w:val="Lienhypertexte"/>
            <w:noProof/>
          </w:rPr>
          <w:t>2.2.10.3</w:t>
        </w:r>
        <w:r w:rsidR="004A02EA">
          <w:rPr>
            <w:rFonts w:asciiTheme="minorHAnsi" w:eastAsiaTheme="minorEastAsia" w:hAnsiTheme="minorHAnsi" w:cstheme="minorBidi"/>
            <w:noProof/>
            <w:sz w:val="22"/>
            <w:szCs w:val="22"/>
            <w:lang w:val="en-US" w:eastAsia="en-US"/>
          </w:rPr>
          <w:tab/>
        </w:r>
        <w:r w:rsidR="004A02EA" w:rsidRPr="00E924BB">
          <w:rPr>
            <w:rStyle w:val="Lienhypertexte"/>
            <w:noProof/>
          </w:rPr>
          <w:t>Risk characterisation</w:t>
        </w:r>
        <w:r w:rsidR="004A02EA">
          <w:rPr>
            <w:noProof/>
            <w:webHidden/>
          </w:rPr>
          <w:tab/>
        </w:r>
        <w:r w:rsidR="004A02EA">
          <w:rPr>
            <w:noProof/>
            <w:webHidden/>
          </w:rPr>
          <w:fldChar w:fldCharType="begin"/>
        </w:r>
        <w:r w:rsidR="004A02EA">
          <w:rPr>
            <w:noProof/>
            <w:webHidden/>
          </w:rPr>
          <w:instrText xml:space="preserve"> PAGEREF _Toc12967207 \h </w:instrText>
        </w:r>
        <w:r w:rsidR="004A02EA">
          <w:rPr>
            <w:noProof/>
            <w:webHidden/>
          </w:rPr>
        </w:r>
        <w:r w:rsidR="004A02EA">
          <w:rPr>
            <w:noProof/>
            <w:webHidden/>
          </w:rPr>
          <w:fldChar w:fldCharType="separate"/>
        </w:r>
        <w:r w:rsidR="00901C2F">
          <w:rPr>
            <w:noProof/>
            <w:webHidden/>
          </w:rPr>
          <w:t>97</w:t>
        </w:r>
        <w:r w:rsidR="004A02EA">
          <w:rPr>
            <w:noProof/>
            <w:webHidden/>
          </w:rPr>
          <w:fldChar w:fldCharType="end"/>
        </w:r>
      </w:hyperlink>
    </w:p>
    <w:p w14:paraId="34D828F0" w14:textId="44904B1C"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08" w:history="1">
        <w:r w:rsidR="004A02EA" w:rsidRPr="00E924BB">
          <w:rPr>
            <w:rStyle w:val="Lienhypertexte"/>
            <w:noProof/>
          </w:rPr>
          <w:t>(I)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Atmosphere</w:t>
        </w:r>
        <w:r w:rsidR="004A02EA">
          <w:rPr>
            <w:noProof/>
            <w:webHidden/>
          </w:rPr>
          <w:tab/>
        </w:r>
        <w:r w:rsidR="004A02EA">
          <w:rPr>
            <w:noProof/>
            <w:webHidden/>
          </w:rPr>
          <w:fldChar w:fldCharType="begin"/>
        </w:r>
        <w:r w:rsidR="004A02EA">
          <w:rPr>
            <w:noProof/>
            <w:webHidden/>
          </w:rPr>
          <w:instrText xml:space="preserve"> PAGEREF _Toc12967208 \h </w:instrText>
        </w:r>
        <w:r w:rsidR="004A02EA">
          <w:rPr>
            <w:noProof/>
            <w:webHidden/>
          </w:rPr>
        </w:r>
        <w:r w:rsidR="004A02EA">
          <w:rPr>
            <w:noProof/>
            <w:webHidden/>
          </w:rPr>
          <w:fldChar w:fldCharType="separate"/>
        </w:r>
        <w:r w:rsidR="00901C2F">
          <w:rPr>
            <w:noProof/>
            <w:webHidden/>
          </w:rPr>
          <w:t>97</w:t>
        </w:r>
        <w:r w:rsidR="004A02EA">
          <w:rPr>
            <w:noProof/>
            <w:webHidden/>
          </w:rPr>
          <w:fldChar w:fldCharType="end"/>
        </w:r>
      </w:hyperlink>
    </w:p>
    <w:p w14:paraId="63A74432" w14:textId="494348AD"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09" w:history="1">
        <w:r w:rsidR="004A02EA" w:rsidRPr="00E924BB">
          <w:rPr>
            <w:rStyle w:val="Lienhypertexte"/>
            <w:noProof/>
          </w:rPr>
          <w:t>(II)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Sewage treatment plant (STP)</w:t>
        </w:r>
        <w:r w:rsidR="004A02EA">
          <w:rPr>
            <w:noProof/>
            <w:webHidden/>
          </w:rPr>
          <w:tab/>
        </w:r>
        <w:r w:rsidR="004A02EA">
          <w:rPr>
            <w:noProof/>
            <w:webHidden/>
          </w:rPr>
          <w:fldChar w:fldCharType="begin"/>
        </w:r>
        <w:r w:rsidR="004A02EA">
          <w:rPr>
            <w:noProof/>
            <w:webHidden/>
          </w:rPr>
          <w:instrText xml:space="preserve"> PAGEREF _Toc12967209 \h </w:instrText>
        </w:r>
        <w:r w:rsidR="004A02EA">
          <w:rPr>
            <w:noProof/>
            <w:webHidden/>
          </w:rPr>
        </w:r>
        <w:r w:rsidR="004A02EA">
          <w:rPr>
            <w:noProof/>
            <w:webHidden/>
          </w:rPr>
          <w:fldChar w:fldCharType="separate"/>
        </w:r>
        <w:r w:rsidR="00901C2F">
          <w:rPr>
            <w:noProof/>
            <w:webHidden/>
          </w:rPr>
          <w:t>97</w:t>
        </w:r>
        <w:r w:rsidR="004A02EA">
          <w:rPr>
            <w:noProof/>
            <w:webHidden/>
          </w:rPr>
          <w:fldChar w:fldCharType="end"/>
        </w:r>
      </w:hyperlink>
    </w:p>
    <w:p w14:paraId="22F0172B" w14:textId="240422F5"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10" w:history="1">
        <w:r w:rsidR="004A02EA" w:rsidRPr="00E924BB">
          <w:rPr>
            <w:rStyle w:val="Lienhypertexte"/>
            <w:noProof/>
          </w:rPr>
          <w:t>(III)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Aquatic compartment</w:t>
        </w:r>
        <w:r w:rsidR="004A02EA">
          <w:rPr>
            <w:noProof/>
            <w:webHidden/>
          </w:rPr>
          <w:tab/>
        </w:r>
        <w:r w:rsidR="004A02EA">
          <w:rPr>
            <w:noProof/>
            <w:webHidden/>
          </w:rPr>
          <w:fldChar w:fldCharType="begin"/>
        </w:r>
        <w:r w:rsidR="004A02EA">
          <w:rPr>
            <w:noProof/>
            <w:webHidden/>
          </w:rPr>
          <w:instrText xml:space="preserve"> PAGEREF _Toc12967210 \h </w:instrText>
        </w:r>
        <w:r w:rsidR="004A02EA">
          <w:rPr>
            <w:noProof/>
            <w:webHidden/>
          </w:rPr>
        </w:r>
        <w:r w:rsidR="004A02EA">
          <w:rPr>
            <w:noProof/>
            <w:webHidden/>
          </w:rPr>
          <w:fldChar w:fldCharType="separate"/>
        </w:r>
        <w:r w:rsidR="00901C2F">
          <w:rPr>
            <w:noProof/>
            <w:webHidden/>
          </w:rPr>
          <w:t>97</w:t>
        </w:r>
        <w:r w:rsidR="004A02EA">
          <w:rPr>
            <w:noProof/>
            <w:webHidden/>
          </w:rPr>
          <w:fldChar w:fldCharType="end"/>
        </w:r>
      </w:hyperlink>
    </w:p>
    <w:p w14:paraId="6FB5A0C3" w14:textId="04D9AC57"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11" w:history="1">
        <w:r w:rsidR="004A02EA" w:rsidRPr="00E924BB">
          <w:rPr>
            <w:rStyle w:val="Lienhypertexte"/>
            <w:noProof/>
          </w:rPr>
          <w:t>(IV)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Terrestrial compartment</w:t>
        </w:r>
        <w:r w:rsidR="004A02EA">
          <w:rPr>
            <w:noProof/>
            <w:webHidden/>
          </w:rPr>
          <w:tab/>
        </w:r>
        <w:r w:rsidR="004A02EA">
          <w:rPr>
            <w:noProof/>
            <w:webHidden/>
          </w:rPr>
          <w:fldChar w:fldCharType="begin"/>
        </w:r>
        <w:r w:rsidR="004A02EA">
          <w:rPr>
            <w:noProof/>
            <w:webHidden/>
          </w:rPr>
          <w:instrText xml:space="preserve"> PAGEREF _Toc12967211 \h </w:instrText>
        </w:r>
        <w:r w:rsidR="004A02EA">
          <w:rPr>
            <w:noProof/>
            <w:webHidden/>
          </w:rPr>
        </w:r>
        <w:r w:rsidR="004A02EA">
          <w:rPr>
            <w:noProof/>
            <w:webHidden/>
          </w:rPr>
          <w:fldChar w:fldCharType="separate"/>
        </w:r>
        <w:r w:rsidR="00901C2F">
          <w:rPr>
            <w:noProof/>
            <w:webHidden/>
          </w:rPr>
          <w:t>97</w:t>
        </w:r>
        <w:r w:rsidR="004A02EA">
          <w:rPr>
            <w:noProof/>
            <w:webHidden/>
          </w:rPr>
          <w:fldChar w:fldCharType="end"/>
        </w:r>
      </w:hyperlink>
    </w:p>
    <w:p w14:paraId="25E5585F" w14:textId="1E3E9694"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12" w:history="1">
        <w:r w:rsidR="004A02EA" w:rsidRPr="00E924BB">
          <w:rPr>
            <w:rStyle w:val="Lienhypertexte"/>
            <w:noProof/>
          </w:rPr>
          <w:t>(V)</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Groundwater</w:t>
        </w:r>
        <w:r w:rsidR="004A02EA">
          <w:rPr>
            <w:noProof/>
            <w:webHidden/>
          </w:rPr>
          <w:tab/>
        </w:r>
        <w:r w:rsidR="004A02EA">
          <w:rPr>
            <w:noProof/>
            <w:webHidden/>
          </w:rPr>
          <w:fldChar w:fldCharType="begin"/>
        </w:r>
        <w:r w:rsidR="004A02EA">
          <w:rPr>
            <w:noProof/>
            <w:webHidden/>
          </w:rPr>
          <w:instrText xml:space="preserve"> PAGEREF _Toc12967212 \h </w:instrText>
        </w:r>
        <w:r w:rsidR="004A02EA">
          <w:rPr>
            <w:noProof/>
            <w:webHidden/>
          </w:rPr>
        </w:r>
        <w:r w:rsidR="004A02EA">
          <w:rPr>
            <w:noProof/>
            <w:webHidden/>
          </w:rPr>
          <w:fldChar w:fldCharType="separate"/>
        </w:r>
        <w:r w:rsidR="00901C2F">
          <w:rPr>
            <w:noProof/>
            <w:webHidden/>
          </w:rPr>
          <w:t>98</w:t>
        </w:r>
        <w:r w:rsidR="004A02EA">
          <w:rPr>
            <w:noProof/>
            <w:webHidden/>
          </w:rPr>
          <w:fldChar w:fldCharType="end"/>
        </w:r>
      </w:hyperlink>
    </w:p>
    <w:p w14:paraId="6A7BEDFB" w14:textId="01B36314"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13" w:history="1">
        <w:r w:rsidR="004A02EA" w:rsidRPr="00E924BB">
          <w:rPr>
            <w:rStyle w:val="Lienhypertexte"/>
            <w:noProof/>
          </w:rPr>
          <w:t>(VI)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Primary and secondary poisoning</w:t>
        </w:r>
        <w:r w:rsidR="004A02EA">
          <w:rPr>
            <w:noProof/>
            <w:webHidden/>
          </w:rPr>
          <w:tab/>
        </w:r>
        <w:r w:rsidR="004A02EA">
          <w:rPr>
            <w:noProof/>
            <w:webHidden/>
          </w:rPr>
          <w:fldChar w:fldCharType="begin"/>
        </w:r>
        <w:r w:rsidR="004A02EA">
          <w:rPr>
            <w:noProof/>
            <w:webHidden/>
          </w:rPr>
          <w:instrText xml:space="preserve"> PAGEREF _Toc12967213 \h </w:instrText>
        </w:r>
        <w:r w:rsidR="004A02EA">
          <w:rPr>
            <w:noProof/>
            <w:webHidden/>
          </w:rPr>
        </w:r>
        <w:r w:rsidR="004A02EA">
          <w:rPr>
            <w:noProof/>
            <w:webHidden/>
          </w:rPr>
          <w:fldChar w:fldCharType="separate"/>
        </w:r>
        <w:r w:rsidR="00901C2F">
          <w:rPr>
            <w:noProof/>
            <w:webHidden/>
          </w:rPr>
          <w:t>98</w:t>
        </w:r>
        <w:r w:rsidR="004A02EA">
          <w:rPr>
            <w:noProof/>
            <w:webHidden/>
          </w:rPr>
          <w:fldChar w:fldCharType="end"/>
        </w:r>
      </w:hyperlink>
    </w:p>
    <w:p w14:paraId="2F659C3D" w14:textId="686F21BA" w:rsidR="004A02EA" w:rsidRDefault="00C85279">
      <w:pPr>
        <w:pStyle w:val="TM5"/>
        <w:tabs>
          <w:tab w:val="left" w:pos="1540"/>
          <w:tab w:val="right" w:leader="dot" w:pos="9402"/>
        </w:tabs>
        <w:rPr>
          <w:rFonts w:asciiTheme="minorHAnsi" w:eastAsiaTheme="minorEastAsia" w:hAnsiTheme="minorHAnsi" w:cstheme="minorBidi"/>
          <w:i w:val="0"/>
          <w:noProof/>
          <w:color w:val="auto"/>
          <w:sz w:val="22"/>
          <w:szCs w:val="22"/>
          <w:lang w:val="en-US" w:eastAsia="en-US"/>
        </w:rPr>
      </w:pPr>
      <w:hyperlink w:anchor="_Toc12967214" w:history="1">
        <w:r w:rsidR="004A02EA" w:rsidRPr="00E924BB">
          <w:rPr>
            <w:rStyle w:val="Lienhypertexte"/>
            <w:noProof/>
          </w:rPr>
          <w:t>(VII)</w:t>
        </w:r>
        <w:r w:rsidR="004A02EA">
          <w:rPr>
            <w:rFonts w:asciiTheme="minorHAnsi" w:eastAsiaTheme="minorEastAsia" w:hAnsiTheme="minorHAnsi" w:cstheme="minorBidi"/>
            <w:i w:val="0"/>
            <w:noProof/>
            <w:color w:val="auto"/>
            <w:sz w:val="22"/>
            <w:szCs w:val="22"/>
            <w:lang w:val="en-US" w:eastAsia="en-US"/>
          </w:rPr>
          <w:tab/>
        </w:r>
        <w:r w:rsidR="004A02EA" w:rsidRPr="00E924BB">
          <w:rPr>
            <w:rStyle w:val="Lienhypertexte"/>
            <w:noProof/>
          </w:rPr>
          <w:t>Mixture toxicity</w:t>
        </w:r>
        <w:r w:rsidR="004A02EA">
          <w:rPr>
            <w:noProof/>
            <w:webHidden/>
          </w:rPr>
          <w:tab/>
        </w:r>
        <w:r w:rsidR="004A02EA">
          <w:rPr>
            <w:noProof/>
            <w:webHidden/>
          </w:rPr>
          <w:fldChar w:fldCharType="begin"/>
        </w:r>
        <w:r w:rsidR="004A02EA">
          <w:rPr>
            <w:noProof/>
            <w:webHidden/>
          </w:rPr>
          <w:instrText xml:space="preserve"> PAGEREF _Toc12967214 \h </w:instrText>
        </w:r>
        <w:r w:rsidR="004A02EA">
          <w:rPr>
            <w:noProof/>
            <w:webHidden/>
          </w:rPr>
        </w:r>
        <w:r w:rsidR="004A02EA">
          <w:rPr>
            <w:noProof/>
            <w:webHidden/>
          </w:rPr>
          <w:fldChar w:fldCharType="separate"/>
        </w:r>
        <w:r w:rsidR="00901C2F">
          <w:rPr>
            <w:noProof/>
            <w:webHidden/>
          </w:rPr>
          <w:t>98</w:t>
        </w:r>
        <w:r w:rsidR="004A02EA">
          <w:rPr>
            <w:noProof/>
            <w:webHidden/>
          </w:rPr>
          <w:fldChar w:fldCharType="end"/>
        </w:r>
      </w:hyperlink>
    </w:p>
    <w:p w14:paraId="682792C5" w14:textId="33A74A82" w:rsidR="004A02EA" w:rsidRDefault="00C85279">
      <w:pPr>
        <w:pStyle w:val="TM3"/>
        <w:tabs>
          <w:tab w:val="left" w:pos="1540"/>
          <w:tab w:val="right" w:leader="dot" w:pos="9402"/>
        </w:tabs>
        <w:rPr>
          <w:rFonts w:asciiTheme="minorHAnsi" w:eastAsiaTheme="minorEastAsia" w:hAnsiTheme="minorHAnsi" w:cstheme="minorBidi"/>
          <w:i w:val="0"/>
          <w:noProof/>
          <w:sz w:val="22"/>
          <w:szCs w:val="22"/>
          <w:lang w:val="en-US" w:eastAsia="en-US"/>
        </w:rPr>
      </w:pPr>
      <w:hyperlink w:anchor="_Toc12967215" w:history="1">
        <w:r w:rsidR="004A02EA" w:rsidRPr="00E924BB">
          <w:rPr>
            <w:rStyle w:val="Lienhypertexte"/>
            <w:rFonts w:eastAsia="Calibri"/>
            <w:noProof/>
            <w:lang w:eastAsia="en-US"/>
          </w:rPr>
          <w:t>2.2.11</w:t>
        </w:r>
        <w:r w:rsidR="004A02EA">
          <w:rPr>
            <w:rFonts w:asciiTheme="minorHAnsi" w:eastAsiaTheme="minorEastAsia" w:hAnsiTheme="minorHAnsi" w:cstheme="minorBidi"/>
            <w:i w:val="0"/>
            <w:noProof/>
            <w:sz w:val="22"/>
            <w:szCs w:val="22"/>
            <w:lang w:val="en-US" w:eastAsia="en-US"/>
          </w:rPr>
          <w:tab/>
        </w:r>
        <w:r w:rsidR="004A02EA" w:rsidRPr="00E924BB">
          <w:rPr>
            <w:rStyle w:val="Lienhypertexte"/>
            <w:rFonts w:eastAsia="Calibri"/>
            <w:noProof/>
            <w:lang w:eastAsia="en-US"/>
          </w:rPr>
          <w:t>Measures to protect man, animals and the environment</w:t>
        </w:r>
        <w:r w:rsidR="004A02EA">
          <w:rPr>
            <w:noProof/>
            <w:webHidden/>
          </w:rPr>
          <w:tab/>
        </w:r>
        <w:r w:rsidR="004A02EA">
          <w:rPr>
            <w:noProof/>
            <w:webHidden/>
          </w:rPr>
          <w:fldChar w:fldCharType="begin"/>
        </w:r>
        <w:r w:rsidR="004A02EA">
          <w:rPr>
            <w:noProof/>
            <w:webHidden/>
          </w:rPr>
          <w:instrText xml:space="preserve"> PAGEREF _Toc12967215 \h </w:instrText>
        </w:r>
        <w:r w:rsidR="004A02EA">
          <w:rPr>
            <w:noProof/>
            <w:webHidden/>
          </w:rPr>
        </w:r>
        <w:r w:rsidR="004A02EA">
          <w:rPr>
            <w:noProof/>
            <w:webHidden/>
          </w:rPr>
          <w:fldChar w:fldCharType="separate"/>
        </w:r>
        <w:r w:rsidR="00901C2F">
          <w:rPr>
            <w:noProof/>
            <w:webHidden/>
          </w:rPr>
          <w:t>99</w:t>
        </w:r>
        <w:r w:rsidR="004A02EA">
          <w:rPr>
            <w:noProof/>
            <w:webHidden/>
          </w:rPr>
          <w:fldChar w:fldCharType="end"/>
        </w:r>
      </w:hyperlink>
    </w:p>
    <w:p w14:paraId="51367BC3" w14:textId="06E90A0D" w:rsidR="004A02EA" w:rsidRDefault="00C85279">
      <w:pPr>
        <w:pStyle w:val="TM3"/>
        <w:tabs>
          <w:tab w:val="left" w:pos="1540"/>
          <w:tab w:val="right" w:leader="dot" w:pos="9402"/>
        </w:tabs>
        <w:rPr>
          <w:rFonts w:asciiTheme="minorHAnsi" w:eastAsiaTheme="minorEastAsia" w:hAnsiTheme="minorHAnsi" w:cstheme="minorBidi"/>
          <w:i w:val="0"/>
          <w:noProof/>
          <w:sz w:val="22"/>
          <w:szCs w:val="22"/>
          <w:lang w:val="en-US" w:eastAsia="en-US"/>
        </w:rPr>
      </w:pPr>
      <w:hyperlink w:anchor="_Toc12967216" w:history="1">
        <w:r w:rsidR="004A02EA" w:rsidRPr="00E924BB">
          <w:rPr>
            <w:rStyle w:val="Lienhypertexte"/>
            <w:noProof/>
          </w:rPr>
          <w:t>2.2.12</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rPr>
          <w:t>Assessment of a combination of biocidal products</w:t>
        </w:r>
        <w:r w:rsidR="004A02EA">
          <w:rPr>
            <w:noProof/>
            <w:webHidden/>
          </w:rPr>
          <w:tab/>
        </w:r>
        <w:r w:rsidR="004A02EA">
          <w:rPr>
            <w:noProof/>
            <w:webHidden/>
          </w:rPr>
          <w:fldChar w:fldCharType="begin"/>
        </w:r>
        <w:r w:rsidR="004A02EA">
          <w:rPr>
            <w:noProof/>
            <w:webHidden/>
          </w:rPr>
          <w:instrText xml:space="preserve"> PAGEREF _Toc12967216 \h </w:instrText>
        </w:r>
        <w:r w:rsidR="004A02EA">
          <w:rPr>
            <w:noProof/>
            <w:webHidden/>
          </w:rPr>
        </w:r>
        <w:r w:rsidR="004A02EA">
          <w:rPr>
            <w:noProof/>
            <w:webHidden/>
          </w:rPr>
          <w:fldChar w:fldCharType="separate"/>
        </w:r>
        <w:r w:rsidR="00901C2F">
          <w:rPr>
            <w:noProof/>
            <w:webHidden/>
          </w:rPr>
          <w:t>99</w:t>
        </w:r>
        <w:r w:rsidR="004A02EA">
          <w:rPr>
            <w:noProof/>
            <w:webHidden/>
          </w:rPr>
          <w:fldChar w:fldCharType="end"/>
        </w:r>
      </w:hyperlink>
    </w:p>
    <w:p w14:paraId="3236CCC5" w14:textId="0CFAEBF8" w:rsidR="004A02EA" w:rsidRDefault="00C85279">
      <w:pPr>
        <w:pStyle w:val="TM3"/>
        <w:tabs>
          <w:tab w:val="left" w:pos="1540"/>
          <w:tab w:val="right" w:leader="dot" w:pos="9402"/>
        </w:tabs>
        <w:rPr>
          <w:rFonts w:asciiTheme="minorHAnsi" w:eastAsiaTheme="minorEastAsia" w:hAnsiTheme="minorHAnsi" w:cstheme="minorBidi"/>
          <w:i w:val="0"/>
          <w:noProof/>
          <w:sz w:val="22"/>
          <w:szCs w:val="22"/>
          <w:lang w:val="en-US" w:eastAsia="en-US"/>
        </w:rPr>
      </w:pPr>
      <w:hyperlink w:anchor="_Toc12967217" w:history="1">
        <w:r w:rsidR="004A02EA" w:rsidRPr="00E924BB">
          <w:rPr>
            <w:rStyle w:val="Lienhypertexte"/>
            <w:noProof/>
          </w:rPr>
          <w:t>2.2.13</w:t>
        </w:r>
        <w:r w:rsidR="004A02EA">
          <w:rPr>
            <w:rFonts w:asciiTheme="minorHAnsi" w:eastAsiaTheme="minorEastAsia" w:hAnsiTheme="minorHAnsi" w:cstheme="minorBidi"/>
            <w:i w:val="0"/>
            <w:noProof/>
            <w:sz w:val="22"/>
            <w:szCs w:val="22"/>
            <w:lang w:val="en-US" w:eastAsia="en-US"/>
          </w:rPr>
          <w:tab/>
        </w:r>
        <w:r w:rsidR="004A02EA" w:rsidRPr="00E924BB">
          <w:rPr>
            <w:rStyle w:val="Lienhypertexte"/>
            <w:noProof/>
          </w:rPr>
          <w:t>Comparative assessment</w:t>
        </w:r>
        <w:r w:rsidR="004A02EA">
          <w:rPr>
            <w:noProof/>
            <w:webHidden/>
          </w:rPr>
          <w:tab/>
        </w:r>
        <w:r w:rsidR="004A02EA">
          <w:rPr>
            <w:noProof/>
            <w:webHidden/>
          </w:rPr>
          <w:fldChar w:fldCharType="begin"/>
        </w:r>
        <w:r w:rsidR="004A02EA">
          <w:rPr>
            <w:noProof/>
            <w:webHidden/>
          </w:rPr>
          <w:instrText xml:space="preserve"> PAGEREF _Toc12967217 \h </w:instrText>
        </w:r>
        <w:r w:rsidR="004A02EA">
          <w:rPr>
            <w:noProof/>
            <w:webHidden/>
          </w:rPr>
        </w:r>
        <w:r w:rsidR="004A02EA">
          <w:rPr>
            <w:noProof/>
            <w:webHidden/>
          </w:rPr>
          <w:fldChar w:fldCharType="separate"/>
        </w:r>
        <w:r w:rsidR="00901C2F">
          <w:rPr>
            <w:noProof/>
            <w:webHidden/>
          </w:rPr>
          <w:t>99</w:t>
        </w:r>
        <w:r w:rsidR="004A02EA">
          <w:rPr>
            <w:noProof/>
            <w:webHidden/>
          </w:rPr>
          <w:fldChar w:fldCharType="end"/>
        </w:r>
      </w:hyperlink>
    </w:p>
    <w:p w14:paraId="7B5A6EBD" w14:textId="27A6A930" w:rsidR="004A02EA" w:rsidRDefault="00C85279">
      <w:pPr>
        <w:pStyle w:val="TM1"/>
        <w:tabs>
          <w:tab w:val="left" w:pos="400"/>
          <w:tab w:val="right" w:leader="dot" w:pos="9402"/>
        </w:tabs>
        <w:rPr>
          <w:rFonts w:asciiTheme="minorHAnsi" w:eastAsiaTheme="minorEastAsia" w:hAnsiTheme="minorHAnsi" w:cstheme="minorBidi"/>
          <w:b w:val="0"/>
          <w:caps w:val="0"/>
          <w:noProof/>
          <w:sz w:val="22"/>
          <w:szCs w:val="22"/>
          <w:lang w:val="en-US" w:eastAsia="en-US"/>
        </w:rPr>
      </w:pPr>
      <w:hyperlink w:anchor="_Toc12967218" w:history="1">
        <w:r w:rsidR="004A02EA" w:rsidRPr="00E924BB">
          <w:rPr>
            <w:rStyle w:val="Lienhypertexte"/>
            <w:noProof/>
          </w:rPr>
          <w:t>3</w:t>
        </w:r>
        <w:r w:rsidR="004A02EA">
          <w:rPr>
            <w:rFonts w:asciiTheme="minorHAnsi" w:eastAsiaTheme="minorEastAsia" w:hAnsiTheme="minorHAnsi" w:cstheme="minorBidi"/>
            <w:b w:val="0"/>
            <w:caps w:val="0"/>
            <w:noProof/>
            <w:sz w:val="22"/>
            <w:szCs w:val="22"/>
            <w:lang w:val="en-US" w:eastAsia="en-US"/>
          </w:rPr>
          <w:tab/>
        </w:r>
        <w:r w:rsidR="004A02EA" w:rsidRPr="00E924BB">
          <w:rPr>
            <w:rStyle w:val="Lienhypertexte"/>
            <w:noProof/>
          </w:rPr>
          <w:t>Annexes</w:t>
        </w:r>
        <w:r w:rsidR="004A02EA">
          <w:rPr>
            <w:noProof/>
            <w:webHidden/>
          </w:rPr>
          <w:tab/>
        </w:r>
        <w:r w:rsidR="004A02EA">
          <w:rPr>
            <w:noProof/>
            <w:webHidden/>
          </w:rPr>
          <w:fldChar w:fldCharType="begin"/>
        </w:r>
        <w:r w:rsidR="004A02EA">
          <w:rPr>
            <w:noProof/>
            <w:webHidden/>
          </w:rPr>
          <w:instrText xml:space="preserve"> PAGEREF _Toc12967218 \h </w:instrText>
        </w:r>
        <w:r w:rsidR="004A02EA">
          <w:rPr>
            <w:noProof/>
            <w:webHidden/>
          </w:rPr>
        </w:r>
        <w:r w:rsidR="004A02EA">
          <w:rPr>
            <w:noProof/>
            <w:webHidden/>
          </w:rPr>
          <w:fldChar w:fldCharType="separate"/>
        </w:r>
        <w:r w:rsidR="00901C2F">
          <w:rPr>
            <w:noProof/>
            <w:webHidden/>
          </w:rPr>
          <w:t>100</w:t>
        </w:r>
        <w:r w:rsidR="004A02EA">
          <w:rPr>
            <w:noProof/>
            <w:webHidden/>
          </w:rPr>
          <w:fldChar w:fldCharType="end"/>
        </w:r>
      </w:hyperlink>
    </w:p>
    <w:p w14:paraId="57574C4F" w14:textId="2CD81A07" w:rsidR="004A02EA" w:rsidRDefault="00C85279">
      <w:pPr>
        <w:pStyle w:val="TM2"/>
        <w:tabs>
          <w:tab w:val="left" w:pos="800"/>
          <w:tab w:val="right" w:leader="dot" w:pos="9402"/>
        </w:tabs>
        <w:rPr>
          <w:rFonts w:asciiTheme="minorHAnsi" w:eastAsiaTheme="minorEastAsia" w:hAnsiTheme="minorHAnsi" w:cstheme="minorBidi"/>
          <w:caps w:val="0"/>
          <w:noProof/>
          <w:sz w:val="22"/>
          <w:szCs w:val="22"/>
          <w:lang w:val="en-US" w:eastAsia="en-US"/>
        </w:rPr>
      </w:pPr>
      <w:hyperlink w:anchor="_Toc12967219" w:history="1">
        <w:r w:rsidR="004A02EA" w:rsidRPr="00E924BB">
          <w:rPr>
            <w:rStyle w:val="Lienhypertexte"/>
            <w:noProof/>
          </w:rPr>
          <w:t>3.1</w:t>
        </w:r>
        <w:r w:rsidR="004A02EA">
          <w:rPr>
            <w:rFonts w:asciiTheme="minorHAnsi" w:eastAsiaTheme="minorEastAsia" w:hAnsiTheme="minorHAnsi" w:cstheme="minorBidi"/>
            <w:caps w:val="0"/>
            <w:noProof/>
            <w:sz w:val="22"/>
            <w:szCs w:val="22"/>
            <w:lang w:val="en-US" w:eastAsia="en-US"/>
          </w:rPr>
          <w:tab/>
        </w:r>
        <w:r w:rsidR="004A02EA" w:rsidRPr="00E924BB">
          <w:rPr>
            <w:rStyle w:val="Lienhypertexte"/>
            <w:noProof/>
          </w:rPr>
          <w:t>List of studies for the biocidal product</w:t>
        </w:r>
        <w:r w:rsidR="004A02EA">
          <w:rPr>
            <w:noProof/>
            <w:webHidden/>
          </w:rPr>
          <w:tab/>
        </w:r>
        <w:r w:rsidR="004A02EA">
          <w:rPr>
            <w:noProof/>
            <w:webHidden/>
          </w:rPr>
          <w:fldChar w:fldCharType="begin"/>
        </w:r>
        <w:r w:rsidR="004A02EA">
          <w:rPr>
            <w:noProof/>
            <w:webHidden/>
          </w:rPr>
          <w:instrText xml:space="preserve"> PAGEREF _Toc12967219 \h </w:instrText>
        </w:r>
        <w:r w:rsidR="004A02EA">
          <w:rPr>
            <w:noProof/>
            <w:webHidden/>
          </w:rPr>
        </w:r>
        <w:r w:rsidR="004A02EA">
          <w:rPr>
            <w:noProof/>
            <w:webHidden/>
          </w:rPr>
          <w:fldChar w:fldCharType="separate"/>
        </w:r>
        <w:r w:rsidR="00901C2F">
          <w:rPr>
            <w:noProof/>
            <w:webHidden/>
          </w:rPr>
          <w:t>100</w:t>
        </w:r>
        <w:r w:rsidR="004A02EA">
          <w:rPr>
            <w:noProof/>
            <w:webHidden/>
          </w:rPr>
          <w:fldChar w:fldCharType="end"/>
        </w:r>
      </w:hyperlink>
    </w:p>
    <w:p w14:paraId="4B175215" w14:textId="268F14C0" w:rsidR="004A02EA" w:rsidRDefault="00C85279">
      <w:pPr>
        <w:pStyle w:val="TM2"/>
        <w:tabs>
          <w:tab w:val="left" w:pos="800"/>
          <w:tab w:val="right" w:leader="dot" w:pos="9402"/>
        </w:tabs>
        <w:rPr>
          <w:rFonts w:asciiTheme="minorHAnsi" w:eastAsiaTheme="minorEastAsia" w:hAnsiTheme="minorHAnsi" w:cstheme="minorBidi"/>
          <w:caps w:val="0"/>
          <w:noProof/>
          <w:sz w:val="22"/>
          <w:szCs w:val="22"/>
          <w:lang w:val="en-US" w:eastAsia="en-US"/>
        </w:rPr>
      </w:pPr>
      <w:hyperlink w:anchor="_Toc12967220" w:history="1">
        <w:r w:rsidR="004A02EA" w:rsidRPr="00E924BB">
          <w:rPr>
            <w:rStyle w:val="Lienhypertexte"/>
            <w:noProof/>
          </w:rPr>
          <w:t>3.2</w:t>
        </w:r>
        <w:r w:rsidR="004A02EA">
          <w:rPr>
            <w:rFonts w:asciiTheme="minorHAnsi" w:eastAsiaTheme="minorEastAsia" w:hAnsiTheme="minorHAnsi" w:cstheme="minorBidi"/>
            <w:caps w:val="0"/>
            <w:noProof/>
            <w:sz w:val="22"/>
            <w:szCs w:val="22"/>
            <w:lang w:val="en-US" w:eastAsia="en-US"/>
          </w:rPr>
          <w:tab/>
        </w:r>
        <w:r w:rsidR="004A02EA" w:rsidRPr="00E924BB">
          <w:rPr>
            <w:rStyle w:val="Lienhypertexte"/>
            <w:noProof/>
          </w:rPr>
          <w:t>Output tables from exposure assessment tools</w:t>
        </w:r>
        <w:r w:rsidR="004A02EA">
          <w:rPr>
            <w:noProof/>
            <w:webHidden/>
          </w:rPr>
          <w:tab/>
        </w:r>
        <w:r w:rsidR="004A02EA">
          <w:rPr>
            <w:noProof/>
            <w:webHidden/>
          </w:rPr>
          <w:fldChar w:fldCharType="begin"/>
        </w:r>
        <w:r w:rsidR="004A02EA">
          <w:rPr>
            <w:noProof/>
            <w:webHidden/>
          </w:rPr>
          <w:instrText xml:space="preserve"> PAGEREF _Toc12967220 \h </w:instrText>
        </w:r>
        <w:r w:rsidR="004A02EA">
          <w:rPr>
            <w:noProof/>
            <w:webHidden/>
          </w:rPr>
        </w:r>
        <w:r w:rsidR="004A02EA">
          <w:rPr>
            <w:noProof/>
            <w:webHidden/>
          </w:rPr>
          <w:fldChar w:fldCharType="separate"/>
        </w:r>
        <w:r w:rsidR="00901C2F">
          <w:rPr>
            <w:noProof/>
            <w:webHidden/>
          </w:rPr>
          <w:t>101</w:t>
        </w:r>
        <w:r w:rsidR="004A02EA">
          <w:rPr>
            <w:noProof/>
            <w:webHidden/>
          </w:rPr>
          <w:fldChar w:fldCharType="end"/>
        </w:r>
      </w:hyperlink>
    </w:p>
    <w:p w14:paraId="58B4D23C" w14:textId="768A5C7B" w:rsidR="004A02EA" w:rsidRDefault="00C85279">
      <w:pPr>
        <w:pStyle w:val="TM3"/>
        <w:tabs>
          <w:tab w:val="left" w:pos="1200"/>
          <w:tab w:val="right" w:leader="dot" w:pos="9402"/>
        </w:tabs>
        <w:rPr>
          <w:rFonts w:asciiTheme="minorHAnsi" w:eastAsiaTheme="minorEastAsia" w:hAnsiTheme="minorHAnsi" w:cstheme="minorBidi"/>
          <w:i w:val="0"/>
          <w:noProof/>
          <w:sz w:val="22"/>
          <w:szCs w:val="22"/>
          <w:lang w:val="en-US" w:eastAsia="en-US"/>
        </w:rPr>
      </w:pPr>
      <w:hyperlink w:anchor="_Toc12967221" w:history="1">
        <w:r w:rsidR="004A02EA" w:rsidRPr="00E924BB">
          <w:rPr>
            <w:rStyle w:val="Lienhypertexte"/>
            <w:rFonts w:eastAsia="Calibri"/>
            <w:noProof/>
            <w:lang w:eastAsia="en-US"/>
          </w:rPr>
          <w:t>3.2.1</w:t>
        </w:r>
        <w:r w:rsidR="004A02EA">
          <w:rPr>
            <w:rFonts w:asciiTheme="minorHAnsi" w:eastAsiaTheme="minorEastAsia" w:hAnsiTheme="minorHAnsi" w:cstheme="minorBidi"/>
            <w:i w:val="0"/>
            <w:noProof/>
            <w:sz w:val="22"/>
            <w:szCs w:val="22"/>
            <w:lang w:val="en-US" w:eastAsia="en-US"/>
          </w:rPr>
          <w:tab/>
        </w:r>
        <w:r w:rsidR="004A02EA" w:rsidRPr="00E924BB">
          <w:rPr>
            <w:rStyle w:val="Lienhypertexte"/>
            <w:rFonts w:eastAsia="Calibri"/>
            <w:noProof/>
            <w:lang w:eastAsia="en-US"/>
          </w:rPr>
          <w:t>Human exposure calculations</w:t>
        </w:r>
        <w:r w:rsidR="004A02EA">
          <w:rPr>
            <w:noProof/>
            <w:webHidden/>
          </w:rPr>
          <w:tab/>
        </w:r>
        <w:r w:rsidR="004A02EA">
          <w:rPr>
            <w:noProof/>
            <w:webHidden/>
          </w:rPr>
          <w:fldChar w:fldCharType="begin"/>
        </w:r>
        <w:r w:rsidR="004A02EA">
          <w:rPr>
            <w:noProof/>
            <w:webHidden/>
          </w:rPr>
          <w:instrText xml:space="preserve"> PAGEREF _Toc12967221 \h </w:instrText>
        </w:r>
        <w:r w:rsidR="004A02EA">
          <w:rPr>
            <w:noProof/>
            <w:webHidden/>
          </w:rPr>
        </w:r>
        <w:r w:rsidR="004A02EA">
          <w:rPr>
            <w:noProof/>
            <w:webHidden/>
          </w:rPr>
          <w:fldChar w:fldCharType="separate"/>
        </w:r>
        <w:r w:rsidR="00901C2F">
          <w:rPr>
            <w:noProof/>
            <w:webHidden/>
          </w:rPr>
          <w:t>101</w:t>
        </w:r>
        <w:r w:rsidR="004A02EA">
          <w:rPr>
            <w:noProof/>
            <w:webHidden/>
          </w:rPr>
          <w:fldChar w:fldCharType="end"/>
        </w:r>
      </w:hyperlink>
    </w:p>
    <w:p w14:paraId="2BF22323" w14:textId="788835BB" w:rsidR="004A02EA" w:rsidRDefault="00C85279">
      <w:pPr>
        <w:pStyle w:val="TM2"/>
        <w:tabs>
          <w:tab w:val="left" w:pos="800"/>
          <w:tab w:val="right" w:leader="dot" w:pos="9402"/>
        </w:tabs>
        <w:rPr>
          <w:rFonts w:asciiTheme="minorHAnsi" w:eastAsiaTheme="minorEastAsia" w:hAnsiTheme="minorHAnsi" w:cstheme="minorBidi"/>
          <w:caps w:val="0"/>
          <w:noProof/>
          <w:sz w:val="22"/>
          <w:szCs w:val="22"/>
          <w:lang w:val="en-US" w:eastAsia="en-US"/>
        </w:rPr>
      </w:pPr>
      <w:hyperlink w:anchor="_Toc12967222" w:history="1">
        <w:r w:rsidR="004A02EA" w:rsidRPr="00E924BB">
          <w:rPr>
            <w:rStyle w:val="Lienhypertexte"/>
            <w:noProof/>
          </w:rPr>
          <w:t>3.3</w:t>
        </w:r>
        <w:r w:rsidR="004A02EA">
          <w:rPr>
            <w:rFonts w:asciiTheme="minorHAnsi" w:eastAsiaTheme="minorEastAsia" w:hAnsiTheme="minorHAnsi" w:cstheme="minorBidi"/>
            <w:caps w:val="0"/>
            <w:noProof/>
            <w:sz w:val="22"/>
            <w:szCs w:val="22"/>
            <w:lang w:val="en-US" w:eastAsia="en-US"/>
          </w:rPr>
          <w:tab/>
        </w:r>
        <w:r w:rsidR="004A02EA" w:rsidRPr="00E924BB">
          <w:rPr>
            <w:rStyle w:val="Lienhypertexte"/>
            <w:noProof/>
          </w:rPr>
          <w:t>New information on the active substance</w:t>
        </w:r>
        <w:r w:rsidR="004A02EA">
          <w:rPr>
            <w:noProof/>
            <w:webHidden/>
          </w:rPr>
          <w:tab/>
        </w:r>
        <w:r w:rsidR="004A02EA">
          <w:rPr>
            <w:noProof/>
            <w:webHidden/>
          </w:rPr>
          <w:fldChar w:fldCharType="begin"/>
        </w:r>
        <w:r w:rsidR="004A02EA">
          <w:rPr>
            <w:noProof/>
            <w:webHidden/>
          </w:rPr>
          <w:instrText xml:space="preserve"> PAGEREF _Toc12967222 \h </w:instrText>
        </w:r>
        <w:r w:rsidR="004A02EA">
          <w:rPr>
            <w:noProof/>
            <w:webHidden/>
          </w:rPr>
        </w:r>
        <w:r w:rsidR="004A02EA">
          <w:rPr>
            <w:noProof/>
            <w:webHidden/>
          </w:rPr>
          <w:fldChar w:fldCharType="separate"/>
        </w:r>
        <w:r w:rsidR="00901C2F">
          <w:rPr>
            <w:noProof/>
            <w:webHidden/>
          </w:rPr>
          <w:t>101</w:t>
        </w:r>
        <w:r w:rsidR="004A02EA">
          <w:rPr>
            <w:noProof/>
            <w:webHidden/>
          </w:rPr>
          <w:fldChar w:fldCharType="end"/>
        </w:r>
      </w:hyperlink>
    </w:p>
    <w:p w14:paraId="033AB94E" w14:textId="4CD5FCB3" w:rsidR="004A02EA" w:rsidRDefault="00C85279">
      <w:pPr>
        <w:pStyle w:val="TM2"/>
        <w:tabs>
          <w:tab w:val="left" w:pos="800"/>
          <w:tab w:val="right" w:leader="dot" w:pos="9402"/>
        </w:tabs>
        <w:rPr>
          <w:rFonts w:asciiTheme="minorHAnsi" w:eastAsiaTheme="minorEastAsia" w:hAnsiTheme="minorHAnsi" w:cstheme="minorBidi"/>
          <w:caps w:val="0"/>
          <w:noProof/>
          <w:sz w:val="22"/>
          <w:szCs w:val="22"/>
          <w:lang w:val="en-US" w:eastAsia="en-US"/>
        </w:rPr>
      </w:pPr>
      <w:hyperlink w:anchor="_Toc12967223" w:history="1">
        <w:r w:rsidR="004A02EA" w:rsidRPr="00E924BB">
          <w:rPr>
            <w:rStyle w:val="Lienhypertexte"/>
            <w:noProof/>
          </w:rPr>
          <w:t>3.4</w:t>
        </w:r>
        <w:r w:rsidR="004A02EA">
          <w:rPr>
            <w:rFonts w:asciiTheme="minorHAnsi" w:eastAsiaTheme="minorEastAsia" w:hAnsiTheme="minorHAnsi" w:cstheme="minorBidi"/>
            <w:caps w:val="0"/>
            <w:noProof/>
            <w:sz w:val="22"/>
            <w:szCs w:val="22"/>
            <w:lang w:val="en-US" w:eastAsia="en-US"/>
          </w:rPr>
          <w:tab/>
        </w:r>
        <w:r w:rsidR="004A02EA" w:rsidRPr="00E924BB">
          <w:rPr>
            <w:rStyle w:val="Lienhypertexte"/>
            <w:noProof/>
          </w:rPr>
          <w:t>Residue behaviour</w:t>
        </w:r>
        <w:r w:rsidR="004A02EA">
          <w:rPr>
            <w:noProof/>
            <w:webHidden/>
          </w:rPr>
          <w:tab/>
        </w:r>
        <w:r w:rsidR="004A02EA">
          <w:rPr>
            <w:noProof/>
            <w:webHidden/>
          </w:rPr>
          <w:fldChar w:fldCharType="begin"/>
        </w:r>
        <w:r w:rsidR="004A02EA">
          <w:rPr>
            <w:noProof/>
            <w:webHidden/>
          </w:rPr>
          <w:instrText xml:space="preserve"> PAGEREF _Toc12967223 \h </w:instrText>
        </w:r>
        <w:r w:rsidR="004A02EA">
          <w:rPr>
            <w:noProof/>
            <w:webHidden/>
          </w:rPr>
        </w:r>
        <w:r w:rsidR="004A02EA">
          <w:rPr>
            <w:noProof/>
            <w:webHidden/>
          </w:rPr>
          <w:fldChar w:fldCharType="separate"/>
        </w:r>
        <w:r w:rsidR="00901C2F">
          <w:rPr>
            <w:noProof/>
            <w:webHidden/>
          </w:rPr>
          <w:t>101</w:t>
        </w:r>
        <w:r w:rsidR="004A02EA">
          <w:rPr>
            <w:noProof/>
            <w:webHidden/>
          </w:rPr>
          <w:fldChar w:fldCharType="end"/>
        </w:r>
      </w:hyperlink>
    </w:p>
    <w:p w14:paraId="7EE392AA" w14:textId="3102F93E" w:rsidR="004A02EA" w:rsidRDefault="00C85279">
      <w:pPr>
        <w:pStyle w:val="TM2"/>
        <w:tabs>
          <w:tab w:val="left" w:pos="800"/>
          <w:tab w:val="right" w:leader="dot" w:pos="9402"/>
        </w:tabs>
        <w:rPr>
          <w:rFonts w:asciiTheme="minorHAnsi" w:eastAsiaTheme="minorEastAsia" w:hAnsiTheme="minorHAnsi" w:cstheme="minorBidi"/>
          <w:caps w:val="0"/>
          <w:noProof/>
          <w:sz w:val="22"/>
          <w:szCs w:val="22"/>
          <w:lang w:val="en-US" w:eastAsia="en-US"/>
        </w:rPr>
      </w:pPr>
      <w:hyperlink w:anchor="_Toc12967224" w:history="1">
        <w:r w:rsidR="004A02EA" w:rsidRPr="00E924BB">
          <w:rPr>
            <w:rStyle w:val="Lienhypertexte"/>
            <w:noProof/>
          </w:rPr>
          <w:t>3.5</w:t>
        </w:r>
        <w:r w:rsidR="004A02EA">
          <w:rPr>
            <w:rFonts w:asciiTheme="minorHAnsi" w:eastAsiaTheme="minorEastAsia" w:hAnsiTheme="minorHAnsi" w:cstheme="minorBidi"/>
            <w:caps w:val="0"/>
            <w:noProof/>
            <w:sz w:val="22"/>
            <w:szCs w:val="22"/>
            <w:lang w:val="en-US" w:eastAsia="en-US"/>
          </w:rPr>
          <w:tab/>
        </w:r>
        <w:r w:rsidR="004A02EA" w:rsidRPr="00E924BB">
          <w:rPr>
            <w:rStyle w:val="Lienhypertexte"/>
            <w:noProof/>
          </w:rPr>
          <w:t>Summaries of the efficacy studies (B.5.10.1-xx)</w:t>
        </w:r>
        <w:r w:rsidR="004A02EA">
          <w:rPr>
            <w:noProof/>
            <w:webHidden/>
          </w:rPr>
          <w:tab/>
        </w:r>
        <w:r w:rsidR="004A02EA">
          <w:rPr>
            <w:noProof/>
            <w:webHidden/>
          </w:rPr>
          <w:fldChar w:fldCharType="begin"/>
        </w:r>
        <w:r w:rsidR="004A02EA">
          <w:rPr>
            <w:noProof/>
            <w:webHidden/>
          </w:rPr>
          <w:instrText xml:space="preserve"> PAGEREF _Toc12967224 \h </w:instrText>
        </w:r>
        <w:r w:rsidR="004A02EA">
          <w:rPr>
            <w:noProof/>
            <w:webHidden/>
          </w:rPr>
        </w:r>
        <w:r w:rsidR="004A02EA">
          <w:rPr>
            <w:noProof/>
            <w:webHidden/>
          </w:rPr>
          <w:fldChar w:fldCharType="separate"/>
        </w:r>
        <w:r w:rsidR="00901C2F">
          <w:rPr>
            <w:noProof/>
            <w:webHidden/>
          </w:rPr>
          <w:t>102</w:t>
        </w:r>
        <w:r w:rsidR="004A02EA">
          <w:rPr>
            <w:noProof/>
            <w:webHidden/>
          </w:rPr>
          <w:fldChar w:fldCharType="end"/>
        </w:r>
      </w:hyperlink>
    </w:p>
    <w:p w14:paraId="7B7E7FD7" w14:textId="2CA8D8FD" w:rsidR="004A02EA" w:rsidRDefault="00C85279">
      <w:pPr>
        <w:pStyle w:val="TM2"/>
        <w:tabs>
          <w:tab w:val="left" w:pos="800"/>
          <w:tab w:val="right" w:leader="dot" w:pos="9402"/>
        </w:tabs>
        <w:rPr>
          <w:rFonts w:asciiTheme="minorHAnsi" w:eastAsiaTheme="minorEastAsia" w:hAnsiTheme="minorHAnsi" w:cstheme="minorBidi"/>
          <w:caps w:val="0"/>
          <w:noProof/>
          <w:sz w:val="22"/>
          <w:szCs w:val="22"/>
          <w:lang w:val="en-US" w:eastAsia="en-US"/>
        </w:rPr>
      </w:pPr>
      <w:hyperlink w:anchor="_Toc12967225" w:history="1">
        <w:r w:rsidR="004A02EA" w:rsidRPr="00E924BB">
          <w:rPr>
            <w:rStyle w:val="Lienhypertexte"/>
            <w:noProof/>
          </w:rPr>
          <w:t>3.6</w:t>
        </w:r>
        <w:r w:rsidR="004A02EA">
          <w:rPr>
            <w:rFonts w:asciiTheme="minorHAnsi" w:eastAsiaTheme="minorEastAsia" w:hAnsiTheme="minorHAnsi" w:cstheme="minorBidi"/>
            <w:caps w:val="0"/>
            <w:noProof/>
            <w:sz w:val="22"/>
            <w:szCs w:val="22"/>
            <w:lang w:val="en-US" w:eastAsia="en-US"/>
          </w:rPr>
          <w:tab/>
        </w:r>
        <w:r w:rsidR="004A02EA" w:rsidRPr="00E924BB">
          <w:rPr>
            <w:rStyle w:val="Lienhypertexte"/>
            <w:noProof/>
          </w:rPr>
          <w:t>Confidential annex</w:t>
        </w:r>
        <w:r w:rsidR="004A02EA">
          <w:rPr>
            <w:noProof/>
            <w:webHidden/>
          </w:rPr>
          <w:tab/>
        </w:r>
        <w:r w:rsidR="004A02EA">
          <w:rPr>
            <w:noProof/>
            <w:webHidden/>
          </w:rPr>
          <w:fldChar w:fldCharType="begin"/>
        </w:r>
        <w:r w:rsidR="004A02EA">
          <w:rPr>
            <w:noProof/>
            <w:webHidden/>
          </w:rPr>
          <w:instrText xml:space="preserve"> PAGEREF _Toc12967225 \h </w:instrText>
        </w:r>
        <w:r w:rsidR="004A02EA">
          <w:rPr>
            <w:noProof/>
            <w:webHidden/>
          </w:rPr>
        </w:r>
        <w:r w:rsidR="004A02EA">
          <w:rPr>
            <w:noProof/>
            <w:webHidden/>
          </w:rPr>
          <w:fldChar w:fldCharType="separate"/>
        </w:r>
        <w:r w:rsidR="00901C2F">
          <w:rPr>
            <w:noProof/>
            <w:webHidden/>
          </w:rPr>
          <w:t>102</w:t>
        </w:r>
        <w:r w:rsidR="004A02EA">
          <w:rPr>
            <w:noProof/>
            <w:webHidden/>
          </w:rPr>
          <w:fldChar w:fldCharType="end"/>
        </w:r>
      </w:hyperlink>
    </w:p>
    <w:p w14:paraId="3EFB443B" w14:textId="63B03C47" w:rsidR="004A02EA" w:rsidRDefault="00C85279">
      <w:pPr>
        <w:pStyle w:val="TM2"/>
        <w:tabs>
          <w:tab w:val="left" w:pos="800"/>
          <w:tab w:val="right" w:leader="dot" w:pos="9402"/>
        </w:tabs>
        <w:rPr>
          <w:rFonts w:asciiTheme="minorHAnsi" w:eastAsiaTheme="minorEastAsia" w:hAnsiTheme="minorHAnsi" w:cstheme="minorBidi"/>
          <w:caps w:val="0"/>
          <w:noProof/>
          <w:sz w:val="22"/>
          <w:szCs w:val="22"/>
          <w:lang w:val="en-US" w:eastAsia="en-US"/>
        </w:rPr>
      </w:pPr>
      <w:hyperlink w:anchor="_Toc12967226" w:history="1">
        <w:r w:rsidR="004A02EA" w:rsidRPr="00E924BB">
          <w:rPr>
            <w:rStyle w:val="Lienhypertexte"/>
            <w:noProof/>
          </w:rPr>
          <w:t>3.7</w:t>
        </w:r>
        <w:r w:rsidR="004A02EA">
          <w:rPr>
            <w:rFonts w:asciiTheme="minorHAnsi" w:eastAsiaTheme="minorEastAsia" w:hAnsiTheme="minorHAnsi" w:cstheme="minorBidi"/>
            <w:caps w:val="0"/>
            <w:noProof/>
            <w:sz w:val="22"/>
            <w:szCs w:val="22"/>
            <w:lang w:val="en-US" w:eastAsia="en-US"/>
          </w:rPr>
          <w:tab/>
        </w:r>
        <w:r w:rsidR="004A02EA" w:rsidRPr="00E924BB">
          <w:rPr>
            <w:rStyle w:val="Lienhypertexte"/>
            <w:noProof/>
          </w:rPr>
          <w:t>Other</w:t>
        </w:r>
        <w:r w:rsidR="004A02EA">
          <w:rPr>
            <w:noProof/>
            <w:webHidden/>
          </w:rPr>
          <w:tab/>
        </w:r>
        <w:r w:rsidR="004A02EA">
          <w:rPr>
            <w:noProof/>
            <w:webHidden/>
          </w:rPr>
          <w:fldChar w:fldCharType="begin"/>
        </w:r>
        <w:r w:rsidR="004A02EA">
          <w:rPr>
            <w:noProof/>
            <w:webHidden/>
          </w:rPr>
          <w:instrText xml:space="preserve"> PAGEREF _Toc12967226 \h </w:instrText>
        </w:r>
        <w:r w:rsidR="004A02EA">
          <w:rPr>
            <w:noProof/>
            <w:webHidden/>
          </w:rPr>
        </w:r>
        <w:r w:rsidR="004A02EA">
          <w:rPr>
            <w:noProof/>
            <w:webHidden/>
          </w:rPr>
          <w:fldChar w:fldCharType="separate"/>
        </w:r>
        <w:r w:rsidR="00901C2F">
          <w:rPr>
            <w:noProof/>
            <w:webHidden/>
          </w:rPr>
          <w:t>102</w:t>
        </w:r>
        <w:r w:rsidR="004A02EA">
          <w:rPr>
            <w:noProof/>
            <w:webHidden/>
          </w:rPr>
          <w:fldChar w:fldCharType="end"/>
        </w:r>
      </w:hyperlink>
    </w:p>
    <w:p w14:paraId="6731FE65" w14:textId="7B5AEBA6" w:rsidR="00DA3C10" w:rsidRPr="00BD2EF1" w:rsidRDefault="00816022" w:rsidP="00DA3C10">
      <w:r w:rsidRPr="009E5EEE">
        <w:rPr>
          <w:sz w:val="22"/>
        </w:rPr>
        <w:fldChar w:fldCharType="end"/>
      </w:r>
    </w:p>
    <w:p w14:paraId="03F959E9" w14:textId="5110FC43" w:rsidR="00DA3C10" w:rsidRDefault="00DA3C10">
      <w:pPr>
        <w:spacing w:after="160" w:line="259" w:lineRule="auto"/>
      </w:pPr>
      <w:r w:rsidRPr="00BD2EF1">
        <w:br w:type="page"/>
      </w:r>
    </w:p>
    <w:p w14:paraId="2940D97C" w14:textId="77777777" w:rsidR="00C85279" w:rsidRPr="00B06767" w:rsidRDefault="00C85279" w:rsidP="00C85279">
      <w:pPr>
        <w:rPr>
          <w:b/>
          <w:sz w:val="28"/>
          <w:szCs w:val="28"/>
        </w:rPr>
      </w:pPr>
      <w:r w:rsidRPr="00B06767">
        <w:rPr>
          <w:b/>
          <w:sz w:val="28"/>
          <w:szCs w:val="28"/>
        </w:rPr>
        <w:lastRenderedPageBreak/>
        <w:t>Changes history table</w:t>
      </w:r>
    </w:p>
    <w:p w14:paraId="37E444B6" w14:textId="77777777" w:rsidR="00C85279" w:rsidRPr="007F43EE" w:rsidRDefault="00C85279" w:rsidP="00C85279">
      <w:pPr>
        <w:rPr>
          <w:color w:val="FF0000"/>
          <w:sz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000"/>
        <w:gridCol w:w="1333"/>
        <w:gridCol w:w="1220"/>
        <w:gridCol w:w="3663"/>
        <w:gridCol w:w="989"/>
      </w:tblGrid>
      <w:tr w:rsidR="00C85279" w:rsidRPr="009D2889" w14:paraId="43560DF6" w14:textId="77777777" w:rsidTr="00342271">
        <w:trPr>
          <w:trHeight w:val="558"/>
        </w:trPr>
        <w:tc>
          <w:tcPr>
            <w:tcW w:w="636" w:type="pct"/>
          </w:tcPr>
          <w:p w14:paraId="4B2CCBB7" w14:textId="77777777" w:rsidR="00C85279" w:rsidRPr="009D2889" w:rsidRDefault="00C85279" w:rsidP="00342271">
            <w:pPr>
              <w:rPr>
                <w:b/>
                <w:sz w:val="18"/>
                <w:szCs w:val="16"/>
              </w:rPr>
            </w:pPr>
            <w:r w:rsidRPr="009D2889">
              <w:rPr>
                <w:b/>
                <w:sz w:val="18"/>
                <w:szCs w:val="16"/>
              </w:rPr>
              <w:t>Application type</w:t>
            </w:r>
          </w:p>
        </w:tc>
        <w:tc>
          <w:tcPr>
            <w:tcW w:w="532" w:type="pct"/>
          </w:tcPr>
          <w:p w14:paraId="108FFDE8" w14:textId="77777777" w:rsidR="00C85279" w:rsidRPr="009D2889" w:rsidRDefault="00C85279" w:rsidP="00342271">
            <w:pPr>
              <w:rPr>
                <w:b/>
                <w:sz w:val="18"/>
                <w:szCs w:val="16"/>
              </w:rPr>
            </w:pPr>
            <w:proofErr w:type="spellStart"/>
            <w:r w:rsidRPr="009D2889">
              <w:rPr>
                <w:b/>
                <w:sz w:val="18"/>
                <w:szCs w:val="16"/>
              </w:rPr>
              <w:t>refMS</w:t>
            </w:r>
            <w:proofErr w:type="spellEnd"/>
            <w:r w:rsidRPr="009D2889">
              <w:rPr>
                <w:b/>
                <w:sz w:val="18"/>
                <w:szCs w:val="16"/>
              </w:rPr>
              <w:t>/</w:t>
            </w:r>
            <w:proofErr w:type="spellStart"/>
            <w:r w:rsidRPr="009D2889">
              <w:rPr>
                <w:b/>
                <w:sz w:val="18"/>
                <w:szCs w:val="16"/>
              </w:rPr>
              <w:t>eCA</w:t>
            </w:r>
            <w:proofErr w:type="spellEnd"/>
          </w:p>
        </w:tc>
        <w:tc>
          <w:tcPr>
            <w:tcW w:w="709" w:type="pct"/>
          </w:tcPr>
          <w:p w14:paraId="7F0C5943" w14:textId="77777777" w:rsidR="00C85279" w:rsidRPr="009D2889" w:rsidRDefault="00C85279" w:rsidP="00342271">
            <w:pPr>
              <w:rPr>
                <w:b/>
                <w:sz w:val="18"/>
                <w:szCs w:val="16"/>
              </w:rPr>
            </w:pPr>
            <w:r w:rsidRPr="009D2889">
              <w:rPr>
                <w:b/>
                <w:sz w:val="18"/>
                <w:szCs w:val="16"/>
              </w:rPr>
              <w:t xml:space="preserve">Case number in the </w:t>
            </w:r>
            <w:proofErr w:type="spellStart"/>
            <w:r w:rsidRPr="009D2889">
              <w:rPr>
                <w:b/>
                <w:sz w:val="18"/>
                <w:szCs w:val="16"/>
              </w:rPr>
              <w:t>refMS</w:t>
            </w:r>
            <w:proofErr w:type="spellEnd"/>
          </w:p>
        </w:tc>
        <w:tc>
          <w:tcPr>
            <w:tcW w:w="649" w:type="pct"/>
          </w:tcPr>
          <w:p w14:paraId="17C95115" w14:textId="77777777" w:rsidR="00C85279" w:rsidRPr="009D2889" w:rsidRDefault="00C85279" w:rsidP="00342271">
            <w:pPr>
              <w:rPr>
                <w:b/>
                <w:sz w:val="18"/>
                <w:szCs w:val="16"/>
              </w:rPr>
            </w:pPr>
            <w:r w:rsidRPr="009D2889">
              <w:rPr>
                <w:b/>
                <w:sz w:val="18"/>
                <w:szCs w:val="16"/>
              </w:rPr>
              <w:t>Decision date</w:t>
            </w:r>
          </w:p>
        </w:tc>
        <w:tc>
          <w:tcPr>
            <w:tcW w:w="1948" w:type="pct"/>
          </w:tcPr>
          <w:p w14:paraId="21386248" w14:textId="77777777" w:rsidR="00C85279" w:rsidRPr="009D2889" w:rsidRDefault="00C85279" w:rsidP="00342271">
            <w:pPr>
              <w:rPr>
                <w:b/>
                <w:sz w:val="18"/>
                <w:szCs w:val="16"/>
              </w:rPr>
            </w:pPr>
            <w:r w:rsidRPr="009D2889">
              <w:rPr>
                <w:b/>
                <w:sz w:val="18"/>
                <w:szCs w:val="16"/>
              </w:rPr>
              <w:t>Assessment carried out (i.e. first authorisation / amendment / renewal)</w:t>
            </w:r>
          </w:p>
        </w:tc>
        <w:tc>
          <w:tcPr>
            <w:tcW w:w="526" w:type="pct"/>
          </w:tcPr>
          <w:p w14:paraId="0B1F1ADC" w14:textId="77777777" w:rsidR="00C85279" w:rsidRPr="009D2889" w:rsidRDefault="00C85279" w:rsidP="00342271">
            <w:pPr>
              <w:rPr>
                <w:b/>
                <w:sz w:val="18"/>
                <w:szCs w:val="16"/>
              </w:rPr>
            </w:pPr>
            <w:r w:rsidRPr="009D2889">
              <w:rPr>
                <w:b/>
                <w:sz w:val="18"/>
                <w:szCs w:val="16"/>
              </w:rPr>
              <w:t>Chapter/ page</w:t>
            </w:r>
          </w:p>
        </w:tc>
      </w:tr>
      <w:tr w:rsidR="00C85279" w:rsidRPr="009D2889" w14:paraId="1C0E8B06" w14:textId="77777777" w:rsidTr="00342271">
        <w:tc>
          <w:tcPr>
            <w:tcW w:w="636" w:type="pct"/>
          </w:tcPr>
          <w:p w14:paraId="57627E5E" w14:textId="77777777" w:rsidR="00C85279" w:rsidRPr="009D2889" w:rsidRDefault="00C85279" w:rsidP="00342271">
            <w:pPr>
              <w:rPr>
                <w:sz w:val="18"/>
                <w:szCs w:val="16"/>
              </w:rPr>
            </w:pPr>
            <w:r w:rsidRPr="009D2889">
              <w:rPr>
                <w:sz w:val="18"/>
                <w:szCs w:val="16"/>
              </w:rPr>
              <w:t>NA-APP</w:t>
            </w:r>
          </w:p>
        </w:tc>
        <w:tc>
          <w:tcPr>
            <w:tcW w:w="532" w:type="pct"/>
          </w:tcPr>
          <w:p w14:paraId="7896BA7B" w14:textId="77777777" w:rsidR="00C85279" w:rsidRPr="009D2889" w:rsidRDefault="00C85279" w:rsidP="00342271">
            <w:pPr>
              <w:rPr>
                <w:sz w:val="18"/>
                <w:szCs w:val="16"/>
              </w:rPr>
            </w:pPr>
            <w:r w:rsidRPr="009D2889">
              <w:rPr>
                <w:sz w:val="18"/>
                <w:szCs w:val="16"/>
              </w:rPr>
              <w:t>BE</w:t>
            </w:r>
          </w:p>
        </w:tc>
        <w:tc>
          <w:tcPr>
            <w:tcW w:w="709" w:type="pct"/>
          </w:tcPr>
          <w:p w14:paraId="497CF4D2" w14:textId="77777777" w:rsidR="00C85279" w:rsidRPr="009D2889" w:rsidRDefault="00C85279" w:rsidP="00342271">
            <w:pPr>
              <w:rPr>
                <w:sz w:val="18"/>
                <w:szCs w:val="16"/>
              </w:rPr>
            </w:pPr>
            <w:r w:rsidRPr="009D2889">
              <w:rPr>
                <w:sz w:val="18"/>
                <w:szCs w:val="16"/>
              </w:rPr>
              <w:t>BC-QE019739-30</w:t>
            </w:r>
          </w:p>
        </w:tc>
        <w:tc>
          <w:tcPr>
            <w:tcW w:w="649" w:type="pct"/>
          </w:tcPr>
          <w:p w14:paraId="59C90B1B" w14:textId="77777777" w:rsidR="00C85279" w:rsidRPr="009D2889" w:rsidRDefault="00C85279" w:rsidP="00342271">
            <w:pPr>
              <w:rPr>
                <w:sz w:val="18"/>
                <w:szCs w:val="16"/>
              </w:rPr>
            </w:pPr>
            <w:r w:rsidRPr="009D2889">
              <w:rPr>
                <w:sz w:val="18"/>
                <w:szCs w:val="16"/>
              </w:rPr>
              <w:t>05.11.2019</w:t>
            </w:r>
          </w:p>
        </w:tc>
        <w:tc>
          <w:tcPr>
            <w:tcW w:w="1948" w:type="pct"/>
          </w:tcPr>
          <w:p w14:paraId="10BBFD74" w14:textId="77777777" w:rsidR="00C85279" w:rsidRPr="009D2889" w:rsidRDefault="00C85279" w:rsidP="00342271">
            <w:pPr>
              <w:rPr>
                <w:sz w:val="18"/>
                <w:szCs w:val="16"/>
              </w:rPr>
            </w:pPr>
            <w:r w:rsidRPr="009D2889">
              <w:rPr>
                <w:sz w:val="18"/>
                <w:szCs w:val="16"/>
              </w:rPr>
              <w:t>Initial assessment</w:t>
            </w:r>
          </w:p>
        </w:tc>
        <w:tc>
          <w:tcPr>
            <w:tcW w:w="526" w:type="pct"/>
          </w:tcPr>
          <w:p w14:paraId="16F6FB2C" w14:textId="77777777" w:rsidR="00C85279" w:rsidRPr="009D2889" w:rsidRDefault="00C85279" w:rsidP="00342271">
            <w:pPr>
              <w:rPr>
                <w:sz w:val="18"/>
                <w:szCs w:val="16"/>
              </w:rPr>
            </w:pPr>
          </w:p>
        </w:tc>
      </w:tr>
      <w:tr w:rsidR="00C85279" w:rsidRPr="00C85279" w14:paraId="20736255" w14:textId="77777777" w:rsidTr="00342271">
        <w:tc>
          <w:tcPr>
            <w:tcW w:w="636" w:type="pct"/>
          </w:tcPr>
          <w:p w14:paraId="74F815F5" w14:textId="77777777" w:rsidR="00C85279" w:rsidRPr="009D2889" w:rsidRDefault="00C85279" w:rsidP="00342271">
            <w:pPr>
              <w:rPr>
                <w:sz w:val="18"/>
                <w:szCs w:val="16"/>
              </w:rPr>
            </w:pPr>
            <w:r w:rsidRPr="009D2889">
              <w:rPr>
                <w:sz w:val="18"/>
                <w:szCs w:val="16"/>
              </w:rPr>
              <w:t>NA-AAT</w:t>
            </w:r>
          </w:p>
        </w:tc>
        <w:tc>
          <w:tcPr>
            <w:tcW w:w="532" w:type="pct"/>
          </w:tcPr>
          <w:p w14:paraId="6C6F3B5B" w14:textId="77777777" w:rsidR="00C85279" w:rsidRPr="009D2889" w:rsidRDefault="00C85279" w:rsidP="00342271">
            <w:pPr>
              <w:rPr>
                <w:sz w:val="18"/>
                <w:szCs w:val="16"/>
              </w:rPr>
            </w:pPr>
            <w:r w:rsidRPr="009D2889">
              <w:rPr>
                <w:sz w:val="18"/>
                <w:szCs w:val="16"/>
              </w:rPr>
              <w:t>BE</w:t>
            </w:r>
          </w:p>
        </w:tc>
        <w:tc>
          <w:tcPr>
            <w:tcW w:w="709" w:type="pct"/>
          </w:tcPr>
          <w:p w14:paraId="02450CDF" w14:textId="77777777" w:rsidR="00C85279" w:rsidRPr="009D2889" w:rsidRDefault="00C85279" w:rsidP="00342271">
            <w:pPr>
              <w:rPr>
                <w:sz w:val="18"/>
                <w:szCs w:val="16"/>
              </w:rPr>
            </w:pPr>
            <w:r w:rsidRPr="009D2889">
              <w:rPr>
                <w:sz w:val="18"/>
                <w:szCs w:val="16"/>
              </w:rPr>
              <w:t>BC-FF060184-55</w:t>
            </w:r>
          </w:p>
        </w:tc>
        <w:tc>
          <w:tcPr>
            <w:tcW w:w="649" w:type="pct"/>
          </w:tcPr>
          <w:p w14:paraId="2E0B6F66" w14:textId="77777777" w:rsidR="00C85279" w:rsidRPr="009D2889" w:rsidRDefault="00C85279" w:rsidP="00342271">
            <w:pPr>
              <w:rPr>
                <w:sz w:val="18"/>
                <w:szCs w:val="16"/>
              </w:rPr>
            </w:pPr>
            <w:r w:rsidRPr="009D2889">
              <w:rPr>
                <w:sz w:val="18"/>
                <w:szCs w:val="16"/>
              </w:rPr>
              <w:t>18</w:t>
            </w:r>
            <w:r>
              <w:rPr>
                <w:sz w:val="18"/>
                <w:szCs w:val="16"/>
              </w:rPr>
              <w:t>.</w:t>
            </w:r>
            <w:r w:rsidRPr="009D2889">
              <w:rPr>
                <w:sz w:val="18"/>
                <w:szCs w:val="16"/>
              </w:rPr>
              <w:t>06</w:t>
            </w:r>
            <w:r>
              <w:rPr>
                <w:sz w:val="18"/>
                <w:szCs w:val="16"/>
              </w:rPr>
              <w:t>.</w:t>
            </w:r>
            <w:r w:rsidRPr="009D2889">
              <w:rPr>
                <w:sz w:val="18"/>
                <w:szCs w:val="16"/>
              </w:rPr>
              <w:t>2020</w:t>
            </w:r>
          </w:p>
        </w:tc>
        <w:tc>
          <w:tcPr>
            <w:tcW w:w="1948" w:type="pct"/>
          </w:tcPr>
          <w:p w14:paraId="07BD723A" w14:textId="77777777" w:rsidR="00C85279" w:rsidRPr="009D2889" w:rsidRDefault="00C85279" w:rsidP="00342271">
            <w:pPr>
              <w:rPr>
                <w:sz w:val="18"/>
                <w:szCs w:val="16"/>
              </w:rPr>
            </w:pPr>
            <w:r w:rsidRPr="009D2889">
              <w:rPr>
                <w:sz w:val="18"/>
                <w:szCs w:val="16"/>
              </w:rPr>
              <w:t>Correction</w:t>
            </w:r>
            <w:r>
              <w:rPr>
                <w:sz w:val="18"/>
                <w:szCs w:val="16"/>
              </w:rPr>
              <w:t>: Typos</w:t>
            </w:r>
            <w:r w:rsidRPr="009D2889">
              <w:rPr>
                <w:sz w:val="18"/>
                <w:szCs w:val="16"/>
              </w:rPr>
              <w:t xml:space="preserve"> (ml/cm² to µl/cm²)</w:t>
            </w:r>
          </w:p>
        </w:tc>
        <w:tc>
          <w:tcPr>
            <w:tcW w:w="526" w:type="pct"/>
          </w:tcPr>
          <w:p w14:paraId="09D3E135" w14:textId="77777777" w:rsidR="00C85279" w:rsidRPr="009D2889" w:rsidRDefault="00C85279" w:rsidP="00342271">
            <w:pPr>
              <w:rPr>
                <w:sz w:val="18"/>
                <w:szCs w:val="16"/>
                <w:lang w:val="fr-BE"/>
              </w:rPr>
            </w:pPr>
            <w:r w:rsidRPr="009D2889">
              <w:rPr>
                <w:sz w:val="18"/>
                <w:szCs w:val="16"/>
                <w:lang w:val="fr-BE"/>
              </w:rPr>
              <w:t>Sections 2.1.4.1 (page 10), 2.1.4.7 (page 11) and 2.2.7.2 (page 60)</w:t>
            </w:r>
          </w:p>
        </w:tc>
      </w:tr>
      <w:tr w:rsidR="00C85279" w:rsidRPr="009D2889" w14:paraId="78346960" w14:textId="77777777" w:rsidTr="00342271">
        <w:tc>
          <w:tcPr>
            <w:tcW w:w="636" w:type="pct"/>
          </w:tcPr>
          <w:p w14:paraId="05901393" w14:textId="77777777" w:rsidR="00C85279" w:rsidRPr="009D2889" w:rsidRDefault="00C85279" w:rsidP="00342271">
            <w:pPr>
              <w:rPr>
                <w:sz w:val="18"/>
                <w:szCs w:val="16"/>
              </w:rPr>
            </w:pPr>
            <w:r w:rsidRPr="009D2889">
              <w:rPr>
                <w:sz w:val="18"/>
                <w:szCs w:val="16"/>
              </w:rPr>
              <w:t>NA-AAT</w:t>
            </w:r>
          </w:p>
        </w:tc>
        <w:tc>
          <w:tcPr>
            <w:tcW w:w="532" w:type="pct"/>
          </w:tcPr>
          <w:p w14:paraId="034BA6D4" w14:textId="77777777" w:rsidR="00C85279" w:rsidRPr="009D2889" w:rsidRDefault="00C85279" w:rsidP="00342271">
            <w:pPr>
              <w:rPr>
                <w:sz w:val="18"/>
                <w:szCs w:val="16"/>
              </w:rPr>
            </w:pPr>
            <w:r w:rsidRPr="009D2889">
              <w:rPr>
                <w:sz w:val="18"/>
                <w:szCs w:val="16"/>
              </w:rPr>
              <w:t>BE</w:t>
            </w:r>
          </w:p>
        </w:tc>
        <w:tc>
          <w:tcPr>
            <w:tcW w:w="709" w:type="pct"/>
          </w:tcPr>
          <w:p w14:paraId="084BBDE1" w14:textId="77777777" w:rsidR="00C85279" w:rsidRPr="009D2889" w:rsidRDefault="00C85279" w:rsidP="00342271">
            <w:pPr>
              <w:rPr>
                <w:sz w:val="18"/>
                <w:szCs w:val="16"/>
              </w:rPr>
            </w:pPr>
            <w:r w:rsidRPr="009D2889">
              <w:rPr>
                <w:sz w:val="18"/>
                <w:szCs w:val="16"/>
              </w:rPr>
              <w:t>BC-VX082557-86</w:t>
            </w:r>
          </w:p>
        </w:tc>
        <w:tc>
          <w:tcPr>
            <w:tcW w:w="649" w:type="pct"/>
          </w:tcPr>
          <w:p w14:paraId="5CC01052" w14:textId="77777777" w:rsidR="00C85279" w:rsidRPr="009D2889" w:rsidRDefault="00C85279" w:rsidP="00342271">
            <w:pPr>
              <w:rPr>
                <w:sz w:val="18"/>
                <w:szCs w:val="16"/>
              </w:rPr>
            </w:pPr>
            <w:r>
              <w:rPr>
                <w:sz w:val="18"/>
                <w:szCs w:val="16"/>
              </w:rPr>
              <w:t>09.01.2023</w:t>
            </w:r>
          </w:p>
        </w:tc>
        <w:tc>
          <w:tcPr>
            <w:tcW w:w="1948" w:type="pct"/>
          </w:tcPr>
          <w:p w14:paraId="4F3EF15F" w14:textId="77777777" w:rsidR="00C85279" w:rsidRPr="009D2889" w:rsidRDefault="00C85279" w:rsidP="00342271">
            <w:pPr>
              <w:rPr>
                <w:sz w:val="18"/>
                <w:szCs w:val="16"/>
              </w:rPr>
            </w:pPr>
            <w:r w:rsidRPr="009D2889">
              <w:rPr>
                <w:sz w:val="18"/>
                <w:szCs w:val="16"/>
              </w:rPr>
              <w:t>Post authorisation requirement</w:t>
            </w:r>
            <w:r>
              <w:rPr>
                <w:sz w:val="18"/>
                <w:szCs w:val="16"/>
              </w:rPr>
              <w:t>: 18M</w:t>
            </w:r>
            <w:r w:rsidRPr="009D2889">
              <w:rPr>
                <w:sz w:val="18"/>
                <w:szCs w:val="16"/>
              </w:rPr>
              <w:t xml:space="preserve"> shelf</w:t>
            </w:r>
            <w:r>
              <w:rPr>
                <w:sz w:val="18"/>
                <w:szCs w:val="16"/>
              </w:rPr>
              <w:t>-life data provided</w:t>
            </w:r>
          </w:p>
        </w:tc>
        <w:tc>
          <w:tcPr>
            <w:tcW w:w="526" w:type="pct"/>
          </w:tcPr>
          <w:p w14:paraId="3CBEA107" w14:textId="77777777" w:rsidR="00C85279" w:rsidRPr="009D2889" w:rsidRDefault="00C85279" w:rsidP="00342271">
            <w:pPr>
              <w:rPr>
                <w:sz w:val="18"/>
                <w:szCs w:val="16"/>
              </w:rPr>
            </w:pPr>
            <w:r>
              <w:rPr>
                <w:sz w:val="18"/>
                <w:szCs w:val="16"/>
              </w:rPr>
              <w:t>Via annex</w:t>
            </w:r>
          </w:p>
        </w:tc>
      </w:tr>
      <w:tr w:rsidR="00C85279" w:rsidRPr="009D2889" w14:paraId="499A221B" w14:textId="77777777" w:rsidTr="00342271">
        <w:tc>
          <w:tcPr>
            <w:tcW w:w="636" w:type="pct"/>
          </w:tcPr>
          <w:p w14:paraId="0DBB6DEE" w14:textId="77777777" w:rsidR="00C85279" w:rsidRPr="009D2889" w:rsidRDefault="00C85279" w:rsidP="00342271">
            <w:pPr>
              <w:rPr>
                <w:sz w:val="18"/>
                <w:szCs w:val="16"/>
              </w:rPr>
            </w:pPr>
            <w:r w:rsidRPr="009D2889">
              <w:rPr>
                <w:sz w:val="18"/>
                <w:szCs w:val="16"/>
              </w:rPr>
              <w:t>NA-AAT</w:t>
            </w:r>
          </w:p>
        </w:tc>
        <w:tc>
          <w:tcPr>
            <w:tcW w:w="532" w:type="pct"/>
          </w:tcPr>
          <w:p w14:paraId="6A750638" w14:textId="77777777" w:rsidR="00C85279" w:rsidRPr="009D2889" w:rsidRDefault="00C85279" w:rsidP="00342271">
            <w:pPr>
              <w:rPr>
                <w:sz w:val="18"/>
                <w:szCs w:val="16"/>
              </w:rPr>
            </w:pPr>
            <w:r w:rsidRPr="009D2889">
              <w:rPr>
                <w:sz w:val="18"/>
                <w:szCs w:val="16"/>
              </w:rPr>
              <w:t>BE</w:t>
            </w:r>
          </w:p>
        </w:tc>
        <w:tc>
          <w:tcPr>
            <w:tcW w:w="709" w:type="pct"/>
          </w:tcPr>
          <w:p w14:paraId="267C8C7B" w14:textId="77777777" w:rsidR="00C85279" w:rsidRPr="009D2889" w:rsidRDefault="00C85279" w:rsidP="00342271">
            <w:pPr>
              <w:rPr>
                <w:sz w:val="18"/>
                <w:szCs w:val="16"/>
              </w:rPr>
            </w:pPr>
            <w:r w:rsidRPr="009D2889">
              <w:rPr>
                <w:sz w:val="18"/>
                <w:szCs w:val="16"/>
              </w:rPr>
              <w:t>BC-KN083850-24</w:t>
            </w:r>
          </w:p>
        </w:tc>
        <w:tc>
          <w:tcPr>
            <w:tcW w:w="649" w:type="pct"/>
          </w:tcPr>
          <w:p w14:paraId="13260102" w14:textId="77777777" w:rsidR="00C85279" w:rsidRPr="009D2889" w:rsidRDefault="00C85279" w:rsidP="00342271">
            <w:pPr>
              <w:rPr>
                <w:sz w:val="18"/>
                <w:szCs w:val="16"/>
              </w:rPr>
            </w:pPr>
            <w:r>
              <w:rPr>
                <w:sz w:val="18"/>
                <w:szCs w:val="16"/>
              </w:rPr>
              <w:t>16.01.2023</w:t>
            </w:r>
          </w:p>
        </w:tc>
        <w:tc>
          <w:tcPr>
            <w:tcW w:w="1948" w:type="pct"/>
          </w:tcPr>
          <w:p w14:paraId="340177A7" w14:textId="77777777" w:rsidR="00C85279" w:rsidRPr="009D2889" w:rsidRDefault="00C85279" w:rsidP="00342271">
            <w:pPr>
              <w:rPr>
                <w:sz w:val="18"/>
                <w:szCs w:val="16"/>
              </w:rPr>
            </w:pPr>
            <w:r>
              <w:rPr>
                <w:sz w:val="18"/>
                <w:szCs w:val="16"/>
              </w:rPr>
              <w:t>Correction: Removal of PA-requirement from authorisation certificate</w:t>
            </w:r>
          </w:p>
        </w:tc>
        <w:tc>
          <w:tcPr>
            <w:tcW w:w="526" w:type="pct"/>
          </w:tcPr>
          <w:p w14:paraId="375817E9" w14:textId="77777777" w:rsidR="00C85279" w:rsidRPr="009D2889" w:rsidRDefault="00C85279" w:rsidP="00342271">
            <w:pPr>
              <w:rPr>
                <w:sz w:val="18"/>
                <w:szCs w:val="16"/>
              </w:rPr>
            </w:pPr>
            <w:r>
              <w:rPr>
                <w:sz w:val="18"/>
                <w:szCs w:val="16"/>
              </w:rPr>
              <w:t>N/A</w:t>
            </w:r>
          </w:p>
        </w:tc>
      </w:tr>
      <w:tr w:rsidR="00C85279" w:rsidRPr="009D2889" w14:paraId="50738AD5" w14:textId="77777777" w:rsidTr="00342271">
        <w:tc>
          <w:tcPr>
            <w:tcW w:w="636" w:type="pct"/>
          </w:tcPr>
          <w:p w14:paraId="391B4531" w14:textId="77777777" w:rsidR="00C85279" w:rsidRPr="00C85279" w:rsidRDefault="00C85279" w:rsidP="00342271">
            <w:pPr>
              <w:rPr>
                <w:sz w:val="18"/>
                <w:szCs w:val="16"/>
                <w:highlight w:val="green"/>
              </w:rPr>
            </w:pPr>
            <w:r w:rsidRPr="00C85279">
              <w:rPr>
                <w:sz w:val="18"/>
                <w:szCs w:val="16"/>
                <w:highlight w:val="green"/>
              </w:rPr>
              <w:t>NA-MIC</w:t>
            </w:r>
          </w:p>
        </w:tc>
        <w:tc>
          <w:tcPr>
            <w:tcW w:w="532" w:type="pct"/>
          </w:tcPr>
          <w:p w14:paraId="663A4B68" w14:textId="77777777" w:rsidR="00C85279" w:rsidRPr="00C85279" w:rsidRDefault="00C85279" w:rsidP="00342271">
            <w:pPr>
              <w:rPr>
                <w:sz w:val="18"/>
                <w:szCs w:val="16"/>
                <w:highlight w:val="green"/>
              </w:rPr>
            </w:pPr>
            <w:r w:rsidRPr="00C85279">
              <w:rPr>
                <w:sz w:val="18"/>
                <w:szCs w:val="16"/>
                <w:highlight w:val="green"/>
              </w:rPr>
              <w:t>BE</w:t>
            </w:r>
          </w:p>
        </w:tc>
        <w:tc>
          <w:tcPr>
            <w:tcW w:w="709" w:type="pct"/>
          </w:tcPr>
          <w:p w14:paraId="656BB01E" w14:textId="77777777" w:rsidR="00C85279" w:rsidRPr="00C85279" w:rsidRDefault="00C85279" w:rsidP="00342271">
            <w:pPr>
              <w:rPr>
                <w:sz w:val="18"/>
                <w:szCs w:val="16"/>
                <w:highlight w:val="green"/>
              </w:rPr>
            </w:pPr>
            <w:r w:rsidRPr="00C85279">
              <w:rPr>
                <w:sz w:val="18"/>
                <w:szCs w:val="16"/>
                <w:highlight w:val="green"/>
              </w:rPr>
              <w:t>BC-JJ087094-33</w:t>
            </w:r>
          </w:p>
        </w:tc>
        <w:tc>
          <w:tcPr>
            <w:tcW w:w="649" w:type="pct"/>
          </w:tcPr>
          <w:p w14:paraId="6F5058D8" w14:textId="0F99903D" w:rsidR="00C85279" w:rsidRPr="00C85279" w:rsidRDefault="00C85279" w:rsidP="00342271">
            <w:pPr>
              <w:rPr>
                <w:sz w:val="18"/>
                <w:szCs w:val="16"/>
                <w:highlight w:val="green"/>
              </w:rPr>
            </w:pPr>
            <w:r>
              <w:rPr>
                <w:sz w:val="18"/>
                <w:szCs w:val="16"/>
                <w:highlight w:val="green"/>
              </w:rPr>
              <w:t>20.11.2023</w:t>
            </w:r>
          </w:p>
        </w:tc>
        <w:tc>
          <w:tcPr>
            <w:tcW w:w="1948" w:type="pct"/>
          </w:tcPr>
          <w:p w14:paraId="786D5086" w14:textId="77777777" w:rsidR="00C85279" w:rsidRPr="00C85279" w:rsidRDefault="00C85279" w:rsidP="00342271">
            <w:pPr>
              <w:rPr>
                <w:sz w:val="18"/>
                <w:szCs w:val="16"/>
                <w:highlight w:val="green"/>
              </w:rPr>
            </w:pPr>
            <w:r w:rsidRPr="00C85279">
              <w:rPr>
                <w:sz w:val="18"/>
                <w:szCs w:val="16"/>
                <w:highlight w:val="green"/>
              </w:rPr>
              <w:t>Shelf-life extension to 24M</w:t>
            </w:r>
          </w:p>
        </w:tc>
        <w:tc>
          <w:tcPr>
            <w:tcW w:w="526" w:type="pct"/>
          </w:tcPr>
          <w:p w14:paraId="14B720D7" w14:textId="77777777" w:rsidR="00C85279" w:rsidRPr="00C85279" w:rsidRDefault="00C85279" w:rsidP="00342271">
            <w:pPr>
              <w:rPr>
                <w:sz w:val="18"/>
                <w:szCs w:val="16"/>
                <w:highlight w:val="green"/>
              </w:rPr>
            </w:pPr>
            <w:r w:rsidRPr="00C85279">
              <w:rPr>
                <w:sz w:val="18"/>
                <w:szCs w:val="16"/>
                <w:highlight w:val="green"/>
              </w:rPr>
              <w:t>Via addendum</w:t>
            </w:r>
          </w:p>
        </w:tc>
      </w:tr>
    </w:tbl>
    <w:p w14:paraId="7BA1E617" w14:textId="77777777" w:rsidR="00C85279" w:rsidRPr="00B06767" w:rsidRDefault="00C85279" w:rsidP="00C85279"/>
    <w:p w14:paraId="13AA7906" w14:textId="0DF19720" w:rsidR="00C85279" w:rsidRDefault="00C85279">
      <w:pPr>
        <w:spacing w:after="160" w:line="259" w:lineRule="auto"/>
      </w:pPr>
    </w:p>
    <w:p w14:paraId="083F6618" w14:textId="36F74616" w:rsidR="00C85279" w:rsidRDefault="00C85279">
      <w:pPr>
        <w:spacing w:after="160" w:line="259" w:lineRule="auto"/>
      </w:pPr>
    </w:p>
    <w:p w14:paraId="47488239" w14:textId="43B8A271" w:rsidR="00C85279" w:rsidRDefault="00C85279">
      <w:pPr>
        <w:spacing w:after="160" w:line="259" w:lineRule="auto"/>
      </w:pPr>
    </w:p>
    <w:p w14:paraId="1D3CABCF" w14:textId="3B97E71C" w:rsidR="00C85279" w:rsidRDefault="00C85279">
      <w:pPr>
        <w:spacing w:after="160" w:line="259" w:lineRule="auto"/>
      </w:pPr>
    </w:p>
    <w:p w14:paraId="4D89FEE1" w14:textId="4203D22F" w:rsidR="00C85279" w:rsidRDefault="00C85279">
      <w:pPr>
        <w:spacing w:after="160" w:line="259" w:lineRule="auto"/>
      </w:pPr>
    </w:p>
    <w:p w14:paraId="27A323C0" w14:textId="389F4BF3" w:rsidR="00C85279" w:rsidRDefault="00C85279">
      <w:pPr>
        <w:spacing w:after="160" w:line="259" w:lineRule="auto"/>
      </w:pPr>
    </w:p>
    <w:p w14:paraId="523182E4" w14:textId="507747F5" w:rsidR="00C85279" w:rsidRDefault="00C85279">
      <w:pPr>
        <w:spacing w:after="160" w:line="259" w:lineRule="auto"/>
      </w:pPr>
    </w:p>
    <w:p w14:paraId="0B1067C3" w14:textId="0F694A95" w:rsidR="00C85279" w:rsidRDefault="00C85279">
      <w:pPr>
        <w:spacing w:after="160" w:line="259" w:lineRule="auto"/>
      </w:pPr>
    </w:p>
    <w:p w14:paraId="555EE615" w14:textId="34AD970F" w:rsidR="00C85279" w:rsidRDefault="00C85279">
      <w:pPr>
        <w:spacing w:after="160" w:line="259" w:lineRule="auto"/>
      </w:pPr>
    </w:p>
    <w:p w14:paraId="0288F5B7" w14:textId="5B472A19" w:rsidR="00C85279" w:rsidRDefault="00C85279">
      <w:pPr>
        <w:spacing w:after="160" w:line="259" w:lineRule="auto"/>
      </w:pPr>
    </w:p>
    <w:p w14:paraId="5426D8E6" w14:textId="715BDBE6" w:rsidR="00C85279" w:rsidRDefault="00C85279">
      <w:pPr>
        <w:spacing w:after="160" w:line="259" w:lineRule="auto"/>
      </w:pPr>
    </w:p>
    <w:p w14:paraId="6C0FF96B" w14:textId="3BE0693E" w:rsidR="00C85279" w:rsidRDefault="00C85279">
      <w:pPr>
        <w:spacing w:after="160" w:line="259" w:lineRule="auto"/>
      </w:pPr>
    </w:p>
    <w:p w14:paraId="2B32549A" w14:textId="77777777" w:rsidR="00C85279" w:rsidRDefault="00C85279">
      <w:pPr>
        <w:spacing w:after="160" w:line="259" w:lineRule="auto"/>
      </w:pPr>
    </w:p>
    <w:p w14:paraId="3E1405F8" w14:textId="77777777" w:rsidR="00C85279" w:rsidRPr="00BD2EF1" w:rsidRDefault="00C85279">
      <w:pPr>
        <w:spacing w:after="160" w:line="259" w:lineRule="auto"/>
      </w:pPr>
    </w:p>
    <w:p w14:paraId="0FFB04BB" w14:textId="77777777" w:rsidR="00DA3C10" w:rsidRPr="00E26E24" w:rsidRDefault="00DA3C10" w:rsidP="00DA3C10">
      <w:pPr>
        <w:pStyle w:val="Titre1"/>
      </w:pPr>
      <w:bookmarkStart w:id="1" w:name="_Toc12967092"/>
      <w:r w:rsidRPr="00E26E24">
        <w:lastRenderedPageBreak/>
        <w:t>Conclusion</w:t>
      </w:r>
      <w:bookmarkEnd w:id="1"/>
    </w:p>
    <w:p w14:paraId="2BF13F8B" w14:textId="4C042A98" w:rsidR="00E26E24" w:rsidRDefault="00E26E24" w:rsidP="00E26E24">
      <w:r w:rsidRPr="004D53D9">
        <w:t xml:space="preserve">Insect Repellent </w:t>
      </w:r>
      <w:r w:rsidR="002E1D83" w:rsidRPr="004D53D9">
        <w:t>Lotion</w:t>
      </w:r>
      <w:r w:rsidRPr="004D53D9">
        <w:t xml:space="preserve"> IR3535</w:t>
      </w:r>
      <w:r w:rsidRPr="004D53D9">
        <w:rPr>
          <w:vertAlign w:val="superscript"/>
        </w:rPr>
        <w:t>®</w:t>
      </w:r>
      <w:r w:rsidRPr="004D53D9">
        <w:t xml:space="preserve"> </w:t>
      </w:r>
      <w:r w:rsidR="002E1D83" w:rsidRPr="004D53D9">
        <w:t>1</w:t>
      </w:r>
      <w:r w:rsidRPr="004D53D9">
        <w:t xml:space="preserve">0% can be authorised </w:t>
      </w:r>
      <w:r w:rsidR="00127FFD">
        <w:t xml:space="preserve">according to Art. 19(1) of Regulation (EU) No 528/2012 </w:t>
      </w:r>
      <w:r w:rsidRPr="004D53D9">
        <w:t>as a ready-to-use repellent (PT19) to be used against mosquitoes</w:t>
      </w:r>
      <w:r w:rsidR="00C018F7">
        <w:t xml:space="preserve"> a</w:t>
      </w:r>
      <w:r w:rsidR="00AE17B0">
        <w:t>nd</w:t>
      </w:r>
      <w:r w:rsidR="00C018F7">
        <w:t xml:space="preserve"> ticks</w:t>
      </w:r>
      <w:r w:rsidRPr="004D53D9">
        <w:t xml:space="preserve"> in temperate areas and should only be applied on</w:t>
      </w:r>
      <w:r w:rsidR="006B7D13" w:rsidRPr="00DE727C">
        <w:t xml:space="preserve"> uncovered parts of the</w:t>
      </w:r>
      <w:r w:rsidR="006B7D13">
        <w:t xml:space="preserve"> </w:t>
      </w:r>
      <w:r w:rsidR="006B7D13" w:rsidRPr="00DE727C">
        <w:t>face, hands, arms, legs and feet</w:t>
      </w:r>
      <w:r w:rsidR="006B7D13">
        <w:t>.</w:t>
      </w:r>
    </w:p>
    <w:p w14:paraId="56E2F15E" w14:textId="7FC72EA6" w:rsidR="00830954" w:rsidRDefault="00830954" w:rsidP="00E26E24"/>
    <w:p w14:paraId="1755953C" w14:textId="2C051826" w:rsidR="00830954" w:rsidRDefault="00830954" w:rsidP="00E26E24">
      <w:r w:rsidRPr="00830954">
        <w:t>The assessment of the endocrine disrupting (ED) properties of the substances used in the biocidal produc</w:t>
      </w:r>
      <w:r>
        <w:t>t Insect Repellent Lotion IR3535</w:t>
      </w:r>
      <w:r w:rsidRPr="004D53D9">
        <w:rPr>
          <w:vertAlign w:val="superscript"/>
        </w:rPr>
        <w:t>®</w:t>
      </w:r>
      <w:r>
        <w:rPr>
          <w:vertAlign w:val="superscript"/>
        </w:rPr>
        <w:t xml:space="preserve"> </w:t>
      </w:r>
      <w:r>
        <w:t>10%</w:t>
      </w:r>
      <w:r w:rsidRPr="00830954">
        <w:t xml:space="preserve"> was performed according to the Regulation (EU) 528-2012 and Regulation (EU) 2017-2100. Based on the existing knowledge and the data provided by the applicant, there is no indication of concern regarding the ED properties of the substances used in the biocidal product </w:t>
      </w:r>
      <w:r>
        <w:t>Insect Repellent Lotion IR3535</w:t>
      </w:r>
      <w:r w:rsidRPr="004D53D9">
        <w:rPr>
          <w:vertAlign w:val="superscript"/>
        </w:rPr>
        <w:t>®</w:t>
      </w:r>
      <w:r>
        <w:rPr>
          <w:vertAlign w:val="superscript"/>
        </w:rPr>
        <w:t xml:space="preserve"> </w:t>
      </w:r>
      <w:r>
        <w:t>10%.</w:t>
      </w:r>
    </w:p>
    <w:p w14:paraId="611F8785" w14:textId="77777777" w:rsidR="00E26E24" w:rsidRPr="004D53D9" w:rsidRDefault="00E26E24" w:rsidP="00E26E24"/>
    <w:p w14:paraId="119ED2DC" w14:textId="77777777" w:rsidR="00E26E24" w:rsidRPr="004D53D9" w:rsidRDefault="00E26E24" w:rsidP="00E26E24">
      <w:pPr>
        <w:rPr>
          <w:b/>
        </w:rPr>
      </w:pPr>
      <w:r w:rsidRPr="004D53D9">
        <w:rPr>
          <w:b/>
        </w:rPr>
        <w:t xml:space="preserve">Remark: </w:t>
      </w:r>
    </w:p>
    <w:p w14:paraId="5C0DC569" w14:textId="68E0391F" w:rsidR="00E26E24" w:rsidRPr="006B7D13" w:rsidRDefault="00E26E24" w:rsidP="00E26E24">
      <w:pPr>
        <w:pStyle w:val="Paragraphedeliste"/>
        <w:numPr>
          <w:ilvl w:val="0"/>
          <w:numId w:val="10"/>
        </w:numPr>
        <w:ind w:left="360"/>
        <w:rPr>
          <w:rFonts w:eastAsia="Calibri"/>
        </w:rPr>
      </w:pPr>
      <w:r w:rsidRPr="004D53D9">
        <w:rPr>
          <w:rFonts w:eastAsia="Calibri"/>
        </w:rPr>
        <w:t>This product is not authorised for use in tropical conditions, due to lack of efficacy studies.</w:t>
      </w:r>
    </w:p>
    <w:p w14:paraId="175B2689" w14:textId="77777777" w:rsidR="000B55E3" w:rsidRDefault="000B55E3" w:rsidP="00E26E24">
      <w:pPr>
        <w:rPr>
          <w:highlight w:val="yellow"/>
        </w:rPr>
      </w:pPr>
    </w:p>
    <w:p w14:paraId="79FCA728" w14:textId="77777777" w:rsidR="00C85279" w:rsidRDefault="00C85279" w:rsidP="00C85279">
      <w:pPr>
        <w:rPr>
          <w:rFonts w:eastAsia="Calibri"/>
          <w:color w:val="FF0000"/>
        </w:rPr>
      </w:pPr>
      <w:r w:rsidRPr="00904326">
        <w:rPr>
          <w:rFonts w:eastAsia="Calibri"/>
          <w:color w:val="FF0000"/>
          <w:u w:val="single"/>
        </w:rPr>
        <w:t>Minor change (2023)</w:t>
      </w:r>
      <w:r w:rsidRPr="00904326">
        <w:rPr>
          <w:rFonts w:eastAsia="Calibri"/>
          <w:color w:val="FF0000"/>
        </w:rPr>
        <w:t xml:space="preserve"> </w:t>
      </w:r>
    </w:p>
    <w:p w14:paraId="6CA5A8D5" w14:textId="77777777" w:rsidR="00C85279" w:rsidRDefault="00C85279" w:rsidP="00C85279">
      <w:pPr>
        <w:rPr>
          <w:rFonts w:eastAsia="Calibri"/>
          <w:color w:val="FF0000"/>
        </w:rPr>
      </w:pPr>
      <w:r>
        <w:rPr>
          <w:rFonts w:eastAsia="Calibri"/>
          <w:color w:val="FF0000"/>
        </w:rPr>
        <w:t xml:space="preserve">A </w:t>
      </w:r>
      <w:r w:rsidRPr="00904326">
        <w:rPr>
          <w:rFonts w:eastAsia="Calibri"/>
          <w:color w:val="FF0000"/>
        </w:rPr>
        <w:t xml:space="preserve">request for </w:t>
      </w:r>
      <w:r>
        <w:rPr>
          <w:rFonts w:eastAsia="Calibri"/>
          <w:color w:val="FF0000"/>
        </w:rPr>
        <w:t>the extension o</w:t>
      </w:r>
      <w:r w:rsidRPr="00904326">
        <w:rPr>
          <w:rFonts w:eastAsia="Calibri"/>
          <w:color w:val="FF0000"/>
        </w:rPr>
        <w:t xml:space="preserve">f </w:t>
      </w:r>
      <w:r>
        <w:rPr>
          <w:rFonts w:eastAsia="Calibri"/>
          <w:color w:val="FF0000"/>
        </w:rPr>
        <w:t xml:space="preserve">the </w:t>
      </w:r>
      <w:r w:rsidRPr="00904326">
        <w:rPr>
          <w:rFonts w:eastAsia="Calibri"/>
          <w:color w:val="FF0000"/>
        </w:rPr>
        <w:t>shelf-life to 24 months is evaluated further down in this ADDENDUM to the PAR of Insect Repellent Lotion IR3535® 10%.</w:t>
      </w:r>
    </w:p>
    <w:p w14:paraId="2A4AE499" w14:textId="77777777" w:rsidR="00C85279" w:rsidRPr="00904326" w:rsidRDefault="00C85279" w:rsidP="00C85279">
      <w:pPr>
        <w:rPr>
          <w:rFonts w:eastAsia="Calibri"/>
          <w:color w:val="FF0000"/>
        </w:rPr>
      </w:pPr>
      <w:r>
        <w:rPr>
          <w:rFonts w:eastAsia="Calibri"/>
          <w:color w:val="FF0000"/>
        </w:rPr>
        <w:t>Storage stability d</w:t>
      </w:r>
      <w:r w:rsidRPr="00904326">
        <w:rPr>
          <w:rFonts w:eastAsia="Calibri"/>
          <w:color w:val="FF0000"/>
        </w:rPr>
        <w:t xml:space="preserve">ata </w:t>
      </w:r>
      <w:r>
        <w:rPr>
          <w:rFonts w:eastAsia="Calibri"/>
          <w:color w:val="FF0000"/>
        </w:rPr>
        <w:t xml:space="preserve">have been provided for up to 30 months. Data up to 24 months </w:t>
      </w:r>
      <w:r w:rsidRPr="00904326">
        <w:rPr>
          <w:rFonts w:eastAsia="Calibri"/>
          <w:color w:val="FF0000"/>
        </w:rPr>
        <w:t xml:space="preserve">are considered to be acceptable and, hence, the </w:t>
      </w:r>
      <w:r>
        <w:rPr>
          <w:rFonts w:eastAsia="Calibri"/>
          <w:color w:val="FF0000"/>
        </w:rPr>
        <w:t xml:space="preserve">requested </w:t>
      </w:r>
      <w:r w:rsidRPr="00904326">
        <w:rPr>
          <w:rFonts w:eastAsia="Calibri"/>
          <w:color w:val="FF0000"/>
        </w:rPr>
        <w:t xml:space="preserve">shelf-life </w:t>
      </w:r>
      <w:r>
        <w:rPr>
          <w:rFonts w:eastAsia="Calibri"/>
          <w:color w:val="FF0000"/>
        </w:rPr>
        <w:t xml:space="preserve">extension to </w:t>
      </w:r>
      <w:r w:rsidRPr="00904326">
        <w:rPr>
          <w:rFonts w:eastAsia="Calibri"/>
          <w:color w:val="FF0000"/>
        </w:rPr>
        <w:t>24 months can be granted.</w:t>
      </w:r>
    </w:p>
    <w:p w14:paraId="648BB963" w14:textId="77777777" w:rsidR="000B55E3" w:rsidRDefault="000B55E3" w:rsidP="00E26E24">
      <w:pPr>
        <w:rPr>
          <w:highlight w:val="yellow"/>
        </w:rPr>
      </w:pPr>
    </w:p>
    <w:p w14:paraId="5F53FD4E" w14:textId="77777777" w:rsidR="00943A25" w:rsidRPr="00BD2EF1" w:rsidRDefault="00943A25">
      <w:pPr>
        <w:spacing w:before="0" w:after="160" w:line="259" w:lineRule="auto"/>
      </w:pPr>
      <w:r w:rsidRPr="00BD2EF1">
        <w:br w:type="page"/>
      </w:r>
    </w:p>
    <w:p w14:paraId="34297A38" w14:textId="77777777" w:rsidR="00943A25" w:rsidRPr="00BD2EF1" w:rsidRDefault="00943A25" w:rsidP="00943A25">
      <w:pPr>
        <w:pStyle w:val="Titre1"/>
      </w:pPr>
      <w:bookmarkStart w:id="2" w:name="_Toc12967093"/>
      <w:r w:rsidRPr="00BD2EF1">
        <w:lastRenderedPageBreak/>
        <w:t>Assessment Report</w:t>
      </w:r>
      <w:bookmarkEnd w:id="2"/>
    </w:p>
    <w:p w14:paraId="36428ADD" w14:textId="77777777" w:rsidR="00943A25" w:rsidRPr="00BD2EF1" w:rsidRDefault="00943A25" w:rsidP="00943A25">
      <w:pPr>
        <w:pStyle w:val="Titre2"/>
      </w:pPr>
      <w:bookmarkStart w:id="3" w:name="_Toc12967094"/>
      <w:r w:rsidRPr="00BD2EF1">
        <w:t>Summary of the product assessment</w:t>
      </w:r>
      <w:bookmarkEnd w:id="3"/>
    </w:p>
    <w:p w14:paraId="31D615EE" w14:textId="77777777" w:rsidR="00943A25" w:rsidRPr="00BD2EF1" w:rsidRDefault="00943A25" w:rsidP="00943A25">
      <w:pPr>
        <w:pStyle w:val="Titre3"/>
        <w:rPr>
          <w:lang w:eastAsia="en-US"/>
        </w:rPr>
      </w:pPr>
      <w:bookmarkStart w:id="4" w:name="_Toc12967095"/>
      <w:r w:rsidRPr="00BD2EF1">
        <w:rPr>
          <w:lang w:eastAsia="en-US"/>
        </w:rPr>
        <w:t>Administrative information</w:t>
      </w:r>
      <w:bookmarkEnd w:id="4"/>
    </w:p>
    <w:p w14:paraId="7D141689" w14:textId="77777777" w:rsidR="00943A25" w:rsidRPr="00BD2EF1" w:rsidRDefault="00943A25" w:rsidP="008E2686">
      <w:pPr>
        <w:pStyle w:val="Titre4"/>
      </w:pPr>
      <w:bookmarkStart w:id="5" w:name="_Toc12967096"/>
      <w:r w:rsidRPr="00BD2EF1">
        <w:t>Identifier of the product</w:t>
      </w:r>
      <w:bookmarkEnd w:id="5"/>
    </w:p>
    <w:tbl>
      <w:tblPr>
        <w:tblW w:w="5000" w:type="pct"/>
        <w:tblCellMar>
          <w:left w:w="0" w:type="dxa"/>
          <w:right w:w="0" w:type="dxa"/>
        </w:tblCellMar>
        <w:tblLook w:val="0000" w:firstRow="0" w:lastRow="0" w:firstColumn="0" w:lastColumn="0" w:noHBand="0" w:noVBand="0"/>
      </w:tblPr>
      <w:tblGrid>
        <w:gridCol w:w="6044"/>
        <w:gridCol w:w="3358"/>
      </w:tblGrid>
      <w:tr w:rsidR="00943A25" w:rsidRPr="00BD2EF1" w14:paraId="55764607" w14:textId="77777777" w:rsidTr="00723ECB">
        <w:trPr>
          <w:tblHeader/>
        </w:trPr>
        <w:tc>
          <w:tcPr>
            <w:tcW w:w="3214"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B18620" w14:textId="77777777" w:rsidR="00943A25" w:rsidRPr="00BD2EF1" w:rsidRDefault="00943A25" w:rsidP="00E26E24">
            <w:pPr>
              <w:pStyle w:val="Standaard-Tabellen"/>
              <w:rPr>
                <w:b/>
              </w:rPr>
            </w:pPr>
            <w:r w:rsidRPr="00BD2EF1">
              <w:rPr>
                <w:b/>
              </w:rPr>
              <w:t>Identifier</w:t>
            </w:r>
          </w:p>
        </w:tc>
        <w:tc>
          <w:tcPr>
            <w:tcW w:w="1786"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37332F1" w14:textId="77777777" w:rsidR="00943A25" w:rsidRPr="00BD2EF1" w:rsidRDefault="00943A25" w:rsidP="00FF76D2">
            <w:pPr>
              <w:pStyle w:val="Standaard-Tabellen"/>
              <w:rPr>
                <w:b/>
              </w:rPr>
            </w:pPr>
            <w:r w:rsidRPr="00BD2EF1">
              <w:rPr>
                <w:b/>
              </w:rPr>
              <w:t>Country (if relevant)</w:t>
            </w:r>
          </w:p>
        </w:tc>
      </w:tr>
      <w:tr w:rsidR="00943A25" w:rsidRPr="00BD2EF1" w14:paraId="4DC335B5" w14:textId="77777777" w:rsidTr="00723ECB">
        <w:tc>
          <w:tcPr>
            <w:tcW w:w="3214"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5696BC3" w14:textId="77777777" w:rsidR="00943A25" w:rsidRPr="00723ECB" w:rsidRDefault="00723ECB" w:rsidP="0018547B">
            <w:pPr>
              <w:pStyle w:val="Standaard-Tabellen"/>
            </w:pPr>
            <w:r w:rsidRPr="00723ECB">
              <w:t xml:space="preserve">Insect Repellent </w:t>
            </w:r>
            <w:r w:rsidR="0018547B">
              <w:t>Lotion IR3535</w:t>
            </w:r>
            <w:r w:rsidR="00E26E24">
              <w:rPr>
                <w:vertAlign w:val="superscript"/>
              </w:rPr>
              <w:t>®</w:t>
            </w:r>
            <w:r w:rsidR="0018547B">
              <w:t xml:space="preserve"> 1</w:t>
            </w:r>
            <w:r w:rsidRPr="00723ECB">
              <w:t>0%</w:t>
            </w:r>
          </w:p>
        </w:tc>
        <w:tc>
          <w:tcPr>
            <w:tcW w:w="1786" w:type="pct"/>
            <w:tcBorders>
              <w:top w:val="nil"/>
              <w:left w:val="nil"/>
              <w:bottom w:val="single" w:sz="4" w:space="0" w:color="000000"/>
              <w:right w:val="single" w:sz="4" w:space="0" w:color="000000"/>
            </w:tcBorders>
            <w:tcMar>
              <w:top w:w="40" w:type="dxa"/>
              <w:left w:w="40" w:type="dxa"/>
              <w:bottom w:w="40" w:type="dxa"/>
              <w:right w:w="40" w:type="dxa"/>
            </w:tcMar>
          </w:tcPr>
          <w:p w14:paraId="2857DCED" w14:textId="77777777" w:rsidR="00943A25" w:rsidRPr="00BD2EF1" w:rsidRDefault="00E26E24" w:rsidP="00FF76D2">
            <w:pPr>
              <w:pStyle w:val="Standaard-Tabellen"/>
            </w:pPr>
            <w:r>
              <w:t>Belgium</w:t>
            </w:r>
          </w:p>
        </w:tc>
      </w:tr>
    </w:tbl>
    <w:p w14:paraId="54F030C7" w14:textId="77777777" w:rsidR="00943A25" w:rsidRPr="00BD2EF1" w:rsidRDefault="00943A25" w:rsidP="008E2686">
      <w:pPr>
        <w:pStyle w:val="Titre4"/>
      </w:pPr>
      <w:bookmarkStart w:id="6" w:name="_Toc12967097"/>
      <w:r w:rsidRPr="00BD2EF1">
        <w:t>Authorisation holder</w:t>
      </w:r>
      <w:bookmarkEnd w:id="6"/>
    </w:p>
    <w:tbl>
      <w:tblPr>
        <w:tblW w:w="5000" w:type="pct"/>
        <w:tblCellMar>
          <w:left w:w="0" w:type="dxa"/>
          <w:right w:w="0" w:type="dxa"/>
        </w:tblCellMar>
        <w:tblLook w:val="0000" w:firstRow="0" w:lastRow="0" w:firstColumn="0" w:lastColumn="0" w:noHBand="0" w:noVBand="0"/>
      </w:tblPr>
      <w:tblGrid>
        <w:gridCol w:w="3539"/>
        <w:gridCol w:w="1162"/>
        <w:gridCol w:w="4701"/>
      </w:tblGrid>
      <w:tr w:rsidR="00723ECB" w:rsidRPr="00BD2EF1" w14:paraId="1AB91775" w14:textId="77777777" w:rsidTr="00B52A6E">
        <w:tc>
          <w:tcPr>
            <w:tcW w:w="1882" w:type="pct"/>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1D8C1BD6" w14:textId="77777777" w:rsidR="00723ECB" w:rsidRPr="00BD2EF1" w:rsidRDefault="00723ECB" w:rsidP="00723ECB">
            <w:pPr>
              <w:pStyle w:val="Standaard-Tabellen"/>
              <w:rPr>
                <w:b/>
              </w:rPr>
            </w:pPr>
            <w:bookmarkStart w:id="7" w:name="d0e66"/>
            <w:r w:rsidRPr="00BD2EF1">
              <w:rPr>
                <w:b/>
              </w:rPr>
              <w:t>Name and address of the authorisation holder</w:t>
            </w:r>
          </w:p>
        </w:tc>
        <w:tc>
          <w:tcPr>
            <w:tcW w:w="618"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314968B" w14:textId="77777777" w:rsidR="00723ECB" w:rsidRPr="00BD2EF1" w:rsidRDefault="00723ECB" w:rsidP="00723ECB">
            <w:pPr>
              <w:pStyle w:val="Standaard-Tabellen"/>
              <w:rPr>
                <w:b/>
              </w:rPr>
            </w:pPr>
            <w:r w:rsidRPr="00BD2EF1">
              <w:rPr>
                <w:b/>
              </w:rPr>
              <w:t>Name</w:t>
            </w:r>
          </w:p>
        </w:tc>
        <w:tc>
          <w:tcPr>
            <w:tcW w:w="2500"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7E01601" w14:textId="77777777" w:rsidR="00723ECB" w:rsidRDefault="00723ECB" w:rsidP="00723ECB">
            <w:pPr>
              <w:pStyle w:val="Standaard-Tabellen"/>
              <w:rPr>
                <w:lang w:eastAsia="de-DE"/>
              </w:rPr>
            </w:pPr>
            <w:r>
              <w:t xml:space="preserve">Merck </w:t>
            </w:r>
            <w:proofErr w:type="spellStart"/>
            <w:r>
              <w:t>KGaA</w:t>
            </w:r>
            <w:proofErr w:type="spellEnd"/>
          </w:p>
        </w:tc>
      </w:tr>
      <w:bookmarkEnd w:id="7"/>
      <w:tr w:rsidR="00723ECB" w:rsidRPr="00BD2EF1" w14:paraId="1DC30F61" w14:textId="77777777" w:rsidTr="00B52A6E">
        <w:tc>
          <w:tcPr>
            <w:tcW w:w="1882" w:type="pct"/>
            <w:vMerge/>
            <w:tcBorders>
              <w:top w:val="nil"/>
              <w:left w:val="single" w:sz="4" w:space="0" w:color="000000"/>
              <w:bottom w:val="single" w:sz="4" w:space="0" w:color="000000"/>
              <w:right w:val="single" w:sz="4" w:space="0" w:color="000000"/>
            </w:tcBorders>
            <w:tcMar>
              <w:left w:w="40" w:type="dxa"/>
              <w:bottom w:w="40" w:type="dxa"/>
              <w:right w:w="40" w:type="dxa"/>
            </w:tcMar>
          </w:tcPr>
          <w:p w14:paraId="49C596FB" w14:textId="77777777" w:rsidR="00723ECB" w:rsidRPr="00BD2EF1" w:rsidRDefault="00723ECB" w:rsidP="00723ECB">
            <w:pPr>
              <w:pStyle w:val="Standaard-Tabellen"/>
              <w:rPr>
                <w:b/>
              </w:rPr>
            </w:pPr>
          </w:p>
        </w:tc>
        <w:tc>
          <w:tcPr>
            <w:tcW w:w="618" w:type="pct"/>
            <w:tcBorders>
              <w:top w:val="nil"/>
              <w:left w:val="nil"/>
              <w:bottom w:val="single" w:sz="4" w:space="0" w:color="000000"/>
              <w:right w:val="single" w:sz="4" w:space="0" w:color="000000"/>
            </w:tcBorders>
            <w:tcMar>
              <w:top w:w="40" w:type="dxa"/>
              <w:left w:w="40" w:type="dxa"/>
              <w:bottom w:w="40" w:type="dxa"/>
              <w:right w:w="40" w:type="dxa"/>
            </w:tcMar>
          </w:tcPr>
          <w:p w14:paraId="3C3DECDB" w14:textId="77777777" w:rsidR="00723ECB" w:rsidRPr="00BD2EF1" w:rsidRDefault="00723ECB" w:rsidP="00723ECB">
            <w:pPr>
              <w:pStyle w:val="Standaard-Tabellen"/>
              <w:rPr>
                <w:b/>
              </w:rPr>
            </w:pPr>
            <w:r w:rsidRPr="00BD2EF1">
              <w:rPr>
                <w:b/>
              </w:rPr>
              <w:t>Address</w:t>
            </w:r>
          </w:p>
        </w:tc>
        <w:tc>
          <w:tcPr>
            <w:tcW w:w="2500" w:type="pct"/>
            <w:tcBorders>
              <w:top w:val="nil"/>
              <w:left w:val="nil"/>
              <w:bottom w:val="single" w:sz="4" w:space="0" w:color="000000"/>
              <w:right w:val="single" w:sz="4" w:space="0" w:color="000000"/>
            </w:tcBorders>
            <w:tcMar>
              <w:top w:w="40" w:type="dxa"/>
              <w:left w:w="40" w:type="dxa"/>
              <w:bottom w:w="40" w:type="dxa"/>
              <w:right w:w="40" w:type="dxa"/>
            </w:tcMar>
          </w:tcPr>
          <w:p w14:paraId="2EB466F3" w14:textId="77777777" w:rsidR="00723ECB" w:rsidRDefault="00723ECB" w:rsidP="00723ECB">
            <w:pPr>
              <w:pStyle w:val="Standaard-Tabellen"/>
            </w:pPr>
            <w:r>
              <w:t xml:space="preserve">Frankfurter </w:t>
            </w:r>
            <w:proofErr w:type="spellStart"/>
            <w:r>
              <w:t>Stra</w:t>
            </w:r>
            <w:r w:rsidR="00E26E24">
              <w:t>ß</w:t>
            </w:r>
            <w:r>
              <w:t>e</w:t>
            </w:r>
            <w:proofErr w:type="spellEnd"/>
            <w:r>
              <w:t xml:space="preserve"> 250</w:t>
            </w:r>
          </w:p>
          <w:p w14:paraId="59DE4680" w14:textId="77777777" w:rsidR="00723ECB" w:rsidRDefault="00723ECB" w:rsidP="00723ECB">
            <w:pPr>
              <w:pStyle w:val="Standaard-Tabellen"/>
            </w:pPr>
            <w:r>
              <w:t>64293 Darmstadt</w:t>
            </w:r>
          </w:p>
          <w:p w14:paraId="3F438E9E" w14:textId="77777777" w:rsidR="00723ECB" w:rsidRDefault="00723ECB" w:rsidP="00723ECB">
            <w:pPr>
              <w:pStyle w:val="Standaard-Tabellen"/>
            </w:pPr>
            <w:r>
              <w:t>Germany</w:t>
            </w:r>
          </w:p>
        </w:tc>
      </w:tr>
      <w:tr w:rsidR="00943A25" w:rsidRPr="00BD2EF1" w14:paraId="6CF58047" w14:textId="77777777" w:rsidTr="007C5F36">
        <w:tc>
          <w:tcPr>
            <w:tcW w:w="1882"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F31B6C1" w14:textId="77777777" w:rsidR="00943A25" w:rsidRPr="00BD2EF1" w:rsidRDefault="00943A25" w:rsidP="00FF76D2">
            <w:pPr>
              <w:pStyle w:val="Standaard-Tabellen"/>
              <w:rPr>
                <w:b/>
              </w:rPr>
            </w:pPr>
            <w:r w:rsidRPr="00BD2EF1">
              <w:rPr>
                <w:b/>
              </w:rPr>
              <w:t>Authorisation number</w:t>
            </w:r>
          </w:p>
        </w:tc>
        <w:tc>
          <w:tcPr>
            <w:tcW w:w="3118" w:type="pct"/>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113D0500" w14:textId="0BAB364D" w:rsidR="00943A25" w:rsidRPr="00BD2EF1" w:rsidRDefault="007C5F36" w:rsidP="00FF76D2">
            <w:pPr>
              <w:pStyle w:val="Standaard-Tabellen"/>
            </w:pPr>
            <w:r>
              <w:t>BE2019-0057</w:t>
            </w:r>
          </w:p>
        </w:tc>
      </w:tr>
      <w:tr w:rsidR="00943A25" w:rsidRPr="00BD2EF1" w14:paraId="765A565E" w14:textId="77777777" w:rsidTr="007C5F36">
        <w:tc>
          <w:tcPr>
            <w:tcW w:w="1882"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47153D" w14:textId="77777777" w:rsidR="00943A25" w:rsidRPr="00BD2EF1" w:rsidRDefault="00943A25" w:rsidP="00FF76D2">
            <w:pPr>
              <w:pStyle w:val="Standaard-Tabellen"/>
              <w:rPr>
                <w:b/>
              </w:rPr>
            </w:pPr>
            <w:r w:rsidRPr="00BD2EF1">
              <w:rPr>
                <w:b/>
              </w:rPr>
              <w:t>Date of the authorisation</w:t>
            </w:r>
          </w:p>
        </w:tc>
        <w:tc>
          <w:tcPr>
            <w:tcW w:w="3118" w:type="pct"/>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3F0678F0" w14:textId="102E54CE" w:rsidR="00943A25" w:rsidRPr="00BD2EF1" w:rsidRDefault="007C5F36" w:rsidP="00FF76D2">
            <w:pPr>
              <w:pStyle w:val="Standaard-Tabellen"/>
            </w:pPr>
            <w:r>
              <w:t>4/11/2019</w:t>
            </w:r>
          </w:p>
        </w:tc>
      </w:tr>
      <w:tr w:rsidR="00943A25" w:rsidRPr="00BD2EF1" w14:paraId="778C9E1E" w14:textId="77777777" w:rsidTr="007C5F36">
        <w:tc>
          <w:tcPr>
            <w:tcW w:w="1882"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B0436C" w14:textId="77777777" w:rsidR="00943A25" w:rsidRPr="00BD2EF1" w:rsidRDefault="00943A25" w:rsidP="00FF76D2">
            <w:pPr>
              <w:pStyle w:val="Standaard-Tabellen"/>
              <w:rPr>
                <w:b/>
              </w:rPr>
            </w:pPr>
            <w:r w:rsidRPr="00BD2EF1">
              <w:rPr>
                <w:b/>
              </w:rPr>
              <w:t>Expiry date of the authorisation</w:t>
            </w:r>
          </w:p>
        </w:tc>
        <w:tc>
          <w:tcPr>
            <w:tcW w:w="3118" w:type="pct"/>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3F172FAC" w14:textId="34AE77D3" w:rsidR="00943A25" w:rsidRPr="00BD2EF1" w:rsidRDefault="007C5F36" w:rsidP="00FF76D2">
            <w:pPr>
              <w:pStyle w:val="Standaard-Tabellen"/>
            </w:pPr>
            <w:r>
              <w:t>4/11/2029</w:t>
            </w:r>
          </w:p>
        </w:tc>
      </w:tr>
    </w:tbl>
    <w:p w14:paraId="689AE46D" w14:textId="77777777" w:rsidR="00943A25" w:rsidRPr="00BD2EF1" w:rsidRDefault="00943A25" w:rsidP="008E2686">
      <w:pPr>
        <w:pStyle w:val="Titre4"/>
      </w:pPr>
      <w:bookmarkStart w:id="8" w:name="_Toc12967098"/>
      <w:r w:rsidRPr="00BD2EF1">
        <w:t>Manufacturer(s) of the products of the family</w:t>
      </w:r>
      <w:bookmarkEnd w:id="8"/>
    </w:p>
    <w:tbl>
      <w:tblPr>
        <w:tblW w:w="5000" w:type="pct"/>
        <w:tblCellMar>
          <w:left w:w="0" w:type="dxa"/>
          <w:right w:w="0" w:type="dxa"/>
        </w:tblCellMar>
        <w:tblLook w:val="0000" w:firstRow="0" w:lastRow="0" w:firstColumn="0" w:lastColumn="0" w:noHBand="0" w:noVBand="0"/>
      </w:tblPr>
      <w:tblGrid>
        <w:gridCol w:w="3539"/>
        <w:gridCol w:w="5863"/>
      </w:tblGrid>
      <w:tr w:rsidR="00723ECB" w:rsidRPr="00BD2EF1" w14:paraId="2F7C0711" w14:textId="77777777" w:rsidTr="00B52A6E">
        <w:tc>
          <w:tcPr>
            <w:tcW w:w="1882"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3A096F" w14:textId="77777777" w:rsidR="00723ECB" w:rsidRPr="00BD2EF1" w:rsidRDefault="00723ECB" w:rsidP="00723ECB">
            <w:pPr>
              <w:pStyle w:val="Standaard-Tabellen"/>
              <w:rPr>
                <w:b/>
              </w:rPr>
            </w:pPr>
            <w:r w:rsidRPr="00BD2EF1">
              <w:rPr>
                <w:b/>
              </w:rPr>
              <w:t>Name of manufacturer</w:t>
            </w:r>
          </w:p>
        </w:tc>
        <w:tc>
          <w:tcPr>
            <w:tcW w:w="3118"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288A703" w14:textId="77777777" w:rsidR="00723ECB" w:rsidRDefault="00723ECB" w:rsidP="00723ECB">
            <w:pPr>
              <w:pStyle w:val="Standaard-Tabellen"/>
              <w:rPr>
                <w:lang w:eastAsia="de-DE"/>
              </w:rPr>
            </w:pPr>
            <w:r>
              <w:t xml:space="preserve">Merck </w:t>
            </w:r>
            <w:proofErr w:type="spellStart"/>
            <w:r>
              <w:t>KGaA</w:t>
            </w:r>
            <w:proofErr w:type="spellEnd"/>
          </w:p>
        </w:tc>
      </w:tr>
      <w:tr w:rsidR="00723ECB" w:rsidRPr="00BD2EF1" w14:paraId="6FA80F70" w14:textId="77777777" w:rsidTr="00B52A6E">
        <w:tc>
          <w:tcPr>
            <w:tcW w:w="1882"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427DD02" w14:textId="77777777" w:rsidR="00723ECB" w:rsidRPr="00BD2EF1" w:rsidRDefault="00723ECB" w:rsidP="00723ECB">
            <w:pPr>
              <w:pStyle w:val="Standaard-Tabellen"/>
              <w:rPr>
                <w:b/>
              </w:rPr>
            </w:pPr>
            <w:r w:rsidRPr="00BD2EF1">
              <w:rPr>
                <w:b/>
              </w:rPr>
              <w:t>Address of manufacturer</w:t>
            </w:r>
          </w:p>
        </w:tc>
        <w:tc>
          <w:tcPr>
            <w:tcW w:w="3118" w:type="pct"/>
            <w:tcBorders>
              <w:top w:val="nil"/>
              <w:left w:val="nil"/>
              <w:bottom w:val="single" w:sz="4" w:space="0" w:color="000000"/>
              <w:right w:val="single" w:sz="4" w:space="0" w:color="000000"/>
            </w:tcBorders>
            <w:tcMar>
              <w:top w:w="40" w:type="dxa"/>
              <w:left w:w="40" w:type="dxa"/>
              <w:bottom w:w="40" w:type="dxa"/>
              <w:right w:w="40" w:type="dxa"/>
            </w:tcMar>
          </w:tcPr>
          <w:p w14:paraId="48567AA8" w14:textId="77777777" w:rsidR="00723ECB" w:rsidRDefault="00723ECB" w:rsidP="00723ECB">
            <w:pPr>
              <w:pStyle w:val="Standaard-Tabellen"/>
            </w:pPr>
            <w:r>
              <w:t xml:space="preserve">Frankfurter </w:t>
            </w:r>
            <w:proofErr w:type="spellStart"/>
            <w:r>
              <w:t>Stra</w:t>
            </w:r>
            <w:r w:rsidR="00E26E24">
              <w:t>ß</w:t>
            </w:r>
            <w:r>
              <w:t>e</w:t>
            </w:r>
            <w:proofErr w:type="spellEnd"/>
            <w:r>
              <w:t xml:space="preserve"> 250</w:t>
            </w:r>
          </w:p>
          <w:p w14:paraId="38AC4C35" w14:textId="77777777" w:rsidR="00723ECB" w:rsidRDefault="00723ECB" w:rsidP="00723ECB">
            <w:pPr>
              <w:pStyle w:val="Standaard-Tabellen"/>
            </w:pPr>
            <w:r>
              <w:t>64293 Darmstadt</w:t>
            </w:r>
          </w:p>
          <w:p w14:paraId="44F46A8A" w14:textId="77777777" w:rsidR="00723ECB" w:rsidRDefault="00723ECB" w:rsidP="00723ECB">
            <w:pPr>
              <w:pStyle w:val="Standaard-Tabellen"/>
            </w:pPr>
            <w:r>
              <w:t>Germany</w:t>
            </w:r>
          </w:p>
        </w:tc>
      </w:tr>
      <w:tr w:rsidR="00723ECB" w:rsidRPr="00BD2EF1" w14:paraId="4BF370E6" w14:textId="77777777" w:rsidTr="00B52A6E">
        <w:tc>
          <w:tcPr>
            <w:tcW w:w="1882"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653DB1" w14:textId="77777777" w:rsidR="00723ECB" w:rsidRPr="00BD2EF1" w:rsidRDefault="00723ECB" w:rsidP="00723ECB">
            <w:pPr>
              <w:pStyle w:val="Standaard-Tabellen"/>
              <w:rPr>
                <w:b/>
              </w:rPr>
            </w:pPr>
            <w:r w:rsidRPr="00BD2EF1">
              <w:rPr>
                <w:b/>
              </w:rPr>
              <w:t>Location of manufacturing sites</w:t>
            </w:r>
          </w:p>
        </w:tc>
        <w:tc>
          <w:tcPr>
            <w:tcW w:w="3118" w:type="pct"/>
            <w:tcBorders>
              <w:top w:val="nil"/>
              <w:left w:val="nil"/>
              <w:bottom w:val="single" w:sz="4" w:space="0" w:color="000000"/>
              <w:right w:val="single" w:sz="4" w:space="0" w:color="000000"/>
            </w:tcBorders>
            <w:tcMar>
              <w:top w:w="40" w:type="dxa"/>
              <w:left w:w="40" w:type="dxa"/>
              <w:bottom w:w="40" w:type="dxa"/>
              <w:right w:w="40" w:type="dxa"/>
            </w:tcMar>
          </w:tcPr>
          <w:p w14:paraId="4FFC6878" w14:textId="77777777" w:rsidR="00723ECB" w:rsidRDefault="00723ECB" w:rsidP="00723ECB">
            <w:pPr>
              <w:pStyle w:val="Standaard-Tabellen"/>
            </w:pPr>
            <w:r>
              <w:t xml:space="preserve">Frankfurter </w:t>
            </w:r>
            <w:proofErr w:type="spellStart"/>
            <w:r>
              <w:t>Stra</w:t>
            </w:r>
            <w:r w:rsidR="00E26E24">
              <w:t>ß</w:t>
            </w:r>
            <w:r>
              <w:t>e</w:t>
            </w:r>
            <w:proofErr w:type="spellEnd"/>
            <w:r>
              <w:t xml:space="preserve"> 250</w:t>
            </w:r>
          </w:p>
          <w:p w14:paraId="2140B423" w14:textId="77777777" w:rsidR="00723ECB" w:rsidRDefault="00723ECB" w:rsidP="00723ECB">
            <w:pPr>
              <w:pStyle w:val="Standaard-Tabellen"/>
            </w:pPr>
            <w:r>
              <w:t>64293 Darmstadt</w:t>
            </w:r>
          </w:p>
          <w:p w14:paraId="4A4B75CF" w14:textId="77777777" w:rsidR="00723ECB" w:rsidRDefault="00723ECB" w:rsidP="00723ECB">
            <w:pPr>
              <w:pStyle w:val="Standaard-Tabellen"/>
            </w:pPr>
            <w:r>
              <w:t>Germany</w:t>
            </w:r>
          </w:p>
        </w:tc>
      </w:tr>
    </w:tbl>
    <w:p w14:paraId="553EF435" w14:textId="77777777" w:rsidR="00943A25" w:rsidRPr="00BD2EF1" w:rsidRDefault="00943A25" w:rsidP="008E2686">
      <w:pPr>
        <w:pStyle w:val="Titre4"/>
      </w:pPr>
      <w:bookmarkStart w:id="9" w:name="_Toc12967099"/>
      <w:r w:rsidRPr="00BD2EF1">
        <w:t>Manufacturer(s) of the active substance(s)</w:t>
      </w:r>
      <w:bookmarkEnd w:id="9"/>
    </w:p>
    <w:tbl>
      <w:tblPr>
        <w:tblW w:w="0" w:type="auto"/>
        <w:tblInd w:w="45" w:type="dxa"/>
        <w:tblLayout w:type="fixed"/>
        <w:tblCellMar>
          <w:left w:w="0" w:type="dxa"/>
          <w:right w:w="0" w:type="dxa"/>
        </w:tblCellMar>
        <w:tblLook w:val="04A0" w:firstRow="1" w:lastRow="0" w:firstColumn="1" w:lastColumn="0" w:noHBand="0" w:noVBand="1"/>
      </w:tblPr>
      <w:tblGrid>
        <w:gridCol w:w="3397"/>
        <w:gridCol w:w="5628"/>
      </w:tblGrid>
      <w:tr w:rsidR="00723ECB" w14:paraId="574706F6" w14:textId="77777777" w:rsidTr="00723ECB">
        <w:tc>
          <w:tcPr>
            <w:tcW w:w="3397" w:type="dxa"/>
            <w:tcBorders>
              <w:top w:val="single" w:sz="4" w:space="0" w:color="000000"/>
              <w:left w:val="single" w:sz="4" w:space="0" w:color="000000"/>
              <w:bottom w:val="single" w:sz="12" w:space="0" w:color="000000"/>
              <w:right w:val="single" w:sz="4" w:space="0" w:color="000000"/>
            </w:tcBorders>
            <w:tcMar>
              <w:top w:w="40" w:type="dxa"/>
              <w:left w:w="40" w:type="dxa"/>
              <w:bottom w:w="40" w:type="dxa"/>
              <w:right w:w="40" w:type="dxa"/>
            </w:tcMar>
            <w:hideMark/>
          </w:tcPr>
          <w:p w14:paraId="6B2B681F" w14:textId="77777777" w:rsidR="00723ECB" w:rsidRPr="00723ECB" w:rsidRDefault="00723ECB" w:rsidP="00723ECB">
            <w:pPr>
              <w:pStyle w:val="Standaard-Tabellen"/>
              <w:rPr>
                <w:b/>
                <w:lang w:eastAsia="de-DE"/>
              </w:rPr>
            </w:pPr>
            <w:r w:rsidRPr="00723ECB">
              <w:rPr>
                <w:b/>
              </w:rPr>
              <w:t>Active substance</w:t>
            </w:r>
          </w:p>
        </w:tc>
        <w:tc>
          <w:tcPr>
            <w:tcW w:w="5628" w:type="dxa"/>
            <w:tcBorders>
              <w:top w:val="single" w:sz="4" w:space="0" w:color="000000"/>
              <w:left w:val="nil"/>
              <w:bottom w:val="single" w:sz="12" w:space="0" w:color="000000"/>
              <w:right w:val="single" w:sz="4" w:space="0" w:color="000000"/>
            </w:tcBorders>
            <w:tcMar>
              <w:top w:w="40" w:type="dxa"/>
              <w:left w:w="40" w:type="dxa"/>
              <w:bottom w:w="40" w:type="dxa"/>
              <w:right w:w="40" w:type="dxa"/>
            </w:tcMar>
            <w:hideMark/>
          </w:tcPr>
          <w:p w14:paraId="7B46696A" w14:textId="77777777" w:rsidR="00723ECB" w:rsidRDefault="00723ECB" w:rsidP="00723ECB">
            <w:pPr>
              <w:pStyle w:val="Standaard-Tabellen"/>
            </w:pPr>
            <w:r>
              <w:t xml:space="preserve">Ethyl </w:t>
            </w:r>
            <w:proofErr w:type="spellStart"/>
            <w:r>
              <w:t>butylacetylaminopropionate</w:t>
            </w:r>
            <w:proofErr w:type="spellEnd"/>
          </w:p>
        </w:tc>
      </w:tr>
      <w:tr w:rsidR="00723ECB" w14:paraId="38E3DA05" w14:textId="77777777" w:rsidTr="00723ECB">
        <w:tc>
          <w:tcPr>
            <w:tcW w:w="3397" w:type="dxa"/>
            <w:tcBorders>
              <w:top w:val="single" w:sz="12"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AE2E428" w14:textId="77777777" w:rsidR="00723ECB" w:rsidRPr="00723ECB" w:rsidRDefault="00723ECB" w:rsidP="00723ECB">
            <w:pPr>
              <w:pStyle w:val="Standaard-Tabellen"/>
              <w:rPr>
                <w:b/>
              </w:rPr>
            </w:pPr>
            <w:r w:rsidRPr="00723ECB">
              <w:rPr>
                <w:b/>
              </w:rPr>
              <w:t>Name of manufacturer</w:t>
            </w:r>
          </w:p>
        </w:tc>
        <w:tc>
          <w:tcPr>
            <w:tcW w:w="5628" w:type="dxa"/>
            <w:tcBorders>
              <w:top w:val="single" w:sz="12" w:space="0" w:color="000000"/>
              <w:left w:val="nil"/>
              <w:bottom w:val="single" w:sz="4" w:space="0" w:color="000000"/>
              <w:right w:val="single" w:sz="4" w:space="0" w:color="000000"/>
            </w:tcBorders>
            <w:tcMar>
              <w:top w:w="40" w:type="dxa"/>
              <w:left w:w="40" w:type="dxa"/>
              <w:bottom w:w="40" w:type="dxa"/>
              <w:right w:w="40" w:type="dxa"/>
            </w:tcMar>
            <w:hideMark/>
          </w:tcPr>
          <w:p w14:paraId="4D57B5BC" w14:textId="77777777" w:rsidR="00723ECB" w:rsidRDefault="00723ECB" w:rsidP="00723ECB">
            <w:pPr>
              <w:pStyle w:val="Standaard-Tabellen"/>
            </w:pPr>
            <w:r>
              <w:t>Merck S.L.U.</w:t>
            </w:r>
          </w:p>
        </w:tc>
      </w:tr>
      <w:tr w:rsidR="00723ECB" w14:paraId="4FECE0E8" w14:textId="77777777" w:rsidTr="00723ECB">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82FBACD" w14:textId="77777777" w:rsidR="00723ECB" w:rsidRPr="00723ECB" w:rsidRDefault="00723ECB" w:rsidP="00723ECB">
            <w:pPr>
              <w:pStyle w:val="Standaard-Tabellen"/>
              <w:rPr>
                <w:b/>
              </w:rPr>
            </w:pPr>
            <w:r w:rsidRPr="00723ECB">
              <w:rPr>
                <w:b/>
              </w:rPr>
              <w:t>Address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hideMark/>
          </w:tcPr>
          <w:p w14:paraId="7A1DFACC" w14:textId="77777777" w:rsidR="00723ECB" w:rsidRDefault="00723ECB" w:rsidP="00723ECB">
            <w:pPr>
              <w:pStyle w:val="Standaard-Tabellen"/>
            </w:pPr>
            <w:r>
              <w:t>Calle Maria de Molina 40</w:t>
            </w:r>
          </w:p>
          <w:p w14:paraId="6B2B6A61" w14:textId="77777777" w:rsidR="00723ECB" w:rsidRDefault="00723ECB" w:rsidP="00723ECB">
            <w:pPr>
              <w:pStyle w:val="Standaard-Tabellen"/>
            </w:pPr>
            <w:r>
              <w:t>28006 Madrid</w:t>
            </w:r>
          </w:p>
          <w:p w14:paraId="7B9CF841" w14:textId="77777777" w:rsidR="00723ECB" w:rsidRDefault="00723ECB" w:rsidP="00723ECB">
            <w:pPr>
              <w:pStyle w:val="Standaard-Tabellen"/>
            </w:pPr>
            <w:r>
              <w:t>Spain</w:t>
            </w:r>
          </w:p>
        </w:tc>
      </w:tr>
      <w:tr w:rsidR="00723ECB" w14:paraId="79A8136B" w14:textId="77777777" w:rsidTr="00723ECB">
        <w:tc>
          <w:tcPr>
            <w:tcW w:w="3397" w:type="dxa"/>
            <w:tcBorders>
              <w:top w:val="nil"/>
              <w:left w:val="single" w:sz="4" w:space="0" w:color="000000"/>
              <w:bottom w:val="single" w:sz="12" w:space="0" w:color="000000"/>
              <w:right w:val="single" w:sz="4" w:space="0" w:color="000000"/>
            </w:tcBorders>
            <w:tcMar>
              <w:top w:w="40" w:type="dxa"/>
              <w:left w:w="40" w:type="dxa"/>
              <w:bottom w:w="40" w:type="dxa"/>
              <w:right w:w="40" w:type="dxa"/>
            </w:tcMar>
            <w:hideMark/>
          </w:tcPr>
          <w:p w14:paraId="4D7CF188" w14:textId="77777777" w:rsidR="00723ECB" w:rsidRPr="00723ECB" w:rsidRDefault="00723ECB" w:rsidP="00723ECB">
            <w:pPr>
              <w:pStyle w:val="Standaard-Tabellen"/>
              <w:rPr>
                <w:b/>
              </w:rPr>
            </w:pPr>
            <w:r w:rsidRPr="00723ECB">
              <w:rPr>
                <w:b/>
              </w:rPr>
              <w:t>Location of manufacturing sites</w:t>
            </w:r>
          </w:p>
        </w:tc>
        <w:tc>
          <w:tcPr>
            <w:tcW w:w="5628" w:type="dxa"/>
            <w:tcBorders>
              <w:top w:val="nil"/>
              <w:left w:val="nil"/>
              <w:bottom w:val="single" w:sz="12" w:space="0" w:color="000000"/>
              <w:right w:val="single" w:sz="4" w:space="0" w:color="000000"/>
            </w:tcBorders>
            <w:tcMar>
              <w:top w:w="40" w:type="dxa"/>
              <w:left w:w="40" w:type="dxa"/>
              <w:bottom w:w="40" w:type="dxa"/>
              <w:right w:w="40" w:type="dxa"/>
            </w:tcMar>
            <w:hideMark/>
          </w:tcPr>
          <w:p w14:paraId="4D4AD2A9" w14:textId="77777777" w:rsidR="00723ECB" w:rsidRDefault="00723ECB" w:rsidP="00723ECB">
            <w:pPr>
              <w:pStyle w:val="Standaard-Tabellen"/>
              <w:rPr>
                <w:lang w:val="fr-BE"/>
              </w:rPr>
            </w:pPr>
            <w:proofErr w:type="spellStart"/>
            <w:r>
              <w:rPr>
                <w:lang w:val="fr-BE"/>
              </w:rPr>
              <w:t>Poligono</w:t>
            </w:r>
            <w:proofErr w:type="spellEnd"/>
            <w:r>
              <w:rPr>
                <w:lang w:val="fr-BE"/>
              </w:rPr>
              <w:t xml:space="preserve"> Merck</w:t>
            </w:r>
          </w:p>
          <w:p w14:paraId="4A807895" w14:textId="77777777" w:rsidR="00723ECB" w:rsidRDefault="00723ECB" w:rsidP="00723ECB">
            <w:pPr>
              <w:pStyle w:val="Standaard-Tabellen"/>
              <w:rPr>
                <w:lang w:val="fr-BE"/>
              </w:rPr>
            </w:pPr>
            <w:r>
              <w:rPr>
                <w:lang w:val="fr-BE"/>
              </w:rPr>
              <w:t xml:space="preserve">08100 Mollet de </w:t>
            </w:r>
            <w:proofErr w:type="spellStart"/>
            <w:r>
              <w:rPr>
                <w:lang w:val="fr-BE"/>
              </w:rPr>
              <w:t>Vallés</w:t>
            </w:r>
            <w:proofErr w:type="spellEnd"/>
          </w:p>
          <w:p w14:paraId="3D9EC824" w14:textId="77777777" w:rsidR="00723ECB" w:rsidRDefault="00723ECB" w:rsidP="00723ECB">
            <w:pPr>
              <w:pStyle w:val="Standaard-Tabellen"/>
              <w:rPr>
                <w:lang w:val="fr-BE"/>
              </w:rPr>
            </w:pPr>
            <w:r>
              <w:rPr>
                <w:lang w:val="fr-BE"/>
              </w:rPr>
              <w:t>Barcelona</w:t>
            </w:r>
          </w:p>
          <w:p w14:paraId="0F70E905" w14:textId="77777777" w:rsidR="00723ECB" w:rsidRDefault="00723ECB" w:rsidP="00723ECB">
            <w:pPr>
              <w:pStyle w:val="Standaard-Tabellen"/>
            </w:pPr>
            <w:r>
              <w:t>Spain</w:t>
            </w:r>
          </w:p>
        </w:tc>
      </w:tr>
      <w:tr w:rsidR="00723ECB" w14:paraId="3CE3CFC2" w14:textId="77777777" w:rsidTr="00723ECB">
        <w:tc>
          <w:tcPr>
            <w:tcW w:w="3397" w:type="dxa"/>
            <w:tcBorders>
              <w:top w:val="single" w:sz="12"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FFDEF53" w14:textId="77777777" w:rsidR="00723ECB" w:rsidRPr="00723ECB" w:rsidRDefault="00723ECB" w:rsidP="00723ECB">
            <w:pPr>
              <w:pStyle w:val="Standaard-Tabellen"/>
              <w:rPr>
                <w:b/>
              </w:rPr>
            </w:pPr>
            <w:r w:rsidRPr="00723ECB">
              <w:rPr>
                <w:b/>
              </w:rPr>
              <w:t>Name of manufacturer</w:t>
            </w:r>
          </w:p>
        </w:tc>
        <w:tc>
          <w:tcPr>
            <w:tcW w:w="5628" w:type="dxa"/>
            <w:tcBorders>
              <w:top w:val="single" w:sz="12" w:space="0" w:color="000000"/>
              <w:left w:val="nil"/>
              <w:bottom w:val="single" w:sz="4" w:space="0" w:color="000000"/>
              <w:right w:val="single" w:sz="4" w:space="0" w:color="000000"/>
            </w:tcBorders>
            <w:tcMar>
              <w:top w:w="40" w:type="dxa"/>
              <w:left w:w="40" w:type="dxa"/>
              <w:bottom w:w="40" w:type="dxa"/>
              <w:right w:w="40" w:type="dxa"/>
            </w:tcMar>
            <w:hideMark/>
          </w:tcPr>
          <w:p w14:paraId="0BD31BF2" w14:textId="19622CE1" w:rsidR="00723ECB" w:rsidRDefault="00723ECB" w:rsidP="00723ECB">
            <w:pPr>
              <w:pStyle w:val="Standaard-Tabellen"/>
              <w:rPr>
                <w:szCs w:val="20"/>
                <w:lang w:eastAsia="de-DE"/>
              </w:rPr>
            </w:pPr>
            <w:r>
              <w:t xml:space="preserve">Merck </w:t>
            </w:r>
            <w:proofErr w:type="spellStart"/>
            <w:r>
              <w:t>K</w:t>
            </w:r>
            <w:r w:rsidR="00AF230A">
              <w:t>G</w:t>
            </w:r>
            <w:r>
              <w:t>aA</w:t>
            </w:r>
            <w:proofErr w:type="spellEnd"/>
          </w:p>
        </w:tc>
      </w:tr>
      <w:tr w:rsidR="00723ECB" w14:paraId="17D2BAE4" w14:textId="77777777" w:rsidTr="00723ECB">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AA60BD6" w14:textId="77777777" w:rsidR="00723ECB" w:rsidRPr="00723ECB" w:rsidRDefault="00723ECB" w:rsidP="00723ECB">
            <w:pPr>
              <w:pStyle w:val="Standaard-Tabellen"/>
              <w:rPr>
                <w:b/>
              </w:rPr>
            </w:pPr>
            <w:r w:rsidRPr="00723ECB">
              <w:rPr>
                <w:b/>
              </w:rPr>
              <w:t>Address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hideMark/>
          </w:tcPr>
          <w:p w14:paraId="1F20D9BA" w14:textId="66606F87" w:rsidR="00723ECB" w:rsidRDefault="00723ECB" w:rsidP="00723ECB">
            <w:pPr>
              <w:pStyle w:val="Standaard-Tabellen"/>
              <w:rPr>
                <w:szCs w:val="20"/>
                <w:lang w:eastAsia="de-DE"/>
              </w:rPr>
            </w:pPr>
            <w:r>
              <w:t xml:space="preserve">Frankfurter </w:t>
            </w:r>
            <w:proofErr w:type="spellStart"/>
            <w:r>
              <w:t>Stra</w:t>
            </w:r>
            <w:r w:rsidR="009D4AEF">
              <w:t>ß</w:t>
            </w:r>
            <w:r>
              <w:t>e</w:t>
            </w:r>
            <w:proofErr w:type="spellEnd"/>
            <w:r>
              <w:t xml:space="preserve"> 250</w:t>
            </w:r>
          </w:p>
          <w:p w14:paraId="4A4D64E6" w14:textId="77777777" w:rsidR="00723ECB" w:rsidRDefault="00723ECB" w:rsidP="00723ECB">
            <w:pPr>
              <w:pStyle w:val="Standaard-Tabellen"/>
            </w:pPr>
            <w:r>
              <w:t>64293 Darmstadt</w:t>
            </w:r>
          </w:p>
          <w:p w14:paraId="1624AB77" w14:textId="77777777" w:rsidR="00723ECB" w:rsidRDefault="00723ECB" w:rsidP="00723ECB">
            <w:pPr>
              <w:pStyle w:val="Standaard-Tabellen"/>
            </w:pPr>
            <w:r>
              <w:t>Germany</w:t>
            </w:r>
          </w:p>
        </w:tc>
      </w:tr>
      <w:tr w:rsidR="00723ECB" w14:paraId="1971A077" w14:textId="77777777" w:rsidTr="00723ECB">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A587B52" w14:textId="77777777" w:rsidR="00723ECB" w:rsidRPr="00723ECB" w:rsidRDefault="00723ECB" w:rsidP="00723ECB">
            <w:pPr>
              <w:pStyle w:val="Standaard-Tabellen"/>
              <w:rPr>
                <w:b/>
              </w:rPr>
            </w:pPr>
            <w:r w:rsidRPr="00723ECB">
              <w:rPr>
                <w:b/>
              </w:rPr>
              <w:t>Location of manufacturing sites</w:t>
            </w:r>
          </w:p>
        </w:tc>
        <w:tc>
          <w:tcPr>
            <w:tcW w:w="5628" w:type="dxa"/>
            <w:tcBorders>
              <w:top w:val="nil"/>
              <w:left w:val="nil"/>
              <w:bottom w:val="single" w:sz="4" w:space="0" w:color="000000"/>
              <w:right w:val="single" w:sz="4" w:space="0" w:color="000000"/>
            </w:tcBorders>
            <w:tcMar>
              <w:top w:w="40" w:type="dxa"/>
              <w:left w:w="40" w:type="dxa"/>
              <w:bottom w:w="40" w:type="dxa"/>
              <w:right w:w="40" w:type="dxa"/>
            </w:tcMar>
            <w:hideMark/>
          </w:tcPr>
          <w:p w14:paraId="7F7FBEFE" w14:textId="77777777" w:rsidR="00723ECB" w:rsidRDefault="00723ECB" w:rsidP="00723ECB">
            <w:pPr>
              <w:pStyle w:val="Standaard-Tabellen"/>
              <w:rPr>
                <w:szCs w:val="20"/>
                <w:lang w:val="fr-BE" w:eastAsia="de-DE"/>
              </w:rPr>
            </w:pPr>
            <w:proofErr w:type="spellStart"/>
            <w:r>
              <w:rPr>
                <w:lang w:val="fr-BE"/>
              </w:rPr>
              <w:t>Poligono</w:t>
            </w:r>
            <w:proofErr w:type="spellEnd"/>
            <w:r>
              <w:rPr>
                <w:lang w:val="fr-BE"/>
              </w:rPr>
              <w:t xml:space="preserve"> Merck</w:t>
            </w:r>
          </w:p>
          <w:p w14:paraId="62CF1E0B" w14:textId="77777777" w:rsidR="00723ECB" w:rsidRDefault="00723ECB" w:rsidP="00723ECB">
            <w:pPr>
              <w:pStyle w:val="Standaard-Tabellen"/>
              <w:rPr>
                <w:lang w:val="fr-BE"/>
              </w:rPr>
            </w:pPr>
            <w:r>
              <w:rPr>
                <w:lang w:val="fr-BE"/>
              </w:rPr>
              <w:t xml:space="preserve">08100 Mollet de </w:t>
            </w:r>
            <w:proofErr w:type="spellStart"/>
            <w:r>
              <w:rPr>
                <w:lang w:val="fr-BE"/>
              </w:rPr>
              <w:t>Vallés</w:t>
            </w:r>
            <w:proofErr w:type="spellEnd"/>
          </w:p>
          <w:p w14:paraId="3EC06AEE" w14:textId="77777777" w:rsidR="00723ECB" w:rsidRDefault="00723ECB" w:rsidP="00723ECB">
            <w:pPr>
              <w:pStyle w:val="Standaard-Tabellen"/>
              <w:rPr>
                <w:lang w:val="fr-BE"/>
              </w:rPr>
            </w:pPr>
            <w:r>
              <w:rPr>
                <w:lang w:val="fr-BE"/>
              </w:rPr>
              <w:t>Barcelona</w:t>
            </w:r>
          </w:p>
          <w:p w14:paraId="76D30B9E" w14:textId="77777777" w:rsidR="00723ECB" w:rsidRDefault="00723ECB" w:rsidP="00723ECB">
            <w:pPr>
              <w:pStyle w:val="Standaard-Tabellen"/>
            </w:pPr>
            <w:r>
              <w:t>Spain</w:t>
            </w:r>
          </w:p>
        </w:tc>
      </w:tr>
    </w:tbl>
    <w:p w14:paraId="3725B6A5" w14:textId="77777777" w:rsidR="00723ECB" w:rsidRDefault="00723ECB" w:rsidP="00943A25">
      <w:pPr>
        <w:rPr>
          <w:lang w:eastAsia="en-US"/>
        </w:rPr>
      </w:pPr>
    </w:p>
    <w:p w14:paraId="3CDCA15F" w14:textId="77777777" w:rsidR="00723ECB" w:rsidRPr="00BD2EF1" w:rsidRDefault="00723ECB" w:rsidP="00943A25">
      <w:pPr>
        <w:rPr>
          <w:lang w:eastAsia="en-US"/>
        </w:rPr>
        <w:sectPr w:rsidR="00723ECB" w:rsidRPr="00BD2EF1" w:rsidSect="006456DE">
          <w:pgSz w:w="11906" w:h="16838"/>
          <w:pgMar w:top="1247" w:right="1247" w:bottom="1247" w:left="1247" w:header="709" w:footer="709" w:gutter="0"/>
          <w:cols w:space="708"/>
          <w:docGrid w:linePitch="360"/>
        </w:sectPr>
      </w:pPr>
    </w:p>
    <w:p w14:paraId="772793A6" w14:textId="77777777" w:rsidR="00943A25" w:rsidRPr="00BD2EF1" w:rsidRDefault="00590F22" w:rsidP="007D2C70">
      <w:pPr>
        <w:pStyle w:val="Titre3"/>
        <w:rPr>
          <w:lang w:eastAsia="en-US"/>
        </w:rPr>
      </w:pPr>
      <w:bookmarkStart w:id="10" w:name="_Toc12967100"/>
      <w:r>
        <w:rPr>
          <w:lang w:eastAsia="en-US"/>
        </w:rPr>
        <w:lastRenderedPageBreak/>
        <w:t>Product</w:t>
      </w:r>
      <w:r w:rsidR="007D2C70" w:rsidRPr="00BD2EF1">
        <w:rPr>
          <w:lang w:eastAsia="en-US"/>
        </w:rPr>
        <w:t xml:space="preserve"> composition and formulation</w:t>
      </w:r>
      <w:bookmarkEnd w:id="10"/>
    </w:p>
    <w:p w14:paraId="445834DA" w14:textId="77777777" w:rsidR="007D2C70" w:rsidRPr="00BD2EF1" w:rsidRDefault="007D2C70" w:rsidP="007D2C70">
      <w:pPr>
        <w:rPr>
          <w:rFonts w:eastAsia="Calibri"/>
          <w:lang w:eastAsia="en-US"/>
        </w:rPr>
      </w:pPr>
      <w:r w:rsidRPr="00BD2EF1">
        <w:rPr>
          <w:rFonts w:eastAsia="Calibri"/>
          <w:lang w:eastAsia="en-US"/>
        </w:rPr>
        <w:t>NB: the full composition of the product according to Annex III Title 1 should be provided in the confidential annex.</w:t>
      </w:r>
    </w:p>
    <w:p w14:paraId="06F05841" w14:textId="77777777" w:rsidR="007D2C70" w:rsidRPr="00BD2EF1" w:rsidRDefault="007D2C70" w:rsidP="007D2C70">
      <w:pPr>
        <w:rPr>
          <w:rFonts w:eastAsia="Calibri"/>
          <w:lang w:eastAsia="en-US"/>
        </w:rPr>
      </w:pPr>
    </w:p>
    <w:p w14:paraId="4D766CE9" w14:textId="77777777" w:rsidR="007D2C70" w:rsidRPr="00BD2EF1" w:rsidRDefault="007D2C70" w:rsidP="007D2C70">
      <w:pPr>
        <w:rPr>
          <w:rFonts w:eastAsia="Calibri"/>
          <w:lang w:eastAsia="en-US"/>
        </w:rPr>
      </w:pPr>
      <w:r w:rsidRPr="00BD2EF1">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533D026E" w14:textId="77777777" w:rsidR="007D2C70" w:rsidRPr="00BD2EF1" w:rsidRDefault="007D2C70" w:rsidP="007D2C70">
      <w:pPr>
        <w:ind w:left="708"/>
        <w:rPr>
          <w:lang w:eastAsia="en-US"/>
        </w:rPr>
      </w:pPr>
      <w:r w:rsidRPr="00BD2EF1">
        <w:rPr>
          <w:lang w:eastAsia="en-US"/>
        </w:rPr>
        <w:t xml:space="preserve">Yes </w:t>
      </w:r>
      <w:r w:rsidRPr="00BD2EF1">
        <w:rPr>
          <w:lang w:eastAsia="en-US"/>
        </w:rPr>
        <w:tab/>
      </w:r>
      <w:sdt>
        <w:sdtPr>
          <w:rPr>
            <w:lang w:eastAsia="en-US"/>
          </w:rPr>
          <w:id w:val="876748437"/>
        </w:sdtPr>
        <w:sdtEndPr/>
        <w:sdtContent>
          <w:r w:rsidRPr="00BD2EF1">
            <w:rPr>
              <w:rFonts w:ascii="MS Gothic" w:eastAsia="MS Gothic" w:hAnsi="MS Gothic"/>
              <w:lang w:eastAsia="en-US"/>
            </w:rPr>
            <w:t>☐</w:t>
          </w:r>
        </w:sdtContent>
      </w:sdt>
    </w:p>
    <w:p w14:paraId="6693235B" w14:textId="77777777" w:rsidR="007D2C70" w:rsidRPr="00BD2EF1" w:rsidRDefault="007D2C70" w:rsidP="007D2C70">
      <w:pPr>
        <w:ind w:left="708"/>
        <w:rPr>
          <w:lang w:eastAsia="en-US"/>
        </w:rPr>
      </w:pPr>
      <w:r w:rsidRPr="00BD2EF1">
        <w:rPr>
          <w:lang w:eastAsia="en-US"/>
        </w:rPr>
        <w:t xml:space="preserve">No </w:t>
      </w:r>
      <w:r w:rsidRPr="00BD2EF1">
        <w:rPr>
          <w:lang w:eastAsia="en-US"/>
        </w:rPr>
        <w:tab/>
      </w:r>
      <w:sdt>
        <w:sdtPr>
          <w:rPr>
            <w:lang w:eastAsia="en-US"/>
          </w:rPr>
          <w:id w:val="1995841072"/>
        </w:sdtPr>
        <w:sdtEndPr/>
        <w:sdtContent>
          <w:r w:rsidR="00E94D4A">
            <w:rPr>
              <w:rFonts w:ascii="MS Gothic" w:eastAsia="MS Gothic" w:hAnsi="MS Gothic" w:hint="eastAsia"/>
              <w:lang w:eastAsia="en-US"/>
            </w:rPr>
            <w:t>☒</w:t>
          </w:r>
        </w:sdtContent>
      </w:sdt>
    </w:p>
    <w:p w14:paraId="35C03B64" w14:textId="77777777" w:rsidR="007D2C70" w:rsidRPr="00BD2EF1" w:rsidRDefault="007D2C70" w:rsidP="008E2686">
      <w:pPr>
        <w:pStyle w:val="Titre4"/>
      </w:pPr>
      <w:bookmarkStart w:id="11" w:name="_Toc12967101"/>
      <w:r w:rsidRPr="00BD2EF1">
        <w:t>Identity of the active substance</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5194"/>
      </w:tblGrid>
      <w:tr w:rsidR="007D2C70" w:rsidRPr="00BD2EF1" w14:paraId="3A297787" w14:textId="77777777" w:rsidTr="00B52A6E">
        <w:tc>
          <w:tcPr>
            <w:tcW w:w="5000" w:type="pct"/>
            <w:gridSpan w:val="2"/>
            <w:shd w:val="clear" w:color="auto" w:fill="FFFFCC"/>
          </w:tcPr>
          <w:p w14:paraId="2AB3434C" w14:textId="77777777" w:rsidR="007D2C70" w:rsidRPr="00BD2EF1" w:rsidRDefault="007D2C70" w:rsidP="00FF76D2">
            <w:pPr>
              <w:pStyle w:val="Standaard-Tabellen"/>
              <w:jc w:val="center"/>
              <w:rPr>
                <w:rFonts w:eastAsia="Calibri"/>
                <w:b/>
              </w:rPr>
            </w:pPr>
            <w:r w:rsidRPr="00BD2EF1">
              <w:rPr>
                <w:rFonts w:eastAsia="Calibri"/>
                <w:b/>
              </w:rPr>
              <w:t>Main constituent(s)</w:t>
            </w:r>
          </w:p>
        </w:tc>
      </w:tr>
      <w:tr w:rsidR="00E94D4A" w:rsidRPr="00BD2EF1" w14:paraId="3AAF0B94" w14:textId="77777777" w:rsidTr="00B52A6E">
        <w:tc>
          <w:tcPr>
            <w:tcW w:w="2238" w:type="pct"/>
            <w:shd w:val="clear" w:color="auto" w:fill="auto"/>
          </w:tcPr>
          <w:p w14:paraId="63DB435E" w14:textId="77777777" w:rsidR="00E94D4A" w:rsidRPr="00BD2EF1" w:rsidRDefault="00E94D4A" w:rsidP="00E94D4A">
            <w:pPr>
              <w:pStyle w:val="Standaard-Tabellen"/>
              <w:rPr>
                <w:rFonts w:eastAsia="Calibri"/>
                <w:b/>
              </w:rPr>
            </w:pPr>
            <w:r w:rsidRPr="00BD2EF1">
              <w:rPr>
                <w:rFonts w:eastAsia="Calibri"/>
                <w:b/>
              </w:rPr>
              <w:t>ISO name</w:t>
            </w:r>
          </w:p>
        </w:tc>
        <w:tc>
          <w:tcPr>
            <w:tcW w:w="2762" w:type="pct"/>
            <w:shd w:val="clear" w:color="auto" w:fill="auto"/>
          </w:tcPr>
          <w:p w14:paraId="6DB4585E" w14:textId="77777777" w:rsidR="00E94D4A" w:rsidRDefault="00E94D4A" w:rsidP="00E94D4A">
            <w:pPr>
              <w:pStyle w:val="Standaard-Tabellen"/>
              <w:rPr>
                <w:rFonts w:eastAsia="Calibri"/>
              </w:rPr>
            </w:pPr>
            <w:r>
              <w:rPr>
                <w:rFonts w:eastAsia="Calibri"/>
              </w:rPr>
              <w:t>IR3535</w:t>
            </w:r>
          </w:p>
        </w:tc>
      </w:tr>
      <w:tr w:rsidR="00E94D4A" w:rsidRPr="00BD2EF1" w14:paraId="2D820FA3" w14:textId="77777777" w:rsidTr="00B52A6E">
        <w:tc>
          <w:tcPr>
            <w:tcW w:w="2238" w:type="pct"/>
            <w:shd w:val="clear" w:color="auto" w:fill="auto"/>
          </w:tcPr>
          <w:p w14:paraId="685C094D" w14:textId="77777777" w:rsidR="00E94D4A" w:rsidRPr="00BD2EF1" w:rsidRDefault="00E94D4A" w:rsidP="00E94D4A">
            <w:pPr>
              <w:pStyle w:val="Standaard-Tabellen"/>
              <w:rPr>
                <w:rFonts w:eastAsia="Calibri"/>
                <w:b/>
              </w:rPr>
            </w:pPr>
            <w:r w:rsidRPr="00BD2EF1">
              <w:rPr>
                <w:rFonts w:eastAsia="Calibri"/>
                <w:b/>
              </w:rPr>
              <w:t>IUPAC or EC name</w:t>
            </w:r>
          </w:p>
        </w:tc>
        <w:tc>
          <w:tcPr>
            <w:tcW w:w="2762" w:type="pct"/>
            <w:shd w:val="clear" w:color="auto" w:fill="auto"/>
          </w:tcPr>
          <w:p w14:paraId="2DDDB553" w14:textId="77777777" w:rsidR="00E94D4A" w:rsidRDefault="00E94D4A" w:rsidP="00E94D4A">
            <w:pPr>
              <w:pStyle w:val="Standaard-Tabellen"/>
              <w:rPr>
                <w:rFonts w:eastAsia="Calibri"/>
              </w:rPr>
            </w:pPr>
            <w:r>
              <w:rPr>
                <w:rFonts w:eastAsia="Calibri"/>
              </w:rPr>
              <w:t xml:space="preserve">ethyl 3-[N-acetyl-N-butyl] </w:t>
            </w:r>
            <w:proofErr w:type="spellStart"/>
            <w:r>
              <w:rPr>
                <w:rFonts w:eastAsia="Calibri"/>
              </w:rPr>
              <w:t>aminopropionate</w:t>
            </w:r>
            <w:proofErr w:type="spellEnd"/>
          </w:p>
        </w:tc>
      </w:tr>
      <w:tr w:rsidR="00E94D4A" w:rsidRPr="00BD2EF1" w14:paraId="16234F36" w14:textId="77777777" w:rsidTr="00B52A6E">
        <w:tc>
          <w:tcPr>
            <w:tcW w:w="2238" w:type="pct"/>
            <w:shd w:val="clear" w:color="auto" w:fill="auto"/>
          </w:tcPr>
          <w:p w14:paraId="719EBBED" w14:textId="77777777" w:rsidR="00E94D4A" w:rsidRPr="00BD2EF1" w:rsidRDefault="00E94D4A" w:rsidP="00E94D4A">
            <w:pPr>
              <w:pStyle w:val="Standaard-Tabellen"/>
              <w:rPr>
                <w:rFonts w:eastAsia="Calibri"/>
                <w:b/>
              </w:rPr>
            </w:pPr>
            <w:r w:rsidRPr="00BD2EF1">
              <w:rPr>
                <w:rFonts w:eastAsia="Calibri"/>
                <w:b/>
              </w:rPr>
              <w:t>EC number</w:t>
            </w:r>
          </w:p>
        </w:tc>
        <w:tc>
          <w:tcPr>
            <w:tcW w:w="2762" w:type="pct"/>
            <w:shd w:val="clear" w:color="auto" w:fill="auto"/>
          </w:tcPr>
          <w:p w14:paraId="719C5986" w14:textId="77777777" w:rsidR="00E94D4A" w:rsidRDefault="00E94D4A" w:rsidP="00E94D4A">
            <w:pPr>
              <w:pStyle w:val="Standaard-Tabellen"/>
              <w:rPr>
                <w:rFonts w:eastAsia="Calibri"/>
              </w:rPr>
            </w:pPr>
            <w:r>
              <w:rPr>
                <w:rFonts w:eastAsia="Calibri"/>
              </w:rPr>
              <w:t>257-835-0</w:t>
            </w:r>
          </w:p>
        </w:tc>
      </w:tr>
      <w:tr w:rsidR="00E94D4A" w:rsidRPr="00BD2EF1" w14:paraId="2503BEB9" w14:textId="77777777" w:rsidTr="00B52A6E">
        <w:tc>
          <w:tcPr>
            <w:tcW w:w="2238" w:type="pct"/>
            <w:shd w:val="clear" w:color="auto" w:fill="auto"/>
          </w:tcPr>
          <w:p w14:paraId="63A282E3" w14:textId="77777777" w:rsidR="00E94D4A" w:rsidRPr="00BD2EF1" w:rsidRDefault="00E94D4A" w:rsidP="00E94D4A">
            <w:pPr>
              <w:pStyle w:val="Standaard-Tabellen"/>
              <w:rPr>
                <w:rFonts w:eastAsia="Calibri"/>
                <w:b/>
              </w:rPr>
            </w:pPr>
            <w:r w:rsidRPr="00BD2EF1">
              <w:rPr>
                <w:rFonts w:eastAsia="Calibri"/>
                <w:b/>
              </w:rPr>
              <w:t>CAS number</w:t>
            </w:r>
          </w:p>
        </w:tc>
        <w:tc>
          <w:tcPr>
            <w:tcW w:w="2762" w:type="pct"/>
            <w:shd w:val="clear" w:color="auto" w:fill="auto"/>
          </w:tcPr>
          <w:p w14:paraId="6C84281D" w14:textId="77777777" w:rsidR="00E94D4A" w:rsidRDefault="00E94D4A" w:rsidP="00E94D4A">
            <w:pPr>
              <w:pStyle w:val="Standaard-Tabellen"/>
              <w:rPr>
                <w:rFonts w:eastAsia="Calibri"/>
              </w:rPr>
            </w:pPr>
            <w:r>
              <w:rPr>
                <w:rFonts w:eastAsia="Calibri"/>
              </w:rPr>
              <w:t>52304-36-6</w:t>
            </w:r>
          </w:p>
        </w:tc>
      </w:tr>
      <w:tr w:rsidR="00E94D4A" w:rsidRPr="00BD2EF1" w14:paraId="438B7520" w14:textId="77777777" w:rsidTr="00B52A6E">
        <w:tc>
          <w:tcPr>
            <w:tcW w:w="2238" w:type="pct"/>
            <w:shd w:val="clear" w:color="auto" w:fill="auto"/>
          </w:tcPr>
          <w:p w14:paraId="1BB87F20" w14:textId="77777777" w:rsidR="00E94D4A" w:rsidRPr="00BD2EF1" w:rsidRDefault="00E94D4A" w:rsidP="00E94D4A">
            <w:pPr>
              <w:pStyle w:val="Standaard-Tabellen"/>
              <w:rPr>
                <w:rFonts w:eastAsia="Calibri"/>
                <w:b/>
              </w:rPr>
            </w:pPr>
            <w:r w:rsidRPr="00BD2EF1">
              <w:rPr>
                <w:rFonts w:eastAsia="Calibri"/>
                <w:b/>
              </w:rPr>
              <w:t>Index number in Annex VI of CLP</w:t>
            </w:r>
          </w:p>
        </w:tc>
        <w:tc>
          <w:tcPr>
            <w:tcW w:w="2762" w:type="pct"/>
            <w:shd w:val="clear" w:color="auto" w:fill="auto"/>
          </w:tcPr>
          <w:p w14:paraId="0FF19FC8" w14:textId="77777777" w:rsidR="00E94D4A" w:rsidRDefault="00E94D4A" w:rsidP="00E94D4A">
            <w:pPr>
              <w:pStyle w:val="Standaard-Tabellen"/>
              <w:rPr>
                <w:rFonts w:eastAsia="Calibri"/>
              </w:rPr>
            </w:pPr>
          </w:p>
        </w:tc>
      </w:tr>
      <w:tr w:rsidR="00E94D4A" w:rsidRPr="00BD2EF1" w14:paraId="4F98077C" w14:textId="77777777" w:rsidTr="00B52A6E">
        <w:tc>
          <w:tcPr>
            <w:tcW w:w="2238" w:type="pct"/>
            <w:shd w:val="clear" w:color="auto" w:fill="auto"/>
          </w:tcPr>
          <w:p w14:paraId="581932AD" w14:textId="77777777" w:rsidR="00E94D4A" w:rsidRPr="00BD2EF1" w:rsidRDefault="00E94D4A" w:rsidP="00E94D4A">
            <w:pPr>
              <w:pStyle w:val="Standaard-Tabellen"/>
              <w:rPr>
                <w:rFonts w:eastAsia="Calibri"/>
                <w:b/>
              </w:rPr>
            </w:pPr>
            <w:r w:rsidRPr="00BD2EF1">
              <w:rPr>
                <w:rFonts w:eastAsia="Calibri"/>
                <w:b/>
              </w:rPr>
              <w:t>Minimum purity / content</w:t>
            </w:r>
          </w:p>
        </w:tc>
        <w:tc>
          <w:tcPr>
            <w:tcW w:w="2762" w:type="pct"/>
            <w:shd w:val="clear" w:color="auto" w:fill="auto"/>
          </w:tcPr>
          <w:p w14:paraId="59B9FFD2" w14:textId="77777777" w:rsidR="00E94D4A" w:rsidRDefault="00E94D4A" w:rsidP="00E94D4A">
            <w:pPr>
              <w:pStyle w:val="Standaard-Tabellen"/>
              <w:rPr>
                <w:rFonts w:eastAsia="Calibri"/>
              </w:rPr>
            </w:pPr>
            <w:r>
              <w:rPr>
                <w:rFonts w:eastAsia="Calibri"/>
              </w:rPr>
              <w:t>&gt; 99 % w/w</w:t>
            </w:r>
          </w:p>
        </w:tc>
      </w:tr>
      <w:tr w:rsidR="00E94D4A" w:rsidRPr="00BD2EF1" w14:paraId="59E28EEC" w14:textId="77777777" w:rsidTr="00B52A6E">
        <w:trPr>
          <w:trHeight w:val="1359"/>
        </w:trPr>
        <w:tc>
          <w:tcPr>
            <w:tcW w:w="2238" w:type="pct"/>
            <w:shd w:val="clear" w:color="auto" w:fill="auto"/>
          </w:tcPr>
          <w:p w14:paraId="166404FA" w14:textId="77777777" w:rsidR="00E94D4A" w:rsidRPr="00BD2EF1" w:rsidRDefault="00E94D4A" w:rsidP="00E94D4A">
            <w:pPr>
              <w:pStyle w:val="Standaard-Tabellen"/>
              <w:rPr>
                <w:rFonts w:eastAsia="Calibri"/>
                <w:b/>
              </w:rPr>
            </w:pPr>
            <w:r w:rsidRPr="00BD2EF1">
              <w:rPr>
                <w:rFonts w:eastAsia="Calibri"/>
                <w:b/>
              </w:rPr>
              <w:t>Structural formula</w:t>
            </w:r>
          </w:p>
        </w:tc>
        <w:tc>
          <w:tcPr>
            <w:tcW w:w="2762" w:type="pct"/>
            <w:shd w:val="clear" w:color="auto" w:fill="auto"/>
          </w:tcPr>
          <w:p w14:paraId="1489308A" w14:textId="77777777" w:rsidR="009B000D" w:rsidRDefault="009B000D" w:rsidP="00E94D4A">
            <w:pPr>
              <w:pStyle w:val="Standaard-Tabellen"/>
              <w:rPr>
                <w:rFonts w:eastAsia="Calibri"/>
              </w:rPr>
            </w:pPr>
          </w:p>
          <w:p w14:paraId="161FB800" w14:textId="3B24F9A0" w:rsidR="00E94D4A" w:rsidRDefault="00926BBC" w:rsidP="00E94D4A">
            <w:pPr>
              <w:pStyle w:val="Standaard-Tabellen"/>
              <w:rPr>
                <w:rFonts w:eastAsia="Calibri"/>
              </w:rPr>
            </w:pPr>
            <w:r>
              <w:rPr>
                <w:rFonts w:eastAsia="Calibri"/>
                <w:noProof/>
                <w:lang w:val="nl-NL" w:eastAsia="nl-NL"/>
              </w:rPr>
              <w:drawing>
                <wp:inline distT="0" distB="0" distL="0" distR="0" wp14:anchorId="2925E079" wp14:editId="298E8FF1">
                  <wp:extent cx="1837853" cy="828930"/>
                  <wp:effectExtent l="0" t="0" r="0" b="9525"/>
                  <wp:docPr id="2" name="Afbeelding 1" descr="ir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35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1561" cy="830603"/>
                          </a:xfrm>
                          <a:prstGeom prst="rect">
                            <a:avLst/>
                          </a:prstGeom>
                          <a:noFill/>
                          <a:ln>
                            <a:noFill/>
                          </a:ln>
                        </pic:spPr>
                      </pic:pic>
                    </a:graphicData>
                  </a:graphic>
                </wp:inline>
              </w:drawing>
            </w:r>
          </w:p>
        </w:tc>
      </w:tr>
    </w:tbl>
    <w:p w14:paraId="6391D30B" w14:textId="77777777" w:rsidR="007D2C70" w:rsidRPr="00BD2EF1" w:rsidRDefault="006456DE" w:rsidP="008E2686">
      <w:pPr>
        <w:pStyle w:val="Titre4"/>
      </w:pPr>
      <w:bookmarkStart w:id="12" w:name="_Toc12967102"/>
      <w:r w:rsidRPr="00BD2EF1">
        <w:t>Candidate(s) for substitution</w:t>
      </w:r>
      <w:bookmarkEnd w:id="12"/>
    </w:p>
    <w:p w14:paraId="6C5A28A2" w14:textId="77777777" w:rsidR="00E94D4A" w:rsidRDefault="00E94D4A" w:rsidP="00E94D4A">
      <w:pPr>
        <w:rPr>
          <w:rFonts w:eastAsia="Calibri"/>
          <w:lang w:eastAsia="fr-FR"/>
        </w:rPr>
      </w:pPr>
      <w:r>
        <w:rPr>
          <w:rFonts w:eastAsia="Calibri"/>
          <w:lang w:eastAsia="fr-FR"/>
        </w:rPr>
        <w:t>The active substance IR3535</w:t>
      </w:r>
      <w:r w:rsidR="00C5456F">
        <w:rPr>
          <w:rFonts w:eastAsia="Calibri"/>
          <w:vertAlign w:val="superscript"/>
          <w:lang w:eastAsia="fr-FR"/>
        </w:rPr>
        <w:t>®</w:t>
      </w:r>
      <w:r>
        <w:rPr>
          <w:rFonts w:eastAsia="Calibri"/>
          <w:lang w:eastAsia="fr-FR"/>
        </w:rPr>
        <w:t xml:space="preserve"> is n</w:t>
      </w:r>
      <w:r>
        <w:rPr>
          <w:rFonts w:eastAsia="Calibri"/>
        </w:rPr>
        <w:t>ot a candidate for substitution.</w:t>
      </w:r>
    </w:p>
    <w:p w14:paraId="59D5AE4F" w14:textId="77777777" w:rsidR="008B0654" w:rsidRPr="00BD2EF1" w:rsidRDefault="008B0654" w:rsidP="008E2686">
      <w:pPr>
        <w:pStyle w:val="Titre4"/>
      </w:pPr>
      <w:bookmarkStart w:id="13" w:name="_Toc425344070"/>
      <w:bookmarkStart w:id="14" w:name="_Toc12967103"/>
      <w:r w:rsidRPr="00BD2EF1">
        <w:t>Qualitative and quantitative information on the composition of the biocidal product</w:t>
      </w:r>
      <w:bookmarkEnd w:id="13"/>
      <w:bookmarkEnd w:id="14"/>
    </w:p>
    <w:tbl>
      <w:tblPr>
        <w:tblW w:w="5000" w:type="pct"/>
        <w:tblCellMar>
          <w:left w:w="0" w:type="dxa"/>
          <w:right w:w="0" w:type="dxa"/>
        </w:tblCellMar>
        <w:tblLook w:val="04A0" w:firstRow="1" w:lastRow="0" w:firstColumn="1" w:lastColumn="0" w:noHBand="0" w:noVBand="1"/>
      </w:tblPr>
      <w:tblGrid>
        <w:gridCol w:w="1952"/>
        <w:gridCol w:w="2644"/>
        <w:gridCol w:w="1315"/>
        <w:gridCol w:w="1319"/>
        <w:gridCol w:w="1128"/>
        <w:gridCol w:w="1044"/>
      </w:tblGrid>
      <w:tr w:rsidR="00E94D4A" w:rsidRPr="00E94D4A" w14:paraId="5A0B5B13" w14:textId="77777777" w:rsidTr="00C5456F">
        <w:trPr>
          <w:tblHeader/>
        </w:trPr>
        <w:tc>
          <w:tcPr>
            <w:tcW w:w="105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40" w:type="dxa"/>
              <w:left w:w="40" w:type="dxa"/>
              <w:bottom w:w="40" w:type="dxa"/>
              <w:right w:w="40" w:type="dxa"/>
            </w:tcMar>
            <w:hideMark/>
          </w:tcPr>
          <w:p w14:paraId="758CF66C" w14:textId="77777777" w:rsidR="00E94D4A" w:rsidRPr="00E94D4A" w:rsidRDefault="00E94D4A" w:rsidP="00E94D4A">
            <w:pPr>
              <w:pStyle w:val="Standaard-Tabellen"/>
              <w:rPr>
                <w:b/>
                <w:lang w:eastAsia="de-DE"/>
              </w:rPr>
            </w:pPr>
            <w:bookmarkStart w:id="15" w:name="_Toc425344071"/>
            <w:r w:rsidRPr="00E94D4A">
              <w:rPr>
                <w:b/>
              </w:rPr>
              <w:t>Common name</w:t>
            </w:r>
          </w:p>
        </w:tc>
        <w:tc>
          <w:tcPr>
            <w:tcW w:w="1421" w:type="pct"/>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hideMark/>
          </w:tcPr>
          <w:p w14:paraId="3BD67263" w14:textId="77777777" w:rsidR="00E94D4A" w:rsidRPr="00E94D4A" w:rsidRDefault="00E94D4A" w:rsidP="00E94D4A">
            <w:pPr>
              <w:pStyle w:val="Standaard-Tabellen"/>
              <w:rPr>
                <w:b/>
              </w:rPr>
            </w:pPr>
            <w:r w:rsidRPr="00E94D4A">
              <w:rPr>
                <w:b/>
              </w:rPr>
              <w:t>IUPAC name</w:t>
            </w:r>
          </w:p>
        </w:tc>
        <w:tc>
          <w:tcPr>
            <w:tcW w:w="714" w:type="pct"/>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hideMark/>
          </w:tcPr>
          <w:p w14:paraId="2CEF2233" w14:textId="77777777" w:rsidR="00E94D4A" w:rsidRPr="00E94D4A" w:rsidRDefault="00E94D4A" w:rsidP="00E94D4A">
            <w:pPr>
              <w:pStyle w:val="Standaard-Tabellen"/>
              <w:rPr>
                <w:b/>
              </w:rPr>
            </w:pPr>
            <w:r w:rsidRPr="00E94D4A">
              <w:rPr>
                <w:b/>
              </w:rPr>
              <w:t>Function</w:t>
            </w:r>
          </w:p>
        </w:tc>
        <w:tc>
          <w:tcPr>
            <w:tcW w:w="716" w:type="pct"/>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hideMark/>
          </w:tcPr>
          <w:p w14:paraId="6CFFB705" w14:textId="77777777" w:rsidR="00E94D4A" w:rsidRPr="00E94D4A" w:rsidRDefault="00E94D4A" w:rsidP="00E94D4A">
            <w:pPr>
              <w:pStyle w:val="Standaard-Tabellen"/>
              <w:rPr>
                <w:b/>
              </w:rPr>
            </w:pPr>
            <w:r w:rsidRPr="00E94D4A">
              <w:rPr>
                <w:b/>
              </w:rPr>
              <w:t>CAS number</w:t>
            </w:r>
          </w:p>
        </w:tc>
        <w:tc>
          <w:tcPr>
            <w:tcW w:w="614" w:type="pct"/>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hideMark/>
          </w:tcPr>
          <w:p w14:paraId="291D395F" w14:textId="77777777" w:rsidR="00E94D4A" w:rsidRPr="00E94D4A" w:rsidRDefault="00E94D4A" w:rsidP="00E94D4A">
            <w:pPr>
              <w:pStyle w:val="Standaard-Tabellen"/>
              <w:rPr>
                <w:b/>
              </w:rPr>
            </w:pPr>
            <w:r w:rsidRPr="00E94D4A">
              <w:rPr>
                <w:b/>
              </w:rPr>
              <w:t>EC number</w:t>
            </w:r>
          </w:p>
        </w:tc>
        <w:tc>
          <w:tcPr>
            <w:tcW w:w="482" w:type="pct"/>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hideMark/>
          </w:tcPr>
          <w:p w14:paraId="612EC368" w14:textId="77777777" w:rsidR="00E94D4A" w:rsidRPr="00E94D4A" w:rsidRDefault="00E94D4A" w:rsidP="00E94D4A">
            <w:pPr>
              <w:pStyle w:val="Standaard-Tabellen"/>
              <w:rPr>
                <w:b/>
              </w:rPr>
            </w:pPr>
            <w:r w:rsidRPr="00E94D4A">
              <w:rPr>
                <w:b/>
              </w:rPr>
              <w:t>Content (%)</w:t>
            </w:r>
          </w:p>
        </w:tc>
      </w:tr>
      <w:tr w:rsidR="00E94D4A" w14:paraId="027B607C" w14:textId="77777777" w:rsidTr="00C5456F">
        <w:tc>
          <w:tcPr>
            <w:tcW w:w="1053" w:type="pct"/>
            <w:tcBorders>
              <w:top w:val="nil"/>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0B1D022" w14:textId="77777777" w:rsidR="00E94D4A" w:rsidRPr="00C5456F" w:rsidRDefault="00E94D4A" w:rsidP="00E94D4A">
            <w:pPr>
              <w:pStyle w:val="Standaard-Tabellen"/>
            </w:pPr>
            <w:r>
              <w:t>IR3535</w:t>
            </w:r>
            <w:r w:rsidR="00C5456F">
              <w:rPr>
                <w:vertAlign w:val="superscript"/>
              </w:rPr>
              <w:t>®</w:t>
            </w:r>
          </w:p>
        </w:tc>
        <w:tc>
          <w:tcPr>
            <w:tcW w:w="1421" w:type="pct"/>
            <w:tcBorders>
              <w:top w:val="nil"/>
              <w:left w:val="nil"/>
              <w:bottom w:val="single" w:sz="4" w:space="0" w:color="000000"/>
              <w:right w:val="single" w:sz="4" w:space="0" w:color="000000"/>
            </w:tcBorders>
            <w:tcMar>
              <w:top w:w="40" w:type="dxa"/>
              <w:left w:w="40" w:type="dxa"/>
              <w:bottom w:w="40" w:type="dxa"/>
              <w:right w:w="40" w:type="dxa"/>
            </w:tcMar>
            <w:vAlign w:val="center"/>
            <w:hideMark/>
          </w:tcPr>
          <w:p w14:paraId="408A4EDD" w14:textId="77777777" w:rsidR="00E94D4A" w:rsidRDefault="00E94D4A" w:rsidP="00E94D4A">
            <w:pPr>
              <w:pStyle w:val="Standaard-Tabellen"/>
            </w:pPr>
            <w:r>
              <w:t xml:space="preserve">ethyl 3-[N-acetyl-N-butyl] </w:t>
            </w:r>
            <w:proofErr w:type="spellStart"/>
            <w:r>
              <w:t>aminopropionate</w:t>
            </w:r>
            <w:proofErr w:type="spellEnd"/>
          </w:p>
        </w:tc>
        <w:tc>
          <w:tcPr>
            <w:tcW w:w="714" w:type="pct"/>
            <w:tcBorders>
              <w:top w:val="nil"/>
              <w:left w:val="nil"/>
              <w:bottom w:val="single" w:sz="4" w:space="0" w:color="000000"/>
              <w:right w:val="single" w:sz="4" w:space="0" w:color="000000"/>
            </w:tcBorders>
            <w:tcMar>
              <w:top w:w="40" w:type="dxa"/>
              <w:left w:w="40" w:type="dxa"/>
              <w:bottom w:w="40" w:type="dxa"/>
              <w:right w:w="40" w:type="dxa"/>
            </w:tcMar>
            <w:vAlign w:val="center"/>
            <w:hideMark/>
          </w:tcPr>
          <w:p w14:paraId="15005C11" w14:textId="77777777" w:rsidR="00E94D4A" w:rsidRDefault="00E94D4A" w:rsidP="00E94D4A">
            <w:pPr>
              <w:pStyle w:val="Standaard-Tabellen"/>
            </w:pPr>
            <w:r>
              <w:t>Active substance</w:t>
            </w:r>
          </w:p>
        </w:tc>
        <w:tc>
          <w:tcPr>
            <w:tcW w:w="716" w:type="pct"/>
            <w:tcBorders>
              <w:top w:val="nil"/>
              <w:left w:val="nil"/>
              <w:bottom w:val="single" w:sz="4" w:space="0" w:color="000000"/>
              <w:right w:val="single" w:sz="4" w:space="0" w:color="000000"/>
            </w:tcBorders>
            <w:tcMar>
              <w:top w:w="40" w:type="dxa"/>
              <w:left w:w="40" w:type="dxa"/>
              <w:bottom w:w="40" w:type="dxa"/>
              <w:right w:w="40" w:type="dxa"/>
            </w:tcMar>
            <w:vAlign w:val="center"/>
            <w:hideMark/>
          </w:tcPr>
          <w:p w14:paraId="49D8A6B5" w14:textId="77777777" w:rsidR="00E94D4A" w:rsidRDefault="00E94D4A" w:rsidP="00E94D4A">
            <w:pPr>
              <w:pStyle w:val="Standaard-Tabellen"/>
            </w:pPr>
            <w:r>
              <w:t>52304-36-6</w:t>
            </w:r>
          </w:p>
        </w:tc>
        <w:tc>
          <w:tcPr>
            <w:tcW w:w="614" w:type="pct"/>
            <w:tcBorders>
              <w:top w:val="nil"/>
              <w:left w:val="nil"/>
              <w:bottom w:val="single" w:sz="4" w:space="0" w:color="000000"/>
              <w:right w:val="single" w:sz="4" w:space="0" w:color="000000"/>
            </w:tcBorders>
            <w:tcMar>
              <w:top w:w="40" w:type="dxa"/>
              <w:left w:w="40" w:type="dxa"/>
              <w:bottom w:w="40" w:type="dxa"/>
              <w:right w:w="40" w:type="dxa"/>
            </w:tcMar>
            <w:vAlign w:val="center"/>
            <w:hideMark/>
          </w:tcPr>
          <w:p w14:paraId="17803FE1" w14:textId="77777777" w:rsidR="00E94D4A" w:rsidRDefault="00E94D4A" w:rsidP="00E94D4A">
            <w:pPr>
              <w:pStyle w:val="Standaard-Tabellen"/>
            </w:pPr>
            <w:r>
              <w:t>257-835-0</w:t>
            </w:r>
          </w:p>
        </w:tc>
        <w:tc>
          <w:tcPr>
            <w:tcW w:w="482" w:type="pct"/>
            <w:tcBorders>
              <w:top w:val="nil"/>
              <w:left w:val="nil"/>
              <w:bottom w:val="single" w:sz="4" w:space="0" w:color="000000"/>
              <w:right w:val="single" w:sz="4" w:space="0" w:color="000000"/>
            </w:tcBorders>
            <w:tcMar>
              <w:top w:w="40" w:type="dxa"/>
              <w:left w:w="40" w:type="dxa"/>
              <w:bottom w:w="40" w:type="dxa"/>
              <w:right w:w="40" w:type="dxa"/>
            </w:tcMar>
            <w:vAlign w:val="center"/>
            <w:hideMark/>
          </w:tcPr>
          <w:p w14:paraId="6FB8CD91" w14:textId="77777777" w:rsidR="0025195E" w:rsidRDefault="0025195E" w:rsidP="0025195E">
            <w:pPr>
              <w:pStyle w:val="Standaard-Tabellen"/>
            </w:pPr>
            <w:r>
              <w:t>10 % (technical)</w:t>
            </w:r>
          </w:p>
          <w:p w14:paraId="1FB33561" w14:textId="77777777" w:rsidR="0025195E" w:rsidRDefault="0025195E" w:rsidP="0025195E">
            <w:pPr>
              <w:pStyle w:val="Standaard-Tabellen"/>
            </w:pPr>
            <w:r>
              <w:t>≥9.9%</w:t>
            </w:r>
          </w:p>
          <w:p w14:paraId="39138DE6" w14:textId="77777777" w:rsidR="0025195E" w:rsidRDefault="0025195E" w:rsidP="0025195E">
            <w:pPr>
              <w:pStyle w:val="Standaard-Tabellen"/>
            </w:pPr>
            <w:r>
              <w:t>(pure)</w:t>
            </w:r>
          </w:p>
          <w:p w14:paraId="2E1F5136" w14:textId="01FBBCE2" w:rsidR="00E94D4A" w:rsidRDefault="0025195E" w:rsidP="00E94D4A">
            <w:pPr>
              <w:pStyle w:val="Standaard-Tabellen"/>
            </w:pPr>
            <w:r>
              <w:t>purity: ≥99%</w:t>
            </w:r>
          </w:p>
        </w:tc>
      </w:tr>
    </w:tbl>
    <w:p w14:paraId="52311CAF" w14:textId="77777777" w:rsidR="00C5456F" w:rsidRDefault="00C5456F" w:rsidP="00C5456F">
      <w:bookmarkStart w:id="16" w:name="_Toc425344072"/>
      <w:bookmarkEnd w:id="15"/>
    </w:p>
    <w:p w14:paraId="412642CA" w14:textId="77777777" w:rsidR="00C5456F" w:rsidRDefault="00C5456F" w:rsidP="00C5456F">
      <w:r>
        <w:t>Full composition is available in the confidential annex.</w:t>
      </w:r>
    </w:p>
    <w:p w14:paraId="73DD085C" w14:textId="77777777" w:rsidR="008B0654" w:rsidRPr="00BD2EF1" w:rsidRDefault="008B0654" w:rsidP="008E2686">
      <w:pPr>
        <w:pStyle w:val="Titre4"/>
      </w:pPr>
      <w:bookmarkStart w:id="17" w:name="_Toc12967104"/>
      <w:r w:rsidRPr="00BD2EF1">
        <w:t>Information on technical equivalence</w:t>
      </w:r>
      <w:bookmarkEnd w:id="16"/>
      <w:bookmarkEnd w:id="17"/>
    </w:p>
    <w:p w14:paraId="0196AE7B" w14:textId="77777777" w:rsidR="00E94D4A" w:rsidRDefault="00E94D4A" w:rsidP="00E94D4A">
      <w:pPr>
        <w:rPr>
          <w:rFonts w:eastAsia="Calibri"/>
          <w:lang w:eastAsia="en-US"/>
        </w:rPr>
      </w:pPr>
      <w:bookmarkStart w:id="18" w:name="_Toc403566544"/>
      <w:bookmarkStart w:id="19" w:name="_Toc425344073"/>
      <w:r>
        <w:rPr>
          <w:rFonts w:eastAsia="Calibri"/>
          <w:lang w:eastAsia="en-US"/>
        </w:rPr>
        <w:t>Not needed, since the manufacturer is the same as included in the Union list of approved active substances.</w:t>
      </w:r>
    </w:p>
    <w:p w14:paraId="0CB05E4F" w14:textId="77777777" w:rsidR="008B0654" w:rsidRPr="00BD2EF1" w:rsidRDefault="008B0654" w:rsidP="008E2686">
      <w:pPr>
        <w:pStyle w:val="Titre4"/>
      </w:pPr>
      <w:bookmarkStart w:id="20" w:name="_Toc12967105"/>
      <w:r w:rsidRPr="00BD2EF1">
        <w:t>Information on the substance(s) of concern</w:t>
      </w:r>
      <w:bookmarkEnd w:id="18"/>
      <w:bookmarkEnd w:id="19"/>
      <w:bookmarkEnd w:id="20"/>
    </w:p>
    <w:p w14:paraId="302D7813" w14:textId="7BE909D5" w:rsidR="00C6210D" w:rsidRPr="00FF0F05" w:rsidRDefault="00C6210D" w:rsidP="00C6210D">
      <w:pPr>
        <w:rPr>
          <w:rFonts w:eastAsia="Calibri"/>
        </w:rPr>
      </w:pPr>
      <w:r w:rsidRPr="00C6210D">
        <w:rPr>
          <w:rFonts w:eastAsia="Calibri"/>
        </w:rPr>
        <w:t xml:space="preserve">According to the Guidance on BPR: Volume II Parts B+C, a substance corresponding to the following condition has to be considered as substance of concern: Active substances, other than those included in Annex I of the BPR, for which a draft final Competent Authority Report (CAR) (with agreed reference values) is available (including draft final CARs for Product Types other than the one of the actual biocidal product under </w:t>
      </w:r>
      <w:r w:rsidRPr="00FF0F05">
        <w:rPr>
          <w:rFonts w:eastAsia="Calibri"/>
        </w:rPr>
        <w:t xml:space="preserve">evaluation). This </w:t>
      </w:r>
      <w:r w:rsidRPr="00FF0F05">
        <w:rPr>
          <w:rFonts w:eastAsia="Calibri"/>
        </w:rPr>
        <w:lastRenderedPageBreak/>
        <w:t>criterion identifies other active substances in the biocidal product that act as co-formulants (e.g. in-can preservatives). It is noted that active substances (acting as co-formulants in a product) should be regarded as SoCs because, due to their intrinsic biological activity, they are likely to possess toxicological activity. It is also noted that as many active substances do not hold harmonised classifications under the CLP Regulation, they may fail to be identified as SoCs by the first two indents of Art 3(f) of the BPR. These substances should be considered SoCs if they are present in the biocidal product at a concentration ≥ 0.1%.</w:t>
      </w:r>
    </w:p>
    <w:p w14:paraId="5B644977" w14:textId="77777777" w:rsidR="00C6210D" w:rsidRPr="00FF0F05" w:rsidRDefault="00C6210D" w:rsidP="00C6210D">
      <w:pPr>
        <w:rPr>
          <w:rFonts w:eastAsia="Calibri"/>
        </w:rPr>
      </w:pPr>
      <w:r w:rsidRPr="00FF0F05">
        <w:rPr>
          <w:rFonts w:eastAsia="Calibri"/>
        </w:rPr>
        <w:t xml:space="preserve">Regarding the environment, Citric Acid is registered as active substance in the Review programme for PT 2. It is not included in the Annex I of the BPR and, as such, must thus be considered as a substance of concern. </w:t>
      </w:r>
    </w:p>
    <w:p w14:paraId="31634EE5" w14:textId="77777777" w:rsidR="00C6210D" w:rsidRDefault="00C6210D" w:rsidP="00C6210D">
      <w:pPr>
        <w:rPr>
          <w:rFonts w:eastAsia="Calibri"/>
        </w:rPr>
      </w:pPr>
      <w:r w:rsidRPr="00FF0F05">
        <w:rPr>
          <w:rFonts w:eastAsia="Calibri"/>
        </w:rPr>
        <w:t>However Citric Acid has no environmental classification.</w:t>
      </w:r>
    </w:p>
    <w:p w14:paraId="49D679E9" w14:textId="77777777" w:rsidR="00C6210D" w:rsidRDefault="00C6210D" w:rsidP="00C6210D">
      <w:pPr>
        <w:rPr>
          <w:rFonts w:eastAsia="Calibri"/>
        </w:rPr>
      </w:pPr>
      <w:r w:rsidRPr="00FF0F05">
        <w:rPr>
          <w:rFonts w:eastAsia="Calibri"/>
        </w:rPr>
        <w:t>Regarding environment, the substances considered due to their classification or because they are registered as active substance showed no risk and were not considered to be of concern.</w:t>
      </w:r>
    </w:p>
    <w:p w14:paraId="440FCDDD" w14:textId="77777777" w:rsidR="00C6210D" w:rsidRPr="00BD2EF1" w:rsidRDefault="00C6210D" w:rsidP="00C6210D">
      <w:pPr>
        <w:rPr>
          <w:rFonts w:eastAsia="Calibri"/>
        </w:rPr>
      </w:pPr>
      <w:r w:rsidRPr="00FF0F05">
        <w:rPr>
          <w:rFonts w:eastAsia="Calibri"/>
        </w:rPr>
        <w:t>For more information, please refer to the</w:t>
      </w:r>
      <w:r>
        <w:rPr>
          <w:rFonts w:eastAsia="Calibri"/>
        </w:rPr>
        <w:t xml:space="preserve"> Confidential Annex.</w:t>
      </w:r>
    </w:p>
    <w:p w14:paraId="651EA3F6" w14:textId="01FEFB75" w:rsidR="008B0654" w:rsidRPr="00BD2EF1" w:rsidRDefault="008B0654" w:rsidP="008B0654">
      <w:pPr>
        <w:rPr>
          <w:rFonts w:eastAsia="Calibri"/>
        </w:rPr>
      </w:pPr>
    </w:p>
    <w:p w14:paraId="63850099" w14:textId="77777777" w:rsidR="008B0654" w:rsidRPr="00BD2EF1" w:rsidRDefault="008B0654" w:rsidP="008E2686">
      <w:pPr>
        <w:pStyle w:val="Titre4"/>
      </w:pPr>
      <w:bookmarkStart w:id="21" w:name="_Toc425344074"/>
      <w:bookmarkStart w:id="22" w:name="_Toc12967106"/>
      <w:r w:rsidRPr="00BD2EF1">
        <w:t>Type of formulation</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8B0654" w:rsidRPr="00BD2EF1" w14:paraId="2023B195" w14:textId="77777777" w:rsidTr="00A45C07">
        <w:tc>
          <w:tcPr>
            <w:tcW w:w="5000" w:type="pct"/>
          </w:tcPr>
          <w:p w14:paraId="0074E938" w14:textId="4C8EC835" w:rsidR="008B0654" w:rsidRPr="00BD2EF1" w:rsidRDefault="001E58C0" w:rsidP="00FF76D2">
            <w:r>
              <w:t>EW Emulsion, oil in water</w:t>
            </w:r>
            <w:r w:rsidR="005D794B">
              <w:t xml:space="preserve"> (RTU)</w:t>
            </w:r>
          </w:p>
        </w:tc>
      </w:tr>
    </w:tbl>
    <w:p w14:paraId="51B6D7A8" w14:textId="4F810B7E" w:rsidR="003D0249" w:rsidRPr="00BD2EF1" w:rsidRDefault="003D0249">
      <w:pPr>
        <w:spacing w:before="0" w:after="160" w:line="259" w:lineRule="auto"/>
      </w:pPr>
    </w:p>
    <w:p w14:paraId="6E7C396F" w14:textId="77777777" w:rsidR="003D0249" w:rsidRPr="00BD2EF1" w:rsidRDefault="003D0249" w:rsidP="00F555A0">
      <w:pPr>
        <w:pStyle w:val="Titre3"/>
      </w:pPr>
      <w:bookmarkStart w:id="23" w:name="_Toc425344075"/>
      <w:bookmarkStart w:id="24" w:name="_Toc12967107"/>
      <w:r w:rsidRPr="00BD2EF1">
        <w:t>Hazard and precautionary statements</w:t>
      </w:r>
      <w:bookmarkEnd w:id="23"/>
      <w:bookmarkEnd w:id="24"/>
    </w:p>
    <w:p w14:paraId="2EB440F9" w14:textId="77777777" w:rsidR="003D0249" w:rsidRPr="00BD2EF1" w:rsidRDefault="003D0249" w:rsidP="003D0249">
      <w:pPr>
        <w:rPr>
          <w:b/>
        </w:rPr>
      </w:pPr>
      <w:r w:rsidRPr="006013F2">
        <w:rPr>
          <w:b/>
        </w:rPr>
        <w:t>Classification and labelling of the products of the family according to the Regulation (EC) 1272/2008</w:t>
      </w:r>
    </w:p>
    <w:tbl>
      <w:tblPr>
        <w:tblW w:w="5000" w:type="pct"/>
        <w:jc w:val="center"/>
        <w:tblLook w:val="04A0" w:firstRow="1" w:lastRow="0" w:firstColumn="1" w:lastColumn="0" w:noHBand="0" w:noVBand="1"/>
      </w:tblPr>
      <w:tblGrid>
        <w:gridCol w:w="2718"/>
        <w:gridCol w:w="6688"/>
      </w:tblGrid>
      <w:tr w:rsidR="003D0249" w:rsidRPr="00BD2EF1" w14:paraId="6E002F85" w14:textId="77777777" w:rsidTr="00B52A6E">
        <w:trPr>
          <w:cantSplit/>
          <w:tblHeader/>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FFF2CC" w:themeFill="accent4" w:themeFillTint="33"/>
            <w:hideMark/>
          </w:tcPr>
          <w:p w14:paraId="542D6ECA" w14:textId="77777777" w:rsidR="003D0249" w:rsidRPr="00BD2EF1" w:rsidRDefault="003D0249" w:rsidP="00FF76D2">
            <w:pPr>
              <w:pStyle w:val="Standaard-Tabellen"/>
              <w:rPr>
                <w:b/>
              </w:rPr>
            </w:pPr>
            <w:r w:rsidRPr="00BD2EF1">
              <w:rPr>
                <w:b/>
              </w:rPr>
              <w:t>Classification</w:t>
            </w:r>
          </w:p>
        </w:tc>
      </w:tr>
      <w:tr w:rsidR="003D0249" w:rsidRPr="00BD2EF1" w14:paraId="3C6204C1" w14:textId="77777777" w:rsidTr="00B52A6E">
        <w:trPr>
          <w:cantSplit/>
          <w:tblHeader/>
          <w:jc w:val="center"/>
        </w:trPr>
        <w:tc>
          <w:tcPr>
            <w:tcW w:w="1445" w:type="pct"/>
            <w:tcBorders>
              <w:top w:val="single" w:sz="2" w:space="0" w:color="auto"/>
              <w:left w:val="single" w:sz="2" w:space="0" w:color="auto"/>
              <w:bottom w:val="single" w:sz="2" w:space="0" w:color="auto"/>
              <w:right w:val="single" w:sz="2" w:space="0" w:color="auto"/>
            </w:tcBorders>
            <w:hideMark/>
          </w:tcPr>
          <w:p w14:paraId="182BEFFD" w14:textId="77777777" w:rsidR="003D0249" w:rsidRPr="00BD2EF1" w:rsidRDefault="003D0249" w:rsidP="00FF76D2">
            <w:pPr>
              <w:pStyle w:val="Standaard-Tabellen"/>
            </w:pPr>
            <w:r w:rsidRPr="00BD2EF1">
              <w:t>Hazard category</w:t>
            </w:r>
          </w:p>
        </w:tc>
        <w:tc>
          <w:tcPr>
            <w:tcW w:w="3555" w:type="pct"/>
            <w:tcBorders>
              <w:top w:val="single" w:sz="2" w:space="0" w:color="auto"/>
              <w:left w:val="single" w:sz="2" w:space="0" w:color="auto"/>
              <w:bottom w:val="single" w:sz="2" w:space="0" w:color="auto"/>
              <w:right w:val="single" w:sz="2" w:space="0" w:color="auto"/>
            </w:tcBorders>
          </w:tcPr>
          <w:p w14:paraId="68A27B53" w14:textId="77777777" w:rsidR="003D0249" w:rsidRPr="00BD2EF1" w:rsidRDefault="006013F2" w:rsidP="00FF76D2">
            <w:pPr>
              <w:pStyle w:val="Standaard-Tabellen"/>
            </w:pPr>
            <w:r>
              <w:t>None</w:t>
            </w:r>
          </w:p>
        </w:tc>
      </w:tr>
      <w:tr w:rsidR="003D0249" w:rsidRPr="00BD2EF1" w14:paraId="35C4B865" w14:textId="77777777" w:rsidTr="00B52A6E">
        <w:trPr>
          <w:cantSplit/>
          <w:tblHeader/>
          <w:jc w:val="center"/>
        </w:trPr>
        <w:tc>
          <w:tcPr>
            <w:tcW w:w="1445" w:type="pct"/>
            <w:tcBorders>
              <w:top w:val="single" w:sz="2" w:space="0" w:color="auto"/>
              <w:left w:val="single" w:sz="2" w:space="0" w:color="auto"/>
              <w:bottom w:val="single" w:sz="2" w:space="0" w:color="auto"/>
              <w:right w:val="single" w:sz="2" w:space="0" w:color="auto"/>
            </w:tcBorders>
            <w:hideMark/>
          </w:tcPr>
          <w:p w14:paraId="175D45A5" w14:textId="77777777" w:rsidR="003D0249" w:rsidRPr="00BD2EF1" w:rsidRDefault="003D0249" w:rsidP="00FF76D2">
            <w:pPr>
              <w:pStyle w:val="Standaard-Tabellen"/>
            </w:pPr>
            <w:r w:rsidRPr="00BD2EF1">
              <w:t>Hazard statement</w:t>
            </w:r>
          </w:p>
        </w:tc>
        <w:tc>
          <w:tcPr>
            <w:tcW w:w="3555" w:type="pct"/>
            <w:tcBorders>
              <w:top w:val="single" w:sz="2" w:space="0" w:color="auto"/>
              <w:left w:val="single" w:sz="2" w:space="0" w:color="auto"/>
              <w:bottom w:val="single" w:sz="2" w:space="0" w:color="auto"/>
              <w:right w:val="single" w:sz="2" w:space="0" w:color="auto"/>
            </w:tcBorders>
          </w:tcPr>
          <w:p w14:paraId="70458323" w14:textId="77777777" w:rsidR="003D0249" w:rsidRPr="00BD2EF1" w:rsidRDefault="006013F2" w:rsidP="00FF76D2">
            <w:pPr>
              <w:pStyle w:val="Standaard-Tabellen"/>
            </w:pPr>
            <w:r>
              <w:t>None</w:t>
            </w:r>
          </w:p>
        </w:tc>
      </w:tr>
      <w:tr w:rsidR="003D0249" w:rsidRPr="00BD2EF1" w14:paraId="5847E855" w14:textId="77777777" w:rsidTr="00B52A6E">
        <w:trPr>
          <w:cantSplit/>
          <w:tblHeader/>
          <w:jc w:val="center"/>
        </w:trPr>
        <w:tc>
          <w:tcPr>
            <w:tcW w:w="5000" w:type="pct"/>
            <w:gridSpan w:val="2"/>
            <w:tcBorders>
              <w:top w:val="single" w:sz="2" w:space="0" w:color="auto"/>
              <w:left w:val="single" w:sz="2" w:space="0" w:color="auto"/>
              <w:bottom w:val="single" w:sz="2" w:space="0" w:color="auto"/>
              <w:right w:val="single" w:sz="2" w:space="0" w:color="auto"/>
            </w:tcBorders>
          </w:tcPr>
          <w:p w14:paraId="56E2DD12" w14:textId="77777777" w:rsidR="003D0249" w:rsidRPr="00BD2EF1" w:rsidRDefault="003D0249" w:rsidP="00FF76D2">
            <w:pPr>
              <w:pStyle w:val="Standaard-Tabellen"/>
            </w:pPr>
          </w:p>
        </w:tc>
      </w:tr>
      <w:tr w:rsidR="003D0249" w:rsidRPr="00BD2EF1" w14:paraId="42B9595F" w14:textId="77777777" w:rsidTr="00B52A6E">
        <w:trPr>
          <w:cantSplit/>
          <w:tblHeader/>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FFF2CC" w:themeFill="accent4" w:themeFillTint="33"/>
            <w:hideMark/>
          </w:tcPr>
          <w:p w14:paraId="59A8FB30" w14:textId="77777777" w:rsidR="003D0249" w:rsidRPr="00BD2EF1" w:rsidRDefault="003D0249" w:rsidP="00FF76D2">
            <w:pPr>
              <w:pStyle w:val="Standaard-Tabellen"/>
              <w:rPr>
                <w:b/>
              </w:rPr>
            </w:pPr>
            <w:r w:rsidRPr="00BD2EF1">
              <w:rPr>
                <w:b/>
              </w:rPr>
              <w:t>Labelling</w:t>
            </w:r>
          </w:p>
        </w:tc>
      </w:tr>
      <w:tr w:rsidR="003D0249" w:rsidRPr="00BD2EF1" w14:paraId="0E8DDB23" w14:textId="77777777" w:rsidTr="00B52A6E">
        <w:trPr>
          <w:cantSplit/>
          <w:tblHeader/>
          <w:jc w:val="center"/>
        </w:trPr>
        <w:tc>
          <w:tcPr>
            <w:tcW w:w="1445" w:type="pct"/>
            <w:tcBorders>
              <w:top w:val="single" w:sz="2" w:space="0" w:color="auto"/>
              <w:left w:val="single" w:sz="2" w:space="0" w:color="auto"/>
              <w:bottom w:val="single" w:sz="2" w:space="0" w:color="auto"/>
              <w:right w:val="single" w:sz="2" w:space="0" w:color="auto"/>
            </w:tcBorders>
            <w:hideMark/>
          </w:tcPr>
          <w:p w14:paraId="5BA671CB" w14:textId="77777777" w:rsidR="003D0249" w:rsidRPr="00BD2EF1" w:rsidRDefault="003D0249" w:rsidP="00FF76D2">
            <w:pPr>
              <w:pStyle w:val="Standaard-Tabellen"/>
            </w:pPr>
            <w:r w:rsidRPr="00BD2EF1">
              <w:t>Signal words</w:t>
            </w:r>
          </w:p>
        </w:tc>
        <w:tc>
          <w:tcPr>
            <w:tcW w:w="3555" w:type="pct"/>
            <w:tcBorders>
              <w:top w:val="single" w:sz="2" w:space="0" w:color="auto"/>
              <w:left w:val="single" w:sz="2" w:space="0" w:color="auto"/>
              <w:bottom w:val="single" w:sz="2" w:space="0" w:color="auto"/>
              <w:right w:val="single" w:sz="2" w:space="0" w:color="auto"/>
            </w:tcBorders>
          </w:tcPr>
          <w:p w14:paraId="1B68623F" w14:textId="77777777" w:rsidR="003D0249" w:rsidRPr="00BD2EF1" w:rsidRDefault="006013F2" w:rsidP="00FF76D2">
            <w:pPr>
              <w:pStyle w:val="Standaard-Tabellen"/>
            </w:pPr>
            <w:r>
              <w:t>None</w:t>
            </w:r>
          </w:p>
        </w:tc>
      </w:tr>
      <w:tr w:rsidR="003D0249" w:rsidRPr="00BD2EF1" w14:paraId="10C9E95B" w14:textId="77777777" w:rsidTr="00B52A6E">
        <w:trPr>
          <w:cantSplit/>
          <w:tblHeader/>
          <w:jc w:val="center"/>
        </w:trPr>
        <w:tc>
          <w:tcPr>
            <w:tcW w:w="1445" w:type="pct"/>
            <w:tcBorders>
              <w:top w:val="single" w:sz="2" w:space="0" w:color="auto"/>
              <w:left w:val="single" w:sz="2" w:space="0" w:color="auto"/>
              <w:bottom w:val="single" w:sz="2" w:space="0" w:color="auto"/>
              <w:right w:val="single" w:sz="2" w:space="0" w:color="auto"/>
            </w:tcBorders>
            <w:hideMark/>
          </w:tcPr>
          <w:p w14:paraId="731C95CB" w14:textId="77777777" w:rsidR="003D0249" w:rsidRPr="00BD2EF1" w:rsidRDefault="003D0249" w:rsidP="00FF76D2">
            <w:pPr>
              <w:pStyle w:val="Standaard-Tabellen"/>
            </w:pPr>
            <w:r w:rsidRPr="00BD2EF1">
              <w:t>Hazard statements</w:t>
            </w:r>
          </w:p>
        </w:tc>
        <w:tc>
          <w:tcPr>
            <w:tcW w:w="3555" w:type="pct"/>
            <w:tcBorders>
              <w:top w:val="single" w:sz="2" w:space="0" w:color="auto"/>
              <w:left w:val="single" w:sz="2" w:space="0" w:color="auto"/>
              <w:bottom w:val="single" w:sz="2" w:space="0" w:color="auto"/>
              <w:right w:val="single" w:sz="2" w:space="0" w:color="auto"/>
            </w:tcBorders>
          </w:tcPr>
          <w:p w14:paraId="2AAB82E9" w14:textId="77777777" w:rsidR="003D0249" w:rsidRPr="00BD2EF1" w:rsidRDefault="006013F2" w:rsidP="00FF76D2">
            <w:pPr>
              <w:pStyle w:val="Standaard-Tabellen"/>
            </w:pPr>
            <w:r>
              <w:t>None</w:t>
            </w:r>
          </w:p>
        </w:tc>
      </w:tr>
      <w:tr w:rsidR="003D0249" w:rsidRPr="00BD2EF1" w14:paraId="7AF3B806" w14:textId="77777777" w:rsidTr="00B52A6E">
        <w:trPr>
          <w:cantSplit/>
          <w:tblHeader/>
          <w:jc w:val="center"/>
        </w:trPr>
        <w:tc>
          <w:tcPr>
            <w:tcW w:w="1445" w:type="pct"/>
            <w:tcBorders>
              <w:top w:val="single" w:sz="2" w:space="0" w:color="auto"/>
              <w:left w:val="single" w:sz="2" w:space="0" w:color="auto"/>
              <w:bottom w:val="single" w:sz="2" w:space="0" w:color="auto"/>
              <w:right w:val="single" w:sz="2" w:space="0" w:color="auto"/>
            </w:tcBorders>
            <w:hideMark/>
          </w:tcPr>
          <w:p w14:paraId="2D0A1131" w14:textId="77777777" w:rsidR="003D0249" w:rsidRPr="008012D7" w:rsidRDefault="003D0249" w:rsidP="00FF76D2">
            <w:pPr>
              <w:pStyle w:val="Standaard-Tabellen"/>
              <w:rPr>
                <w:color w:val="000000" w:themeColor="text1"/>
              </w:rPr>
            </w:pPr>
            <w:r w:rsidRPr="008012D7">
              <w:rPr>
                <w:color w:val="000000" w:themeColor="text1"/>
              </w:rPr>
              <w:t>Precautionary statements</w:t>
            </w:r>
          </w:p>
        </w:tc>
        <w:tc>
          <w:tcPr>
            <w:tcW w:w="3555" w:type="pct"/>
            <w:tcBorders>
              <w:top w:val="single" w:sz="2" w:space="0" w:color="auto"/>
              <w:left w:val="single" w:sz="2" w:space="0" w:color="auto"/>
              <w:bottom w:val="single" w:sz="2" w:space="0" w:color="auto"/>
              <w:right w:val="single" w:sz="2" w:space="0" w:color="auto"/>
            </w:tcBorders>
          </w:tcPr>
          <w:p w14:paraId="128C71F5" w14:textId="77777777" w:rsidR="006013F2" w:rsidRPr="008012D7" w:rsidRDefault="006013F2" w:rsidP="00FF76D2">
            <w:pPr>
              <w:pStyle w:val="Standaard-Tabellen"/>
              <w:rPr>
                <w:color w:val="000000" w:themeColor="text1"/>
              </w:rPr>
            </w:pPr>
            <w:r w:rsidRPr="008012D7">
              <w:rPr>
                <w:color w:val="000000" w:themeColor="text1"/>
              </w:rPr>
              <w:t>P102 Keep out of reach of children</w:t>
            </w:r>
          </w:p>
          <w:p w14:paraId="6713BAD7" w14:textId="229D3B68" w:rsidR="00F76D84" w:rsidRPr="008012D7" w:rsidRDefault="00F76D84" w:rsidP="00FF76D2">
            <w:pPr>
              <w:pStyle w:val="Standaard-Tabellen"/>
              <w:rPr>
                <w:color w:val="000000" w:themeColor="text1"/>
                <w:lang w:val="en-US"/>
              </w:rPr>
            </w:pPr>
            <w:r w:rsidRPr="008012D7">
              <w:rPr>
                <w:color w:val="000000" w:themeColor="text1"/>
                <w:lang w:val="en-US"/>
              </w:rPr>
              <w:t>P103 Read label before use</w:t>
            </w:r>
          </w:p>
        </w:tc>
      </w:tr>
      <w:tr w:rsidR="003D0249" w:rsidRPr="00BD2EF1" w14:paraId="3C6ECABB" w14:textId="77777777" w:rsidTr="00B52A6E">
        <w:trPr>
          <w:cantSplit/>
          <w:tblHeader/>
          <w:jc w:val="center"/>
        </w:trPr>
        <w:tc>
          <w:tcPr>
            <w:tcW w:w="5000" w:type="pct"/>
            <w:gridSpan w:val="2"/>
            <w:tcBorders>
              <w:top w:val="single" w:sz="2" w:space="0" w:color="auto"/>
              <w:left w:val="single" w:sz="2" w:space="0" w:color="auto"/>
              <w:bottom w:val="single" w:sz="2" w:space="0" w:color="auto"/>
              <w:right w:val="single" w:sz="2" w:space="0" w:color="auto"/>
            </w:tcBorders>
          </w:tcPr>
          <w:p w14:paraId="72E7A9EC" w14:textId="77777777" w:rsidR="003D0249" w:rsidRPr="008012D7" w:rsidRDefault="003D0249" w:rsidP="00FF76D2">
            <w:pPr>
              <w:pStyle w:val="Standaard-Tabellen"/>
              <w:rPr>
                <w:color w:val="000000" w:themeColor="text1"/>
              </w:rPr>
            </w:pPr>
          </w:p>
        </w:tc>
      </w:tr>
      <w:tr w:rsidR="003D0249" w:rsidRPr="00BD2EF1" w14:paraId="3DB98945" w14:textId="77777777" w:rsidTr="00B52A6E">
        <w:trPr>
          <w:cantSplit/>
          <w:tblHeader/>
          <w:jc w:val="center"/>
        </w:trPr>
        <w:tc>
          <w:tcPr>
            <w:tcW w:w="1445" w:type="pct"/>
            <w:tcBorders>
              <w:top w:val="single" w:sz="2" w:space="0" w:color="auto"/>
              <w:left w:val="single" w:sz="2" w:space="0" w:color="auto"/>
              <w:bottom w:val="single" w:sz="2" w:space="0" w:color="auto"/>
              <w:right w:val="single" w:sz="2" w:space="0" w:color="auto"/>
            </w:tcBorders>
            <w:shd w:val="clear" w:color="auto" w:fill="FFF2CC" w:themeFill="accent4" w:themeFillTint="33"/>
            <w:hideMark/>
          </w:tcPr>
          <w:p w14:paraId="0164357D" w14:textId="77777777" w:rsidR="003D0249" w:rsidRPr="00BD2EF1" w:rsidRDefault="003D0249" w:rsidP="00FF76D2">
            <w:pPr>
              <w:pStyle w:val="Standaard-Tabellen"/>
              <w:rPr>
                <w:b/>
              </w:rPr>
            </w:pPr>
            <w:r w:rsidRPr="00BD2EF1">
              <w:rPr>
                <w:b/>
              </w:rPr>
              <w:t>Note</w:t>
            </w:r>
          </w:p>
        </w:tc>
        <w:tc>
          <w:tcPr>
            <w:tcW w:w="3555" w:type="pct"/>
            <w:tcBorders>
              <w:top w:val="single" w:sz="2" w:space="0" w:color="auto"/>
              <w:left w:val="single" w:sz="2" w:space="0" w:color="auto"/>
              <w:bottom w:val="single" w:sz="2" w:space="0" w:color="auto"/>
              <w:right w:val="single" w:sz="2" w:space="0" w:color="auto"/>
            </w:tcBorders>
          </w:tcPr>
          <w:p w14:paraId="7C64AFCF" w14:textId="77777777" w:rsidR="003D0249" w:rsidRPr="00BD2EF1" w:rsidRDefault="003D0249" w:rsidP="00FF76D2">
            <w:pPr>
              <w:pStyle w:val="Standaard-Tabellen"/>
            </w:pPr>
          </w:p>
        </w:tc>
      </w:tr>
    </w:tbl>
    <w:p w14:paraId="11D3DED5" w14:textId="77777777" w:rsidR="003D0249" w:rsidRPr="00BD2EF1" w:rsidRDefault="003D0249" w:rsidP="003D0249"/>
    <w:p w14:paraId="08183ECA" w14:textId="77777777" w:rsidR="005A36DE" w:rsidRPr="00BD2EF1" w:rsidRDefault="005A36DE">
      <w:pPr>
        <w:spacing w:before="0" w:after="160" w:line="259" w:lineRule="auto"/>
      </w:pPr>
      <w:r w:rsidRPr="00BD2EF1">
        <w:br w:type="page"/>
      </w:r>
    </w:p>
    <w:p w14:paraId="252D81B5" w14:textId="77777777" w:rsidR="003D0249" w:rsidRPr="006C2EAE" w:rsidRDefault="003D0249" w:rsidP="00F555A0">
      <w:pPr>
        <w:pStyle w:val="Titre3"/>
      </w:pPr>
      <w:bookmarkStart w:id="25" w:name="_Toc425344076"/>
      <w:bookmarkStart w:id="26" w:name="_Toc12967108"/>
      <w:r w:rsidRPr="006C2EAE">
        <w:lastRenderedPageBreak/>
        <w:t>Authorised use(s)</w:t>
      </w:r>
      <w:bookmarkEnd w:id="25"/>
      <w:bookmarkEnd w:id="26"/>
    </w:p>
    <w:p w14:paraId="5DD5CAAE" w14:textId="77777777" w:rsidR="003D0249" w:rsidRPr="00BD2EF1" w:rsidRDefault="003D0249" w:rsidP="008E2686">
      <w:pPr>
        <w:pStyle w:val="Titre4"/>
      </w:pPr>
      <w:bookmarkStart w:id="27" w:name="_Toc425344077"/>
      <w:bookmarkStart w:id="28" w:name="_Toc12967109"/>
      <w:r w:rsidRPr="00BD2EF1">
        <w:t>Use description</w:t>
      </w:r>
      <w:bookmarkEnd w:id="27"/>
      <w:bookmarkEnd w:id="28"/>
    </w:p>
    <w:tbl>
      <w:tblPr>
        <w:tblW w:w="5000" w:type="pct"/>
        <w:tblCellMar>
          <w:left w:w="0" w:type="dxa"/>
          <w:right w:w="0" w:type="dxa"/>
        </w:tblCellMar>
        <w:tblLook w:val="0000" w:firstRow="0" w:lastRow="0" w:firstColumn="0" w:lastColumn="0" w:noHBand="0" w:noVBand="0"/>
      </w:tblPr>
      <w:tblGrid>
        <w:gridCol w:w="2816"/>
        <w:gridCol w:w="6586"/>
      </w:tblGrid>
      <w:tr w:rsidR="00C77296" w:rsidRPr="00BD2EF1" w14:paraId="77D47D99" w14:textId="77777777" w:rsidTr="00B52A6E">
        <w:tc>
          <w:tcPr>
            <w:tcW w:w="5000" w:type="pct"/>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40" w:type="dxa"/>
              <w:left w:w="40" w:type="dxa"/>
              <w:bottom w:w="40" w:type="dxa"/>
              <w:right w:w="40" w:type="dxa"/>
            </w:tcMar>
          </w:tcPr>
          <w:p w14:paraId="6DCD4B73" w14:textId="043C45CD" w:rsidR="00C77296" w:rsidRPr="00BD2EF1" w:rsidRDefault="00C77296" w:rsidP="007478D4">
            <w:pPr>
              <w:pStyle w:val="Standaard-Tabellen"/>
              <w:rPr>
                <w:b/>
              </w:rPr>
            </w:pPr>
            <w:r w:rsidRPr="00BD2EF1">
              <w:rPr>
                <w:b/>
              </w:rPr>
              <w:t xml:space="preserve">Table </w:t>
            </w:r>
            <w:r w:rsidR="00816022" w:rsidRPr="00BD2EF1">
              <w:rPr>
                <w:b/>
              </w:rPr>
              <w:fldChar w:fldCharType="begin"/>
            </w:r>
            <w:r w:rsidRPr="00BD2EF1">
              <w:rPr>
                <w:b/>
              </w:rPr>
              <w:instrText xml:space="preserve"> SEQ Table \* ARABIC </w:instrText>
            </w:r>
            <w:r w:rsidR="00816022" w:rsidRPr="00BD2EF1">
              <w:rPr>
                <w:b/>
              </w:rPr>
              <w:fldChar w:fldCharType="separate"/>
            </w:r>
            <w:r w:rsidR="00901C2F">
              <w:rPr>
                <w:b/>
                <w:noProof/>
              </w:rPr>
              <w:t>1</w:t>
            </w:r>
            <w:r w:rsidR="00816022" w:rsidRPr="00BD2EF1">
              <w:rPr>
                <w:b/>
              </w:rPr>
              <w:fldChar w:fldCharType="end"/>
            </w:r>
            <w:r w:rsidRPr="00BD2EF1">
              <w:rPr>
                <w:b/>
              </w:rPr>
              <w:t xml:space="preserve">. Use # 1 – </w:t>
            </w:r>
            <w:r w:rsidR="006B7D13">
              <w:rPr>
                <w:b/>
              </w:rPr>
              <w:t>Appl</w:t>
            </w:r>
            <w:r w:rsidR="007478D4">
              <w:rPr>
                <w:b/>
              </w:rPr>
              <w:t xml:space="preserve">ication to human skin </w:t>
            </w:r>
            <w:r w:rsidR="006B7D13">
              <w:rPr>
                <w:b/>
              </w:rPr>
              <w:t>to repel mosquitoes  (general public)</w:t>
            </w:r>
          </w:p>
        </w:tc>
      </w:tr>
      <w:tr w:rsidR="004F036A" w:rsidRPr="00BD2EF1" w14:paraId="1E476541" w14:textId="77777777" w:rsidTr="00B52A6E">
        <w:tc>
          <w:tcPr>
            <w:tcW w:w="150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E35C7B" w14:textId="77777777" w:rsidR="004F036A" w:rsidRPr="00BD2EF1" w:rsidRDefault="004F036A" w:rsidP="004F036A">
            <w:pPr>
              <w:pStyle w:val="Standaard-Tabellen"/>
              <w:rPr>
                <w:b/>
              </w:rPr>
            </w:pPr>
            <w:r w:rsidRPr="00BD2EF1">
              <w:rPr>
                <w:b/>
              </w:rPr>
              <w:t>Product Type</w:t>
            </w:r>
          </w:p>
        </w:tc>
        <w:tc>
          <w:tcPr>
            <w:tcW w:w="3500"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65FA4F1" w14:textId="586CF47C" w:rsidR="004F036A" w:rsidRPr="00BD2EF1" w:rsidRDefault="004F036A" w:rsidP="004F036A">
            <w:pPr>
              <w:pStyle w:val="Standaard-Tabellen"/>
            </w:pPr>
            <w:r>
              <w:t>PT19</w:t>
            </w:r>
            <w:r w:rsidR="006B7D13">
              <w:t xml:space="preserve"> – Repellents and attractants (Pest control)</w:t>
            </w:r>
          </w:p>
        </w:tc>
      </w:tr>
      <w:tr w:rsidR="004F036A" w:rsidRPr="00BD2EF1" w14:paraId="72862084"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4042ED4" w14:textId="77777777" w:rsidR="004F036A" w:rsidRPr="00BD2EF1" w:rsidRDefault="004F036A" w:rsidP="004F036A">
            <w:pPr>
              <w:pStyle w:val="Standaard-Tabellen"/>
              <w:rPr>
                <w:b/>
              </w:rPr>
            </w:pPr>
            <w:r w:rsidRPr="00BD2EF1">
              <w:rPr>
                <w:b/>
              </w:rPr>
              <w:t>Where relevant, an exact description of the authorised use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57299D58" w14:textId="02F6965D" w:rsidR="00C9149C" w:rsidRPr="00FF690F" w:rsidRDefault="006B7D13" w:rsidP="00C9149C">
            <w:pPr>
              <w:pStyle w:val="Standaard-Tabellen"/>
            </w:pPr>
            <w:r>
              <w:t>Repellent</w:t>
            </w:r>
          </w:p>
        </w:tc>
      </w:tr>
      <w:tr w:rsidR="00C018F7" w:rsidRPr="00BD2EF1" w14:paraId="39E17D2D"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9A6935" w14:textId="12478AB8" w:rsidR="00C018F7" w:rsidRPr="00BD2EF1" w:rsidRDefault="00C018F7" w:rsidP="00C018F7">
            <w:pPr>
              <w:pStyle w:val="Standaard-Tabellen"/>
              <w:rPr>
                <w:b/>
              </w:rPr>
            </w:pPr>
            <w:r w:rsidRPr="00BD2EF1">
              <w:rPr>
                <w:b/>
              </w:rPr>
              <w:t>Target organism (including development stage)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tbl>
            <w:tblPr>
              <w:tblW w:w="6506" w:type="dxa"/>
              <w:tblLook w:val="04A0" w:firstRow="1" w:lastRow="0" w:firstColumn="1" w:lastColumn="0" w:noHBand="0" w:noVBand="1"/>
            </w:tblPr>
            <w:tblGrid>
              <w:gridCol w:w="1850"/>
              <w:gridCol w:w="4656"/>
            </w:tblGrid>
            <w:tr w:rsidR="00C018F7" w14:paraId="7C06395C" w14:textId="77777777" w:rsidTr="005118E6">
              <w:trPr>
                <w:trHeight w:val="269"/>
              </w:trPr>
              <w:tc>
                <w:tcPr>
                  <w:tcW w:w="0" w:type="auto"/>
                </w:tcPr>
                <w:p w14:paraId="5DA17F8C" w14:textId="77777777" w:rsidR="00C018F7" w:rsidRPr="00895C06" w:rsidRDefault="00C018F7" w:rsidP="00C018F7">
                  <w:pPr>
                    <w:pStyle w:val="Standaard-Tabellen"/>
                    <w:rPr>
                      <w:b/>
                    </w:rPr>
                  </w:pPr>
                  <w:r>
                    <w:rPr>
                      <w:b/>
                    </w:rPr>
                    <w:t>Scientific name</w:t>
                  </w:r>
                </w:p>
              </w:tc>
              <w:tc>
                <w:tcPr>
                  <w:tcW w:w="0" w:type="auto"/>
                </w:tcPr>
                <w:p w14:paraId="17A6FB5F" w14:textId="77777777" w:rsidR="00C018F7" w:rsidRPr="00895C06" w:rsidRDefault="00C018F7" w:rsidP="00C018F7">
                  <w:pPr>
                    <w:pStyle w:val="Standaard-Tabellen"/>
                    <w:rPr>
                      <w:b/>
                    </w:rPr>
                  </w:pPr>
                  <w:r>
                    <w:rPr>
                      <w:b/>
                    </w:rPr>
                    <w:t>Common name</w:t>
                  </w:r>
                </w:p>
              </w:tc>
            </w:tr>
            <w:tr w:rsidR="00C018F7" w14:paraId="79FC85A7" w14:textId="77777777" w:rsidTr="005118E6">
              <w:trPr>
                <w:trHeight w:val="286"/>
              </w:trPr>
              <w:tc>
                <w:tcPr>
                  <w:tcW w:w="0" w:type="auto"/>
                </w:tcPr>
                <w:p w14:paraId="15D37410" w14:textId="77777777" w:rsidR="00C018F7" w:rsidRPr="00895C06" w:rsidRDefault="00C018F7" w:rsidP="00C018F7">
                  <w:pPr>
                    <w:pStyle w:val="Standaard-Tabellen"/>
                  </w:pPr>
                  <w:r>
                    <w:t>Culicidae</w:t>
                  </w:r>
                </w:p>
              </w:tc>
              <w:tc>
                <w:tcPr>
                  <w:tcW w:w="0" w:type="auto"/>
                </w:tcPr>
                <w:p w14:paraId="1AA37C8A" w14:textId="77777777" w:rsidR="00C018F7" w:rsidRDefault="00C018F7" w:rsidP="00C018F7">
                  <w:pPr>
                    <w:pStyle w:val="Standaard-Tabellen"/>
                  </w:pPr>
                  <w:r>
                    <w:t>Mosquitoes</w:t>
                  </w:r>
                  <w:r w:rsidR="005118E6">
                    <w:t xml:space="preserve"> - </w:t>
                  </w:r>
                  <w:r w:rsidR="005118E6" w:rsidRPr="00BC290C">
                    <w:rPr>
                      <w:i/>
                    </w:rPr>
                    <w:t>Culex</w:t>
                  </w:r>
                  <w:r w:rsidR="005118E6" w:rsidRPr="005118E6">
                    <w:t xml:space="preserve">, </w:t>
                  </w:r>
                  <w:r w:rsidR="005118E6" w:rsidRPr="00BC290C">
                    <w:rPr>
                      <w:i/>
                    </w:rPr>
                    <w:t>Aedes</w:t>
                  </w:r>
                  <w:r w:rsidR="005118E6" w:rsidRPr="005118E6">
                    <w:t xml:space="preserve"> and </w:t>
                  </w:r>
                  <w:r w:rsidR="005118E6" w:rsidRPr="00BC290C">
                    <w:rPr>
                      <w:i/>
                    </w:rPr>
                    <w:t>Anopheles</w:t>
                  </w:r>
                  <w:r w:rsidR="005118E6" w:rsidRPr="005118E6">
                    <w:t xml:space="preserve"> spp.</w:t>
                  </w:r>
                </w:p>
                <w:p w14:paraId="6C18442E" w14:textId="1700DF20" w:rsidR="0065791B" w:rsidRPr="00895C06" w:rsidRDefault="0065791B" w:rsidP="00C018F7">
                  <w:pPr>
                    <w:pStyle w:val="Standaard-Tabellen"/>
                  </w:pPr>
                  <w:r>
                    <w:t>Adults</w:t>
                  </w:r>
                </w:p>
              </w:tc>
            </w:tr>
            <w:tr w:rsidR="00C018F7" w14:paraId="077231A0" w14:textId="77777777" w:rsidTr="005118E6">
              <w:trPr>
                <w:trHeight w:val="269"/>
              </w:trPr>
              <w:tc>
                <w:tcPr>
                  <w:tcW w:w="0" w:type="auto"/>
                  <w:gridSpan w:val="2"/>
                </w:tcPr>
                <w:p w14:paraId="28BA2034" w14:textId="77777777" w:rsidR="00C018F7" w:rsidRDefault="00C018F7" w:rsidP="00C018F7">
                  <w:pPr>
                    <w:pStyle w:val="Standaard-Tabellen"/>
                  </w:pPr>
                  <w:r>
                    <w:t>only in temperate areas</w:t>
                  </w:r>
                </w:p>
              </w:tc>
            </w:tr>
          </w:tbl>
          <w:p w14:paraId="5EC154DD" w14:textId="77777777" w:rsidR="00C018F7" w:rsidRPr="00BB2F81" w:rsidRDefault="00C018F7" w:rsidP="00C018F7">
            <w:pPr>
              <w:pStyle w:val="Standaard-Tabellen"/>
            </w:pPr>
          </w:p>
        </w:tc>
      </w:tr>
      <w:tr w:rsidR="00C018F7" w:rsidRPr="00BD2EF1" w14:paraId="1D1A0B11"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A8BE77D" w14:textId="21AC1895" w:rsidR="00C018F7" w:rsidRPr="00BD2EF1" w:rsidRDefault="00C018F7" w:rsidP="00C018F7">
            <w:pPr>
              <w:pStyle w:val="Standaard-Tabellen"/>
              <w:rPr>
                <w:b/>
              </w:rPr>
            </w:pPr>
            <w:r w:rsidRPr="00BD2EF1">
              <w:rPr>
                <w:b/>
              </w:rPr>
              <w:t>Field of use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24CA7DF0" w14:textId="4E12738E" w:rsidR="00C018F7" w:rsidRDefault="006B7D13" w:rsidP="00F10CBA">
            <w:pPr>
              <w:pStyle w:val="Standaard-Tabellen"/>
            </w:pPr>
            <w:r>
              <w:t>I</w:t>
            </w:r>
            <w:r w:rsidR="00C018F7">
              <w:t>ndoors</w:t>
            </w:r>
            <w:r w:rsidR="005118E6">
              <w:t xml:space="preserve"> </w:t>
            </w:r>
            <w:r w:rsidR="005118E6" w:rsidRPr="001C0AD5">
              <w:t xml:space="preserve">(only in well ventilated area) </w:t>
            </w:r>
            <w:r w:rsidR="00C018F7">
              <w:t>and outdoors</w:t>
            </w:r>
          </w:p>
          <w:p w14:paraId="5AF8DF8C" w14:textId="77777777" w:rsidR="006B7D13" w:rsidRDefault="006B7D13" w:rsidP="00F10CBA">
            <w:pPr>
              <w:pStyle w:val="Standaard-Tabellen"/>
            </w:pPr>
          </w:p>
          <w:p w14:paraId="043C6C79" w14:textId="0C487677" w:rsidR="006B7D13" w:rsidRPr="00BD2EF1" w:rsidRDefault="006B7D13" w:rsidP="006B7D13">
            <w:pPr>
              <w:pStyle w:val="Standaard-Tabellen"/>
            </w:pPr>
            <w:r>
              <w:t>Insect repellent lotion IR3535</w:t>
            </w:r>
            <w:r w:rsidRPr="00983E3D">
              <w:rPr>
                <w:vertAlign w:val="superscript"/>
              </w:rPr>
              <w:t>®</w:t>
            </w:r>
            <w:r>
              <w:t xml:space="preserve"> 10% is a ready-to-use insect repellent used to protect humans against mosquitoes  in temperate areas </w:t>
            </w:r>
            <w:r>
              <w:rPr>
                <w:u w:val="single"/>
              </w:rPr>
              <w:t>only</w:t>
            </w:r>
            <w:r>
              <w:t xml:space="preserve">. </w:t>
            </w:r>
          </w:p>
        </w:tc>
      </w:tr>
      <w:tr w:rsidR="00C018F7" w:rsidRPr="00BD2EF1" w14:paraId="3F74A989"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B274BFE" w14:textId="5D4F471F" w:rsidR="00C018F7" w:rsidRPr="00BD2EF1" w:rsidRDefault="00C018F7" w:rsidP="00C018F7">
            <w:pPr>
              <w:pStyle w:val="Standaard-Tabellen"/>
              <w:rPr>
                <w:b/>
              </w:rPr>
            </w:pPr>
            <w:r w:rsidRPr="00BD2EF1">
              <w:rPr>
                <w:b/>
              </w:rPr>
              <w:t>Application method(s)</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7D9B0751" w14:textId="4C5FDF95" w:rsidR="00C018F7" w:rsidRPr="00BD2EF1" w:rsidRDefault="00C018F7" w:rsidP="00C018F7">
            <w:pPr>
              <w:pStyle w:val="Standaard-Tabellen"/>
            </w:pPr>
            <w:r>
              <w:t>manual application</w:t>
            </w:r>
          </w:p>
        </w:tc>
      </w:tr>
      <w:tr w:rsidR="00C018F7" w:rsidRPr="00BD2EF1" w14:paraId="3D8228AB"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998B107" w14:textId="51A153F8" w:rsidR="00C018F7" w:rsidRPr="00BD2EF1" w:rsidRDefault="00C018F7" w:rsidP="00C018F7">
            <w:pPr>
              <w:pStyle w:val="Standaard-Tabellen"/>
              <w:rPr>
                <w:b/>
              </w:rPr>
            </w:pPr>
            <w:r w:rsidRPr="00BD2EF1">
              <w:rPr>
                <w:b/>
              </w:rPr>
              <w:t>Application rate(s) and frequency</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4B9539D7" w14:textId="5B60DE8D" w:rsidR="005118E6" w:rsidRDefault="005118E6" w:rsidP="005118E6">
            <w:pPr>
              <w:pStyle w:val="Standaard-Tabellen"/>
            </w:pPr>
            <w:r>
              <w:t>Appli</w:t>
            </w:r>
            <w:r w:rsidR="000819E5">
              <w:t xml:space="preserve">cation rate for mosquitoes (1.16 </w:t>
            </w:r>
            <w:r w:rsidR="00FC3AF4">
              <w:t>µ</w:t>
            </w:r>
            <w:r w:rsidR="000819E5">
              <w:t>l/cm²</w:t>
            </w:r>
            <w:r>
              <w:t xml:space="preserve">) – protection time 8 hours : </w:t>
            </w:r>
          </w:p>
          <w:p w14:paraId="36D8CBBE" w14:textId="7F646ECC" w:rsidR="005118E6" w:rsidRDefault="00983576" w:rsidP="005118E6">
            <w:pPr>
              <w:pStyle w:val="Standaard-Tabellen"/>
            </w:pPr>
            <w:r>
              <w:t>o</w:t>
            </w:r>
            <w:r>
              <w:tab/>
              <w:t>Adult : 10.58</w:t>
            </w:r>
            <w:r w:rsidR="005118E6">
              <w:t xml:space="preserve"> </w:t>
            </w:r>
            <w:r>
              <w:t>ml</w:t>
            </w:r>
            <w:r w:rsidR="005118E6">
              <w:t xml:space="preserve"> / application on uncovered body parts*. Apply sparingly to uniformly cover uncovered parts of the face, hands, arms, legs and feet. The product can be reapplied 2 times maximum per day. </w:t>
            </w:r>
          </w:p>
          <w:p w14:paraId="360CFB4F" w14:textId="16B04F3A" w:rsidR="005118E6" w:rsidRDefault="00983576" w:rsidP="005118E6">
            <w:pPr>
              <w:pStyle w:val="Standaard-Tabellen"/>
            </w:pPr>
            <w:r>
              <w:t>o</w:t>
            </w:r>
            <w:r>
              <w:tab/>
              <w:t>Child (6-12y)  : 5.87</w:t>
            </w:r>
            <w:r w:rsidR="005118E6">
              <w:t xml:space="preserve"> </w:t>
            </w:r>
            <w:r>
              <w:t>ml</w:t>
            </w:r>
            <w:r w:rsidR="005118E6">
              <w:t xml:space="preserve"> / application on uncovered body parts*. Maximum one application per day. </w:t>
            </w:r>
          </w:p>
          <w:p w14:paraId="2B11E3E3" w14:textId="6B0A9869" w:rsidR="005118E6" w:rsidRDefault="00983576" w:rsidP="005118E6">
            <w:pPr>
              <w:pStyle w:val="Standaard-Tabellen"/>
            </w:pPr>
            <w:r>
              <w:t>o</w:t>
            </w:r>
            <w:r>
              <w:tab/>
              <w:t>Child (2-6y)  : 4.33 ml</w:t>
            </w:r>
            <w:r w:rsidR="005118E6">
              <w:t xml:space="preserve"> / application on uncovered body parts*. Maximum one application per day. </w:t>
            </w:r>
          </w:p>
          <w:p w14:paraId="68603B4D" w14:textId="03D20DD9" w:rsidR="005118E6" w:rsidRDefault="00983576" w:rsidP="005118E6">
            <w:pPr>
              <w:pStyle w:val="Standaard-Tabellen"/>
            </w:pPr>
            <w:r>
              <w:t>o</w:t>
            </w:r>
            <w:r>
              <w:tab/>
              <w:t>Toddler (1-2y)  : 3.06</w:t>
            </w:r>
            <w:r w:rsidR="005118E6">
              <w:t xml:space="preserve"> </w:t>
            </w:r>
            <w:r>
              <w:t>ml</w:t>
            </w:r>
            <w:r w:rsidR="005118E6">
              <w:t xml:space="preserve"> / application on uncovered body parts*. Maximum one application per day. </w:t>
            </w:r>
          </w:p>
          <w:p w14:paraId="4ECFEFE2" w14:textId="034EB1AC" w:rsidR="005118E6" w:rsidRDefault="00983576" w:rsidP="005118E6">
            <w:pPr>
              <w:pStyle w:val="Standaard-Tabellen"/>
            </w:pPr>
            <w:r>
              <w:t>o</w:t>
            </w:r>
            <w:r>
              <w:tab/>
              <w:t>Infant (0-1y)  : 2.61 ml</w:t>
            </w:r>
            <w:r w:rsidR="005118E6">
              <w:t xml:space="preserve"> / application on uncovered body parts*. Maximum one application per day.</w:t>
            </w:r>
          </w:p>
          <w:p w14:paraId="1A32950F" w14:textId="77777777" w:rsidR="005118E6" w:rsidRDefault="005118E6" w:rsidP="005118E6">
            <w:pPr>
              <w:pStyle w:val="Standaard-Tabellen"/>
            </w:pPr>
          </w:p>
          <w:p w14:paraId="218D1FC4" w14:textId="7B6FDC0A" w:rsidR="005118E6" w:rsidRDefault="005118E6" w:rsidP="005118E6">
            <w:pPr>
              <w:pStyle w:val="Standaard-Tabellen"/>
            </w:pPr>
            <w:r w:rsidRPr="001C0AD5">
              <w:t>* The product can be applied on uncovered parts of the body, limited to the face, arms, legs and feet. Do not apply on the whole body.</w:t>
            </w:r>
          </w:p>
          <w:p w14:paraId="2831F466" w14:textId="77777777" w:rsidR="005118E6" w:rsidRPr="00D361B3" w:rsidRDefault="005118E6" w:rsidP="00C018F7">
            <w:pPr>
              <w:pStyle w:val="Standaard-Tabellen"/>
            </w:pPr>
          </w:p>
          <w:p w14:paraId="0714A171" w14:textId="03EDFC00" w:rsidR="00564058" w:rsidRPr="00FF690F" w:rsidRDefault="00564058" w:rsidP="00564058">
            <w:pPr>
              <w:pStyle w:val="Standaard-Tabellen"/>
            </w:pPr>
          </w:p>
        </w:tc>
      </w:tr>
      <w:tr w:rsidR="004F036A" w:rsidRPr="00BD2EF1" w14:paraId="14FC89FA"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55EFFF0" w14:textId="77777777" w:rsidR="004F036A" w:rsidRPr="00BD2EF1" w:rsidRDefault="004F036A" w:rsidP="004F036A">
            <w:pPr>
              <w:pStyle w:val="Standaard-Tabellen"/>
              <w:rPr>
                <w:b/>
              </w:rPr>
            </w:pPr>
            <w:r w:rsidRPr="00BD2EF1">
              <w:rPr>
                <w:b/>
              </w:rPr>
              <w:t>Category(</w:t>
            </w:r>
            <w:proofErr w:type="spellStart"/>
            <w:r w:rsidRPr="00BD2EF1">
              <w:rPr>
                <w:b/>
              </w:rPr>
              <w:t>ies</w:t>
            </w:r>
            <w:proofErr w:type="spellEnd"/>
            <w:r w:rsidRPr="00BD2EF1">
              <w:rPr>
                <w:b/>
              </w:rPr>
              <w:t>) of users</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688D6F87" w14:textId="162F8240" w:rsidR="004F036A" w:rsidRPr="00BD2EF1" w:rsidRDefault="00966A3B" w:rsidP="004F036A">
            <w:pPr>
              <w:pStyle w:val="Standaard-Tabellen"/>
            </w:pPr>
            <w:r>
              <w:t>General public</w:t>
            </w:r>
            <w:r w:rsidR="0055132D">
              <w:t xml:space="preserve"> (non-professional)</w:t>
            </w:r>
          </w:p>
        </w:tc>
      </w:tr>
      <w:tr w:rsidR="004F036A" w:rsidRPr="00BD2EF1" w14:paraId="55913CAB"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45FFEE" w14:textId="77777777" w:rsidR="004F036A" w:rsidRPr="00BD2EF1" w:rsidRDefault="004F036A" w:rsidP="004F036A">
            <w:pPr>
              <w:pStyle w:val="Standaard-Tabellen"/>
              <w:rPr>
                <w:b/>
              </w:rPr>
            </w:pPr>
            <w:r w:rsidRPr="00BD2EF1">
              <w:rPr>
                <w:b/>
              </w:rPr>
              <w:t>Pack sizes and packaging material</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23364E5B" w14:textId="58C917FC" w:rsidR="004F036A" w:rsidRDefault="004F036A" w:rsidP="004F036A">
            <w:pPr>
              <w:pStyle w:val="Standaard-Tabellen"/>
            </w:pPr>
          </w:p>
          <w:p w14:paraId="726FF9ED" w14:textId="77777777" w:rsidR="00290444" w:rsidRPr="00093AB7" w:rsidRDefault="00290444" w:rsidP="00290444">
            <w:pPr>
              <w:pStyle w:val="Standaard-Tabellen"/>
              <w:rPr>
                <w:b/>
              </w:rPr>
            </w:pPr>
            <w:r w:rsidRPr="00093AB7">
              <w:rPr>
                <w:b/>
              </w:rPr>
              <w:t>Types and Materials</w:t>
            </w:r>
          </w:p>
          <w:p w14:paraId="4CD3EECF" w14:textId="77777777" w:rsidR="00290444" w:rsidRDefault="00290444" w:rsidP="00290444">
            <w:pPr>
              <w:pStyle w:val="Standaard-Tabellen"/>
            </w:pPr>
            <w:r>
              <w:t>•</w:t>
            </w:r>
            <w:r>
              <w:tab/>
              <w:t>Squeeze tube - with snap cap, screw cap, top cap or flip top cap (PP) - (PE; HDPE; LDPE; PP; HDPE/LDPE ; HDPE/EVOH; HDPE/F; HDPE/PA ; LDPE/EVOH ; LDPE/F ; LDPE/PA)</w:t>
            </w:r>
          </w:p>
          <w:p w14:paraId="797D62D2" w14:textId="77777777" w:rsidR="00290444" w:rsidRDefault="00290444" w:rsidP="00290444">
            <w:pPr>
              <w:pStyle w:val="Standaard-Tabellen"/>
            </w:pPr>
          </w:p>
          <w:p w14:paraId="5A451A82" w14:textId="77777777" w:rsidR="00290444" w:rsidRDefault="00290444" w:rsidP="00290444">
            <w:pPr>
              <w:pStyle w:val="Standaard-Tabellen"/>
            </w:pPr>
            <w:r>
              <w:t>•</w:t>
            </w:r>
            <w:r>
              <w:tab/>
              <w:t>Squeeze tube - with snap cap, screw cap, top cap or flip top cap (PP) - (in aluminium with inner layer of: PE; HDPE; LDPE; PP; HDPE/LDPE ; HDPE/EVOH; HDPE/F; HDPE/PA ; LDPE/EVOH ; LDPE/F ; LDPE/PA)</w:t>
            </w:r>
          </w:p>
          <w:p w14:paraId="2816CFC2" w14:textId="77777777" w:rsidR="00290444" w:rsidRDefault="00290444" w:rsidP="00290444">
            <w:pPr>
              <w:pStyle w:val="Standaard-Tabellen"/>
            </w:pPr>
          </w:p>
          <w:p w14:paraId="0E2D19D9" w14:textId="77777777" w:rsidR="00290444" w:rsidRPr="00093AB7" w:rsidRDefault="00290444" w:rsidP="00290444">
            <w:pPr>
              <w:pStyle w:val="Standaard-Tabellen"/>
            </w:pPr>
            <w:r>
              <w:t>•</w:t>
            </w:r>
            <w:r>
              <w:tab/>
              <w:t>Bottle - with screw cap, top cap or pump dispenser- (PE; HDPE; LDPE; PP; HDPE/LDPE ; HDPE/EVOH; HDPE/F; HDPE/PA ; LDPE/EVOH ; LDPE/F ; LDPE/PA)</w:t>
            </w:r>
          </w:p>
          <w:p w14:paraId="73456189" w14:textId="77777777" w:rsidR="00290444" w:rsidRPr="00093AB7" w:rsidRDefault="00290444" w:rsidP="00290444">
            <w:pPr>
              <w:pStyle w:val="Standaard-Tabellen"/>
            </w:pPr>
          </w:p>
          <w:p w14:paraId="47BBBE74" w14:textId="77777777" w:rsidR="00290444" w:rsidRPr="00093AB7" w:rsidRDefault="00290444" w:rsidP="00290444">
            <w:pPr>
              <w:pStyle w:val="Standaard-Tabellen"/>
            </w:pPr>
          </w:p>
          <w:p w14:paraId="7738B554" w14:textId="08864162" w:rsidR="00290444" w:rsidRPr="00BD2EF1" w:rsidRDefault="00290444" w:rsidP="00290444">
            <w:pPr>
              <w:pStyle w:val="Standaard-Tabellen"/>
            </w:pPr>
            <w:r w:rsidRPr="00093AB7">
              <w:t>For all packaging types, size: 25-250 mL in steps of 5 ml</w:t>
            </w:r>
          </w:p>
        </w:tc>
      </w:tr>
    </w:tbl>
    <w:p w14:paraId="3FD14E5A" w14:textId="77777777" w:rsidR="00F555A0" w:rsidRPr="00BD2EF1" w:rsidRDefault="00F555A0" w:rsidP="008E2686">
      <w:pPr>
        <w:pStyle w:val="Titre4"/>
      </w:pPr>
      <w:bookmarkStart w:id="29" w:name="_Toc425344078"/>
      <w:bookmarkStart w:id="30" w:name="_Toc12967110"/>
      <w:r w:rsidRPr="00BD2EF1">
        <w:t>Use-specific instructions for use</w:t>
      </w:r>
      <w:bookmarkEnd w:id="29"/>
      <w:bookmarkEnd w:id="30"/>
    </w:p>
    <w:tbl>
      <w:tblPr>
        <w:tblW w:w="4821" w:type="pct"/>
        <w:tblBorders>
          <w:left w:val="single" w:sz="4" w:space="0" w:color="auto"/>
        </w:tblBorders>
        <w:tblLook w:val="04A0" w:firstRow="1" w:lastRow="0" w:firstColumn="1" w:lastColumn="0" w:noHBand="0" w:noVBand="1"/>
      </w:tblPr>
      <w:tblGrid>
        <w:gridCol w:w="9070"/>
      </w:tblGrid>
      <w:tr w:rsidR="00F555A0" w:rsidRPr="00BD2EF1" w14:paraId="29FCCE92" w14:textId="77777777" w:rsidTr="00A45C07">
        <w:tc>
          <w:tcPr>
            <w:tcW w:w="5000" w:type="pct"/>
          </w:tcPr>
          <w:p w14:paraId="516BA744" w14:textId="2E688183" w:rsidR="005118E6" w:rsidRPr="00DE3A31" w:rsidRDefault="00030E6B" w:rsidP="00A45C07">
            <w:pPr>
              <w:pBdr>
                <w:top w:val="single" w:sz="4" w:space="1" w:color="auto"/>
                <w:bottom w:val="single" w:sz="4" w:space="1" w:color="auto"/>
                <w:right w:val="single" w:sz="4" w:space="4" w:color="auto"/>
              </w:pBdr>
              <w:rPr>
                <w:rFonts w:cs="Times"/>
                <w:bCs/>
                <w:szCs w:val="29"/>
              </w:rPr>
            </w:pPr>
            <w:r>
              <w:rPr>
                <w:rFonts w:cs="Times"/>
                <w:bCs/>
                <w:szCs w:val="29"/>
              </w:rPr>
              <w:t>See 2</w:t>
            </w:r>
            <w:r w:rsidR="005118E6">
              <w:rPr>
                <w:rFonts w:cs="Times"/>
                <w:bCs/>
                <w:szCs w:val="29"/>
              </w:rPr>
              <w:t>.1.5.1</w:t>
            </w:r>
          </w:p>
        </w:tc>
      </w:tr>
    </w:tbl>
    <w:p w14:paraId="628D7BF9" w14:textId="77777777" w:rsidR="00F555A0" w:rsidRPr="00BD2EF1" w:rsidRDefault="00F555A0" w:rsidP="008E2686">
      <w:pPr>
        <w:pStyle w:val="Titre4"/>
      </w:pPr>
      <w:bookmarkStart w:id="31" w:name="_Toc425344079"/>
      <w:bookmarkStart w:id="32" w:name="_Toc12967111"/>
      <w:r w:rsidRPr="00BD2EF1">
        <w:lastRenderedPageBreak/>
        <w:t>Use-specific risk mitigation measures</w:t>
      </w:r>
      <w:bookmarkEnd w:id="31"/>
      <w:bookmarkEnd w:id="32"/>
      <w:r w:rsidRPr="00BD2EF1">
        <w:t xml:space="preserve"> </w:t>
      </w:r>
    </w:p>
    <w:tbl>
      <w:tblPr>
        <w:tblW w:w="5000" w:type="pct"/>
        <w:tblLook w:val="04A0" w:firstRow="1" w:lastRow="0" w:firstColumn="1" w:lastColumn="0" w:noHBand="0" w:noVBand="1"/>
      </w:tblPr>
      <w:tblGrid>
        <w:gridCol w:w="9402"/>
      </w:tblGrid>
      <w:tr w:rsidR="00370417" w:rsidRPr="00BD2EF1" w14:paraId="5991B239" w14:textId="77777777" w:rsidTr="00A45C07">
        <w:tc>
          <w:tcPr>
            <w:tcW w:w="5000" w:type="pct"/>
            <w:tcBorders>
              <w:left w:val="single" w:sz="4" w:space="0" w:color="auto"/>
              <w:right w:val="single" w:sz="4" w:space="0" w:color="auto"/>
            </w:tcBorders>
          </w:tcPr>
          <w:p w14:paraId="4AAFE930" w14:textId="03EF8716" w:rsidR="005118E6" w:rsidRPr="00FF690F" w:rsidRDefault="00030E6B" w:rsidP="00A45C07">
            <w:pPr>
              <w:pBdr>
                <w:top w:val="single" w:sz="4" w:space="1" w:color="auto"/>
                <w:bottom w:val="single" w:sz="4" w:space="1" w:color="auto"/>
                <w:right w:val="single" w:sz="4" w:space="4" w:color="auto"/>
              </w:pBdr>
            </w:pPr>
            <w:r>
              <w:t>See 2</w:t>
            </w:r>
            <w:r w:rsidR="005118E6">
              <w:t>.1.5.2</w:t>
            </w:r>
          </w:p>
        </w:tc>
      </w:tr>
    </w:tbl>
    <w:p w14:paraId="456F221A" w14:textId="77777777" w:rsidR="00370417" w:rsidRDefault="00370417" w:rsidP="008E2686">
      <w:pPr>
        <w:pStyle w:val="Titre4"/>
      </w:pPr>
      <w:bookmarkStart w:id="33" w:name="_Toc425344080"/>
      <w:bookmarkStart w:id="34" w:name="_Toc12967112"/>
      <w:r w:rsidRPr="00BD2EF1">
        <w:t>Where specific to the use, the particulars of likely direct or indirect effects, first aid instructions and emergency measures to protect the environment</w:t>
      </w:r>
      <w:bookmarkEnd w:id="33"/>
      <w:bookmarkEnd w:id="34"/>
    </w:p>
    <w:tbl>
      <w:tblPr>
        <w:tblW w:w="5000" w:type="pct"/>
        <w:tblLook w:val="04A0" w:firstRow="1" w:lastRow="0" w:firstColumn="1" w:lastColumn="0" w:noHBand="0" w:noVBand="1"/>
      </w:tblPr>
      <w:tblGrid>
        <w:gridCol w:w="9402"/>
      </w:tblGrid>
      <w:tr w:rsidR="00370417" w:rsidRPr="00BD2EF1" w14:paraId="3BA9C136" w14:textId="77777777" w:rsidTr="00A45C07">
        <w:tc>
          <w:tcPr>
            <w:tcW w:w="5000" w:type="pct"/>
            <w:tcBorders>
              <w:top w:val="single" w:sz="4" w:space="0" w:color="auto"/>
              <w:left w:val="single" w:sz="4" w:space="0" w:color="auto"/>
              <w:bottom w:val="single" w:sz="4" w:space="0" w:color="auto"/>
              <w:right w:val="single" w:sz="4" w:space="0" w:color="auto"/>
            </w:tcBorders>
          </w:tcPr>
          <w:p w14:paraId="14D49D78" w14:textId="491901EA" w:rsidR="005118E6" w:rsidRPr="00920E0A" w:rsidRDefault="005118E6" w:rsidP="00FD0DC3">
            <w:r>
              <w:t>See 2.1.5.3</w:t>
            </w:r>
          </w:p>
        </w:tc>
      </w:tr>
    </w:tbl>
    <w:p w14:paraId="7A660C6E" w14:textId="77777777" w:rsidR="00370417" w:rsidRPr="00BD2EF1" w:rsidRDefault="00370417" w:rsidP="008E2686">
      <w:pPr>
        <w:pStyle w:val="Titre4"/>
      </w:pPr>
      <w:bookmarkStart w:id="35" w:name="_Toc416859532"/>
      <w:bookmarkStart w:id="36" w:name="_Toc425344081"/>
      <w:bookmarkStart w:id="37" w:name="_Toc12967113"/>
      <w:r w:rsidRPr="00BD2EF1">
        <w:t>Where specific to the use, the instructions for safe disposal of the product and its packaging</w:t>
      </w:r>
      <w:bookmarkEnd w:id="35"/>
      <w:bookmarkEnd w:id="36"/>
      <w:bookmarkEnd w:id="37"/>
      <w:r w:rsidRPr="00BD2EF1">
        <w:t xml:space="preserve"> </w:t>
      </w:r>
    </w:p>
    <w:tbl>
      <w:tblPr>
        <w:tblW w:w="5000" w:type="pct"/>
        <w:tblLook w:val="04A0" w:firstRow="1" w:lastRow="0" w:firstColumn="1" w:lastColumn="0" w:noHBand="0" w:noVBand="1"/>
      </w:tblPr>
      <w:tblGrid>
        <w:gridCol w:w="9402"/>
      </w:tblGrid>
      <w:tr w:rsidR="00370417" w:rsidRPr="00BD2EF1" w14:paraId="02DC5649" w14:textId="77777777" w:rsidTr="00A45C07">
        <w:tc>
          <w:tcPr>
            <w:tcW w:w="5000" w:type="pct"/>
            <w:tcBorders>
              <w:top w:val="single" w:sz="4" w:space="0" w:color="auto"/>
              <w:left w:val="single" w:sz="4" w:space="0" w:color="auto"/>
              <w:bottom w:val="single" w:sz="4" w:space="0" w:color="auto"/>
              <w:right w:val="single" w:sz="4" w:space="0" w:color="auto"/>
            </w:tcBorders>
          </w:tcPr>
          <w:p w14:paraId="39801CC4" w14:textId="32DCB09E" w:rsidR="00FD0DC3" w:rsidRPr="008012D7" w:rsidRDefault="00030E6B" w:rsidP="005118E6">
            <w:pPr>
              <w:rPr>
                <w:lang w:val="en-US" w:eastAsia="nl-NL"/>
              </w:rPr>
            </w:pPr>
            <w:r>
              <w:rPr>
                <w:lang w:val="en-US" w:eastAsia="nl-NL"/>
              </w:rPr>
              <w:t>See 2</w:t>
            </w:r>
            <w:r w:rsidR="005118E6">
              <w:rPr>
                <w:lang w:val="en-US" w:eastAsia="nl-NL"/>
              </w:rPr>
              <w:t>.1.5.4</w:t>
            </w:r>
          </w:p>
        </w:tc>
      </w:tr>
    </w:tbl>
    <w:p w14:paraId="59E6E225" w14:textId="77777777" w:rsidR="00370417" w:rsidRPr="00BD2EF1" w:rsidRDefault="00370417" w:rsidP="008E2686">
      <w:pPr>
        <w:pStyle w:val="Titre4"/>
      </w:pPr>
      <w:bookmarkStart w:id="38" w:name="_Toc416859533"/>
      <w:bookmarkStart w:id="39" w:name="_Toc425344082"/>
      <w:bookmarkStart w:id="40" w:name="_Toc12967114"/>
      <w:r w:rsidRPr="00BD2EF1">
        <w:t>Where specific to the use, the conditions of storage and shelf-life of the product under normal conditions of storage</w:t>
      </w:r>
      <w:bookmarkEnd w:id="38"/>
      <w:bookmarkEnd w:id="39"/>
      <w:bookmarkEnd w:id="40"/>
    </w:p>
    <w:tbl>
      <w:tblPr>
        <w:tblW w:w="5000" w:type="pct"/>
        <w:tblLook w:val="04A0" w:firstRow="1" w:lastRow="0" w:firstColumn="1" w:lastColumn="0" w:noHBand="0" w:noVBand="1"/>
      </w:tblPr>
      <w:tblGrid>
        <w:gridCol w:w="9402"/>
      </w:tblGrid>
      <w:tr w:rsidR="00370417" w:rsidRPr="00BD2EF1" w14:paraId="5DD3140D" w14:textId="77777777" w:rsidTr="00A45C07">
        <w:tc>
          <w:tcPr>
            <w:tcW w:w="5000" w:type="pct"/>
            <w:tcBorders>
              <w:top w:val="single" w:sz="4" w:space="0" w:color="auto"/>
              <w:left w:val="single" w:sz="4" w:space="0" w:color="auto"/>
              <w:bottom w:val="single" w:sz="4" w:space="0" w:color="auto"/>
              <w:right w:val="single" w:sz="4" w:space="0" w:color="auto"/>
            </w:tcBorders>
          </w:tcPr>
          <w:p w14:paraId="3B76F649" w14:textId="71370B69" w:rsidR="005118E6" w:rsidRPr="00031B96" w:rsidRDefault="00030E6B" w:rsidP="00FD0DC3">
            <w:pPr>
              <w:rPr>
                <w:lang w:val="en-US" w:eastAsia="nl-NL"/>
              </w:rPr>
            </w:pPr>
            <w:r>
              <w:rPr>
                <w:lang w:val="en-US" w:eastAsia="nl-NL"/>
              </w:rPr>
              <w:t>See 2</w:t>
            </w:r>
            <w:r w:rsidR="005118E6">
              <w:rPr>
                <w:lang w:val="en-US" w:eastAsia="nl-NL"/>
              </w:rPr>
              <w:t>.1.5.5</w:t>
            </w:r>
          </w:p>
        </w:tc>
      </w:tr>
    </w:tbl>
    <w:p w14:paraId="4D8B3966" w14:textId="2C9D788C" w:rsidR="005118E6" w:rsidRPr="00BD2EF1" w:rsidRDefault="005118E6" w:rsidP="005118E6">
      <w:pPr>
        <w:pStyle w:val="Titre4"/>
      </w:pPr>
      <w:bookmarkStart w:id="41" w:name="_Toc12967115"/>
      <w:r w:rsidRPr="00BD2EF1">
        <w:t>Use description</w:t>
      </w:r>
      <w:bookmarkEnd w:id="41"/>
    </w:p>
    <w:tbl>
      <w:tblPr>
        <w:tblW w:w="5000" w:type="pct"/>
        <w:tblLayout w:type="fixed"/>
        <w:tblCellMar>
          <w:left w:w="0" w:type="dxa"/>
          <w:right w:w="0" w:type="dxa"/>
        </w:tblCellMar>
        <w:tblLook w:val="0000" w:firstRow="0" w:lastRow="0" w:firstColumn="0" w:lastColumn="0" w:noHBand="0" w:noVBand="0"/>
      </w:tblPr>
      <w:tblGrid>
        <w:gridCol w:w="2821"/>
        <w:gridCol w:w="6581"/>
      </w:tblGrid>
      <w:tr w:rsidR="005118E6" w:rsidRPr="00BD2EF1" w14:paraId="5508F027" w14:textId="77777777" w:rsidTr="00E82046">
        <w:tc>
          <w:tcPr>
            <w:tcW w:w="5000" w:type="pct"/>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40" w:type="dxa"/>
              <w:left w:w="40" w:type="dxa"/>
              <w:bottom w:w="40" w:type="dxa"/>
              <w:right w:w="40" w:type="dxa"/>
            </w:tcMar>
          </w:tcPr>
          <w:p w14:paraId="7125DFD5" w14:textId="0129445E" w:rsidR="005118E6" w:rsidRPr="00BD2EF1" w:rsidRDefault="005118E6" w:rsidP="00E82046">
            <w:pPr>
              <w:pStyle w:val="Standaard-Tabellen"/>
              <w:rPr>
                <w:b/>
              </w:rPr>
            </w:pPr>
            <w:r w:rsidRPr="00BD2EF1">
              <w:rPr>
                <w:b/>
              </w:rPr>
              <w:t xml:space="preserve">Table </w:t>
            </w:r>
            <w:r w:rsidRPr="00BD2EF1">
              <w:rPr>
                <w:b/>
              </w:rPr>
              <w:fldChar w:fldCharType="begin"/>
            </w:r>
            <w:r w:rsidRPr="00BD2EF1">
              <w:rPr>
                <w:b/>
              </w:rPr>
              <w:instrText xml:space="preserve"> SEQ Table \* ARABIC </w:instrText>
            </w:r>
            <w:r w:rsidRPr="00BD2EF1">
              <w:rPr>
                <w:b/>
              </w:rPr>
              <w:fldChar w:fldCharType="separate"/>
            </w:r>
            <w:r w:rsidR="00901C2F">
              <w:rPr>
                <w:b/>
                <w:noProof/>
              </w:rPr>
              <w:t>2</w:t>
            </w:r>
            <w:r w:rsidRPr="00BD2EF1">
              <w:rPr>
                <w:b/>
              </w:rPr>
              <w:fldChar w:fldCharType="end"/>
            </w:r>
            <w:r>
              <w:rPr>
                <w:b/>
              </w:rPr>
              <w:t>. Use # 2</w:t>
            </w:r>
            <w:r w:rsidRPr="00BD2EF1">
              <w:rPr>
                <w:b/>
              </w:rPr>
              <w:t xml:space="preserve"> – </w:t>
            </w:r>
            <w:r>
              <w:rPr>
                <w:b/>
              </w:rPr>
              <w:t>Application to human skin to repel ticks (general public)</w:t>
            </w:r>
          </w:p>
        </w:tc>
      </w:tr>
      <w:tr w:rsidR="005118E6" w:rsidRPr="00BD2EF1" w14:paraId="5FCFE0C4" w14:textId="77777777" w:rsidTr="00E82046">
        <w:tc>
          <w:tcPr>
            <w:tcW w:w="150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F1F916" w14:textId="77777777" w:rsidR="005118E6" w:rsidRPr="00BD2EF1" w:rsidRDefault="005118E6" w:rsidP="00E82046">
            <w:pPr>
              <w:pStyle w:val="Standaard-Tabellen"/>
              <w:rPr>
                <w:b/>
              </w:rPr>
            </w:pPr>
            <w:r w:rsidRPr="00BD2EF1">
              <w:rPr>
                <w:b/>
              </w:rPr>
              <w:t>Product Type</w:t>
            </w:r>
          </w:p>
        </w:tc>
        <w:tc>
          <w:tcPr>
            <w:tcW w:w="3500"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7ED9091" w14:textId="77777777" w:rsidR="005118E6" w:rsidRPr="00BD2EF1" w:rsidRDefault="005118E6" w:rsidP="00E82046">
            <w:pPr>
              <w:pStyle w:val="Standaard-Tabellen"/>
            </w:pPr>
            <w:r>
              <w:t>PT19 – Repellents and attractants (Pest control)</w:t>
            </w:r>
          </w:p>
        </w:tc>
      </w:tr>
      <w:tr w:rsidR="005118E6" w:rsidRPr="00BD2EF1" w14:paraId="03A8280B" w14:textId="77777777" w:rsidTr="00E82046">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4EEB417" w14:textId="77777777" w:rsidR="005118E6" w:rsidRPr="00BD2EF1" w:rsidRDefault="005118E6" w:rsidP="00E82046">
            <w:pPr>
              <w:pStyle w:val="Standaard-Tabellen"/>
              <w:rPr>
                <w:b/>
              </w:rPr>
            </w:pPr>
            <w:r w:rsidRPr="00BD2EF1">
              <w:rPr>
                <w:b/>
              </w:rPr>
              <w:t>Where relevant, an exact description of the authorised use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147FBDFC" w14:textId="77777777" w:rsidR="005118E6" w:rsidRPr="00FF690F" w:rsidRDefault="005118E6" w:rsidP="00E82046">
            <w:pPr>
              <w:pStyle w:val="Standaard-Tabellen"/>
            </w:pPr>
            <w:r>
              <w:t>Repellent</w:t>
            </w:r>
          </w:p>
        </w:tc>
      </w:tr>
      <w:tr w:rsidR="005118E6" w:rsidRPr="00BD2EF1" w14:paraId="42FEF017" w14:textId="77777777" w:rsidTr="00E82046">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514EA03" w14:textId="77777777" w:rsidR="005118E6" w:rsidRPr="00BD2EF1" w:rsidRDefault="005118E6" w:rsidP="00E82046">
            <w:pPr>
              <w:pStyle w:val="Standaard-Tabellen"/>
              <w:rPr>
                <w:b/>
              </w:rPr>
            </w:pPr>
            <w:r w:rsidRPr="00BD2EF1">
              <w:rPr>
                <w:b/>
              </w:rPr>
              <w:t>Target organism (including development stage)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tbl>
            <w:tblPr>
              <w:tblW w:w="6621" w:type="dxa"/>
              <w:tblLayout w:type="fixed"/>
              <w:tblLook w:val="04A0" w:firstRow="1" w:lastRow="0" w:firstColumn="1" w:lastColumn="0" w:noHBand="0" w:noVBand="1"/>
            </w:tblPr>
            <w:tblGrid>
              <w:gridCol w:w="1957"/>
              <w:gridCol w:w="4664"/>
            </w:tblGrid>
            <w:tr w:rsidR="005118E6" w14:paraId="1A72E228" w14:textId="77777777" w:rsidTr="002A41F1">
              <w:trPr>
                <w:trHeight w:val="194"/>
              </w:trPr>
              <w:tc>
                <w:tcPr>
                  <w:tcW w:w="1957" w:type="dxa"/>
                </w:tcPr>
                <w:p w14:paraId="6E6261E2" w14:textId="77777777" w:rsidR="005118E6" w:rsidRPr="00895C06" w:rsidRDefault="005118E6" w:rsidP="00E82046">
                  <w:pPr>
                    <w:pStyle w:val="Standaard-Tabellen"/>
                    <w:rPr>
                      <w:b/>
                    </w:rPr>
                  </w:pPr>
                  <w:r>
                    <w:rPr>
                      <w:b/>
                    </w:rPr>
                    <w:t>Scientific name</w:t>
                  </w:r>
                </w:p>
              </w:tc>
              <w:tc>
                <w:tcPr>
                  <w:tcW w:w="4664" w:type="dxa"/>
                </w:tcPr>
                <w:p w14:paraId="4F52116A" w14:textId="77777777" w:rsidR="005118E6" w:rsidRPr="00895C06" w:rsidRDefault="005118E6" w:rsidP="00E82046">
                  <w:pPr>
                    <w:pStyle w:val="Standaard-Tabellen"/>
                    <w:rPr>
                      <w:b/>
                    </w:rPr>
                  </w:pPr>
                  <w:r>
                    <w:rPr>
                      <w:b/>
                    </w:rPr>
                    <w:t>Common name</w:t>
                  </w:r>
                </w:p>
              </w:tc>
            </w:tr>
            <w:tr w:rsidR="005118E6" w14:paraId="64763EDF" w14:textId="77777777" w:rsidTr="002A41F1">
              <w:trPr>
                <w:trHeight w:val="581"/>
              </w:trPr>
              <w:tc>
                <w:tcPr>
                  <w:tcW w:w="1957" w:type="dxa"/>
                </w:tcPr>
                <w:p w14:paraId="445AD96B" w14:textId="77777777" w:rsidR="005118E6" w:rsidRDefault="005118E6" w:rsidP="00E82046">
                  <w:pPr>
                    <w:pStyle w:val="Standaard-Tabellen"/>
                  </w:pPr>
                  <w:r w:rsidRPr="00013425">
                    <w:t>Ixodidae</w:t>
                  </w:r>
                  <w:r w:rsidRPr="00013425">
                    <w:tab/>
                  </w:r>
                </w:p>
              </w:tc>
              <w:tc>
                <w:tcPr>
                  <w:tcW w:w="4664" w:type="dxa"/>
                </w:tcPr>
                <w:p w14:paraId="4FEFA17E" w14:textId="77777777" w:rsidR="00E749D3" w:rsidRDefault="005118E6" w:rsidP="00E82046">
                  <w:pPr>
                    <w:pStyle w:val="Standaard-Tabellen"/>
                  </w:pPr>
                  <w:r w:rsidRPr="00013425">
                    <w:t>Ticks</w:t>
                  </w:r>
                  <w:r>
                    <w:t xml:space="preserve"> </w:t>
                  </w:r>
                  <w:r w:rsidRPr="002A41F1">
                    <w:rPr>
                      <w:i/>
                    </w:rPr>
                    <w:t xml:space="preserve">– </w:t>
                  </w:r>
                  <w:r w:rsidR="002A41F1" w:rsidRPr="002A41F1">
                    <w:rPr>
                      <w:i/>
                    </w:rPr>
                    <w:t>I</w:t>
                  </w:r>
                  <w:r w:rsidR="002A41F1">
                    <w:t xml:space="preserve">. </w:t>
                  </w:r>
                  <w:proofErr w:type="spellStart"/>
                  <w:r w:rsidR="002A41F1" w:rsidRPr="002A41F1">
                    <w:rPr>
                      <w:i/>
                    </w:rPr>
                    <w:t>ricinus</w:t>
                  </w:r>
                  <w:proofErr w:type="spellEnd"/>
                  <w:r w:rsidR="002A41F1">
                    <w:t xml:space="preserve"> and</w:t>
                  </w:r>
                  <w:r w:rsidR="002A41F1" w:rsidRPr="002A41F1">
                    <w:rPr>
                      <w:i/>
                    </w:rPr>
                    <w:t xml:space="preserve"> I</w:t>
                  </w:r>
                  <w:r w:rsidR="002A41F1">
                    <w:t xml:space="preserve">. </w:t>
                  </w:r>
                  <w:r w:rsidR="002A41F1" w:rsidRPr="002A41F1">
                    <w:rPr>
                      <w:i/>
                    </w:rPr>
                    <w:t>scapularis</w:t>
                  </w:r>
                  <w:r w:rsidR="002A41F1">
                    <w:t xml:space="preserve"> </w:t>
                  </w:r>
                </w:p>
                <w:p w14:paraId="6C53C33F" w14:textId="7DA577BE" w:rsidR="005118E6" w:rsidRDefault="005118E6" w:rsidP="00E82046">
                  <w:pPr>
                    <w:pStyle w:val="Standaard-Tabellen"/>
                  </w:pPr>
                  <w:r>
                    <w:t>nymphs and adults</w:t>
                  </w:r>
                </w:p>
              </w:tc>
            </w:tr>
            <w:tr w:rsidR="005118E6" w14:paraId="4A404161" w14:textId="77777777" w:rsidTr="002A41F1">
              <w:trPr>
                <w:trHeight w:val="194"/>
              </w:trPr>
              <w:tc>
                <w:tcPr>
                  <w:tcW w:w="6621" w:type="dxa"/>
                  <w:gridSpan w:val="2"/>
                </w:tcPr>
                <w:p w14:paraId="2756DBF0" w14:textId="77777777" w:rsidR="005118E6" w:rsidRDefault="005118E6" w:rsidP="00E82046">
                  <w:pPr>
                    <w:pStyle w:val="Standaard-Tabellen"/>
                  </w:pPr>
                  <w:r>
                    <w:t>only in temperate areas</w:t>
                  </w:r>
                </w:p>
              </w:tc>
            </w:tr>
          </w:tbl>
          <w:p w14:paraId="1E19131D" w14:textId="77777777" w:rsidR="005118E6" w:rsidRPr="00BB2F81" w:rsidRDefault="005118E6" w:rsidP="00E82046">
            <w:pPr>
              <w:pStyle w:val="Standaard-Tabellen"/>
            </w:pPr>
          </w:p>
        </w:tc>
      </w:tr>
      <w:tr w:rsidR="005118E6" w:rsidRPr="00BD2EF1" w14:paraId="12F4B1A7" w14:textId="77777777" w:rsidTr="00E82046">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4D70CE" w14:textId="77777777" w:rsidR="005118E6" w:rsidRPr="00BD2EF1" w:rsidRDefault="005118E6" w:rsidP="00E82046">
            <w:pPr>
              <w:pStyle w:val="Standaard-Tabellen"/>
              <w:rPr>
                <w:b/>
              </w:rPr>
            </w:pPr>
            <w:r w:rsidRPr="00BD2EF1">
              <w:rPr>
                <w:b/>
              </w:rPr>
              <w:t>Field of use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7E835987" w14:textId="77777777" w:rsidR="001655F6" w:rsidRDefault="001655F6" w:rsidP="001655F6">
            <w:pPr>
              <w:pStyle w:val="Standaard-Tabellen"/>
            </w:pPr>
            <w:r>
              <w:t xml:space="preserve">Indoors </w:t>
            </w:r>
            <w:r w:rsidRPr="001C0AD5">
              <w:t xml:space="preserve">(only in well ventilated area) </w:t>
            </w:r>
            <w:r>
              <w:t xml:space="preserve">  and outdoors</w:t>
            </w:r>
          </w:p>
          <w:p w14:paraId="41DB1AC0" w14:textId="77777777" w:rsidR="005118E6" w:rsidRDefault="005118E6" w:rsidP="00E82046">
            <w:pPr>
              <w:pStyle w:val="Standaard-Tabellen"/>
            </w:pPr>
          </w:p>
          <w:p w14:paraId="4090ED84" w14:textId="3CBFCD62" w:rsidR="005118E6" w:rsidRPr="00BD2EF1" w:rsidRDefault="005118E6" w:rsidP="00E82046">
            <w:pPr>
              <w:pStyle w:val="Standaard-Tabellen"/>
            </w:pPr>
            <w:r>
              <w:t>Insect repellent lotion IR3535</w:t>
            </w:r>
            <w:r w:rsidRPr="00983E3D">
              <w:rPr>
                <w:vertAlign w:val="superscript"/>
              </w:rPr>
              <w:t>®</w:t>
            </w:r>
            <w:r>
              <w:t xml:space="preserve"> 10% is a ready-to-use insect repellent used to protect humans against ticks in temperate areas </w:t>
            </w:r>
            <w:r>
              <w:rPr>
                <w:u w:val="single"/>
              </w:rPr>
              <w:t>only</w:t>
            </w:r>
            <w:r>
              <w:t xml:space="preserve">. </w:t>
            </w:r>
          </w:p>
        </w:tc>
      </w:tr>
      <w:tr w:rsidR="005118E6" w:rsidRPr="00BD2EF1" w14:paraId="4DD640D4" w14:textId="77777777" w:rsidTr="00E82046">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501F32" w14:textId="77777777" w:rsidR="005118E6" w:rsidRPr="00BD2EF1" w:rsidRDefault="005118E6" w:rsidP="00E82046">
            <w:pPr>
              <w:pStyle w:val="Standaard-Tabellen"/>
              <w:rPr>
                <w:b/>
              </w:rPr>
            </w:pPr>
            <w:r w:rsidRPr="00BD2EF1">
              <w:rPr>
                <w:b/>
              </w:rPr>
              <w:t>Application method(s)</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2CC99E9A" w14:textId="77777777" w:rsidR="005118E6" w:rsidRPr="00BD2EF1" w:rsidRDefault="005118E6" w:rsidP="00E82046">
            <w:pPr>
              <w:pStyle w:val="Standaard-Tabellen"/>
            </w:pPr>
            <w:r>
              <w:t>manual application</w:t>
            </w:r>
          </w:p>
        </w:tc>
      </w:tr>
      <w:tr w:rsidR="005118E6" w:rsidRPr="00BD2EF1" w14:paraId="628E4FA5" w14:textId="77777777" w:rsidTr="00E82046">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F81D86A" w14:textId="77777777" w:rsidR="005118E6" w:rsidRPr="00BD2EF1" w:rsidRDefault="005118E6" w:rsidP="00E82046">
            <w:pPr>
              <w:pStyle w:val="Standaard-Tabellen"/>
              <w:rPr>
                <w:b/>
              </w:rPr>
            </w:pPr>
            <w:r w:rsidRPr="00BD2EF1">
              <w:rPr>
                <w:b/>
              </w:rPr>
              <w:t>Application rate(s) and frequency</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2358145B" w14:textId="67474CDA" w:rsidR="005118E6" w:rsidRPr="001C0AD5" w:rsidRDefault="005118E6" w:rsidP="00E82046">
            <w:pPr>
              <w:pStyle w:val="Standaard-Tabellen"/>
            </w:pPr>
            <w:r>
              <w:t>Application rate f</w:t>
            </w:r>
            <w:r w:rsidRPr="009016F5">
              <w:t>or ticks (1.0</w:t>
            </w:r>
            <w:r w:rsidR="00284ED4">
              <w:t>1</w:t>
            </w:r>
            <w:r w:rsidR="00301071">
              <w:t xml:space="preserve"> </w:t>
            </w:r>
            <w:r w:rsidR="00FC3AF4">
              <w:t>µ</w:t>
            </w:r>
            <w:r w:rsidR="00301071">
              <w:t>l</w:t>
            </w:r>
            <w:r w:rsidRPr="009016F5">
              <w:t>/cm</w:t>
            </w:r>
            <w:r w:rsidRPr="009016F5">
              <w:rPr>
                <w:vertAlign w:val="superscript"/>
              </w:rPr>
              <w:t>2</w:t>
            </w:r>
            <w:r w:rsidRPr="009016F5">
              <w:t xml:space="preserve">) – </w:t>
            </w:r>
            <w:r w:rsidRPr="001C0AD5">
              <w:rPr>
                <w:bCs w:val="0"/>
              </w:rPr>
              <w:t xml:space="preserve">protection time </w:t>
            </w:r>
            <w:r w:rsidR="00BC290C">
              <w:rPr>
                <w:bCs w:val="0"/>
              </w:rPr>
              <w:t>7</w:t>
            </w:r>
            <w:r w:rsidRPr="001C0AD5">
              <w:rPr>
                <w:bCs w:val="0"/>
              </w:rPr>
              <w:t xml:space="preserve"> hours</w:t>
            </w:r>
            <w:r w:rsidRPr="001C0AD5">
              <w:t xml:space="preserve"> :</w:t>
            </w:r>
            <w:r w:rsidRPr="009016F5">
              <w:t xml:space="preserve"> </w:t>
            </w:r>
          </w:p>
          <w:p w14:paraId="0511A33B" w14:textId="066C7F68" w:rsidR="005118E6" w:rsidRPr="009016F5" w:rsidRDefault="00301071" w:rsidP="005118E6">
            <w:pPr>
              <w:numPr>
                <w:ilvl w:val="0"/>
                <w:numId w:val="32"/>
              </w:numPr>
              <w:spacing w:before="0" w:after="0"/>
              <w:rPr>
                <w:bCs/>
                <w:sz w:val="18"/>
                <w:szCs w:val="24"/>
                <w:lang w:eastAsia="en-GB"/>
              </w:rPr>
            </w:pPr>
            <w:r>
              <w:rPr>
                <w:bCs/>
                <w:sz w:val="18"/>
                <w:szCs w:val="24"/>
                <w:lang w:eastAsia="en-GB"/>
              </w:rPr>
              <w:t>Adult : 9.20</w:t>
            </w:r>
            <w:r w:rsidR="005118E6" w:rsidRPr="009016F5">
              <w:rPr>
                <w:bCs/>
                <w:sz w:val="18"/>
                <w:szCs w:val="24"/>
                <w:lang w:eastAsia="en-GB"/>
              </w:rPr>
              <w:t xml:space="preserve"> </w:t>
            </w:r>
            <w:r>
              <w:rPr>
                <w:bCs/>
                <w:sz w:val="18"/>
                <w:szCs w:val="24"/>
                <w:lang w:eastAsia="en-GB"/>
              </w:rPr>
              <w:t>ml</w:t>
            </w:r>
            <w:r w:rsidR="005118E6" w:rsidRPr="009016F5">
              <w:rPr>
                <w:bCs/>
                <w:sz w:val="18"/>
                <w:szCs w:val="24"/>
                <w:lang w:eastAsia="en-GB"/>
              </w:rPr>
              <w:t xml:space="preserve"> / application on uncovered body pa</w:t>
            </w:r>
            <w:r w:rsidR="005118E6">
              <w:rPr>
                <w:bCs/>
                <w:sz w:val="18"/>
                <w:szCs w:val="24"/>
                <w:lang w:eastAsia="en-GB"/>
              </w:rPr>
              <w:t>rts*. The product can be reapplied</w:t>
            </w:r>
            <w:r w:rsidR="005118E6" w:rsidRPr="009016F5">
              <w:rPr>
                <w:bCs/>
                <w:sz w:val="18"/>
                <w:szCs w:val="24"/>
                <w:lang w:eastAsia="en-GB"/>
              </w:rPr>
              <w:t xml:space="preserve"> 2 times maximum per day. </w:t>
            </w:r>
          </w:p>
          <w:p w14:paraId="10AFBC71" w14:textId="734F7B15" w:rsidR="005118E6" w:rsidRPr="009016F5" w:rsidRDefault="00301071" w:rsidP="005118E6">
            <w:pPr>
              <w:numPr>
                <w:ilvl w:val="0"/>
                <w:numId w:val="32"/>
              </w:numPr>
              <w:contextualSpacing/>
              <w:rPr>
                <w:bCs/>
                <w:sz w:val="18"/>
                <w:szCs w:val="24"/>
                <w:lang w:eastAsia="en-GB"/>
              </w:rPr>
            </w:pPr>
            <w:r>
              <w:rPr>
                <w:bCs/>
                <w:sz w:val="18"/>
                <w:szCs w:val="24"/>
                <w:lang w:eastAsia="en-GB"/>
              </w:rPr>
              <w:t>Child (6-12y)  : 5.10 ml</w:t>
            </w:r>
            <w:r w:rsidR="005118E6" w:rsidRPr="009016F5">
              <w:rPr>
                <w:bCs/>
                <w:sz w:val="18"/>
                <w:szCs w:val="24"/>
                <w:lang w:eastAsia="en-GB"/>
              </w:rPr>
              <w:t xml:space="preserve"> / application on uncovered body parts*. Maximum one application per day. </w:t>
            </w:r>
          </w:p>
          <w:p w14:paraId="40DD02C2" w14:textId="35E4E3CF" w:rsidR="005118E6" w:rsidRPr="009016F5" w:rsidRDefault="00301071" w:rsidP="005118E6">
            <w:pPr>
              <w:numPr>
                <w:ilvl w:val="0"/>
                <w:numId w:val="32"/>
              </w:numPr>
              <w:contextualSpacing/>
              <w:rPr>
                <w:bCs/>
                <w:sz w:val="18"/>
                <w:szCs w:val="24"/>
                <w:lang w:eastAsia="en-GB"/>
              </w:rPr>
            </w:pPr>
            <w:r>
              <w:rPr>
                <w:bCs/>
                <w:sz w:val="18"/>
                <w:szCs w:val="24"/>
                <w:lang w:eastAsia="en-GB"/>
              </w:rPr>
              <w:t>Child (2-6y)  : 3.77</w:t>
            </w:r>
            <w:r w:rsidR="005118E6" w:rsidRPr="009016F5">
              <w:rPr>
                <w:bCs/>
                <w:sz w:val="18"/>
                <w:szCs w:val="24"/>
                <w:lang w:eastAsia="en-GB"/>
              </w:rPr>
              <w:t xml:space="preserve"> </w:t>
            </w:r>
            <w:r>
              <w:rPr>
                <w:bCs/>
                <w:sz w:val="18"/>
                <w:szCs w:val="24"/>
                <w:lang w:eastAsia="en-GB"/>
              </w:rPr>
              <w:t>ml</w:t>
            </w:r>
            <w:r w:rsidR="005118E6" w:rsidRPr="009016F5">
              <w:rPr>
                <w:bCs/>
                <w:sz w:val="18"/>
                <w:szCs w:val="24"/>
                <w:lang w:eastAsia="en-GB"/>
              </w:rPr>
              <w:t xml:space="preserve"> / application on uncovered body parts*. Maximum one application per day. </w:t>
            </w:r>
          </w:p>
          <w:p w14:paraId="79BF9FCB" w14:textId="5858001F" w:rsidR="005118E6" w:rsidRPr="009016F5" w:rsidRDefault="00301071" w:rsidP="005118E6">
            <w:pPr>
              <w:numPr>
                <w:ilvl w:val="0"/>
                <w:numId w:val="32"/>
              </w:numPr>
              <w:contextualSpacing/>
              <w:rPr>
                <w:bCs/>
                <w:sz w:val="18"/>
                <w:szCs w:val="24"/>
                <w:lang w:eastAsia="en-GB"/>
              </w:rPr>
            </w:pPr>
            <w:r>
              <w:rPr>
                <w:bCs/>
                <w:sz w:val="18"/>
                <w:szCs w:val="24"/>
                <w:lang w:eastAsia="en-GB"/>
              </w:rPr>
              <w:t>Toddler (1-2y)  : 2.66</w:t>
            </w:r>
            <w:r w:rsidR="005118E6" w:rsidRPr="009016F5">
              <w:rPr>
                <w:bCs/>
                <w:sz w:val="18"/>
                <w:szCs w:val="24"/>
                <w:lang w:eastAsia="en-GB"/>
              </w:rPr>
              <w:t xml:space="preserve"> </w:t>
            </w:r>
            <w:r>
              <w:rPr>
                <w:bCs/>
                <w:sz w:val="18"/>
                <w:szCs w:val="24"/>
                <w:lang w:eastAsia="en-GB"/>
              </w:rPr>
              <w:t>ml</w:t>
            </w:r>
            <w:r w:rsidR="005118E6" w:rsidRPr="009016F5">
              <w:rPr>
                <w:bCs/>
                <w:sz w:val="18"/>
                <w:szCs w:val="24"/>
                <w:lang w:eastAsia="en-GB"/>
              </w:rPr>
              <w:t xml:space="preserve"> / application on uncovered body parts*. Maximum one application per day. </w:t>
            </w:r>
          </w:p>
          <w:p w14:paraId="47622E59" w14:textId="74D8A637" w:rsidR="005118E6" w:rsidRDefault="00301071" w:rsidP="005118E6">
            <w:pPr>
              <w:numPr>
                <w:ilvl w:val="0"/>
                <w:numId w:val="32"/>
              </w:numPr>
              <w:contextualSpacing/>
              <w:rPr>
                <w:bCs/>
                <w:sz w:val="18"/>
                <w:szCs w:val="24"/>
                <w:lang w:eastAsia="en-GB"/>
              </w:rPr>
            </w:pPr>
            <w:r>
              <w:rPr>
                <w:bCs/>
                <w:sz w:val="18"/>
                <w:szCs w:val="24"/>
                <w:lang w:eastAsia="en-GB"/>
              </w:rPr>
              <w:t>Infant (0-1y)  : 2.27 ml</w:t>
            </w:r>
            <w:r w:rsidR="005118E6" w:rsidRPr="009016F5">
              <w:rPr>
                <w:bCs/>
                <w:sz w:val="18"/>
                <w:szCs w:val="24"/>
                <w:lang w:eastAsia="en-GB"/>
              </w:rPr>
              <w:t xml:space="preserve"> / application on uncovered body parts*. Maximum one application per day.</w:t>
            </w:r>
          </w:p>
          <w:p w14:paraId="1C98F310" w14:textId="77777777" w:rsidR="005118E6" w:rsidRPr="009016F5" w:rsidRDefault="005118E6" w:rsidP="00E82046">
            <w:pPr>
              <w:ind w:left="1440"/>
              <w:contextualSpacing/>
              <w:rPr>
                <w:bCs/>
                <w:sz w:val="18"/>
                <w:szCs w:val="24"/>
                <w:lang w:eastAsia="en-GB"/>
              </w:rPr>
            </w:pPr>
          </w:p>
          <w:p w14:paraId="6D54A016" w14:textId="244C988B" w:rsidR="005118E6" w:rsidRPr="00FF690F" w:rsidRDefault="005118E6" w:rsidP="00E82046">
            <w:pPr>
              <w:pStyle w:val="Standaard-Tabellen"/>
            </w:pPr>
            <w:r w:rsidRPr="001C0AD5">
              <w:t>* The product can be applied on uncovered parts of the body, limited to the face, arms, legs and feet. Do not apply on the whole body.</w:t>
            </w:r>
          </w:p>
        </w:tc>
      </w:tr>
      <w:tr w:rsidR="005118E6" w:rsidRPr="005118E6" w14:paraId="00ABDF1C" w14:textId="77777777" w:rsidTr="00E82046">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925D43" w14:textId="77777777" w:rsidR="005118E6" w:rsidRPr="00BD2EF1" w:rsidRDefault="005118E6" w:rsidP="00E82046">
            <w:pPr>
              <w:pStyle w:val="Standaard-Tabellen"/>
              <w:rPr>
                <w:b/>
              </w:rPr>
            </w:pPr>
            <w:r w:rsidRPr="00BD2EF1">
              <w:rPr>
                <w:b/>
              </w:rPr>
              <w:t>Category(</w:t>
            </w:r>
            <w:proofErr w:type="spellStart"/>
            <w:r w:rsidRPr="00BD2EF1">
              <w:rPr>
                <w:b/>
              </w:rPr>
              <w:t>ies</w:t>
            </w:r>
            <w:proofErr w:type="spellEnd"/>
            <w:r w:rsidRPr="00BD2EF1">
              <w:rPr>
                <w:b/>
              </w:rPr>
              <w:t>) of users</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72109187" w14:textId="01C9B02E" w:rsidR="005118E6" w:rsidRPr="00431A2A" w:rsidRDefault="005118E6" w:rsidP="00E82046">
            <w:pPr>
              <w:pStyle w:val="Standaard-Tabellen"/>
              <w:rPr>
                <w:lang w:val="fr-FR"/>
              </w:rPr>
            </w:pPr>
            <w:r w:rsidRPr="00431A2A">
              <w:rPr>
                <w:lang w:val="fr-FR"/>
              </w:rPr>
              <w:t>General public  (non-</w:t>
            </w:r>
            <w:proofErr w:type="spellStart"/>
            <w:r w:rsidRPr="00431A2A">
              <w:rPr>
                <w:lang w:val="fr-FR"/>
              </w:rPr>
              <w:t>professional</w:t>
            </w:r>
            <w:proofErr w:type="spellEnd"/>
            <w:r w:rsidRPr="00431A2A">
              <w:rPr>
                <w:lang w:val="fr-FR"/>
              </w:rPr>
              <w:t>)</w:t>
            </w:r>
          </w:p>
        </w:tc>
      </w:tr>
      <w:tr w:rsidR="005118E6" w:rsidRPr="00BD2EF1" w14:paraId="477BDE54" w14:textId="77777777" w:rsidTr="00E82046">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9ADA69" w14:textId="77777777" w:rsidR="005118E6" w:rsidRPr="00BD2EF1" w:rsidRDefault="005118E6" w:rsidP="00E82046">
            <w:pPr>
              <w:pStyle w:val="Standaard-Tabellen"/>
              <w:rPr>
                <w:b/>
              </w:rPr>
            </w:pPr>
            <w:r w:rsidRPr="00BD2EF1">
              <w:rPr>
                <w:b/>
              </w:rPr>
              <w:t>Pack sizes and packaging material</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tbl>
            <w:tblPr>
              <w:tblW w:w="6960" w:type="dxa"/>
              <w:tblLayout w:type="fixed"/>
              <w:tblLook w:val="04A0" w:firstRow="1" w:lastRow="0" w:firstColumn="1" w:lastColumn="0" w:noHBand="0" w:noVBand="1"/>
            </w:tblPr>
            <w:tblGrid>
              <w:gridCol w:w="6488"/>
              <w:gridCol w:w="236"/>
              <w:gridCol w:w="236"/>
            </w:tblGrid>
            <w:tr w:rsidR="005118E6" w14:paraId="1B7FBF13" w14:textId="77777777" w:rsidTr="00E82046">
              <w:trPr>
                <w:gridAfter w:val="2"/>
                <w:wAfter w:w="472" w:type="dxa"/>
                <w:trHeight w:val="264"/>
              </w:trPr>
              <w:tc>
                <w:tcPr>
                  <w:tcW w:w="6488" w:type="dxa"/>
                </w:tcPr>
                <w:p w14:paraId="3BB9D28D" w14:textId="77777777" w:rsidR="005118E6" w:rsidRPr="00093AB7" w:rsidRDefault="005118E6" w:rsidP="00E82046">
                  <w:pPr>
                    <w:pStyle w:val="Standaard-Tabellen"/>
                    <w:rPr>
                      <w:b/>
                    </w:rPr>
                  </w:pPr>
                  <w:r w:rsidRPr="00093AB7">
                    <w:rPr>
                      <w:b/>
                    </w:rPr>
                    <w:t>Types and Materials</w:t>
                  </w:r>
                </w:p>
                <w:p w14:paraId="3BCF2BFB" w14:textId="77777777" w:rsidR="00290444" w:rsidRDefault="00290444" w:rsidP="00290444">
                  <w:pPr>
                    <w:pStyle w:val="Standaard-Tabellen"/>
                  </w:pPr>
                  <w:r>
                    <w:lastRenderedPageBreak/>
                    <w:t>•</w:t>
                  </w:r>
                  <w:r>
                    <w:tab/>
                    <w:t>Squeeze tube - with snap cap, screw cap, top cap or flip top cap (PP) - (PE; HDPE; LDPE; PP; HDPE/LDPE ; HDPE/EVOH; HDPE/F; HDPE/PA ; LDPE/EVOH ; LDPE/F ; LDPE/PA)</w:t>
                  </w:r>
                </w:p>
                <w:p w14:paraId="15D70132" w14:textId="77777777" w:rsidR="00290444" w:rsidRDefault="00290444" w:rsidP="00290444">
                  <w:pPr>
                    <w:pStyle w:val="Standaard-Tabellen"/>
                  </w:pPr>
                </w:p>
                <w:p w14:paraId="745599CD" w14:textId="77777777" w:rsidR="00290444" w:rsidRDefault="00290444" w:rsidP="00290444">
                  <w:pPr>
                    <w:pStyle w:val="Standaard-Tabellen"/>
                  </w:pPr>
                  <w:r>
                    <w:t>•</w:t>
                  </w:r>
                  <w:r>
                    <w:tab/>
                    <w:t>Squeeze tube - with snap cap, screw cap, top cap or flip top cap (PP) - (in aluminium with inner layer of: PE; HDPE; LDPE; PP; HDPE/LDPE ; HDPE/EVOH; HDPE/F; HDPE/PA ; LDPE/EVOH ; LDPE/F ; LDPE/PA)</w:t>
                  </w:r>
                </w:p>
                <w:p w14:paraId="12FA47FC" w14:textId="77777777" w:rsidR="00290444" w:rsidRDefault="00290444" w:rsidP="00290444">
                  <w:pPr>
                    <w:pStyle w:val="Standaard-Tabellen"/>
                  </w:pPr>
                </w:p>
                <w:p w14:paraId="56F2BA91" w14:textId="26A8416D" w:rsidR="005118E6" w:rsidRPr="00093AB7" w:rsidRDefault="00290444" w:rsidP="00290444">
                  <w:pPr>
                    <w:pStyle w:val="Standaard-Tabellen"/>
                  </w:pPr>
                  <w:r>
                    <w:t>•</w:t>
                  </w:r>
                  <w:r>
                    <w:tab/>
                    <w:t>Bottle - with screw cap, top cap or pump dispenser- (PE; HDPE; LDPE; PP; HDPE/LDPE ; HDPE/EVOH; HDPE/F; HDPE/PA ; LDPE/EVOH ; LDPE/F ; LDPE/PA)</w:t>
                  </w:r>
                </w:p>
                <w:p w14:paraId="38EC3953" w14:textId="77777777" w:rsidR="005118E6" w:rsidRPr="00093AB7" w:rsidRDefault="005118E6" w:rsidP="00E82046">
                  <w:pPr>
                    <w:pStyle w:val="Standaard-Tabellen"/>
                  </w:pPr>
                </w:p>
                <w:p w14:paraId="595FE72A" w14:textId="77777777" w:rsidR="005118E6" w:rsidRPr="00093AB7" w:rsidRDefault="005118E6" w:rsidP="00E82046">
                  <w:pPr>
                    <w:pStyle w:val="Standaard-Tabellen"/>
                  </w:pPr>
                </w:p>
                <w:p w14:paraId="4F341112" w14:textId="77777777" w:rsidR="005118E6" w:rsidRPr="00F835F6" w:rsidRDefault="005118E6" w:rsidP="00E82046">
                  <w:pPr>
                    <w:pStyle w:val="Standaard-Tabellen"/>
                    <w:rPr>
                      <w:b/>
                    </w:rPr>
                  </w:pPr>
                  <w:r w:rsidRPr="00093AB7">
                    <w:t>For all packaging types, size: 25-250 mL in steps of 5 ml</w:t>
                  </w:r>
                </w:p>
              </w:tc>
            </w:tr>
            <w:tr w:rsidR="005118E6" w14:paraId="63909DEE" w14:textId="77777777" w:rsidTr="00E82046">
              <w:trPr>
                <w:trHeight w:val="279"/>
              </w:trPr>
              <w:tc>
                <w:tcPr>
                  <w:tcW w:w="6488" w:type="dxa"/>
                </w:tcPr>
                <w:p w14:paraId="0ED20616" w14:textId="77777777" w:rsidR="005118E6" w:rsidRPr="00F835F6" w:rsidRDefault="005118E6" w:rsidP="00E82046">
                  <w:pPr>
                    <w:pStyle w:val="Standaard-Tabellen"/>
                  </w:pPr>
                </w:p>
              </w:tc>
              <w:tc>
                <w:tcPr>
                  <w:tcW w:w="236" w:type="dxa"/>
                </w:tcPr>
                <w:p w14:paraId="2A4026BA" w14:textId="77777777" w:rsidR="005118E6" w:rsidRPr="00F835F6" w:rsidRDefault="005118E6" w:rsidP="00E82046">
                  <w:pPr>
                    <w:pStyle w:val="Standaard-Tabellen"/>
                  </w:pPr>
                </w:p>
              </w:tc>
              <w:tc>
                <w:tcPr>
                  <w:tcW w:w="236" w:type="dxa"/>
                </w:tcPr>
                <w:p w14:paraId="7A1A71E7" w14:textId="77777777" w:rsidR="005118E6" w:rsidRPr="00F835F6" w:rsidRDefault="005118E6" w:rsidP="00E82046">
                  <w:pPr>
                    <w:pStyle w:val="Standaard-Tabellen"/>
                  </w:pPr>
                </w:p>
              </w:tc>
            </w:tr>
          </w:tbl>
          <w:p w14:paraId="3E07ACC5" w14:textId="77777777" w:rsidR="005118E6" w:rsidRPr="00BD2EF1" w:rsidRDefault="005118E6" w:rsidP="00E82046">
            <w:pPr>
              <w:pStyle w:val="Standaard-Tabellen"/>
            </w:pPr>
          </w:p>
        </w:tc>
      </w:tr>
    </w:tbl>
    <w:p w14:paraId="760D1168" w14:textId="49538CAB" w:rsidR="005118E6" w:rsidRDefault="005118E6" w:rsidP="005118E6">
      <w:pPr>
        <w:pStyle w:val="Titre4"/>
      </w:pPr>
      <w:bookmarkStart w:id="42" w:name="_Toc12967116"/>
      <w:r w:rsidRPr="00BD2EF1">
        <w:lastRenderedPageBreak/>
        <w:t>Use-specific instructions for use</w:t>
      </w:r>
      <w:bookmarkEnd w:id="42"/>
    </w:p>
    <w:p w14:paraId="6E61BB43" w14:textId="7A0F4459" w:rsidR="005118E6" w:rsidRPr="00431A2A" w:rsidRDefault="00030E6B" w:rsidP="005118E6">
      <w:pPr>
        <w:pBdr>
          <w:top w:val="single" w:sz="4" w:space="1" w:color="auto"/>
          <w:left w:val="single" w:sz="4" w:space="4" w:color="auto"/>
          <w:bottom w:val="single" w:sz="4" w:space="1" w:color="auto"/>
          <w:right w:val="single" w:sz="4" w:space="4" w:color="auto"/>
          <w:between w:val="single" w:sz="4" w:space="1" w:color="auto"/>
          <w:bar w:val="single" w:sz="4" w:color="auto"/>
        </w:pBdr>
      </w:pPr>
      <w:r>
        <w:t>See 2</w:t>
      </w:r>
      <w:r w:rsidR="000602FD">
        <w:t>.1.5.1</w:t>
      </w:r>
    </w:p>
    <w:p w14:paraId="3659FC8A" w14:textId="77777777" w:rsidR="005118E6" w:rsidRDefault="005118E6" w:rsidP="005118E6">
      <w:pPr>
        <w:pStyle w:val="Titre4"/>
      </w:pPr>
      <w:bookmarkStart w:id="43" w:name="_Toc12967117"/>
      <w:r w:rsidRPr="00BD2EF1">
        <w:t>Use-specific risk mitigation measures</w:t>
      </w:r>
      <w:bookmarkEnd w:id="43"/>
      <w:r w:rsidRPr="00BD2EF1">
        <w:t xml:space="preserve"> </w:t>
      </w:r>
    </w:p>
    <w:p w14:paraId="353A1612" w14:textId="6FF73FD0" w:rsidR="005118E6" w:rsidRPr="00431A2A" w:rsidRDefault="005118E6" w:rsidP="005118E6">
      <w:pPr>
        <w:pBdr>
          <w:top w:val="single" w:sz="4" w:space="1" w:color="auto"/>
          <w:left w:val="single" w:sz="4" w:space="4" w:color="auto"/>
          <w:bottom w:val="single" w:sz="4" w:space="1" w:color="auto"/>
          <w:right w:val="single" w:sz="4" w:space="4" w:color="auto"/>
          <w:between w:val="single" w:sz="4" w:space="1" w:color="auto"/>
          <w:bar w:val="single" w:sz="4" w:color="auto"/>
        </w:pBdr>
      </w:pPr>
      <w:r w:rsidRPr="00431A2A">
        <w:t xml:space="preserve">See </w:t>
      </w:r>
      <w:r w:rsidR="00030E6B">
        <w:t>2</w:t>
      </w:r>
      <w:r>
        <w:t>.1.5.2</w:t>
      </w:r>
    </w:p>
    <w:p w14:paraId="106D8583" w14:textId="72640997" w:rsidR="005118E6" w:rsidRDefault="005118E6" w:rsidP="005118E6">
      <w:pPr>
        <w:pStyle w:val="Titre4"/>
      </w:pPr>
      <w:bookmarkStart w:id="44" w:name="_Toc12967118"/>
      <w:r w:rsidRPr="00BD2EF1">
        <w:t>Where specific to the use, the particulars of likely direct or indirect effects, first aid instructions and emergency measures to protect the environment</w:t>
      </w:r>
      <w:bookmarkEnd w:id="44"/>
    </w:p>
    <w:tbl>
      <w:tblPr>
        <w:tblW w:w="5000" w:type="pct"/>
        <w:tblLook w:val="04A0" w:firstRow="1" w:lastRow="0" w:firstColumn="1" w:lastColumn="0" w:noHBand="0" w:noVBand="1"/>
      </w:tblPr>
      <w:tblGrid>
        <w:gridCol w:w="9402"/>
      </w:tblGrid>
      <w:tr w:rsidR="005118E6" w:rsidRPr="00BD2EF1" w14:paraId="3E7DED24" w14:textId="77777777" w:rsidTr="00E82046">
        <w:tc>
          <w:tcPr>
            <w:tcW w:w="5000" w:type="pct"/>
            <w:tcBorders>
              <w:top w:val="single" w:sz="4" w:space="0" w:color="auto"/>
              <w:left w:val="single" w:sz="4" w:space="0" w:color="auto"/>
              <w:bottom w:val="single" w:sz="4" w:space="0" w:color="auto"/>
              <w:right w:val="single" w:sz="4" w:space="0" w:color="auto"/>
            </w:tcBorders>
          </w:tcPr>
          <w:p w14:paraId="54A7A551" w14:textId="1E7FB619" w:rsidR="005118E6" w:rsidRPr="00431A2A" w:rsidRDefault="005118E6" w:rsidP="00E82046">
            <w:r w:rsidRPr="00431A2A">
              <w:t xml:space="preserve">See </w:t>
            </w:r>
            <w:r w:rsidR="00030E6B">
              <w:t>2</w:t>
            </w:r>
            <w:r w:rsidRPr="00431A2A">
              <w:t>.1.5.3</w:t>
            </w:r>
          </w:p>
        </w:tc>
      </w:tr>
    </w:tbl>
    <w:p w14:paraId="7FFF5A50" w14:textId="1D82F4FE" w:rsidR="005118E6" w:rsidRPr="00BD2EF1" w:rsidRDefault="005118E6" w:rsidP="005118E6">
      <w:pPr>
        <w:pStyle w:val="Titre4"/>
      </w:pPr>
      <w:bookmarkStart w:id="45" w:name="_Toc12967119"/>
      <w:r w:rsidRPr="00BD2EF1">
        <w:t>Where specific to the use, the instructions for safe disposal of the product and its packaging</w:t>
      </w:r>
      <w:bookmarkEnd w:id="45"/>
      <w:r w:rsidRPr="00BD2EF1">
        <w:t xml:space="preserve"> </w:t>
      </w:r>
    </w:p>
    <w:tbl>
      <w:tblPr>
        <w:tblW w:w="5000" w:type="pct"/>
        <w:tblLook w:val="04A0" w:firstRow="1" w:lastRow="0" w:firstColumn="1" w:lastColumn="0" w:noHBand="0" w:noVBand="1"/>
      </w:tblPr>
      <w:tblGrid>
        <w:gridCol w:w="9402"/>
      </w:tblGrid>
      <w:tr w:rsidR="005118E6" w:rsidRPr="00BD2EF1" w14:paraId="515B5009" w14:textId="77777777" w:rsidTr="00E82046">
        <w:tc>
          <w:tcPr>
            <w:tcW w:w="5000" w:type="pct"/>
            <w:tcBorders>
              <w:top w:val="single" w:sz="4" w:space="0" w:color="auto"/>
              <w:left w:val="single" w:sz="4" w:space="0" w:color="auto"/>
              <w:bottom w:val="single" w:sz="4" w:space="0" w:color="auto"/>
              <w:right w:val="single" w:sz="4" w:space="0" w:color="auto"/>
            </w:tcBorders>
          </w:tcPr>
          <w:p w14:paraId="02389FE9" w14:textId="3A550F76" w:rsidR="005118E6" w:rsidRPr="00431A2A" w:rsidRDefault="005118E6" w:rsidP="00E82046">
            <w:pPr>
              <w:rPr>
                <w:lang w:val="en-US" w:eastAsia="nl-NL"/>
              </w:rPr>
            </w:pPr>
            <w:r w:rsidRPr="00431A2A">
              <w:t xml:space="preserve">See </w:t>
            </w:r>
            <w:r w:rsidR="00030E6B">
              <w:t>2</w:t>
            </w:r>
            <w:r w:rsidRPr="00431A2A">
              <w:t>.1.5.4</w:t>
            </w:r>
          </w:p>
        </w:tc>
      </w:tr>
    </w:tbl>
    <w:p w14:paraId="371A516C" w14:textId="4E67ADE5" w:rsidR="005118E6" w:rsidRPr="00BD2EF1" w:rsidRDefault="005118E6" w:rsidP="005118E6">
      <w:pPr>
        <w:pStyle w:val="Titre4"/>
      </w:pPr>
      <w:bookmarkStart w:id="46" w:name="_Toc12967120"/>
      <w:r w:rsidRPr="00BD2EF1">
        <w:t>Where specific to the use, the conditions of storage and shelf-life of the product under normal conditions of storage</w:t>
      </w:r>
      <w:bookmarkEnd w:id="46"/>
    </w:p>
    <w:tbl>
      <w:tblPr>
        <w:tblW w:w="5000" w:type="pct"/>
        <w:tblLook w:val="04A0" w:firstRow="1" w:lastRow="0" w:firstColumn="1" w:lastColumn="0" w:noHBand="0" w:noVBand="1"/>
      </w:tblPr>
      <w:tblGrid>
        <w:gridCol w:w="9402"/>
      </w:tblGrid>
      <w:tr w:rsidR="005118E6" w:rsidRPr="00BD2EF1" w14:paraId="64DE6345" w14:textId="77777777" w:rsidTr="00E82046">
        <w:tc>
          <w:tcPr>
            <w:tcW w:w="5000" w:type="pct"/>
            <w:tcBorders>
              <w:top w:val="single" w:sz="4" w:space="0" w:color="auto"/>
              <w:left w:val="single" w:sz="4" w:space="0" w:color="auto"/>
              <w:bottom w:val="single" w:sz="4" w:space="0" w:color="auto"/>
              <w:right w:val="single" w:sz="4" w:space="0" w:color="auto"/>
            </w:tcBorders>
          </w:tcPr>
          <w:p w14:paraId="07B27926" w14:textId="55D3638C" w:rsidR="005118E6" w:rsidRPr="00431A2A" w:rsidRDefault="005118E6" w:rsidP="00E82046">
            <w:pPr>
              <w:rPr>
                <w:lang w:val="en-US" w:eastAsia="nl-NL"/>
              </w:rPr>
            </w:pPr>
            <w:r w:rsidRPr="00431A2A">
              <w:rPr>
                <w:lang w:val="en-US" w:eastAsia="nl-NL"/>
              </w:rPr>
              <w:t xml:space="preserve">See </w:t>
            </w:r>
            <w:r w:rsidR="00030E6B">
              <w:rPr>
                <w:lang w:val="en-US" w:eastAsia="nl-NL"/>
              </w:rPr>
              <w:t>2</w:t>
            </w:r>
            <w:r w:rsidRPr="00431A2A">
              <w:rPr>
                <w:lang w:val="en-US" w:eastAsia="nl-NL"/>
              </w:rPr>
              <w:t>.1.5.5</w:t>
            </w:r>
          </w:p>
        </w:tc>
      </w:tr>
    </w:tbl>
    <w:p w14:paraId="42933E4F" w14:textId="77777777" w:rsidR="005118E6" w:rsidRPr="00BD2EF1" w:rsidRDefault="005118E6" w:rsidP="005118E6"/>
    <w:p w14:paraId="25CA3A49" w14:textId="0D7639E6" w:rsidR="005118E6" w:rsidRPr="00BD2EF1" w:rsidRDefault="005118E6" w:rsidP="005118E6">
      <w:pPr>
        <w:pStyle w:val="Titre3"/>
      </w:pPr>
      <w:bookmarkStart w:id="47" w:name="_Toc12967121"/>
      <w:r w:rsidRPr="00BD2EF1">
        <w:t>General directions for use</w:t>
      </w:r>
      <w:bookmarkEnd w:id="47"/>
    </w:p>
    <w:p w14:paraId="3893EFC2" w14:textId="16899E16" w:rsidR="005118E6" w:rsidRPr="00BD2EF1" w:rsidRDefault="005118E6" w:rsidP="005118E6">
      <w:pPr>
        <w:pStyle w:val="Titre4"/>
      </w:pPr>
      <w:bookmarkStart w:id="48" w:name="_Toc12967122"/>
      <w:r w:rsidRPr="00BD2EF1">
        <w:t>Instructions for use</w:t>
      </w:r>
      <w:bookmarkEnd w:id="48"/>
    </w:p>
    <w:tbl>
      <w:tblPr>
        <w:tblW w:w="5000" w:type="pct"/>
        <w:tblCellMar>
          <w:left w:w="0" w:type="dxa"/>
          <w:right w:w="0" w:type="dxa"/>
        </w:tblCellMar>
        <w:tblLook w:val="0000" w:firstRow="0" w:lastRow="0" w:firstColumn="0" w:lastColumn="0" w:noHBand="0" w:noVBand="0"/>
      </w:tblPr>
      <w:tblGrid>
        <w:gridCol w:w="9402"/>
      </w:tblGrid>
      <w:tr w:rsidR="005118E6" w:rsidRPr="00BD2EF1" w14:paraId="5DCF0246" w14:textId="77777777" w:rsidTr="00E82046">
        <w:tc>
          <w:tcPr>
            <w:tcW w:w="500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E61C670" w14:textId="77777777" w:rsidR="005118E6" w:rsidRDefault="005118E6" w:rsidP="00E82046">
            <w:r>
              <w:t>Use repellent safely. Always read the label or leaflet before use and follow all the instructions provided.</w:t>
            </w:r>
          </w:p>
          <w:p w14:paraId="28066BD0" w14:textId="77777777" w:rsidR="005118E6" w:rsidRDefault="005118E6" w:rsidP="00E82046"/>
          <w:p w14:paraId="1962DC16" w14:textId="77777777" w:rsidR="005118E6" w:rsidRDefault="005118E6" w:rsidP="00E82046">
            <w:r>
              <w:t>Keep out of reach of children.</w:t>
            </w:r>
          </w:p>
          <w:p w14:paraId="00A20373" w14:textId="77777777" w:rsidR="005118E6" w:rsidRDefault="005118E6" w:rsidP="00E82046"/>
          <w:p w14:paraId="626B02E1" w14:textId="2C744A74" w:rsidR="005118E6" w:rsidRDefault="005118E6" w:rsidP="00E82046">
            <w:r>
              <w:t>Place a right amount of lotion on the palm of the hand and distribute the lotion over the exposed skin. ONLY apply to uncovered parts of the body, limited to the face, arms, legs and feet. Do not apply on the whole body.</w:t>
            </w:r>
          </w:p>
          <w:p w14:paraId="3E5A631B" w14:textId="77777777" w:rsidR="005118E6" w:rsidRDefault="005118E6" w:rsidP="00E82046"/>
          <w:p w14:paraId="2C98E14B" w14:textId="77777777" w:rsidR="005118E6" w:rsidRDefault="005118E6" w:rsidP="00E82046">
            <w:r>
              <w:lastRenderedPageBreak/>
              <w:t>Make sure to protect the eyes. Do not apply to eye area.</w:t>
            </w:r>
          </w:p>
          <w:p w14:paraId="0007D5F6" w14:textId="77777777" w:rsidR="005118E6" w:rsidRDefault="005118E6" w:rsidP="00E82046"/>
          <w:p w14:paraId="47A7FE6E" w14:textId="77777777" w:rsidR="005118E6" w:rsidRDefault="005118E6" w:rsidP="00E82046">
            <w:r>
              <w:t>Do not apply over cuts, wounds, freshly shaven or irritated skin. Do not use under clothing. Only for external use.</w:t>
            </w:r>
          </w:p>
          <w:p w14:paraId="12D8A76B" w14:textId="77777777" w:rsidR="005118E6" w:rsidRDefault="005118E6" w:rsidP="00E82046"/>
          <w:p w14:paraId="1C9B72BD" w14:textId="77777777" w:rsidR="005118E6" w:rsidRDefault="005118E6" w:rsidP="00E82046">
            <w:r>
              <w:t xml:space="preserve">Applying sun care products or cosmetic formulations after repellent use will alter the efficacy of the repellent considerably. </w:t>
            </w:r>
            <w:r w:rsidRPr="004B49C5">
              <w:t>In case of a concomitant use of the product with sunscreen, first apply the sunscreen and wait 20 minutes before the application of the product.</w:t>
            </w:r>
          </w:p>
          <w:p w14:paraId="128D7F59" w14:textId="77777777" w:rsidR="005118E6" w:rsidRDefault="005118E6" w:rsidP="00E82046">
            <w:r>
              <w:t xml:space="preserve">In case of strong perspiration and after having taken a swim, the effectiveness will diminish. The product can be applied once a day for children under 12 years old and twice a day for adult and children above 12 years old. </w:t>
            </w:r>
          </w:p>
          <w:p w14:paraId="595B4622" w14:textId="77777777" w:rsidR="005118E6" w:rsidRDefault="005118E6" w:rsidP="00E82046"/>
          <w:p w14:paraId="1D9E6729" w14:textId="77777777" w:rsidR="005118E6" w:rsidRDefault="005118E6" w:rsidP="00E82046">
            <w:r>
              <w:t>Caution must be taken when using these products on infants and mechanical protection (clothing, mosquito nets) is to be preferred.</w:t>
            </w:r>
          </w:p>
          <w:p w14:paraId="60E85D72" w14:textId="77777777" w:rsidR="005118E6" w:rsidRDefault="005118E6" w:rsidP="00E82046"/>
          <w:p w14:paraId="4D55B82D" w14:textId="77777777" w:rsidR="005118E6" w:rsidRDefault="005118E6" w:rsidP="00E82046">
            <w:r>
              <w:t>Avoid contact with synthetic materials. Synthetic materials should be protected during application.</w:t>
            </w:r>
          </w:p>
          <w:p w14:paraId="6C878769" w14:textId="77777777" w:rsidR="005118E6" w:rsidRDefault="005118E6" w:rsidP="00E82046">
            <w:r w:rsidRPr="004B49C5">
              <w:t>The users should inform if the treatment is ineffective and report straightforward to the registration holder.</w:t>
            </w:r>
          </w:p>
          <w:p w14:paraId="2662CB05" w14:textId="77777777" w:rsidR="005118E6" w:rsidRDefault="005118E6" w:rsidP="00E82046">
            <w:r>
              <w:t>The use of the product with other repellent products is not recommended.</w:t>
            </w:r>
          </w:p>
          <w:p w14:paraId="37134CAB" w14:textId="77777777" w:rsidR="005118E6" w:rsidRDefault="005118E6" w:rsidP="00E82046"/>
          <w:p w14:paraId="7A710B64" w14:textId="77777777" w:rsidR="005118E6" w:rsidRPr="004B49C5" w:rsidRDefault="005118E6" w:rsidP="00E82046">
            <w:r>
              <w:t>The protection time of 8 hours is only indicative. Environmental factors (e.g. high temperature, wind velocity) can modify it.</w:t>
            </w:r>
          </w:p>
        </w:tc>
      </w:tr>
    </w:tbl>
    <w:p w14:paraId="69971683" w14:textId="0112F49C" w:rsidR="005118E6" w:rsidRPr="00BD2EF1" w:rsidRDefault="005118E6" w:rsidP="005118E6">
      <w:pPr>
        <w:pStyle w:val="Titre4"/>
      </w:pPr>
      <w:bookmarkStart w:id="49" w:name="_Toc12967123"/>
      <w:r w:rsidRPr="00BD2EF1">
        <w:lastRenderedPageBreak/>
        <w:t>Risk mitigation measures</w:t>
      </w:r>
      <w:bookmarkEnd w:id="49"/>
    </w:p>
    <w:tbl>
      <w:tblPr>
        <w:tblW w:w="5000" w:type="pct"/>
        <w:tblCellMar>
          <w:left w:w="0" w:type="dxa"/>
          <w:right w:w="0" w:type="dxa"/>
        </w:tblCellMar>
        <w:tblLook w:val="0000" w:firstRow="0" w:lastRow="0" w:firstColumn="0" w:lastColumn="0" w:noHBand="0" w:noVBand="0"/>
      </w:tblPr>
      <w:tblGrid>
        <w:gridCol w:w="9402"/>
      </w:tblGrid>
      <w:tr w:rsidR="005118E6" w:rsidRPr="00BD2EF1" w14:paraId="562152CB" w14:textId="77777777" w:rsidTr="00E82046">
        <w:tc>
          <w:tcPr>
            <w:tcW w:w="500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478CAF" w14:textId="60835B69" w:rsidR="005118E6" w:rsidRDefault="005118E6" w:rsidP="00E82046">
            <w:pPr>
              <w:rPr>
                <w:lang w:eastAsia="fi-FI"/>
              </w:rPr>
            </w:pPr>
            <w:r>
              <w:rPr>
                <w:lang w:eastAsia="fi-FI"/>
              </w:rPr>
              <w:t xml:space="preserve">ONLY apply to uncovered parts of the body, limited to the face, arms, legs and feet. </w:t>
            </w:r>
          </w:p>
          <w:p w14:paraId="27ED0166" w14:textId="77777777" w:rsidR="005118E6" w:rsidRDefault="005118E6" w:rsidP="00E82046">
            <w:pPr>
              <w:rPr>
                <w:lang w:eastAsia="fi-FI"/>
              </w:rPr>
            </w:pPr>
          </w:p>
          <w:p w14:paraId="4A5B6824" w14:textId="220EAD7E" w:rsidR="005118E6" w:rsidRDefault="00A41F6C" w:rsidP="00E82046">
            <w:pPr>
              <w:rPr>
                <w:lang w:eastAsia="fi-FI"/>
              </w:rPr>
            </w:pPr>
            <w:r>
              <w:rPr>
                <w:lang w:eastAsia="fi-FI"/>
              </w:rPr>
              <w:t xml:space="preserve">Do not use on children’s hands. </w:t>
            </w:r>
            <w:r w:rsidR="005118E6">
              <w:rPr>
                <w:lang w:eastAsia="fi-FI"/>
              </w:rPr>
              <w:t>An adult should apply the product to children below 12 years of age</w:t>
            </w:r>
            <w:r>
              <w:rPr>
                <w:lang w:eastAsia="fi-FI"/>
              </w:rPr>
              <w:t xml:space="preserve"> and wash his hands after application. </w:t>
            </w:r>
            <w:r w:rsidR="005118E6">
              <w:rPr>
                <w:lang w:eastAsia="fi-FI"/>
              </w:rPr>
              <w:t xml:space="preserve"> </w:t>
            </w:r>
          </w:p>
          <w:p w14:paraId="2FB70EDC" w14:textId="77777777" w:rsidR="005118E6" w:rsidRDefault="005118E6" w:rsidP="00E82046">
            <w:pPr>
              <w:rPr>
                <w:lang w:eastAsia="fi-FI"/>
              </w:rPr>
            </w:pPr>
          </w:p>
          <w:p w14:paraId="3D66948E" w14:textId="77777777" w:rsidR="005118E6" w:rsidRDefault="005118E6" w:rsidP="00E82046">
            <w:pPr>
              <w:rPr>
                <w:lang w:eastAsia="fi-FI"/>
              </w:rPr>
            </w:pPr>
            <w:r>
              <w:rPr>
                <w:lang w:eastAsia="fi-FI"/>
              </w:rPr>
              <w:t>Wash hands before handling food. Do not apply directly on or near food, feed or drinks, or on surfaces or utensils likely to be in direct contact with food, feed, drinks. To prevent contamination of food, avoid contact of treated skin with food.</w:t>
            </w:r>
          </w:p>
          <w:p w14:paraId="645416F9" w14:textId="77777777" w:rsidR="00DF214A" w:rsidRDefault="00DF214A" w:rsidP="00E82046">
            <w:pPr>
              <w:rPr>
                <w:lang w:eastAsia="fi-FI"/>
              </w:rPr>
            </w:pPr>
          </w:p>
          <w:p w14:paraId="1CC1E956" w14:textId="07F62FE0" w:rsidR="00DF214A" w:rsidRPr="006D72B9" w:rsidRDefault="00DF214A" w:rsidP="00E82046">
            <w:pPr>
              <w:rPr>
                <w:lang w:eastAsia="fi-FI"/>
              </w:rPr>
            </w:pPr>
            <w:r w:rsidRPr="00DF214A">
              <w:rPr>
                <w:lang w:eastAsia="fi-FI"/>
              </w:rPr>
              <w:t>Only apply outdoor or in well ventilated area.</w:t>
            </w:r>
          </w:p>
        </w:tc>
      </w:tr>
    </w:tbl>
    <w:p w14:paraId="57722BAF" w14:textId="4B5A22A5" w:rsidR="005118E6" w:rsidRPr="00BD2EF1" w:rsidRDefault="005118E6" w:rsidP="005118E6">
      <w:pPr>
        <w:pStyle w:val="Titre4"/>
      </w:pPr>
      <w:bookmarkStart w:id="50" w:name="_Toc12967124"/>
      <w:r w:rsidRPr="00BD2EF1">
        <w:t>Particulars of likely direct or indirect effects, first aid instructions and emergency measures to protect the environment</w:t>
      </w:r>
      <w:bookmarkEnd w:id="50"/>
    </w:p>
    <w:tbl>
      <w:tblPr>
        <w:tblW w:w="5000" w:type="pct"/>
        <w:tblCellMar>
          <w:left w:w="0" w:type="dxa"/>
          <w:right w:w="0" w:type="dxa"/>
        </w:tblCellMar>
        <w:tblLook w:val="0000" w:firstRow="0" w:lastRow="0" w:firstColumn="0" w:lastColumn="0" w:noHBand="0" w:noVBand="0"/>
      </w:tblPr>
      <w:tblGrid>
        <w:gridCol w:w="9402"/>
      </w:tblGrid>
      <w:tr w:rsidR="005118E6" w:rsidRPr="00BD2EF1" w14:paraId="6647D779" w14:textId="77777777" w:rsidTr="00E82046">
        <w:tc>
          <w:tcPr>
            <w:tcW w:w="500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02AEAB" w14:textId="77777777" w:rsidR="005118E6" w:rsidRPr="004B49C5" w:rsidRDefault="005118E6" w:rsidP="00E82046">
            <w:r w:rsidRPr="00535727">
              <w:rPr>
                <w:u w:val="single"/>
              </w:rPr>
              <w:t>In case of inhalation:</w:t>
            </w:r>
            <w:r w:rsidRPr="00535727">
              <w:t xml:space="preserve"> bring to fresh air.</w:t>
            </w:r>
          </w:p>
          <w:p w14:paraId="4BF3A4A5" w14:textId="77777777" w:rsidR="005118E6" w:rsidRDefault="005118E6" w:rsidP="00E82046">
            <w:r>
              <w:rPr>
                <w:u w:val="single"/>
              </w:rPr>
              <w:t>In case of</w:t>
            </w:r>
            <w:r w:rsidRPr="00B5039A">
              <w:rPr>
                <w:u w:val="single"/>
              </w:rPr>
              <w:t xml:space="preserve"> eye contact:</w:t>
            </w:r>
            <w:r>
              <w:t xml:space="preserve"> </w:t>
            </w:r>
            <w:r w:rsidRPr="004B49C5">
              <w:t>check for and remove any contact lenses if easy to do. Rinse out with plenty of water. Call in ophthalmologist.</w:t>
            </w:r>
          </w:p>
          <w:p w14:paraId="5D003591" w14:textId="77777777" w:rsidR="005118E6" w:rsidRDefault="005118E6" w:rsidP="00E82046">
            <w:r w:rsidRPr="004B49C5">
              <w:rPr>
                <w:u w:val="single"/>
              </w:rPr>
              <w:t>In case of skin contact</w:t>
            </w:r>
            <w:r w:rsidRPr="004B49C5">
              <w:t>: in case of skin lesions, redness or persistent pain after application, consult a doctor.</w:t>
            </w:r>
          </w:p>
          <w:p w14:paraId="6C13DD88" w14:textId="77777777" w:rsidR="005118E6" w:rsidRPr="00B5039A" w:rsidRDefault="005118E6" w:rsidP="00E82046">
            <w:r>
              <w:rPr>
                <w:u w:val="single"/>
              </w:rPr>
              <w:t>In case of</w:t>
            </w:r>
            <w:r w:rsidRPr="00B5039A">
              <w:rPr>
                <w:u w:val="single"/>
              </w:rPr>
              <w:t xml:space="preserve"> swallowing:</w:t>
            </w:r>
            <w:r w:rsidRPr="00B5039A">
              <w:t xml:space="preserve"> immediately make victim drink water (two glasses at most). Consult a physician.</w:t>
            </w:r>
          </w:p>
          <w:p w14:paraId="51268CC9" w14:textId="77777777" w:rsidR="005118E6" w:rsidRPr="00B5039A" w:rsidRDefault="005118E6" w:rsidP="00E82046">
            <w:r w:rsidRPr="00B5039A">
              <w:rPr>
                <w:u w:val="single"/>
              </w:rPr>
              <w:t xml:space="preserve">Most important symptoms and effects, acute </w:t>
            </w:r>
            <w:r>
              <w:rPr>
                <w:u w:val="single"/>
              </w:rPr>
              <w:t>or</w:t>
            </w:r>
            <w:r w:rsidRPr="00B5039A">
              <w:rPr>
                <w:u w:val="single"/>
              </w:rPr>
              <w:t xml:space="preserve"> delayed:</w:t>
            </w:r>
            <w:r w:rsidRPr="00B5039A">
              <w:t xml:space="preserve"> </w:t>
            </w:r>
            <w:r>
              <w:t>no description of any toxic symptoms</w:t>
            </w:r>
          </w:p>
          <w:p w14:paraId="4EF3E7E4" w14:textId="77777777" w:rsidR="005118E6" w:rsidRDefault="005118E6" w:rsidP="00E82046">
            <w:r w:rsidRPr="00B5039A">
              <w:rPr>
                <w:u w:val="single"/>
              </w:rPr>
              <w:lastRenderedPageBreak/>
              <w:t>Indication of any immediate medical attention and special treatment needed:</w:t>
            </w:r>
            <w:r w:rsidRPr="00B5039A">
              <w:t xml:space="preserve"> No information available</w:t>
            </w:r>
          </w:p>
          <w:p w14:paraId="7E13ECBE" w14:textId="77777777" w:rsidR="005118E6" w:rsidRPr="00B5039A" w:rsidRDefault="005118E6" w:rsidP="00E82046"/>
          <w:p w14:paraId="5D6E29D6" w14:textId="77777777" w:rsidR="005118E6" w:rsidRPr="00BD2EF1" w:rsidRDefault="005118E6" w:rsidP="00E82046">
            <w:r w:rsidRPr="006E4A9A">
              <w:rPr>
                <w:u w:val="single"/>
              </w:rPr>
              <w:t>Environmental precautions</w:t>
            </w:r>
            <w:r w:rsidRPr="006E4A9A">
              <w:t>: Do not discharge superfluous fluids to the drain.</w:t>
            </w:r>
          </w:p>
        </w:tc>
      </w:tr>
    </w:tbl>
    <w:p w14:paraId="6D2229E6" w14:textId="20D03384" w:rsidR="005118E6" w:rsidRPr="00BD2EF1" w:rsidRDefault="005118E6" w:rsidP="005118E6">
      <w:pPr>
        <w:pStyle w:val="Titre4"/>
      </w:pPr>
      <w:bookmarkStart w:id="51" w:name="_Toc12967125"/>
      <w:r w:rsidRPr="00BD2EF1">
        <w:lastRenderedPageBreak/>
        <w:t>Instructions for safe disposal of the product and its packaging</w:t>
      </w:r>
      <w:bookmarkEnd w:id="51"/>
    </w:p>
    <w:tbl>
      <w:tblPr>
        <w:tblW w:w="5000" w:type="pct"/>
        <w:tblCellMar>
          <w:left w:w="0" w:type="dxa"/>
          <w:right w:w="0" w:type="dxa"/>
        </w:tblCellMar>
        <w:tblLook w:val="0000" w:firstRow="0" w:lastRow="0" w:firstColumn="0" w:lastColumn="0" w:noHBand="0" w:noVBand="0"/>
      </w:tblPr>
      <w:tblGrid>
        <w:gridCol w:w="9402"/>
      </w:tblGrid>
      <w:tr w:rsidR="005118E6" w:rsidRPr="00BD2EF1" w14:paraId="5851F03A" w14:textId="77777777" w:rsidTr="00E82046">
        <w:tc>
          <w:tcPr>
            <w:tcW w:w="500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AE60CD" w14:textId="77777777" w:rsidR="005118E6" w:rsidRDefault="005118E6" w:rsidP="00E82046">
            <w:r>
              <w:t>Waste material must be disposed of in accordance with the Directive on waste 2008/98/EC as well as other national and local regulations. Leave chemicals in original containers. No mixing with other waste. Handle uncleaned containers like the product itself.</w:t>
            </w:r>
          </w:p>
          <w:p w14:paraId="06C4893E" w14:textId="77777777" w:rsidR="005118E6" w:rsidRDefault="005118E6" w:rsidP="00E82046">
            <w:pPr>
              <w:rPr>
                <w:lang w:val="en-US" w:eastAsia="nl-NL"/>
              </w:rPr>
            </w:pPr>
            <w:r w:rsidRPr="00B5039A">
              <w:rPr>
                <w:lang w:val="en-US" w:eastAsia="nl-NL"/>
              </w:rPr>
              <w:t xml:space="preserve">Do not </w:t>
            </w:r>
            <w:r>
              <w:rPr>
                <w:lang w:val="en-US" w:eastAsia="nl-NL"/>
              </w:rPr>
              <w:t xml:space="preserve">discharge superfluous fluids to the </w:t>
            </w:r>
            <w:r w:rsidRPr="00B5039A">
              <w:rPr>
                <w:lang w:val="en-US" w:eastAsia="nl-NL"/>
              </w:rPr>
              <w:t>drain.</w:t>
            </w:r>
          </w:p>
          <w:p w14:paraId="3CD1D129" w14:textId="77777777" w:rsidR="005118E6" w:rsidRPr="00215D3F" w:rsidRDefault="005118E6" w:rsidP="00E82046">
            <w:pPr>
              <w:rPr>
                <w:lang w:val="en-US"/>
              </w:rPr>
            </w:pPr>
          </w:p>
        </w:tc>
      </w:tr>
    </w:tbl>
    <w:p w14:paraId="5A79D535" w14:textId="34B089DA" w:rsidR="005118E6" w:rsidRPr="00BD2EF1" w:rsidRDefault="005118E6" w:rsidP="005118E6">
      <w:pPr>
        <w:pStyle w:val="Titre4"/>
      </w:pPr>
      <w:bookmarkStart w:id="52" w:name="_Toc12967126"/>
      <w:r w:rsidRPr="00BD2EF1">
        <w:t>Conditions of storage and shelf-life of the product under normal conditions of storage</w:t>
      </w:r>
      <w:bookmarkEnd w:id="52"/>
    </w:p>
    <w:tbl>
      <w:tblPr>
        <w:tblW w:w="5000" w:type="pct"/>
        <w:tblCellMar>
          <w:left w:w="0" w:type="dxa"/>
          <w:right w:w="0" w:type="dxa"/>
        </w:tblCellMar>
        <w:tblLook w:val="0000" w:firstRow="0" w:lastRow="0" w:firstColumn="0" w:lastColumn="0" w:noHBand="0" w:noVBand="0"/>
      </w:tblPr>
      <w:tblGrid>
        <w:gridCol w:w="9402"/>
      </w:tblGrid>
      <w:tr w:rsidR="005118E6" w:rsidRPr="00BD2EF1" w14:paraId="7CE7B6BD" w14:textId="77777777" w:rsidTr="00E82046">
        <w:tc>
          <w:tcPr>
            <w:tcW w:w="500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F540ED" w14:textId="77777777" w:rsidR="005118E6" w:rsidRPr="00180732" w:rsidRDefault="005118E6" w:rsidP="00E82046">
            <w:pPr>
              <w:rPr>
                <w:rFonts w:ascii="Times New Roman" w:hAnsi="Times New Roman"/>
                <w:sz w:val="24"/>
                <w:szCs w:val="24"/>
                <w:lang w:val="en-US" w:eastAsia="nl-NL"/>
              </w:rPr>
            </w:pPr>
            <w:r w:rsidRPr="00180732">
              <w:rPr>
                <w:u w:val="single"/>
                <w:lang w:val="en-US" w:eastAsia="nl-NL"/>
              </w:rPr>
              <w:t>Storage conditions:</w:t>
            </w:r>
            <w:r w:rsidRPr="00180732">
              <w:rPr>
                <w:lang w:val="en-US" w:eastAsia="nl-NL"/>
              </w:rPr>
              <w:t xml:space="preserve"> Keep container tightly closed in a dry and well-ventilated place. </w:t>
            </w:r>
          </w:p>
          <w:p w14:paraId="71C8826F" w14:textId="77777777" w:rsidR="005118E6" w:rsidRDefault="005118E6" w:rsidP="00E82046">
            <w:pPr>
              <w:rPr>
                <w:lang w:val="en-US" w:eastAsia="nl-NL"/>
              </w:rPr>
            </w:pPr>
            <w:r w:rsidRPr="006C2EAE">
              <w:rPr>
                <w:u w:val="single"/>
                <w:lang w:val="en-US" w:eastAsia="nl-NL"/>
              </w:rPr>
              <w:t>Recommended storage temperature:</w:t>
            </w:r>
            <w:r>
              <w:rPr>
                <w:lang w:val="en-US" w:eastAsia="nl-NL"/>
              </w:rPr>
              <w:t xml:space="preserve"> Room temperature (18-25°C). The product should not be stored for a prolonged period at temperatures &gt;40°C.</w:t>
            </w:r>
          </w:p>
          <w:p w14:paraId="3440E153" w14:textId="2BDCBDE1" w:rsidR="005118E6" w:rsidRDefault="005118E6" w:rsidP="00E82046">
            <w:pPr>
              <w:rPr>
                <w:lang w:val="en-US" w:eastAsia="nl-NL"/>
              </w:rPr>
            </w:pPr>
            <w:r w:rsidRPr="007C0BA5">
              <w:rPr>
                <w:u w:val="single"/>
                <w:lang w:val="en-US" w:eastAsia="nl-NL"/>
              </w:rPr>
              <w:t>Shelf-life:</w:t>
            </w:r>
            <w:r w:rsidRPr="007C0BA5">
              <w:rPr>
                <w:lang w:val="en-US" w:eastAsia="nl-NL"/>
              </w:rPr>
              <w:t xml:space="preserve"> </w:t>
            </w:r>
            <w:r w:rsidR="00C85279" w:rsidRPr="00C85279">
              <w:rPr>
                <w:highlight w:val="green"/>
                <w:lang w:val="en-US" w:eastAsia="nl-NL"/>
              </w:rPr>
              <w:t>24</w:t>
            </w:r>
            <w:r w:rsidR="00C85279">
              <w:rPr>
                <w:lang w:val="en-US" w:eastAsia="nl-NL"/>
              </w:rPr>
              <w:t xml:space="preserve"> </w:t>
            </w:r>
            <w:r w:rsidR="00290444">
              <w:rPr>
                <w:lang w:val="en-US" w:eastAsia="nl-NL"/>
              </w:rPr>
              <w:t>months</w:t>
            </w:r>
          </w:p>
          <w:p w14:paraId="3810F084" w14:textId="77777777" w:rsidR="005118E6" w:rsidRPr="00BD2EF1" w:rsidRDefault="005118E6" w:rsidP="00E82046">
            <w:r w:rsidRPr="00180732">
              <w:rPr>
                <w:u w:val="single"/>
                <w:lang w:val="en-US" w:eastAsia="nl-NL"/>
              </w:rPr>
              <w:t>Environmental exposure controls</w:t>
            </w:r>
            <w:r>
              <w:rPr>
                <w:u w:val="single"/>
                <w:lang w:val="en-US" w:eastAsia="nl-NL"/>
              </w:rPr>
              <w:t>:</w:t>
            </w:r>
            <w:r w:rsidRPr="00180732">
              <w:rPr>
                <w:lang w:val="en-US" w:eastAsia="nl-NL"/>
              </w:rPr>
              <w:t xml:space="preserve"> Do not let product enter drains.</w:t>
            </w:r>
          </w:p>
        </w:tc>
      </w:tr>
    </w:tbl>
    <w:p w14:paraId="605A791A" w14:textId="77777777" w:rsidR="005118E6" w:rsidRPr="00BD2EF1" w:rsidRDefault="005118E6" w:rsidP="005118E6">
      <w:pPr>
        <w:rPr>
          <w:lang w:eastAsia="en-US"/>
        </w:rPr>
      </w:pPr>
    </w:p>
    <w:p w14:paraId="09E4D1CF" w14:textId="79C1C33A" w:rsidR="005118E6" w:rsidRPr="00BD2EF1" w:rsidRDefault="005118E6" w:rsidP="005118E6">
      <w:pPr>
        <w:pStyle w:val="Titre3"/>
      </w:pPr>
      <w:bookmarkStart w:id="53" w:name="_Toc12967127"/>
      <w:r w:rsidRPr="00BD2EF1">
        <w:t>Other information</w:t>
      </w:r>
      <w:bookmarkEnd w:id="53"/>
    </w:p>
    <w:tbl>
      <w:tblPr>
        <w:tblW w:w="5000" w:type="pct"/>
        <w:tblCellMar>
          <w:left w:w="0" w:type="dxa"/>
          <w:right w:w="0" w:type="dxa"/>
        </w:tblCellMar>
        <w:tblLook w:val="0000" w:firstRow="0" w:lastRow="0" w:firstColumn="0" w:lastColumn="0" w:noHBand="0" w:noVBand="0"/>
      </w:tblPr>
      <w:tblGrid>
        <w:gridCol w:w="9402"/>
      </w:tblGrid>
      <w:tr w:rsidR="005118E6" w:rsidRPr="00BD2EF1" w14:paraId="1B55F81D" w14:textId="77777777" w:rsidTr="00E82046">
        <w:tc>
          <w:tcPr>
            <w:tcW w:w="500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51B33D" w14:textId="093FA2B7" w:rsidR="00290444" w:rsidRPr="00215D3F" w:rsidRDefault="00290444" w:rsidP="00E82046">
            <w:pPr>
              <w:rPr>
                <w:strike/>
              </w:rPr>
            </w:pPr>
            <w:r w:rsidRPr="006A5547">
              <w:rPr>
                <w:rFonts w:eastAsia="Calibri"/>
                <w:color w:val="000000" w:themeColor="text1"/>
              </w:rPr>
              <w:t xml:space="preserve">The authorisation holder must provide the </w:t>
            </w:r>
            <w:proofErr w:type="spellStart"/>
            <w:r w:rsidRPr="006A5547">
              <w:rPr>
                <w:rFonts w:eastAsia="Calibri"/>
                <w:color w:val="000000" w:themeColor="text1"/>
              </w:rPr>
              <w:t>eCA</w:t>
            </w:r>
            <w:proofErr w:type="spellEnd"/>
            <w:r w:rsidRPr="006A5547">
              <w:rPr>
                <w:rFonts w:eastAsia="Calibri"/>
                <w:color w:val="000000" w:themeColor="text1"/>
              </w:rPr>
              <w:t xml:space="preserve"> with a new </w:t>
            </w:r>
            <w:r>
              <w:rPr>
                <w:rFonts w:eastAsia="Calibri"/>
                <w:lang w:eastAsia="en-US"/>
              </w:rPr>
              <w:t>long term stability test at ambient temperature which supports the 18 month stability within a 2 year period post-approval; or - if a 2 year stability is sought - within a 2,5 year period post-approval.</w:t>
            </w:r>
          </w:p>
        </w:tc>
      </w:tr>
    </w:tbl>
    <w:p w14:paraId="4C1C38EA" w14:textId="77777777" w:rsidR="005118E6" w:rsidRDefault="005118E6" w:rsidP="005118E6"/>
    <w:p w14:paraId="71C054AD" w14:textId="15BB71EC" w:rsidR="005118E6" w:rsidRPr="00BD2EF1" w:rsidRDefault="005118E6" w:rsidP="005118E6">
      <w:pPr>
        <w:pStyle w:val="Titre3"/>
      </w:pPr>
      <w:bookmarkStart w:id="54" w:name="_Toc12967128"/>
      <w:r w:rsidRPr="00BD2EF1">
        <w:t>Packaging of the biocidal product</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969"/>
        <w:gridCol w:w="1485"/>
        <w:gridCol w:w="1326"/>
        <w:gridCol w:w="1641"/>
        <w:gridCol w:w="1644"/>
      </w:tblGrid>
      <w:tr w:rsidR="005118E6" w:rsidRPr="00014D1C" w14:paraId="000A3B47" w14:textId="77777777" w:rsidTr="00E82046">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7D71B9" w14:textId="77777777" w:rsidR="005118E6" w:rsidRPr="00014D1C" w:rsidRDefault="005118E6" w:rsidP="00E82046">
            <w:pPr>
              <w:pStyle w:val="Standaard-Tabellen"/>
              <w:rPr>
                <w:rFonts w:eastAsia="Calibri"/>
                <w:b/>
              </w:rPr>
            </w:pPr>
            <w:r w:rsidRPr="00014D1C">
              <w:rPr>
                <w:rFonts w:eastAsia="Calibri"/>
                <w:b/>
              </w:rPr>
              <w:t xml:space="preserve">Type of packaging </w:t>
            </w:r>
          </w:p>
        </w:tc>
        <w:tc>
          <w:tcPr>
            <w:tcW w:w="1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80B03B" w14:textId="77777777" w:rsidR="005118E6" w:rsidRPr="00014D1C" w:rsidRDefault="005118E6" w:rsidP="00E82046">
            <w:pPr>
              <w:pStyle w:val="Standaard-Tabellen"/>
              <w:rPr>
                <w:rFonts w:eastAsia="Calibri"/>
                <w:b/>
              </w:rPr>
            </w:pPr>
            <w:r w:rsidRPr="00014D1C">
              <w:rPr>
                <w:rFonts w:eastAsia="Calibri"/>
                <w:b/>
              </w:rPr>
              <w:t>Size/volume of the packaging</w:t>
            </w:r>
          </w:p>
        </w:tc>
        <w:tc>
          <w:tcPr>
            <w:tcW w:w="1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5A22D" w14:textId="77777777" w:rsidR="005118E6" w:rsidRPr="00014D1C" w:rsidRDefault="005118E6" w:rsidP="00E82046">
            <w:pPr>
              <w:pStyle w:val="Standaard-Tabellen"/>
              <w:rPr>
                <w:rFonts w:eastAsia="Calibri"/>
                <w:b/>
              </w:rPr>
            </w:pPr>
            <w:r w:rsidRPr="00014D1C">
              <w:rPr>
                <w:rFonts w:eastAsia="Calibri"/>
                <w:b/>
              </w:rPr>
              <w:t>Material of the packaging</w:t>
            </w:r>
          </w:p>
        </w:tc>
        <w:tc>
          <w:tcPr>
            <w:tcW w:w="13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5B4A8D" w14:textId="77777777" w:rsidR="005118E6" w:rsidRPr="00014D1C" w:rsidRDefault="005118E6" w:rsidP="00E82046">
            <w:pPr>
              <w:pStyle w:val="Standaard-Tabellen"/>
              <w:rPr>
                <w:rFonts w:eastAsia="Calibri"/>
                <w:b/>
              </w:rPr>
            </w:pPr>
            <w:r w:rsidRPr="00014D1C">
              <w:rPr>
                <w:rFonts w:eastAsia="Calibri"/>
                <w:b/>
              </w:rPr>
              <w:t>Type and material of closure(s)</w:t>
            </w:r>
          </w:p>
        </w:tc>
        <w:tc>
          <w:tcPr>
            <w:tcW w:w="1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47D186" w14:textId="77777777" w:rsidR="005118E6" w:rsidRPr="00014D1C" w:rsidRDefault="005118E6" w:rsidP="00E82046">
            <w:pPr>
              <w:pStyle w:val="Standaard-Tabellen"/>
              <w:rPr>
                <w:rFonts w:eastAsia="Calibri"/>
                <w:b/>
                <w:lang w:val="fr-BE"/>
              </w:rPr>
            </w:pPr>
            <w:proofErr w:type="spellStart"/>
            <w:r w:rsidRPr="00014D1C">
              <w:rPr>
                <w:rFonts w:eastAsia="Calibri"/>
                <w:b/>
                <w:lang w:val="fr-BE"/>
              </w:rPr>
              <w:t>Intended</w:t>
            </w:r>
            <w:proofErr w:type="spellEnd"/>
            <w:r w:rsidRPr="00014D1C">
              <w:rPr>
                <w:rFonts w:eastAsia="Calibri"/>
                <w:b/>
                <w:lang w:val="fr-BE"/>
              </w:rPr>
              <w:t xml:space="preserve"> user (e.g. </w:t>
            </w:r>
            <w:proofErr w:type="spellStart"/>
            <w:r w:rsidRPr="00014D1C">
              <w:rPr>
                <w:rFonts w:eastAsia="Calibri"/>
                <w:b/>
                <w:lang w:val="fr-BE"/>
              </w:rPr>
              <w:t>professional</w:t>
            </w:r>
            <w:proofErr w:type="spellEnd"/>
            <w:r w:rsidRPr="00014D1C">
              <w:rPr>
                <w:rFonts w:eastAsia="Calibri"/>
                <w:b/>
                <w:lang w:val="fr-BE"/>
              </w:rPr>
              <w:t>, non-</w:t>
            </w:r>
            <w:proofErr w:type="spellStart"/>
            <w:r w:rsidRPr="00014D1C">
              <w:rPr>
                <w:rFonts w:eastAsia="Calibri"/>
                <w:b/>
                <w:lang w:val="fr-BE"/>
              </w:rPr>
              <w:t>professional</w:t>
            </w:r>
            <w:proofErr w:type="spellEnd"/>
            <w:r w:rsidRPr="00014D1C">
              <w:rPr>
                <w:rFonts w:eastAsia="Calibri"/>
                <w:b/>
                <w:lang w:val="fr-BE"/>
              </w:rPr>
              <w:t>)</w:t>
            </w:r>
          </w:p>
        </w:tc>
        <w:tc>
          <w:tcPr>
            <w:tcW w:w="1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3DD467" w14:textId="77777777" w:rsidR="005118E6" w:rsidRPr="00014D1C" w:rsidRDefault="005118E6" w:rsidP="00E82046">
            <w:pPr>
              <w:pStyle w:val="Standaard-Tabellen"/>
              <w:rPr>
                <w:rFonts w:eastAsia="Calibri"/>
                <w:b/>
              </w:rPr>
            </w:pPr>
            <w:r w:rsidRPr="00014D1C">
              <w:rPr>
                <w:rFonts w:eastAsia="Calibri"/>
                <w:b/>
              </w:rPr>
              <w:t>Compatibility of the product with the proposed packaging materials (Yes/No)</w:t>
            </w:r>
          </w:p>
        </w:tc>
      </w:tr>
      <w:tr w:rsidR="005118E6" w14:paraId="11F1AAD8" w14:textId="77777777" w:rsidTr="00E82046">
        <w:tc>
          <w:tcPr>
            <w:tcW w:w="1337" w:type="dxa"/>
            <w:tcBorders>
              <w:top w:val="single" w:sz="4" w:space="0" w:color="auto"/>
              <w:left w:val="single" w:sz="4" w:space="0" w:color="auto"/>
              <w:bottom w:val="single" w:sz="4" w:space="0" w:color="auto"/>
              <w:right w:val="single" w:sz="4" w:space="0" w:color="auto"/>
            </w:tcBorders>
            <w:hideMark/>
          </w:tcPr>
          <w:p w14:paraId="2390CDB0" w14:textId="77777777" w:rsidR="005118E6" w:rsidRDefault="005118E6" w:rsidP="00E82046">
            <w:pPr>
              <w:pStyle w:val="Standaard-Tabellen"/>
              <w:rPr>
                <w:rFonts w:eastAsia="Calibri"/>
              </w:rPr>
            </w:pPr>
            <w:r w:rsidRPr="00E95AB5">
              <w:rPr>
                <w:rFonts w:eastAsia="Calibri"/>
              </w:rPr>
              <w:t>Squeeze tube</w:t>
            </w:r>
          </w:p>
        </w:tc>
        <w:tc>
          <w:tcPr>
            <w:tcW w:w="1969" w:type="dxa"/>
            <w:tcBorders>
              <w:top w:val="single" w:sz="4" w:space="0" w:color="auto"/>
              <w:left w:val="single" w:sz="4" w:space="0" w:color="auto"/>
              <w:bottom w:val="single" w:sz="4" w:space="0" w:color="auto"/>
              <w:right w:val="single" w:sz="4" w:space="0" w:color="auto"/>
            </w:tcBorders>
            <w:hideMark/>
          </w:tcPr>
          <w:p w14:paraId="052FA9F1" w14:textId="77777777" w:rsidR="005118E6" w:rsidRDefault="005118E6" w:rsidP="00E82046">
            <w:pPr>
              <w:pStyle w:val="Standaard-Tabellen"/>
              <w:rPr>
                <w:rFonts w:eastAsia="Calibri"/>
              </w:rPr>
            </w:pPr>
            <w:r w:rsidRPr="00E95AB5">
              <w:rPr>
                <w:rFonts w:eastAsia="Calibri"/>
              </w:rPr>
              <w:t>25-250 mL in steps of 5 ml</w:t>
            </w:r>
          </w:p>
        </w:tc>
        <w:tc>
          <w:tcPr>
            <w:tcW w:w="1485" w:type="dxa"/>
            <w:tcBorders>
              <w:top w:val="single" w:sz="4" w:space="0" w:color="auto"/>
              <w:left w:val="single" w:sz="4" w:space="0" w:color="auto"/>
              <w:bottom w:val="single" w:sz="4" w:space="0" w:color="auto"/>
              <w:right w:val="single" w:sz="4" w:space="0" w:color="auto"/>
            </w:tcBorders>
            <w:hideMark/>
          </w:tcPr>
          <w:p w14:paraId="10972ADE" w14:textId="77777777" w:rsidR="005118E6" w:rsidRPr="00E95AB5" w:rsidRDefault="005118E6" w:rsidP="00E82046">
            <w:pPr>
              <w:pStyle w:val="Standaard-Tabellen"/>
              <w:rPr>
                <w:rFonts w:eastAsia="Calibri"/>
              </w:rPr>
            </w:pPr>
            <w:r w:rsidRPr="00E95AB5">
              <w:rPr>
                <w:rFonts w:eastAsia="Calibri"/>
              </w:rPr>
              <w:t>PE</w:t>
            </w:r>
          </w:p>
          <w:p w14:paraId="12542F7D" w14:textId="77777777" w:rsidR="005118E6" w:rsidRPr="00E95AB5" w:rsidRDefault="005118E6" w:rsidP="00E82046">
            <w:pPr>
              <w:pStyle w:val="Standaard-Tabellen"/>
              <w:rPr>
                <w:rFonts w:eastAsia="Calibri"/>
              </w:rPr>
            </w:pPr>
            <w:r w:rsidRPr="00E95AB5">
              <w:rPr>
                <w:rFonts w:eastAsia="Calibri"/>
              </w:rPr>
              <w:t>HDPE</w:t>
            </w:r>
          </w:p>
          <w:p w14:paraId="42AE81A9" w14:textId="77777777" w:rsidR="005118E6" w:rsidRPr="00E95AB5" w:rsidRDefault="005118E6" w:rsidP="00E82046">
            <w:pPr>
              <w:pStyle w:val="Standaard-Tabellen"/>
              <w:rPr>
                <w:rFonts w:eastAsia="Calibri"/>
              </w:rPr>
            </w:pPr>
            <w:r w:rsidRPr="00E95AB5">
              <w:rPr>
                <w:rFonts w:eastAsia="Calibri"/>
              </w:rPr>
              <w:t>LDPE</w:t>
            </w:r>
          </w:p>
          <w:p w14:paraId="3BB11386" w14:textId="77777777" w:rsidR="005118E6" w:rsidRPr="00E95AB5" w:rsidRDefault="005118E6" w:rsidP="00E82046">
            <w:pPr>
              <w:pStyle w:val="Standaard-Tabellen"/>
              <w:rPr>
                <w:rFonts w:eastAsia="Calibri"/>
              </w:rPr>
            </w:pPr>
            <w:r w:rsidRPr="00E95AB5">
              <w:rPr>
                <w:rFonts w:eastAsia="Calibri"/>
              </w:rPr>
              <w:t>PP</w:t>
            </w:r>
          </w:p>
          <w:p w14:paraId="1346E16F" w14:textId="77777777" w:rsidR="005118E6" w:rsidRPr="00E95AB5" w:rsidRDefault="005118E6" w:rsidP="00E82046">
            <w:pPr>
              <w:pStyle w:val="Standaard-Tabellen"/>
              <w:rPr>
                <w:rFonts w:eastAsia="Calibri"/>
              </w:rPr>
            </w:pPr>
            <w:r w:rsidRPr="00E95AB5">
              <w:rPr>
                <w:rFonts w:eastAsia="Calibri"/>
              </w:rPr>
              <w:t>HDPE/LDPE</w:t>
            </w:r>
          </w:p>
          <w:p w14:paraId="21432C6D" w14:textId="77777777" w:rsidR="005118E6" w:rsidRPr="00E95AB5" w:rsidRDefault="005118E6" w:rsidP="00E82046">
            <w:pPr>
              <w:pStyle w:val="Standaard-Tabellen"/>
              <w:rPr>
                <w:rFonts w:eastAsia="Calibri"/>
              </w:rPr>
            </w:pPr>
            <w:r w:rsidRPr="00E95AB5">
              <w:rPr>
                <w:rFonts w:eastAsia="Calibri"/>
              </w:rPr>
              <w:t>HDPE/EVOH</w:t>
            </w:r>
          </w:p>
          <w:p w14:paraId="290C27EB" w14:textId="77777777" w:rsidR="005118E6" w:rsidRPr="00E95AB5" w:rsidRDefault="005118E6" w:rsidP="00E82046">
            <w:pPr>
              <w:pStyle w:val="Standaard-Tabellen"/>
              <w:rPr>
                <w:rFonts w:eastAsia="Calibri"/>
              </w:rPr>
            </w:pPr>
            <w:r w:rsidRPr="00E95AB5">
              <w:rPr>
                <w:rFonts w:eastAsia="Calibri"/>
              </w:rPr>
              <w:t>HDPE/F</w:t>
            </w:r>
          </w:p>
          <w:p w14:paraId="52641F70" w14:textId="77777777" w:rsidR="005118E6" w:rsidRPr="00E95AB5" w:rsidRDefault="005118E6" w:rsidP="00E82046">
            <w:pPr>
              <w:pStyle w:val="Standaard-Tabellen"/>
              <w:rPr>
                <w:rFonts w:eastAsia="Calibri"/>
              </w:rPr>
            </w:pPr>
            <w:r w:rsidRPr="00E95AB5">
              <w:rPr>
                <w:rFonts w:eastAsia="Calibri"/>
              </w:rPr>
              <w:t>HDPE/PA</w:t>
            </w:r>
          </w:p>
          <w:p w14:paraId="6616E6F3" w14:textId="77777777" w:rsidR="005118E6" w:rsidRPr="00E95AB5" w:rsidRDefault="005118E6" w:rsidP="00E82046">
            <w:pPr>
              <w:pStyle w:val="Standaard-Tabellen"/>
              <w:rPr>
                <w:rFonts w:eastAsia="Calibri"/>
              </w:rPr>
            </w:pPr>
            <w:r w:rsidRPr="00E95AB5">
              <w:rPr>
                <w:rFonts w:eastAsia="Calibri"/>
              </w:rPr>
              <w:t>LDPE/EVOH</w:t>
            </w:r>
          </w:p>
          <w:p w14:paraId="17A6DB43" w14:textId="77777777" w:rsidR="005118E6" w:rsidRPr="00E95AB5" w:rsidRDefault="005118E6" w:rsidP="00E82046">
            <w:pPr>
              <w:pStyle w:val="Standaard-Tabellen"/>
              <w:rPr>
                <w:rFonts w:eastAsia="Calibri"/>
              </w:rPr>
            </w:pPr>
            <w:r w:rsidRPr="00E95AB5">
              <w:rPr>
                <w:rFonts w:eastAsia="Calibri"/>
              </w:rPr>
              <w:t>LDPE/F</w:t>
            </w:r>
          </w:p>
          <w:p w14:paraId="77364ACA" w14:textId="77777777" w:rsidR="005118E6" w:rsidRDefault="005118E6" w:rsidP="00E82046">
            <w:pPr>
              <w:pStyle w:val="Standaard-Tabellen"/>
              <w:rPr>
                <w:rFonts w:eastAsia="Calibri"/>
              </w:rPr>
            </w:pPr>
            <w:r w:rsidRPr="00E95AB5">
              <w:rPr>
                <w:rFonts w:eastAsia="Calibri"/>
              </w:rPr>
              <w:t>LDPE/PA</w:t>
            </w:r>
          </w:p>
        </w:tc>
        <w:tc>
          <w:tcPr>
            <w:tcW w:w="1326" w:type="dxa"/>
            <w:tcBorders>
              <w:top w:val="single" w:sz="4" w:space="0" w:color="auto"/>
              <w:left w:val="single" w:sz="4" w:space="0" w:color="auto"/>
              <w:bottom w:val="single" w:sz="4" w:space="0" w:color="auto"/>
              <w:right w:val="single" w:sz="4" w:space="0" w:color="auto"/>
            </w:tcBorders>
            <w:hideMark/>
          </w:tcPr>
          <w:p w14:paraId="78E02316" w14:textId="77777777" w:rsidR="005118E6" w:rsidRPr="00E95AB5" w:rsidRDefault="005118E6" w:rsidP="00E82046">
            <w:pPr>
              <w:pStyle w:val="Standaard-Tabellen"/>
              <w:rPr>
                <w:rFonts w:eastAsia="Calibri"/>
              </w:rPr>
            </w:pPr>
            <w:r w:rsidRPr="00E95AB5">
              <w:rPr>
                <w:rFonts w:eastAsia="Calibri"/>
              </w:rPr>
              <w:t>Snap cap</w:t>
            </w:r>
          </w:p>
          <w:p w14:paraId="49AEFF00" w14:textId="77777777" w:rsidR="005118E6" w:rsidRPr="00E95AB5" w:rsidRDefault="005118E6" w:rsidP="00E82046">
            <w:pPr>
              <w:pStyle w:val="Standaard-Tabellen"/>
              <w:rPr>
                <w:rFonts w:eastAsia="Calibri"/>
              </w:rPr>
            </w:pPr>
            <w:r w:rsidRPr="00E95AB5">
              <w:rPr>
                <w:rFonts w:eastAsia="Calibri"/>
              </w:rPr>
              <w:t>Screw cap</w:t>
            </w:r>
          </w:p>
          <w:p w14:paraId="59796E27" w14:textId="77777777" w:rsidR="005118E6" w:rsidRPr="00E95AB5" w:rsidRDefault="005118E6" w:rsidP="00E82046">
            <w:pPr>
              <w:pStyle w:val="Standaard-Tabellen"/>
              <w:rPr>
                <w:rFonts w:eastAsia="Calibri"/>
              </w:rPr>
            </w:pPr>
            <w:r w:rsidRPr="00E95AB5">
              <w:rPr>
                <w:rFonts w:eastAsia="Calibri"/>
              </w:rPr>
              <w:t>Top cap</w:t>
            </w:r>
          </w:p>
          <w:p w14:paraId="2283AF21" w14:textId="77777777" w:rsidR="005118E6" w:rsidRPr="00E95AB5" w:rsidRDefault="005118E6" w:rsidP="00E82046">
            <w:pPr>
              <w:pStyle w:val="Standaard-Tabellen"/>
              <w:rPr>
                <w:rFonts w:eastAsia="Calibri"/>
              </w:rPr>
            </w:pPr>
            <w:r w:rsidRPr="00E95AB5">
              <w:rPr>
                <w:rFonts w:eastAsia="Calibri"/>
              </w:rPr>
              <w:t>Flip top cap</w:t>
            </w:r>
          </w:p>
          <w:p w14:paraId="30E23A1D" w14:textId="77777777" w:rsidR="005118E6" w:rsidRPr="00E95AB5" w:rsidRDefault="005118E6" w:rsidP="00E82046">
            <w:pPr>
              <w:pStyle w:val="Standaard-Tabellen"/>
              <w:rPr>
                <w:rFonts w:eastAsia="Calibri"/>
              </w:rPr>
            </w:pPr>
          </w:p>
          <w:p w14:paraId="71DC3C0E" w14:textId="77777777" w:rsidR="005118E6" w:rsidRDefault="005118E6" w:rsidP="00E82046">
            <w:pPr>
              <w:pStyle w:val="Standaard-Tabellen"/>
              <w:rPr>
                <w:rFonts w:eastAsia="Calibri"/>
              </w:rPr>
            </w:pPr>
            <w:r w:rsidRPr="00E95AB5">
              <w:rPr>
                <w:rFonts w:eastAsia="Calibri"/>
              </w:rPr>
              <w:t>mostly PP</w:t>
            </w:r>
          </w:p>
        </w:tc>
        <w:tc>
          <w:tcPr>
            <w:tcW w:w="1641" w:type="dxa"/>
            <w:tcBorders>
              <w:top w:val="single" w:sz="4" w:space="0" w:color="auto"/>
              <w:left w:val="single" w:sz="4" w:space="0" w:color="auto"/>
              <w:bottom w:val="single" w:sz="4" w:space="0" w:color="auto"/>
              <w:right w:val="single" w:sz="4" w:space="0" w:color="auto"/>
            </w:tcBorders>
            <w:hideMark/>
          </w:tcPr>
          <w:p w14:paraId="28F8D6E7" w14:textId="77777777" w:rsidR="005118E6" w:rsidRDefault="005118E6" w:rsidP="00E82046">
            <w:pPr>
              <w:pStyle w:val="Standaard-Tabellen"/>
              <w:rPr>
                <w:rFonts w:eastAsia="Calibri"/>
              </w:rPr>
            </w:pPr>
            <w:r w:rsidRPr="00E95AB5">
              <w:rPr>
                <w:rFonts w:eastAsia="Calibri"/>
              </w:rPr>
              <w:t>Non-professional</w:t>
            </w:r>
          </w:p>
        </w:tc>
        <w:tc>
          <w:tcPr>
            <w:tcW w:w="1644" w:type="dxa"/>
            <w:tcBorders>
              <w:top w:val="single" w:sz="4" w:space="0" w:color="auto"/>
              <w:left w:val="single" w:sz="4" w:space="0" w:color="auto"/>
              <w:bottom w:val="single" w:sz="4" w:space="0" w:color="auto"/>
              <w:right w:val="single" w:sz="4" w:space="0" w:color="auto"/>
            </w:tcBorders>
            <w:hideMark/>
          </w:tcPr>
          <w:p w14:paraId="6D593275" w14:textId="77777777" w:rsidR="005118E6" w:rsidRDefault="005118E6" w:rsidP="00E82046">
            <w:pPr>
              <w:pStyle w:val="Standaard-Tabellen"/>
              <w:rPr>
                <w:rFonts w:eastAsia="Calibri"/>
              </w:rPr>
            </w:pPr>
            <w:r w:rsidRPr="00E95AB5">
              <w:rPr>
                <w:rFonts w:eastAsia="Calibri"/>
              </w:rPr>
              <w:t>Yes</w:t>
            </w:r>
          </w:p>
        </w:tc>
      </w:tr>
      <w:tr w:rsidR="005118E6" w:rsidRPr="00BF1E51" w14:paraId="358EC32C" w14:textId="77777777" w:rsidTr="00E82046">
        <w:tc>
          <w:tcPr>
            <w:tcW w:w="1337" w:type="dxa"/>
            <w:tcBorders>
              <w:top w:val="single" w:sz="4" w:space="0" w:color="auto"/>
              <w:left w:val="single" w:sz="4" w:space="0" w:color="auto"/>
              <w:bottom w:val="single" w:sz="4" w:space="0" w:color="auto"/>
              <w:right w:val="single" w:sz="4" w:space="0" w:color="auto"/>
            </w:tcBorders>
            <w:hideMark/>
          </w:tcPr>
          <w:p w14:paraId="7F33C927" w14:textId="77777777" w:rsidR="005118E6" w:rsidRPr="00E95AB5" w:rsidRDefault="005118E6" w:rsidP="00E82046">
            <w:pPr>
              <w:pStyle w:val="Standaard-Tabellen"/>
              <w:rPr>
                <w:rFonts w:eastAsia="Calibri"/>
              </w:rPr>
            </w:pPr>
            <w:r w:rsidRPr="00E95AB5">
              <w:rPr>
                <w:rFonts w:eastAsia="Calibri"/>
              </w:rPr>
              <w:t>Bottle</w:t>
            </w:r>
          </w:p>
        </w:tc>
        <w:tc>
          <w:tcPr>
            <w:tcW w:w="1969" w:type="dxa"/>
            <w:tcBorders>
              <w:top w:val="single" w:sz="4" w:space="0" w:color="auto"/>
              <w:left w:val="single" w:sz="4" w:space="0" w:color="auto"/>
              <w:bottom w:val="single" w:sz="4" w:space="0" w:color="auto"/>
              <w:right w:val="single" w:sz="4" w:space="0" w:color="auto"/>
            </w:tcBorders>
            <w:hideMark/>
          </w:tcPr>
          <w:p w14:paraId="00B8CF37" w14:textId="77777777" w:rsidR="005118E6" w:rsidRPr="00E95AB5" w:rsidRDefault="005118E6" w:rsidP="00E82046">
            <w:pPr>
              <w:pStyle w:val="Standaard-Tabellen"/>
              <w:rPr>
                <w:rFonts w:eastAsia="Calibri"/>
              </w:rPr>
            </w:pPr>
            <w:r w:rsidRPr="00E95AB5">
              <w:rPr>
                <w:rFonts w:eastAsia="Calibri"/>
              </w:rPr>
              <w:t>25-250 mL in steps of 5 ml</w:t>
            </w:r>
          </w:p>
        </w:tc>
        <w:tc>
          <w:tcPr>
            <w:tcW w:w="1485" w:type="dxa"/>
            <w:tcBorders>
              <w:top w:val="single" w:sz="4" w:space="0" w:color="auto"/>
              <w:left w:val="single" w:sz="4" w:space="0" w:color="auto"/>
              <w:bottom w:val="single" w:sz="4" w:space="0" w:color="auto"/>
              <w:right w:val="single" w:sz="4" w:space="0" w:color="auto"/>
            </w:tcBorders>
            <w:hideMark/>
          </w:tcPr>
          <w:p w14:paraId="4CF20FC7" w14:textId="77777777" w:rsidR="005118E6" w:rsidRPr="00E95AB5" w:rsidRDefault="005118E6" w:rsidP="00E82046">
            <w:pPr>
              <w:pStyle w:val="Standaard-Tabellen"/>
              <w:rPr>
                <w:rFonts w:eastAsia="Calibri"/>
              </w:rPr>
            </w:pPr>
            <w:r w:rsidRPr="00E95AB5">
              <w:rPr>
                <w:rFonts w:eastAsia="Calibri"/>
              </w:rPr>
              <w:t>PE</w:t>
            </w:r>
          </w:p>
          <w:p w14:paraId="7D5411DE" w14:textId="77777777" w:rsidR="005118E6" w:rsidRPr="00E95AB5" w:rsidRDefault="005118E6" w:rsidP="00E82046">
            <w:pPr>
              <w:pStyle w:val="Standaard-Tabellen"/>
              <w:rPr>
                <w:rFonts w:eastAsia="Calibri"/>
              </w:rPr>
            </w:pPr>
            <w:r w:rsidRPr="00E95AB5">
              <w:rPr>
                <w:rFonts w:eastAsia="Calibri"/>
              </w:rPr>
              <w:t>HDPE</w:t>
            </w:r>
          </w:p>
          <w:p w14:paraId="1D3E6F61" w14:textId="77777777" w:rsidR="005118E6" w:rsidRPr="00E95AB5" w:rsidRDefault="005118E6" w:rsidP="00E82046">
            <w:pPr>
              <w:pStyle w:val="Standaard-Tabellen"/>
              <w:rPr>
                <w:rFonts w:eastAsia="Calibri"/>
              </w:rPr>
            </w:pPr>
            <w:r w:rsidRPr="00E95AB5">
              <w:rPr>
                <w:rFonts w:eastAsia="Calibri"/>
              </w:rPr>
              <w:t>LDPE</w:t>
            </w:r>
          </w:p>
          <w:p w14:paraId="7F43AE48" w14:textId="77777777" w:rsidR="005118E6" w:rsidRPr="00E95AB5" w:rsidRDefault="005118E6" w:rsidP="00E82046">
            <w:pPr>
              <w:pStyle w:val="Standaard-Tabellen"/>
              <w:rPr>
                <w:rFonts w:eastAsia="Calibri"/>
              </w:rPr>
            </w:pPr>
            <w:r w:rsidRPr="00E95AB5">
              <w:rPr>
                <w:rFonts w:eastAsia="Calibri"/>
              </w:rPr>
              <w:t>PP</w:t>
            </w:r>
          </w:p>
          <w:p w14:paraId="6281FC63" w14:textId="77777777" w:rsidR="005118E6" w:rsidRPr="00E95AB5" w:rsidRDefault="005118E6" w:rsidP="00E82046">
            <w:pPr>
              <w:pStyle w:val="Standaard-Tabellen"/>
              <w:rPr>
                <w:rFonts w:eastAsia="Calibri"/>
              </w:rPr>
            </w:pPr>
            <w:r w:rsidRPr="00E95AB5">
              <w:rPr>
                <w:rFonts w:eastAsia="Calibri"/>
              </w:rPr>
              <w:t>HDPE/LDPE</w:t>
            </w:r>
          </w:p>
          <w:p w14:paraId="2FBC4219" w14:textId="77777777" w:rsidR="005118E6" w:rsidRPr="00E95AB5" w:rsidRDefault="005118E6" w:rsidP="00E82046">
            <w:pPr>
              <w:pStyle w:val="Standaard-Tabellen"/>
              <w:rPr>
                <w:rFonts w:eastAsia="Calibri"/>
              </w:rPr>
            </w:pPr>
            <w:r w:rsidRPr="00E95AB5">
              <w:rPr>
                <w:rFonts w:eastAsia="Calibri"/>
              </w:rPr>
              <w:t>HDPE/EVOH</w:t>
            </w:r>
          </w:p>
          <w:p w14:paraId="644094A4" w14:textId="77777777" w:rsidR="005118E6" w:rsidRPr="00E95AB5" w:rsidRDefault="005118E6" w:rsidP="00E82046">
            <w:pPr>
              <w:pStyle w:val="Standaard-Tabellen"/>
              <w:rPr>
                <w:rFonts w:eastAsia="Calibri"/>
              </w:rPr>
            </w:pPr>
            <w:r w:rsidRPr="00E95AB5">
              <w:rPr>
                <w:rFonts w:eastAsia="Calibri"/>
              </w:rPr>
              <w:lastRenderedPageBreak/>
              <w:t>HDPE/F</w:t>
            </w:r>
          </w:p>
          <w:p w14:paraId="1C93566F" w14:textId="77777777" w:rsidR="005118E6" w:rsidRPr="00E95AB5" w:rsidRDefault="005118E6" w:rsidP="00E82046">
            <w:pPr>
              <w:pStyle w:val="Standaard-Tabellen"/>
              <w:rPr>
                <w:rFonts w:eastAsia="Calibri"/>
              </w:rPr>
            </w:pPr>
            <w:r w:rsidRPr="00E95AB5">
              <w:rPr>
                <w:rFonts w:eastAsia="Calibri"/>
              </w:rPr>
              <w:t>HDPE/PA</w:t>
            </w:r>
          </w:p>
          <w:p w14:paraId="5B67A7A8" w14:textId="77777777" w:rsidR="005118E6" w:rsidRPr="00E95AB5" w:rsidRDefault="005118E6" w:rsidP="00E82046">
            <w:pPr>
              <w:pStyle w:val="Standaard-Tabellen"/>
              <w:rPr>
                <w:rFonts w:eastAsia="Calibri"/>
              </w:rPr>
            </w:pPr>
            <w:r w:rsidRPr="00E95AB5">
              <w:rPr>
                <w:rFonts w:eastAsia="Calibri"/>
              </w:rPr>
              <w:t>LDPE/EVOH</w:t>
            </w:r>
          </w:p>
          <w:p w14:paraId="3297AEE0" w14:textId="77777777" w:rsidR="005118E6" w:rsidRPr="00E95AB5" w:rsidRDefault="005118E6" w:rsidP="00E82046">
            <w:pPr>
              <w:pStyle w:val="Standaard-Tabellen"/>
              <w:rPr>
                <w:rFonts w:eastAsia="Calibri"/>
              </w:rPr>
            </w:pPr>
            <w:r w:rsidRPr="00E95AB5">
              <w:rPr>
                <w:rFonts w:eastAsia="Calibri"/>
              </w:rPr>
              <w:t>LDPE/F</w:t>
            </w:r>
          </w:p>
          <w:p w14:paraId="001C8EDC" w14:textId="77777777" w:rsidR="005118E6" w:rsidRPr="00E95AB5" w:rsidRDefault="005118E6" w:rsidP="00E82046">
            <w:pPr>
              <w:pStyle w:val="Standaard-Tabellen"/>
              <w:rPr>
                <w:rFonts w:eastAsia="Calibri"/>
              </w:rPr>
            </w:pPr>
            <w:r w:rsidRPr="00E95AB5">
              <w:rPr>
                <w:rFonts w:eastAsia="Calibri"/>
              </w:rPr>
              <w:t>LDPE/PA</w:t>
            </w:r>
          </w:p>
        </w:tc>
        <w:tc>
          <w:tcPr>
            <w:tcW w:w="1326" w:type="dxa"/>
            <w:tcBorders>
              <w:top w:val="single" w:sz="4" w:space="0" w:color="auto"/>
              <w:left w:val="single" w:sz="4" w:space="0" w:color="auto"/>
              <w:bottom w:val="single" w:sz="4" w:space="0" w:color="auto"/>
              <w:right w:val="single" w:sz="4" w:space="0" w:color="auto"/>
            </w:tcBorders>
            <w:hideMark/>
          </w:tcPr>
          <w:p w14:paraId="62A14C56" w14:textId="77777777" w:rsidR="005118E6" w:rsidRPr="00E95AB5" w:rsidRDefault="005118E6" w:rsidP="00E82046">
            <w:pPr>
              <w:pStyle w:val="Standaard-Tabellen"/>
              <w:rPr>
                <w:rFonts w:eastAsia="Calibri"/>
              </w:rPr>
            </w:pPr>
            <w:r w:rsidRPr="00E95AB5">
              <w:rPr>
                <w:rFonts w:eastAsia="Calibri"/>
              </w:rPr>
              <w:lastRenderedPageBreak/>
              <w:t>Screw cap</w:t>
            </w:r>
          </w:p>
          <w:p w14:paraId="60FA64D8" w14:textId="77777777" w:rsidR="005118E6" w:rsidRPr="00E95AB5" w:rsidRDefault="005118E6" w:rsidP="00E82046">
            <w:pPr>
              <w:pStyle w:val="Standaard-Tabellen"/>
              <w:rPr>
                <w:rFonts w:eastAsia="Calibri"/>
              </w:rPr>
            </w:pPr>
            <w:r w:rsidRPr="00E95AB5">
              <w:rPr>
                <w:rFonts w:eastAsia="Calibri"/>
              </w:rPr>
              <w:t>Top cap</w:t>
            </w:r>
          </w:p>
          <w:p w14:paraId="00FBA663" w14:textId="77777777" w:rsidR="005118E6" w:rsidRPr="00E95AB5" w:rsidRDefault="005118E6" w:rsidP="00E82046">
            <w:pPr>
              <w:pStyle w:val="Standaard-Tabellen"/>
              <w:rPr>
                <w:rFonts w:eastAsia="Calibri"/>
              </w:rPr>
            </w:pPr>
            <w:r w:rsidRPr="00E95AB5">
              <w:rPr>
                <w:rFonts w:eastAsia="Calibri"/>
              </w:rPr>
              <w:t>Pump dispenser</w:t>
            </w:r>
          </w:p>
        </w:tc>
        <w:tc>
          <w:tcPr>
            <w:tcW w:w="1641" w:type="dxa"/>
            <w:tcBorders>
              <w:top w:val="single" w:sz="4" w:space="0" w:color="auto"/>
              <w:left w:val="single" w:sz="4" w:space="0" w:color="auto"/>
              <w:bottom w:val="single" w:sz="4" w:space="0" w:color="auto"/>
              <w:right w:val="single" w:sz="4" w:space="0" w:color="auto"/>
            </w:tcBorders>
            <w:hideMark/>
          </w:tcPr>
          <w:p w14:paraId="512AD75D" w14:textId="77777777" w:rsidR="005118E6" w:rsidRPr="00E95AB5" w:rsidRDefault="005118E6" w:rsidP="00E82046">
            <w:pPr>
              <w:pStyle w:val="Standaard-Tabellen"/>
              <w:rPr>
                <w:rFonts w:eastAsia="Calibri"/>
              </w:rPr>
            </w:pPr>
            <w:r w:rsidRPr="00E95AB5">
              <w:rPr>
                <w:rFonts w:eastAsia="Calibri"/>
              </w:rPr>
              <w:t>Non-professional</w:t>
            </w:r>
          </w:p>
        </w:tc>
        <w:tc>
          <w:tcPr>
            <w:tcW w:w="1644" w:type="dxa"/>
            <w:tcBorders>
              <w:top w:val="single" w:sz="4" w:space="0" w:color="auto"/>
              <w:left w:val="single" w:sz="4" w:space="0" w:color="auto"/>
              <w:bottom w:val="single" w:sz="4" w:space="0" w:color="auto"/>
              <w:right w:val="single" w:sz="4" w:space="0" w:color="auto"/>
            </w:tcBorders>
            <w:hideMark/>
          </w:tcPr>
          <w:p w14:paraId="7394FBDA" w14:textId="77777777" w:rsidR="005118E6" w:rsidRPr="00E95AB5" w:rsidRDefault="005118E6" w:rsidP="00E82046">
            <w:pPr>
              <w:pStyle w:val="Standaard-Tabellen"/>
              <w:rPr>
                <w:rFonts w:eastAsia="Calibri"/>
              </w:rPr>
            </w:pPr>
            <w:r w:rsidRPr="00E95AB5">
              <w:rPr>
                <w:rFonts w:eastAsia="Calibri"/>
              </w:rPr>
              <w:t>Yes</w:t>
            </w:r>
          </w:p>
        </w:tc>
      </w:tr>
      <w:tr w:rsidR="005118E6" w14:paraId="158F5C2C" w14:textId="77777777" w:rsidTr="00E82046">
        <w:tc>
          <w:tcPr>
            <w:tcW w:w="1337" w:type="dxa"/>
            <w:tcBorders>
              <w:top w:val="single" w:sz="4" w:space="0" w:color="auto"/>
              <w:left w:val="single" w:sz="4" w:space="0" w:color="auto"/>
              <w:bottom w:val="single" w:sz="4" w:space="0" w:color="auto"/>
              <w:right w:val="single" w:sz="4" w:space="0" w:color="auto"/>
            </w:tcBorders>
            <w:hideMark/>
          </w:tcPr>
          <w:p w14:paraId="40E234E5" w14:textId="77777777" w:rsidR="005118E6" w:rsidRPr="00E95AB5" w:rsidRDefault="005118E6" w:rsidP="00E82046">
            <w:pPr>
              <w:pStyle w:val="Standaard-Tabellen"/>
              <w:rPr>
                <w:rFonts w:eastAsia="Calibri"/>
              </w:rPr>
            </w:pPr>
            <w:r w:rsidRPr="00E95AB5">
              <w:rPr>
                <w:rFonts w:eastAsia="Calibri"/>
              </w:rPr>
              <w:t>Squeeze tube</w:t>
            </w:r>
          </w:p>
        </w:tc>
        <w:tc>
          <w:tcPr>
            <w:tcW w:w="1969" w:type="dxa"/>
            <w:tcBorders>
              <w:top w:val="single" w:sz="4" w:space="0" w:color="auto"/>
              <w:left w:val="single" w:sz="4" w:space="0" w:color="auto"/>
              <w:bottom w:val="single" w:sz="4" w:space="0" w:color="auto"/>
              <w:right w:val="single" w:sz="4" w:space="0" w:color="auto"/>
            </w:tcBorders>
            <w:hideMark/>
          </w:tcPr>
          <w:p w14:paraId="4113FABA" w14:textId="77777777" w:rsidR="005118E6" w:rsidRPr="00E95AB5" w:rsidRDefault="005118E6" w:rsidP="00E82046">
            <w:pPr>
              <w:pStyle w:val="Standaard-Tabellen"/>
              <w:rPr>
                <w:rFonts w:eastAsia="Calibri"/>
              </w:rPr>
            </w:pPr>
            <w:r w:rsidRPr="00E95AB5">
              <w:rPr>
                <w:rFonts w:eastAsia="Calibri"/>
              </w:rPr>
              <w:t>25-250 mL in steps of 5 ml</w:t>
            </w:r>
          </w:p>
        </w:tc>
        <w:tc>
          <w:tcPr>
            <w:tcW w:w="1485" w:type="dxa"/>
            <w:tcBorders>
              <w:top w:val="single" w:sz="4" w:space="0" w:color="auto"/>
              <w:left w:val="single" w:sz="4" w:space="0" w:color="auto"/>
              <w:bottom w:val="single" w:sz="4" w:space="0" w:color="auto"/>
              <w:right w:val="single" w:sz="4" w:space="0" w:color="auto"/>
            </w:tcBorders>
            <w:hideMark/>
          </w:tcPr>
          <w:p w14:paraId="36867AA0" w14:textId="77777777" w:rsidR="005118E6" w:rsidRPr="00E95AB5" w:rsidRDefault="005118E6" w:rsidP="00E82046">
            <w:pPr>
              <w:pStyle w:val="Standaard-Tabellen"/>
              <w:rPr>
                <w:rFonts w:eastAsia="Calibri"/>
              </w:rPr>
            </w:pPr>
            <w:r w:rsidRPr="00E95AB5">
              <w:rPr>
                <w:rFonts w:eastAsia="Calibri"/>
              </w:rPr>
              <w:t>Aluminium with inner layer of:</w:t>
            </w:r>
          </w:p>
          <w:p w14:paraId="601B29C9" w14:textId="77777777" w:rsidR="005118E6" w:rsidRPr="00E95AB5" w:rsidRDefault="005118E6" w:rsidP="00E82046">
            <w:pPr>
              <w:pStyle w:val="Standaard-Tabellen"/>
              <w:rPr>
                <w:rFonts w:eastAsia="Calibri"/>
              </w:rPr>
            </w:pPr>
            <w:r w:rsidRPr="00E95AB5">
              <w:rPr>
                <w:rFonts w:eastAsia="Calibri"/>
              </w:rPr>
              <w:t>PE</w:t>
            </w:r>
          </w:p>
          <w:p w14:paraId="0D1EDFCF" w14:textId="77777777" w:rsidR="005118E6" w:rsidRPr="00E95AB5" w:rsidRDefault="005118E6" w:rsidP="00E82046">
            <w:pPr>
              <w:pStyle w:val="Standaard-Tabellen"/>
              <w:rPr>
                <w:rFonts w:eastAsia="Calibri"/>
              </w:rPr>
            </w:pPr>
            <w:r w:rsidRPr="00E95AB5">
              <w:rPr>
                <w:rFonts w:eastAsia="Calibri"/>
              </w:rPr>
              <w:t>HDPE</w:t>
            </w:r>
          </w:p>
          <w:p w14:paraId="747CCF3A" w14:textId="77777777" w:rsidR="005118E6" w:rsidRPr="00E95AB5" w:rsidRDefault="005118E6" w:rsidP="00E82046">
            <w:pPr>
              <w:pStyle w:val="Standaard-Tabellen"/>
              <w:rPr>
                <w:rFonts w:eastAsia="Calibri"/>
              </w:rPr>
            </w:pPr>
            <w:r w:rsidRPr="00E95AB5">
              <w:rPr>
                <w:rFonts w:eastAsia="Calibri"/>
              </w:rPr>
              <w:t>LDPE</w:t>
            </w:r>
          </w:p>
          <w:p w14:paraId="7326EBC3" w14:textId="77777777" w:rsidR="005118E6" w:rsidRPr="00E95AB5" w:rsidRDefault="005118E6" w:rsidP="00E82046">
            <w:pPr>
              <w:pStyle w:val="Standaard-Tabellen"/>
              <w:rPr>
                <w:rFonts w:eastAsia="Calibri"/>
              </w:rPr>
            </w:pPr>
            <w:r w:rsidRPr="00E95AB5">
              <w:rPr>
                <w:rFonts w:eastAsia="Calibri"/>
              </w:rPr>
              <w:t>PP</w:t>
            </w:r>
          </w:p>
          <w:p w14:paraId="372F963F" w14:textId="77777777" w:rsidR="005118E6" w:rsidRPr="00E95AB5" w:rsidRDefault="005118E6" w:rsidP="00E82046">
            <w:pPr>
              <w:pStyle w:val="Standaard-Tabellen"/>
              <w:rPr>
                <w:rFonts w:eastAsia="Calibri"/>
              </w:rPr>
            </w:pPr>
            <w:r w:rsidRPr="00E95AB5">
              <w:rPr>
                <w:rFonts w:eastAsia="Calibri"/>
              </w:rPr>
              <w:t>HDPE/LDPE</w:t>
            </w:r>
          </w:p>
          <w:p w14:paraId="37A3B2D9" w14:textId="77777777" w:rsidR="005118E6" w:rsidRPr="00E95AB5" w:rsidRDefault="005118E6" w:rsidP="00E82046">
            <w:pPr>
              <w:pStyle w:val="Standaard-Tabellen"/>
              <w:rPr>
                <w:rFonts w:eastAsia="Calibri"/>
              </w:rPr>
            </w:pPr>
            <w:r w:rsidRPr="00E95AB5">
              <w:rPr>
                <w:rFonts w:eastAsia="Calibri"/>
              </w:rPr>
              <w:t>HDPE/EVOH</w:t>
            </w:r>
          </w:p>
          <w:p w14:paraId="1E10FF02" w14:textId="77777777" w:rsidR="005118E6" w:rsidRPr="00E95AB5" w:rsidRDefault="005118E6" w:rsidP="00E82046">
            <w:pPr>
              <w:pStyle w:val="Standaard-Tabellen"/>
              <w:rPr>
                <w:rFonts w:eastAsia="Calibri"/>
              </w:rPr>
            </w:pPr>
            <w:r w:rsidRPr="00E95AB5">
              <w:rPr>
                <w:rFonts w:eastAsia="Calibri"/>
              </w:rPr>
              <w:t>HDPE/F</w:t>
            </w:r>
          </w:p>
          <w:p w14:paraId="0D13B0D8" w14:textId="77777777" w:rsidR="005118E6" w:rsidRPr="00E95AB5" w:rsidRDefault="005118E6" w:rsidP="00E82046">
            <w:pPr>
              <w:pStyle w:val="Standaard-Tabellen"/>
              <w:rPr>
                <w:rFonts w:eastAsia="Calibri"/>
              </w:rPr>
            </w:pPr>
            <w:r w:rsidRPr="00E95AB5">
              <w:rPr>
                <w:rFonts w:eastAsia="Calibri"/>
              </w:rPr>
              <w:t>HDPE/PA</w:t>
            </w:r>
          </w:p>
          <w:p w14:paraId="4773FC06" w14:textId="77777777" w:rsidR="005118E6" w:rsidRPr="00E95AB5" w:rsidRDefault="005118E6" w:rsidP="00E82046">
            <w:pPr>
              <w:pStyle w:val="Standaard-Tabellen"/>
              <w:rPr>
                <w:rFonts w:eastAsia="Calibri"/>
              </w:rPr>
            </w:pPr>
            <w:r w:rsidRPr="00E95AB5">
              <w:rPr>
                <w:rFonts w:eastAsia="Calibri"/>
              </w:rPr>
              <w:t>LDPE/EVOH</w:t>
            </w:r>
          </w:p>
          <w:p w14:paraId="47985CCD" w14:textId="77777777" w:rsidR="005118E6" w:rsidRPr="00E95AB5" w:rsidRDefault="005118E6" w:rsidP="00E82046">
            <w:pPr>
              <w:pStyle w:val="Standaard-Tabellen"/>
              <w:rPr>
                <w:rFonts w:eastAsia="Calibri"/>
              </w:rPr>
            </w:pPr>
            <w:r w:rsidRPr="00E95AB5">
              <w:rPr>
                <w:rFonts w:eastAsia="Calibri"/>
              </w:rPr>
              <w:t>LDPE/F</w:t>
            </w:r>
          </w:p>
          <w:p w14:paraId="3B2D1085" w14:textId="77777777" w:rsidR="005118E6" w:rsidRPr="00E95AB5" w:rsidRDefault="005118E6" w:rsidP="00E82046">
            <w:pPr>
              <w:pStyle w:val="Standaard-Tabellen"/>
              <w:rPr>
                <w:rFonts w:eastAsia="Calibri"/>
              </w:rPr>
            </w:pPr>
            <w:r w:rsidRPr="00E95AB5">
              <w:rPr>
                <w:rFonts w:eastAsia="Calibri"/>
              </w:rPr>
              <w:t>LDPE/PA</w:t>
            </w:r>
          </w:p>
        </w:tc>
        <w:tc>
          <w:tcPr>
            <w:tcW w:w="1326" w:type="dxa"/>
            <w:tcBorders>
              <w:top w:val="single" w:sz="4" w:space="0" w:color="auto"/>
              <w:left w:val="single" w:sz="4" w:space="0" w:color="auto"/>
              <w:bottom w:val="single" w:sz="4" w:space="0" w:color="auto"/>
              <w:right w:val="single" w:sz="4" w:space="0" w:color="auto"/>
            </w:tcBorders>
            <w:hideMark/>
          </w:tcPr>
          <w:p w14:paraId="4ADF954F" w14:textId="77777777" w:rsidR="005118E6" w:rsidRPr="00E95AB5" w:rsidRDefault="005118E6" w:rsidP="00E82046">
            <w:pPr>
              <w:pStyle w:val="Standaard-Tabellen"/>
              <w:rPr>
                <w:rFonts w:eastAsia="Calibri"/>
              </w:rPr>
            </w:pPr>
            <w:r w:rsidRPr="00E95AB5">
              <w:rPr>
                <w:rFonts w:eastAsia="Calibri"/>
              </w:rPr>
              <w:t>Snap cap</w:t>
            </w:r>
          </w:p>
          <w:p w14:paraId="7E6FCD1D" w14:textId="77777777" w:rsidR="005118E6" w:rsidRPr="00E95AB5" w:rsidRDefault="005118E6" w:rsidP="00E82046">
            <w:pPr>
              <w:pStyle w:val="Standaard-Tabellen"/>
              <w:rPr>
                <w:rFonts w:eastAsia="Calibri"/>
              </w:rPr>
            </w:pPr>
            <w:r w:rsidRPr="00E95AB5">
              <w:rPr>
                <w:rFonts w:eastAsia="Calibri"/>
              </w:rPr>
              <w:t>Screw cap</w:t>
            </w:r>
          </w:p>
          <w:p w14:paraId="221CD470" w14:textId="77777777" w:rsidR="005118E6" w:rsidRPr="00E95AB5" w:rsidRDefault="005118E6" w:rsidP="00E82046">
            <w:pPr>
              <w:pStyle w:val="Standaard-Tabellen"/>
              <w:rPr>
                <w:rFonts w:eastAsia="Calibri"/>
              </w:rPr>
            </w:pPr>
            <w:r w:rsidRPr="00E95AB5">
              <w:rPr>
                <w:rFonts w:eastAsia="Calibri"/>
              </w:rPr>
              <w:t>Top cap</w:t>
            </w:r>
          </w:p>
          <w:p w14:paraId="470E8CC0" w14:textId="77777777" w:rsidR="005118E6" w:rsidRPr="00E95AB5" w:rsidRDefault="005118E6" w:rsidP="00E82046">
            <w:pPr>
              <w:pStyle w:val="Standaard-Tabellen"/>
              <w:rPr>
                <w:rFonts w:eastAsia="Calibri"/>
              </w:rPr>
            </w:pPr>
            <w:r w:rsidRPr="00E95AB5">
              <w:rPr>
                <w:rFonts w:eastAsia="Calibri"/>
              </w:rPr>
              <w:t>Flip top cap</w:t>
            </w:r>
          </w:p>
          <w:p w14:paraId="143A8735" w14:textId="77777777" w:rsidR="005118E6" w:rsidRPr="00E95AB5" w:rsidRDefault="005118E6" w:rsidP="00E82046">
            <w:pPr>
              <w:pStyle w:val="Standaard-Tabellen"/>
              <w:rPr>
                <w:rFonts w:eastAsia="Calibri"/>
              </w:rPr>
            </w:pPr>
          </w:p>
          <w:p w14:paraId="2461AD7C" w14:textId="77777777" w:rsidR="005118E6" w:rsidRPr="00E95AB5" w:rsidRDefault="005118E6" w:rsidP="00E82046">
            <w:pPr>
              <w:pStyle w:val="Standaard-Tabellen"/>
              <w:rPr>
                <w:rFonts w:eastAsia="Calibri"/>
              </w:rPr>
            </w:pPr>
            <w:r w:rsidRPr="00E95AB5">
              <w:rPr>
                <w:rFonts w:eastAsia="Calibri"/>
              </w:rPr>
              <w:t>mostly PP</w:t>
            </w:r>
          </w:p>
        </w:tc>
        <w:tc>
          <w:tcPr>
            <w:tcW w:w="1641" w:type="dxa"/>
            <w:tcBorders>
              <w:top w:val="single" w:sz="4" w:space="0" w:color="auto"/>
              <w:left w:val="single" w:sz="4" w:space="0" w:color="auto"/>
              <w:bottom w:val="single" w:sz="4" w:space="0" w:color="auto"/>
              <w:right w:val="single" w:sz="4" w:space="0" w:color="auto"/>
            </w:tcBorders>
            <w:hideMark/>
          </w:tcPr>
          <w:p w14:paraId="52492E7C" w14:textId="77777777" w:rsidR="005118E6" w:rsidRPr="00E95AB5" w:rsidRDefault="005118E6" w:rsidP="00E82046">
            <w:pPr>
              <w:pStyle w:val="Standaard-Tabellen"/>
              <w:rPr>
                <w:rFonts w:eastAsia="Calibri"/>
              </w:rPr>
            </w:pPr>
            <w:r w:rsidRPr="00E95AB5">
              <w:rPr>
                <w:rFonts w:eastAsia="Calibri"/>
              </w:rPr>
              <w:t>Non-professional</w:t>
            </w:r>
          </w:p>
        </w:tc>
        <w:tc>
          <w:tcPr>
            <w:tcW w:w="1644" w:type="dxa"/>
            <w:tcBorders>
              <w:top w:val="single" w:sz="4" w:space="0" w:color="auto"/>
              <w:left w:val="single" w:sz="4" w:space="0" w:color="auto"/>
              <w:bottom w:val="single" w:sz="4" w:space="0" w:color="auto"/>
              <w:right w:val="single" w:sz="4" w:space="0" w:color="auto"/>
            </w:tcBorders>
            <w:hideMark/>
          </w:tcPr>
          <w:p w14:paraId="5C892CFA" w14:textId="77777777" w:rsidR="005118E6" w:rsidRPr="00E95AB5" w:rsidRDefault="005118E6" w:rsidP="00E82046">
            <w:pPr>
              <w:pStyle w:val="Standaard-Tabellen"/>
              <w:rPr>
                <w:rFonts w:eastAsia="Calibri"/>
              </w:rPr>
            </w:pPr>
            <w:r w:rsidRPr="00E95AB5">
              <w:rPr>
                <w:rFonts w:eastAsia="Calibri"/>
              </w:rPr>
              <w:t>Yes</w:t>
            </w:r>
          </w:p>
        </w:tc>
      </w:tr>
    </w:tbl>
    <w:p w14:paraId="39498E9A" w14:textId="7CFADEEE" w:rsidR="008E2686" w:rsidRPr="00BD2EF1" w:rsidRDefault="005118E6">
      <w:pPr>
        <w:spacing w:before="0" w:after="160" w:line="259" w:lineRule="auto"/>
      </w:pPr>
      <w:bookmarkStart w:id="55" w:name="_Toc425344083"/>
      <w:r w:rsidRPr="00BD2EF1">
        <w:br w:type="page"/>
      </w:r>
      <w:bookmarkEnd w:id="55"/>
    </w:p>
    <w:p w14:paraId="55F08701" w14:textId="77777777" w:rsidR="008E2686" w:rsidRPr="00BD2EF1" w:rsidRDefault="008E2686" w:rsidP="008E2686">
      <w:pPr>
        <w:pStyle w:val="Titre3"/>
      </w:pPr>
      <w:bookmarkStart w:id="56" w:name="_Toc425344097"/>
      <w:bookmarkStart w:id="57" w:name="_Toc12967129"/>
      <w:r w:rsidRPr="00BD2EF1">
        <w:lastRenderedPageBreak/>
        <w:t>Documentation</w:t>
      </w:r>
      <w:bookmarkEnd w:id="56"/>
      <w:bookmarkEnd w:id="57"/>
    </w:p>
    <w:p w14:paraId="07782222" w14:textId="77777777" w:rsidR="008E2686" w:rsidRPr="00BD2EF1" w:rsidRDefault="008E2686" w:rsidP="008E2686">
      <w:pPr>
        <w:pStyle w:val="Titre4"/>
      </w:pPr>
      <w:bookmarkStart w:id="58" w:name="_Toc425344098"/>
      <w:bookmarkStart w:id="59" w:name="_Toc12967130"/>
      <w:r w:rsidRPr="00BD2EF1">
        <w:t>Data submitted in relation to product application</w:t>
      </w:r>
      <w:bookmarkEnd w:id="58"/>
      <w:bookmarkEnd w:id="59"/>
    </w:p>
    <w:p w14:paraId="26C233FE" w14:textId="77777777" w:rsidR="00C5456F" w:rsidRPr="00BD2EF1" w:rsidRDefault="00C5456F" w:rsidP="00C5456F">
      <w:pPr>
        <w:rPr>
          <w:rFonts w:eastAsia="Calibri"/>
          <w:lang w:eastAsia="en-US"/>
        </w:rPr>
      </w:pPr>
      <w:bookmarkStart w:id="60" w:name="_Toc425344099"/>
      <w:r w:rsidRPr="00AE1BC9">
        <w:rPr>
          <w:rFonts w:eastAsia="Calibri"/>
          <w:lang w:eastAsia="en-US"/>
        </w:rPr>
        <w:t>Please see §3.1 list of studies for the biocidal product.</w:t>
      </w:r>
    </w:p>
    <w:p w14:paraId="03514F40" w14:textId="77777777" w:rsidR="008E2686" w:rsidRPr="00BD2EF1" w:rsidRDefault="008E2686" w:rsidP="008E2686">
      <w:pPr>
        <w:pStyle w:val="Titre4"/>
      </w:pPr>
      <w:bookmarkStart w:id="61" w:name="_Toc12967131"/>
      <w:r w:rsidRPr="00BD2EF1">
        <w:t>Access to documentation</w:t>
      </w:r>
      <w:bookmarkEnd w:id="60"/>
      <w:bookmarkEnd w:id="61"/>
    </w:p>
    <w:p w14:paraId="6159F1A9" w14:textId="77777777" w:rsidR="0005639E" w:rsidRDefault="0005639E" w:rsidP="0005639E">
      <w:pPr>
        <w:rPr>
          <w:rFonts w:eastAsia="Calibri"/>
          <w:lang w:eastAsia="en-US"/>
        </w:rPr>
      </w:pPr>
      <w:r>
        <w:rPr>
          <w:rFonts w:eastAsia="Calibri"/>
          <w:lang w:eastAsia="en-US"/>
        </w:rPr>
        <w:t>The applicant of this product is the same as the review programme participant for the active substance and is thus the owner of all data on the active substance.</w:t>
      </w:r>
    </w:p>
    <w:p w14:paraId="5298CF11" w14:textId="3A5B24C2" w:rsidR="0005639E" w:rsidRDefault="00030E6B" w:rsidP="0005639E">
      <w:r w:rsidRPr="00BF5148">
        <w:rPr>
          <w:highlight w:val="black"/>
        </w:rPr>
        <w:t xml:space="preserve">Merck </w:t>
      </w:r>
      <w:proofErr w:type="spellStart"/>
      <w:r w:rsidRPr="00BF5148">
        <w:rPr>
          <w:highlight w:val="black"/>
        </w:rPr>
        <w:t>KGaA</w:t>
      </w:r>
      <w:proofErr w:type="spellEnd"/>
      <w:r w:rsidRPr="00BF5148">
        <w:rPr>
          <w:highlight w:val="black"/>
        </w:rPr>
        <w:t xml:space="preserve"> is not a formulator of biocidal products. Merck </w:t>
      </w:r>
      <w:proofErr w:type="spellStart"/>
      <w:r w:rsidRPr="00BF5148">
        <w:rPr>
          <w:highlight w:val="black"/>
        </w:rPr>
        <w:t>KGaA</w:t>
      </w:r>
      <w:proofErr w:type="spellEnd"/>
      <w:r w:rsidRPr="00BF5148">
        <w:rPr>
          <w:highlight w:val="black"/>
        </w:rPr>
        <w:t xml:space="preserve"> holds data for reference formulations and authorises these formulations. Merck </w:t>
      </w:r>
      <w:proofErr w:type="spellStart"/>
      <w:r w:rsidRPr="00BF5148">
        <w:rPr>
          <w:highlight w:val="black"/>
        </w:rPr>
        <w:t>KGaA</w:t>
      </w:r>
      <w:proofErr w:type="spellEnd"/>
      <w:r w:rsidRPr="00BF5148">
        <w:rPr>
          <w:highlight w:val="black"/>
        </w:rPr>
        <w:t xml:space="preserve"> clients that actually produce these formulations can make reference to this authorisation and apply for same products authorisation.</w:t>
      </w:r>
    </w:p>
    <w:p w14:paraId="4B4C9485" w14:textId="77777777" w:rsidR="008E2686" w:rsidRPr="00BD2EF1" w:rsidRDefault="008E2686" w:rsidP="008737BD"/>
    <w:p w14:paraId="676BD393" w14:textId="5598F701" w:rsidR="00604E84" w:rsidRPr="00BD2EF1" w:rsidRDefault="00604E84" w:rsidP="008737BD">
      <w:pPr>
        <w:sectPr w:rsidR="00604E84" w:rsidRPr="00BD2EF1" w:rsidSect="006456DE">
          <w:pgSz w:w="11906" w:h="16838"/>
          <w:pgMar w:top="1247" w:right="1247" w:bottom="1247" w:left="1247" w:header="709" w:footer="709" w:gutter="0"/>
          <w:cols w:space="708"/>
          <w:docGrid w:linePitch="360"/>
        </w:sectPr>
      </w:pPr>
    </w:p>
    <w:p w14:paraId="2EA08C83" w14:textId="77777777" w:rsidR="008737BD" w:rsidRPr="00BD2EF1" w:rsidRDefault="0028480A" w:rsidP="0028480A">
      <w:pPr>
        <w:pStyle w:val="Titre2"/>
      </w:pPr>
      <w:bookmarkStart w:id="62" w:name="_Toc12967132"/>
      <w:r w:rsidRPr="00BD2EF1">
        <w:lastRenderedPageBreak/>
        <w:t>Assessment of the biocidal product</w:t>
      </w:r>
      <w:bookmarkEnd w:id="62"/>
    </w:p>
    <w:p w14:paraId="603B5CD2" w14:textId="77777777" w:rsidR="0028480A" w:rsidRDefault="0028480A" w:rsidP="0028480A">
      <w:pPr>
        <w:pStyle w:val="Titre3"/>
        <w:rPr>
          <w:lang w:eastAsia="en-US"/>
        </w:rPr>
      </w:pPr>
      <w:bookmarkStart w:id="63" w:name="_Toc12967133"/>
      <w:r w:rsidRPr="00334E40">
        <w:rPr>
          <w:lang w:eastAsia="en-US"/>
        </w:rPr>
        <w:t>Intended use(s) as applied for by the applicant</w:t>
      </w:r>
      <w:bookmarkEnd w:id="63"/>
    </w:p>
    <w:tbl>
      <w:tblPr>
        <w:tblW w:w="5000" w:type="pct"/>
        <w:tblCellMar>
          <w:left w:w="0" w:type="dxa"/>
          <w:right w:w="0" w:type="dxa"/>
        </w:tblCellMar>
        <w:tblLook w:val="0000" w:firstRow="0" w:lastRow="0" w:firstColumn="0" w:lastColumn="0" w:noHBand="0" w:noVBand="0"/>
      </w:tblPr>
      <w:tblGrid>
        <w:gridCol w:w="1749"/>
        <w:gridCol w:w="7455"/>
      </w:tblGrid>
      <w:tr w:rsidR="00CB485F" w:rsidRPr="000809E0" w14:paraId="18D8305F" w14:textId="77777777" w:rsidTr="00D71B8F">
        <w:tc>
          <w:tcPr>
            <w:tcW w:w="5000" w:type="pct"/>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40" w:type="dxa"/>
              <w:left w:w="40" w:type="dxa"/>
              <w:bottom w:w="40" w:type="dxa"/>
              <w:right w:w="40" w:type="dxa"/>
            </w:tcMar>
          </w:tcPr>
          <w:p w14:paraId="6064DF52" w14:textId="0BFF036B" w:rsidR="00CB485F" w:rsidRPr="000809E0" w:rsidRDefault="00CB485F" w:rsidP="00CB485F">
            <w:pPr>
              <w:pStyle w:val="Standaard-Tabellen"/>
              <w:rPr>
                <w:b/>
              </w:rPr>
            </w:pPr>
            <w:r w:rsidRPr="000809E0">
              <w:rPr>
                <w:b/>
              </w:rPr>
              <w:t xml:space="preserve">Table </w:t>
            </w:r>
            <w:r w:rsidR="00816022" w:rsidRPr="000809E0">
              <w:rPr>
                <w:b/>
              </w:rPr>
              <w:fldChar w:fldCharType="begin"/>
            </w:r>
            <w:r w:rsidRPr="000809E0">
              <w:rPr>
                <w:b/>
              </w:rPr>
              <w:instrText xml:space="preserve"> SEQ Table \* ARABIC </w:instrText>
            </w:r>
            <w:r w:rsidR="00816022" w:rsidRPr="000809E0">
              <w:rPr>
                <w:b/>
              </w:rPr>
              <w:fldChar w:fldCharType="separate"/>
            </w:r>
            <w:r w:rsidR="00901C2F">
              <w:rPr>
                <w:b/>
                <w:noProof/>
              </w:rPr>
              <w:t>3</w:t>
            </w:r>
            <w:r w:rsidR="00816022" w:rsidRPr="000809E0">
              <w:rPr>
                <w:b/>
              </w:rPr>
              <w:fldChar w:fldCharType="end"/>
            </w:r>
            <w:r w:rsidRPr="000809E0">
              <w:rPr>
                <w:b/>
              </w:rPr>
              <w:t>. Use # 1 – name of the use</w:t>
            </w:r>
          </w:p>
        </w:tc>
      </w:tr>
      <w:tr w:rsidR="00CB485F" w:rsidRPr="00BD2EF1" w14:paraId="40077F1B" w14:textId="77777777" w:rsidTr="00D71B8F">
        <w:tc>
          <w:tcPr>
            <w:tcW w:w="95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8C46F59" w14:textId="77777777" w:rsidR="00CB485F" w:rsidRPr="000809E0" w:rsidRDefault="00CB485F" w:rsidP="00D71B8F">
            <w:pPr>
              <w:pStyle w:val="Standaard-Tabellen"/>
              <w:rPr>
                <w:b/>
              </w:rPr>
            </w:pPr>
            <w:r w:rsidRPr="000809E0">
              <w:rPr>
                <w:b/>
              </w:rPr>
              <w:t>Product Type</w:t>
            </w:r>
          </w:p>
        </w:tc>
        <w:tc>
          <w:tcPr>
            <w:tcW w:w="4050"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2F08412" w14:textId="2A16DF2A" w:rsidR="00CB485F" w:rsidRPr="00BD2EF1" w:rsidRDefault="00CB485F" w:rsidP="00D71B8F">
            <w:pPr>
              <w:pStyle w:val="Standaard-Tabellen"/>
            </w:pPr>
            <w:r>
              <w:t>PT19 – Repellents and attractants (Pest control)</w:t>
            </w:r>
          </w:p>
        </w:tc>
      </w:tr>
      <w:tr w:rsidR="00CB485F" w:rsidRPr="00BD2EF1" w14:paraId="1680320D" w14:textId="77777777" w:rsidTr="00D71B8F">
        <w:tc>
          <w:tcPr>
            <w:tcW w:w="95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A3FD1B" w14:textId="77777777" w:rsidR="00CB485F" w:rsidRPr="000809E0" w:rsidRDefault="00CB485F" w:rsidP="00D71B8F">
            <w:pPr>
              <w:pStyle w:val="Standaard-Tabellen"/>
              <w:rPr>
                <w:b/>
              </w:rPr>
            </w:pPr>
            <w:r w:rsidRPr="000809E0">
              <w:rPr>
                <w:b/>
              </w:rPr>
              <w:t>Where relevant, an exact description of the authorised use</w:t>
            </w:r>
          </w:p>
        </w:tc>
        <w:tc>
          <w:tcPr>
            <w:tcW w:w="4050" w:type="pct"/>
            <w:tcBorders>
              <w:top w:val="nil"/>
              <w:left w:val="nil"/>
              <w:bottom w:val="single" w:sz="4" w:space="0" w:color="000000"/>
              <w:right w:val="single" w:sz="4" w:space="0" w:color="000000"/>
            </w:tcBorders>
            <w:tcMar>
              <w:top w:w="40" w:type="dxa"/>
              <w:left w:w="40" w:type="dxa"/>
              <w:bottom w:w="40" w:type="dxa"/>
              <w:right w:w="40" w:type="dxa"/>
            </w:tcMar>
          </w:tcPr>
          <w:p w14:paraId="0031EDE6" w14:textId="77777777" w:rsidR="00CB485F" w:rsidRPr="00BD2EF1" w:rsidRDefault="00CB485F" w:rsidP="00D71B8F">
            <w:pPr>
              <w:pStyle w:val="Standaard-Tabellen"/>
            </w:pPr>
            <w:r>
              <w:t>Insect Repellent Lotion IR3535</w:t>
            </w:r>
            <w:r w:rsidRPr="00920E0A">
              <w:rPr>
                <w:vertAlign w:val="superscript"/>
              </w:rPr>
              <w:t>®</w:t>
            </w:r>
            <w:r>
              <w:t xml:space="preserve"> 10 % is a ready to use product. The repellent is applied onto the skin. 3 g Product is sufficient for the application to approximately 50% of the body surface (face, hands, arms and legs as assessed in the CAR for IR3535). For treatment of the face, distribute the lotion over the skin of the face thereby taking care to protect the eyes. Relevant codes: VI.1.1 and VI.9 (manual distribution over skin).</w:t>
            </w:r>
          </w:p>
        </w:tc>
      </w:tr>
      <w:tr w:rsidR="00CB485F" w:rsidRPr="00BD2EF1" w14:paraId="097B32F3" w14:textId="77777777" w:rsidTr="00D71B8F">
        <w:tc>
          <w:tcPr>
            <w:tcW w:w="95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0CD79E" w14:textId="77777777" w:rsidR="00CB485F" w:rsidRPr="000809E0" w:rsidRDefault="00CB485F" w:rsidP="00D71B8F">
            <w:pPr>
              <w:pStyle w:val="Standaard-Tabellen"/>
              <w:rPr>
                <w:b/>
              </w:rPr>
            </w:pPr>
            <w:r w:rsidRPr="000809E0">
              <w:rPr>
                <w:b/>
              </w:rPr>
              <w:t>Target organism (including development stage)</w:t>
            </w:r>
          </w:p>
        </w:tc>
        <w:tc>
          <w:tcPr>
            <w:tcW w:w="4050" w:type="pct"/>
            <w:tcBorders>
              <w:top w:val="nil"/>
              <w:left w:val="nil"/>
              <w:bottom w:val="single" w:sz="4" w:space="0" w:color="000000"/>
              <w:right w:val="single" w:sz="4" w:space="0" w:color="000000"/>
            </w:tcBorders>
            <w:tcMar>
              <w:top w:w="40" w:type="dxa"/>
              <w:left w:w="40" w:type="dxa"/>
              <w:bottom w:w="40" w:type="dxa"/>
              <w:right w:w="40" w:type="dxa"/>
            </w:tcMar>
          </w:tcPr>
          <w:tbl>
            <w:tblPr>
              <w:tblW w:w="0" w:type="auto"/>
              <w:tblLook w:val="04A0" w:firstRow="1" w:lastRow="0" w:firstColumn="1" w:lastColumn="0" w:noHBand="0" w:noVBand="1"/>
            </w:tblPr>
            <w:tblGrid>
              <w:gridCol w:w="1767"/>
              <w:gridCol w:w="1723"/>
              <w:gridCol w:w="2169"/>
            </w:tblGrid>
            <w:tr w:rsidR="00CB485F" w14:paraId="3D9CC438" w14:textId="77777777" w:rsidTr="00D71B8F">
              <w:tc>
                <w:tcPr>
                  <w:tcW w:w="0" w:type="auto"/>
                </w:tcPr>
                <w:p w14:paraId="3AB8A7C4" w14:textId="77777777" w:rsidR="00CB485F" w:rsidRPr="000809E0" w:rsidRDefault="00CB485F" w:rsidP="00D71B8F">
                  <w:pPr>
                    <w:pStyle w:val="Standaard-Tabellen"/>
                    <w:rPr>
                      <w:b/>
                    </w:rPr>
                  </w:pPr>
                  <w:r w:rsidRPr="000809E0">
                    <w:rPr>
                      <w:b/>
                    </w:rPr>
                    <w:t>Scientific name</w:t>
                  </w:r>
                </w:p>
              </w:tc>
              <w:tc>
                <w:tcPr>
                  <w:tcW w:w="0" w:type="auto"/>
                </w:tcPr>
                <w:p w14:paraId="5908CE50" w14:textId="77777777" w:rsidR="00CB485F" w:rsidRPr="000809E0" w:rsidRDefault="00CB485F" w:rsidP="00D71B8F">
                  <w:pPr>
                    <w:pStyle w:val="Standaard-Tabellen"/>
                    <w:rPr>
                      <w:b/>
                    </w:rPr>
                  </w:pPr>
                  <w:r w:rsidRPr="000809E0">
                    <w:rPr>
                      <w:b/>
                    </w:rPr>
                    <w:t>Common name</w:t>
                  </w:r>
                </w:p>
              </w:tc>
              <w:tc>
                <w:tcPr>
                  <w:tcW w:w="0" w:type="auto"/>
                </w:tcPr>
                <w:p w14:paraId="41DFB12C" w14:textId="77777777" w:rsidR="00CB485F" w:rsidRPr="000809E0" w:rsidRDefault="00CB485F" w:rsidP="00D71B8F">
                  <w:pPr>
                    <w:pStyle w:val="Standaard-Tabellen"/>
                    <w:rPr>
                      <w:b/>
                    </w:rPr>
                  </w:pPr>
                  <w:r w:rsidRPr="000809E0">
                    <w:rPr>
                      <w:b/>
                    </w:rPr>
                    <w:t>Development stage</w:t>
                  </w:r>
                </w:p>
              </w:tc>
            </w:tr>
            <w:tr w:rsidR="00CB485F" w14:paraId="672F9086" w14:textId="77777777" w:rsidTr="00D71B8F">
              <w:tc>
                <w:tcPr>
                  <w:tcW w:w="0" w:type="auto"/>
                </w:tcPr>
                <w:p w14:paraId="42206D03" w14:textId="77777777" w:rsidR="00CB485F" w:rsidRPr="00895C06" w:rsidRDefault="00CB485F" w:rsidP="00D71B8F">
                  <w:pPr>
                    <w:pStyle w:val="Standaard-Tabellen"/>
                  </w:pPr>
                  <w:r>
                    <w:t>Culicidae</w:t>
                  </w:r>
                </w:p>
              </w:tc>
              <w:tc>
                <w:tcPr>
                  <w:tcW w:w="0" w:type="auto"/>
                </w:tcPr>
                <w:p w14:paraId="7102EFAB" w14:textId="77777777" w:rsidR="00CB485F" w:rsidRPr="00895C06" w:rsidRDefault="00CB485F" w:rsidP="00D71B8F">
                  <w:pPr>
                    <w:pStyle w:val="Standaard-Tabellen"/>
                  </w:pPr>
                  <w:r>
                    <w:t>Mosquitoes</w:t>
                  </w:r>
                </w:p>
              </w:tc>
              <w:tc>
                <w:tcPr>
                  <w:tcW w:w="0" w:type="auto"/>
                </w:tcPr>
                <w:p w14:paraId="18B15C53" w14:textId="77777777" w:rsidR="00CB485F" w:rsidRPr="00895C06" w:rsidRDefault="00CB485F" w:rsidP="00D71B8F">
                  <w:pPr>
                    <w:pStyle w:val="Standaard-Tabellen"/>
                  </w:pPr>
                  <w:r>
                    <w:t>Adults</w:t>
                  </w:r>
                </w:p>
              </w:tc>
            </w:tr>
            <w:tr w:rsidR="00CB485F" w14:paraId="2D1C7092" w14:textId="77777777" w:rsidTr="00D71B8F">
              <w:tc>
                <w:tcPr>
                  <w:tcW w:w="0" w:type="auto"/>
                </w:tcPr>
                <w:p w14:paraId="26C8639C" w14:textId="77777777" w:rsidR="00CB485F" w:rsidRDefault="00CB485F" w:rsidP="00D71B8F">
                  <w:pPr>
                    <w:pStyle w:val="Standaard-Tabellen"/>
                  </w:pPr>
                  <w:r>
                    <w:t>Ixodidae</w:t>
                  </w:r>
                </w:p>
              </w:tc>
              <w:tc>
                <w:tcPr>
                  <w:tcW w:w="0" w:type="auto"/>
                </w:tcPr>
                <w:p w14:paraId="70A225F8" w14:textId="77777777" w:rsidR="00CB485F" w:rsidRDefault="00CB485F" w:rsidP="00D71B8F">
                  <w:pPr>
                    <w:pStyle w:val="Standaard-Tabellen"/>
                  </w:pPr>
                  <w:r>
                    <w:t>Ticks</w:t>
                  </w:r>
                </w:p>
              </w:tc>
              <w:tc>
                <w:tcPr>
                  <w:tcW w:w="0" w:type="auto"/>
                </w:tcPr>
                <w:p w14:paraId="1797942E" w14:textId="77777777" w:rsidR="00CB485F" w:rsidRDefault="00CB485F" w:rsidP="00D71B8F">
                  <w:pPr>
                    <w:pStyle w:val="Standaard-Tabellen"/>
                  </w:pPr>
                  <w:r>
                    <w:t>Nymphs</w:t>
                  </w:r>
                </w:p>
              </w:tc>
            </w:tr>
            <w:tr w:rsidR="00CB485F" w14:paraId="0677B642" w14:textId="77777777" w:rsidTr="00D71B8F">
              <w:tc>
                <w:tcPr>
                  <w:tcW w:w="0" w:type="auto"/>
                </w:tcPr>
                <w:p w14:paraId="37174BEF" w14:textId="77777777" w:rsidR="00CB485F" w:rsidRDefault="00CB485F" w:rsidP="00D71B8F">
                  <w:pPr>
                    <w:pStyle w:val="Standaard-Tabellen"/>
                  </w:pPr>
                  <w:r>
                    <w:t>Ixodidae</w:t>
                  </w:r>
                </w:p>
              </w:tc>
              <w:tc>
                <w:tcPr>
                  <w:tcW w:w="0" w:type="auto"/>
                </w:tcPr>
                <w:p w14:paraId="13C8E0D3" w14:textId="77777777" w:rsidR="00CB485F" w:rsidRDefault="00CB485F" w:rsidP="00D71B8F">
                  <w:pPr>
                    <w:pStyle w:val="Standaard-Tabellen"/>
                  </w:pPr>
                  <w:r>
                    <w:t>Ticks</w:t>
                  </w:r>
                </w:p>
              </w:tc>
              <w:tc>
                <w:tcPr>
                  <w:tcW w:w="0" w:type="auto"/>
                </w:tcPr>
                <w:p w14:paraId="1C65BFB1" w14:textId="77777777" w:rsidR="00CB485F" w:rsidRDefault="00CB485F" w:rsidP="00D71B8F">
                  <w:pPr>
                    <w:pStyle w:val="Standaard-Tabellen"/>
                  </w:pPr>
                  <w:r>
                    <w:t>Adults</w:t>
                  </w:r>
                </w:p>
              </w:tc>
            </w:tr>
          </w:tbl>
          <w:p w14:paraId="3997A3FF" w14:textId="77777777" w:rsidR="00CB485F" w:rsidRPr="00BD2EF1" w:rsidRDefault="00CB485F" w:rsidP="00D71B8F">
            <w:pPr>
              <w:pStyle w:val="Standaard-Tabellen"/>
            </w:pPr>
          </w:p>
        </w:tc>
      </w:tr>
      <w:tr w:rsidR="00CB485F" w:rsidRPr="00BD2EF1" w14:paraId="7BD53C57" w14:textId="77777777" w:rsidTr="00D71B8F">
        <w:tc>
          <w:tcPr>
            <w:tcW w:w="95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65E486D" w14:textId="77777777" w:rsidR="00CB485F" w:rsidRPr="000809E0" w:rsidRDefault="00CB485F" w:rsidP="00D71B8F">
            <w:pPr>
              <w:pStyle w:val="Standaard-Tabellen"/>
              <w:rPr>
                <w:b/>
              </w:rPr>
            </w:pPr>
            <w:r w:rsidRPr="000809E0">
              <w:rPr>
                <w:b/>
              </w:rPr>
              <w:t>Field of use</w:t>
            </w:r>
          </w:p>
        </w:tc>
        <w:tc>
          <w:tcPr>
            <w:tcW w:w="4050" w:type="pct"/>
            <w:tcBorders>
              <w:top w:val="nil"/>
              <w:left w:val="nil"/>
              <w:bottom w:val="single" w:sz="4" w:space="0" w:color="000000"/>
              <w:right w:val="single" w:sz="4" w:space="0" w:color="000000"/>
            </w:tcBorders>
            <w:tcMar>
              <w:top w:w="40" w:type="dxa"/>
              <w:left w:w="40" w:type="dxa"/>
              <w:bottom w:w="40" w:type="dxa"/>
              <w:right w:w="40" w:type="dxa"/>
            </w:tcMar>
          </w:tcPr>
          <w:p w14:paraId="7A0D679E" w14:textId="77777777" w:rsidR="00CB485F" w:rsidRDefault="00CB485F" w:rsidP="00D71B8F">
            <w:pPr>
              <w:pStyle w:val="Standaard-Tabellen"/>
            </w:pPr>
            <w:r>
              <w:t>Other</w:t>
            </w:r>
          </w:p>
          <w:p w14:paraId="6F4D196C" w14:textId="77777777" w:rsidR="00CB485F" w:rsidRPr="00BD2EF1" w:rsidRDefault="00CB485F" w:rsidP="00D71B8F">
            <w:pPr>
              <w:pStyle w:val="Standaard-Tabellen"/>
            </w:pPr>
            <w:r>
              <w:t>well ventilated areas</w:t>
            </w:r>
          </w:p>
        </w:tc>
      </w:tr>
      <w:tr w:rsidR="00CB485F" w:rsidRPr="00BD2EF1" w14:paraId="73B21C60" w14:textId="77777777" w:rsidTr="00D71B8F">
        <w:tc>
          <w:tcPr>
            <w:tcW w:w="95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78DC67" w14:textId="77777777" w:rsidR="00CB485F" w:rsidRPr="000809E0" w:rsidRDefault="00CB485F" w:rsidP="00D71B8F">
            <w:pPr>
              <w:pStyle w:val="Standaard-Tabellen"/>
              <w:rPr>
                <w:b/>
              </w:rPr>
            </w:pPr>
            <w:r w:rsidRPr="000809E0">
              <w:rPr>
                <w:b/>
              </w:rPr>
              <w:t>Application method(s)</w:t>
            </w:r>
          </w:p>
        </w:tc>
        <w:tc>
          <w:tcPr>
            <w:tcW w:w="4050" w:type="pct"/>
            <w:tcBorders>
              <w:top w:val="nil"/>
              <w:left w:val="nil"/>
              <w:bottom w:val="single" w:sz="4" w:space="0" w:color="000000"/>
              <w:right w:val="single" w:sz="4" w:space="0" w:color="000000"/>
            </w:tcBorders>
            <w:tcMar>
              <w:top w:w="40" w:type="dxa"/>
              <w:left w:w="40" w:type="dxa"/>
              <w:bottom w:w="40" w:type="dxa"/>
              <w:right w:w="40" w:type="dxa"/>
            </w:tcMar>
          </w:tcPr>
          <w:p w14:paraId="3DAC2C91" w14:textId="77777777" w:rsidR="00CB485F" w:rsidRDefault="00CB485F" w:rsidP="00D71B8F">
            <w:pPr>
              <w:pStyle w:val="Standaard-Tabellen"/>
            </w:pPr>
            <w:r>
              <w:t>manual application</w:t>
            </w:r>
          </w:p>
          <w:p w14:paraId="113685A7" w14:textId="77777777" w:rsidR="00CB485F" w:rsidRPr="00BD2EF1" w:rsidRDefault="00CB485F" w:rsidP="00D71B8F">
            <w:pPr>
              <w:pStyle w:val="Standaard-Tabellen"/>
            </w:pPr>
            <w:r>
              <w:t>Description: The ready to use product is a lotion which is manually applied directly onto the exposed skin.</w:t>
            </w:r>
          </w:p>
        </w:tc>
      </w:tr>
      <w:tr w:rsidR="00CB485F" w:rsidRPr="00BD2EF1" w14:paraId="3D658EBE" w14:textId="77777777" w:rsidTr="00D71B8F">
        <w:tc>
          <w:tcPr>
            <w:tcW w:w="95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2F77E5F" w14:textId="77777777" w:rsidR="00CB485F" w:rsidRPr="000809E0" w:rsidRDefault="00CB485F" w:rsidP="00D71B8F">
            <w:pPr>
              <w:pStyle w:val="Standaard-Tabellen"/>
              <w:rPr>
                <w:b/>
              </w:rPr>
            </w:pPr>
            <w:r w:rsidRPr="000809E0">
              <w:rPr>
                <w:b/>
              </w:rPr>
              <w:t>Application rate(s) and frequency</w:t>
            </w:r>
          </w:p>
        </w:tc>
        <w:tc>
          <w:tcPr>
            <w:tcW w:w="4050" w:type="pct"/>
            <w:tcBorders>
              <w:top w:val="nil"/>
              <w:left w:val="nil"/>
              <w:bottom w:val="single" w:sz="4" w:space="0" w:color="000000"/>
              <w:right w:val="single" w:sz="4" w:space="0" w:color="000000"/>
            </w:tcBorders>
            <w:tcMar>
              <w:top w:w="40" w:type="dxa"/>
              <w:left w:w="40" w:type="dxa"/>
              <w:bottom w:w="40" w:type="dxa"/>
              <w:right w:w="40" w:type="dxa"/>
            </w:tcMar>
          </w:tcPr>
          <w:p w14:paraId="3BB7C0C7" w14:textId="77777777" w:rsidR="00CB485F" w:rsidRPr="00FF690F" w:rsidRDefault="00CB485F" w:rsidP="00D71B8F">
            <w:pPr>
              <w:pStyle w:val="Standaard-Tabellen"/>
            </w:pPr>
            <w:r w:rsidRPr="00FF690F">
              <w:t>Dose: 3.0 g</w:t>
            </w:r>
          </w:p>
          <w:p w14:paraId="136B69F6" w14:textId="77777777" w:rsidR="00CB485F" w:rsidRPr="00FF690F" w:rsidRDefault="00CB485F" w:rsidP="00D71B8F">
            <w:pPr>
              <w:pStyle w:val="Standaard-Tabellen"/>
            </w:pPr>
            <w:r w:rsidRPr="00FF690F">
              <w:t>Dilution: 100%</w:t>
            </w:r>
          </w:p>
          <w:p w14:paraId="1ACCC9C7" w14:textId="77777777" w:rsidR="00CB485F" w:rsidRPr="00BD2EF1" w:rsidRDefault="00CB485F" w:rsidP="00D71B8F">
            <w:pPr>
              <w:pStyle w:val="Standaard-Tabellen"/>
            </w:pPr>
            <w:r w:rsidRPr="00FF690F">
              <w:t>Insect Repellent Lotion IR3535</w:t>
            </w:r>
            <w:r w:rsidRPr="00166994">
              <w:rPr>
                <w:vertAlign w:val="superscript"/>
              </w:rPr>
              <w:t>®</w:t>
            </w:r>
            <w:r w:rsidRPr="00FF690F">
              <w:t xml:space="preserve"> 10 % is intended to be used in Europe in summer when insects are frequent. It is usually applied once a day depending on outdoor activities, weather and presence of insects. </w:t>
            </w:r>
            <w:r w:rsidRPr="000B55E3">
              <w:t>The product can be applied (face, hands, arms and legs) up to 7 times per day for adults</w:t>
            </w:r>
            <w:r w:rsidRPr="000D1DFB">
              <w:t>, up to 4 times for children &gt; 10 years</w:t>
            </w:r>
            <w:r w:rsidRPr="000B55E3">
              <w:t xml:space="preserve"> and maximally 2 times per day for smaller children and infants.</w:t>
            </w:r>
            <w:r w:rsidRPr="00FF690F">
              <w:t xml:space="preserve"> The frequency must be reduced if more body parts are treated.</w:t>
            </w:r>
          </w:p>
        </w:tc>
      </w:tr>
      <w:tr w:rsidR="00CB485F" w:rsidRPr="00BD2EF1" w14:paraId="28BE7459" w14:textId="77777777" w:rsidTr="00D71B8F">
        <w:tc>
          <w:tcPr>
            <w:tcW w:w="95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21D261" w14:textId="77777777" w:rsidR="00CB485F" w:rsidRPr="000809E0" w:rsidRDefault="00CB485F" w:rsidP="00D71B8F">
            <w:pPr>
              <w:pStyle w:val="Standaard-Tabellen"/>
              <w:rPr>
                <w:b/>
              </w:rPr>
            </w:pPr>
            <w:r w:rsidRPr="000809E0">
              <w:rPr>
                <w:b/>
              </w:rPr>
              <w:t>Category(</w:t>
            </w:r>
            <w:proofErr w:type="spellStart"/>
            <w:r w:rsidRPr="000809E0">
              <w:rPr>
                <w:b/>
              </w:rPr>
              <w:t>ies</w:t>
            </w:r>
            <w:proofErr w:type="spellEnd"/>
            <w:r w:rsidRPr="000809E0">
              <w:rPr>
                <w:b/>
              </w:rPr>
              <w:t>) of users</w:t>
            </w:r>
          </w:p>
        </w:tc>
        <w:tc>
          <w:tcPr>
            <w:tcW w:w="4050" w:type="pct"/>
            <w:tcBorders>
              <w:top w:val="nil"/>
              <w:left w:val="nil"/>
              <w:bottom w:val="single" w:sz="4" w:space="0" w:color="000000"/>
              <w:right w:val="single" w:sz="4" w:space="0" w:color="000000"/>
            </w:tcBorders>
            <w:tcMar>
              <w:top w:w="40" w:type="dxa"/>
              <w:left w:w="40" w:type="dxa"/>
              <w:bottom w:w="40" w:type="dxa"/>
              <w:right w:w="40" w:type="dxa"/>
            </w:tcMar>
          </w:tcPr>
          <w:p w14:paraId="3890DEC1" w14:textId="77777777" w:rsidR="00CB485F" w:rsidRPr="00BD2EF1" w:rsidRDefault="00CB485F" w:rsidP="00D71B8F">
            <w:pPr>
              <w:pStyle w:val="Standaard-Tabellen"/>
            </w:pPr>
            <w:r>
              <w:t>General public (non-professional)</w:t>
            </w:r>
          </w:p>
        </w:tc>
      </w:tr>
      <w:tr w:rsidR="00CB485F" w:rsidRPr="00BD2EF1" w14:paraId="726C9453" w14:textId="77777777" w:rsidTr="00D71B8F">
        <w:tc>
          <w:tcPr>
            <w:tcW w:w="95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8232D4" w14:textId="77777777" w:rsidR="00CB485F" w:rsidRPr="000809E0" w:rsidRDefault="00CB485F" w:rsidP="00D71B8F">
            <w:pPr>
              <w:pStyle w:val="Standaard-Tabellen"/>
              <w:rPr>
                <w:b/>
              </w:rPr>
            </w:pPr>
            <w:r w:rsidRPr="000809E0">
              <w:rPr>
                <w:b/>
              </w:rPr>
              <w:t>Pack sizes and packaging material</w:t>
            </w:r>
          </w:p>
        </w:tc>
        <w:tc>
          <w:tcPr>
            <w:tcW w:w="4050" w:type="pct"/>
            <w:tcBorders>
              <w:top w:val="nil"/>
              <w:left w:val="nil"/>
              <w:bottom w:val="single" w:sz="4" w:space="0" w:color="000000"/>
              <w:right w:val="single" w:sz="4" w:space="0" w:color="000000"/>
            </w:tcBorders>
            <w:tcMar>
              <w:top w:w="40" w:type="dxa"/>
              <w:left w:w="40" w:type="dxa"/>
              <w:bottom w:w="40" w:type="dxa"/>
              <w:right w:w="40" w:type="dxa"/>
            </w:tcMar>
          </w:tcPr>
          <w:tbl>
            <w:tblPr>
              <w:tblW w:w="0" w:type="auto"/>
              <w:tblLook w:val="04A0" w:firstRow="1" w:lastRow="0" w:firstColumn="1" w:lastColumn="0" w:noHBand="0" w:noVBand="1"/>
            </w:tblPr>
            <w:tblGrid>
              <w:gridCol w:w="748"/>
              <w:gridCol w:w="1432"/>
              <w:gridCol w:w="2053"/>
            </w:tblGrid>
            <w:tr w:rsidR="00CB485F" w14:paraId="6D825B6A" w14:textId="77777777" w:rsidTr="00D71B8F">
              <w:tc>
                <w:tcPr>
                  <w:tcW w:w="0" w:type="auto"/>
                </w:tcPr>
                <w:p w14:paraId="76E4C734" w14:textId="77777777" w:rsidR="00CB485F" w:rsidRPr="000809E0" w:rsidRDefault="00CB485F" w:rsidP="00D71B8F">
                  <w:pPr>
                    <w:pStyle w:val="Standaard-Tabellen"/>
                    <w:rPr>
                      <w:b/>
                    </w:rPr>
                  </w:pPr>
                  <w:r w:rsidRPr="000809E0">
                    <w:rPr>
                      <w:b/>
                    </w:rPr>
                    <w:t>Type</w:t>
                  </w:r>
                </w:p>
              </w:tc>
              <w:tc>
                <w:tcPr>
                  <w:tcW w:w="0" w:type="auto"/>
                </w:tcPr>
                <w:p w14:paraId="41BB0E13" w14:textId="77777777" w:rsidR="00CB485F" w:rsidRPr="000809E0" w:rsidRDefault="00CB485F" w:rsidP="00D71B8F">
                  <w:pPr>
                    <w:pStyle w:val="Standaard-Tabellen"/>
                    <w:rPr>
                      <w:b/>
                    </w:rPr>
                  </w:pPr>
                  <w:r w:rsidRPr="000809E0">
                    <w:rPr>
                      <w:b/>
                    </w:rPr>
                    <w:t>Material</w:t>
                  </w:r>
                </w:p>
              </w:tc>
              <w:tc>
                <w:tcPr>
                  <w:tcW w:w="0" w:type="auto"/>
                </w:tcPr>
                <w:p w14:paraId="4017D63B" w14:textId="77777777" w:rsidR="00CB485F" w:rsidRPr="000809E0" w:rsidRDefault="00CB485F" w:rsidP="00D71B8F">
                  <w:pPr>
                    <w:pStyle w:val="Standaard-Tabellen"/>
                    <w:rPr>
                      <w:b/>
                    </w:rPr>
                  </w:pPr>
                  <w:r w:rsidRPr="000809E0">
                    <w:rPr>
                      <w:b/>
                    </w:rPr>
                    <w:t>Size</w:t>
                  </w:r>
                </w:p>
              </w:tc>
            </w:tr>
            <w:tr w:rsidR="00CB485F" w14:paraId="301DC9F4" w14:textId="77777777" w:rsidTr="00D71B8F">
              <w:tc>
                <w:tcPr>
                  <w:tcW w:w="0" w:type="auto"/>
                </w:tcPr>
                <w:p w14:paraId="3CF9E460" w14:textId="77777777" w:rsidR="00CB485F" w:rsidRPr="00F835F6" w:rsidRDefault="00CB485F" w:rsidP="00D71B8F">
                  <w:pPr>
                    <w:pStyle w:val="Standaard-Tabellen"/>
                  </w:pPr>
                  <w:r>
                    <w:t>Bottle</w:t>
                  </w:r>
                </w:p>
              </w:tc>
              <w:tc>
                <w:tcPr>
                  <w:tcW w:w="0" w:type="auto"/>
                </w:tcPr>
                <w:p w14:paraId="59BAFBE2" w14:textId="77777777" w:rsidR="00CB485F" w:rsidRPr="00F835F6" w:rsidRDefault="00CB485F" w:rsidP="00D71B8F">
                  <w:pPr>
                    <w:pStyle w:val="Standaard-Tabellen"/>
                  </w:pPr>
                  <w:r>
                    <w:t>Plastic: HDPE</w:t>
                  </w:r>
                </w:p>
              </w:tc>
              <w:tc>
                <w:tcPr>
                  <w:tcW w:w="0" w:type="auto"/>
                </w:tcPr>
                <w:p w14:paraId="755DF21A" w14:textId="77777777" w:rsidR="00CB485F" w:rsidRPr="00F835F6" w:rsidRDefault="00CB485F" w:rsidP="00D71B8F">
                  <w:pPr>
                    <w:pStyle w:val="Standaard-Tabellen"/>
                  </w:pPr>
                  <w:r>
                    <w:t>&gt;25.0 - &lt; 250.0 mL</w:t>
                  </w:r>
                </w:p>
              </w:tc>
            </w:tr>
          </w:tbl>
          <w:p w14:paraId="01D96EE2" w14:textId="77777777" w:rsidR="00CB485F" w:rsidRDefault="00CB485F" w:rsidP="00D71B8F">
            <w:pPr>
              <w:pStyle w:val="Standaard-Tabellen"/>
            </w:pPr>
          </w:p>
          <w:p w14:paraId="0D7F9465" w14:textId="77777777" w:rsidR="00CB485F" w:rsidRPr="00BD2EF1" w:rsidRDefault="00CB485F" w:rsidP="00D71B8F">
            <w:pPr>
              <w:pStyle w:val="Standaard-Tabellen"/>
            </w:pPr>
            <w:r>
              <w:t>The lightproof tube/flask is closed with a screw cap or a snap cap</w:t>
            </w:r>
          </w:p>
        </w:tc>
      </w:tr>
    </w:tbl>
    <w:p w14:paraId="4A831662" w14:textId="77777777" w:rsidR="00CB485F" w:rsidRDefault="00CB485F" w:rsidP="00CB485F">
      <w:pPr>
        <w:rPr>
          <w:lang w:eastAsia="en-US"/>
        </w:rPr>
      </w:pPr>
    </w:p>
    <w:p w14:paraId="21FE8C8A" w14:textId="77777777" w:rsidR="00C5456F" w:rsidRDefault="00C5456F" w:rsidP="0028480A">
      <w:pPr>
        <w:rPr>
          <w:lang w:eastAsia="en-US"/>
        </w:rPr>
      </w:pPr>
    </w:p>
    <w:p w14:paraId="3D6242EE" w14:textId="77777777" w:rsidR="00CB485F" w:rsidRDefault="00CB485F" w:rsidP="0028480A">
      <w:pPr>
        <w:rPr>
          <w:lang w:eastAsia="en-US"/>
        </w:rPr>
      </w:pPr>
    </w:p>
    <w:p w14:paraId="7DAE7228" w14:textId="77777777" w:rsidR="00CB485F" w:rsidRDefault="00CB485F" w:rsidP="0028480A">
      <w:pPr>
        <w:rPr>
          <w:lang w:eastAsia="en-US"/>
        </w:rPr>
      </w:pPr>
    </w:p>
    <w:p w14:paraId="285E7699" w14:textId="77777777" w:rsidR="00CB485F" w:rsidRDefault="00CB485F" w:rsidP="0028480A">
      <w:pPr>
        <w:rPr>
          <w:lang w:eastAsia="en-US"/>
        </w:rPr>
      </w:pPr>
    </w:p>
    <w:p w14:paraId="4AF88E0B" w14:textId="77777777" w:rsidR="00C5456F" w:rsidRPr="008D28BE" w:rsidRDefault="00C5456F" w:rsidP="00C5456F">
      <w:pPr>
        <w:pStyle w:val="Titre3"/>
        <w:rPr>
          <w:lang w:eastAsia="en-US"/>
        </w:rPr>
      </w:pPr>
      <w:bookmarkStart w:id="64" w:name="_Toc462646694"/>
      <w:bookmarkStart w:id="65" w:name="_Toc12967134"/>
      <w:r w:rsidRPr="008D28BE">
        <w:rPr>
          <w:lang w:eastAsia="en-US"/>
        </w:rPr>
        <w:t>Clarification on product composition and compositions tested</w:t>
      </w:r>
      <w:bookmarkEnd w:id="64"/>
      <w:bookmarkEnd w:id="65"/>
    </w:p>
    <w:p w14:paraId="4F5B54BE" w14:textId="77777777" w:rsidR="00E52E28" w:rsidRPr="00606AB8" w:rsidRDefault="00E52E28" w:rsidP="00E52E28">
      <w:pPr>
        <w:spacing w:before="0" w:after="0"/>
        <w:rPr>
          <w:lang w:val="en-US"/>
        </w:rPr>
      </w:pPr>
      <w:r w:rsidRPr="00606AB8">
        <w:rPr>
          <w:lang w:val="en-US"/>
        </w:rPr>
        <w:t xml:space="preserve">In the studies submitted several test materials were used. Below, the differences to the product Insect Repellent </w:t>
      </w:r>
      <w:r>
        <w:rPr>
          <w:lang w:val="en-US"/>
        </w:rPr>
        <w:t>Lotion</w:t>
      </w:r>
      <w:r w:rsidRPr="00606AB8">
        <w:rPr>
          <w:lang w:val="en-US"/>
        </w:rPr>
        <w:t xml:space="preserve"> IR3535</w:t>
      </w:r>
      <w:r w:rsidRPr="00606AB8">
        <w:rPr>
          <w:vertAlign w:val="superscript"/>
          <w:lang w:val="en-US"/>
        </w:rPr>
        <w:t>®</w:t>
      </w:r>
      <w:r>
        <w:rPr>
          <w:lang w:val="en-US"/>
        </w:rPr>
        <w:t xml:space="preserve"> 1</w:t>
      </w:r>
      <w:r w:rsidRPr="00606AB8">
        <w:rPr>
          <w:lang w:val="en-US"/>
        </w:rPr>
        <w:t>0% are described, whereas the full composition of the test materials is provided in the confidential part of the PAR.</w:t>
      </w:r>
    </w:p>
    <w:p w14:paraId="7DCEDF40" w14:textId="77777777" w:rsidR="00E52E28" w:rsidRPr="009022C0" w:rsidRDefault="00E52E28" w:rsidP="00E52E28">
      <w:pPr>
        <w:pStyle w:val="Paragraphedeliste"/>
        <w:numPr>
          <w:ilvl w:val="0"/>
          <w:numId w:val="20"/>
        </w:numPr>
        <w:spacing w:before="0" w:after="0"/>
        <w:contextualSpacing w:val="0"/>
        <w:rPr>
          <w:b/>
          <w:lang w:val="en-US"/>
        </w:rPr>
      </w:pPr>
      <w:r w:rsidRPr="00606AB8">
        <w:rPr>
          <w:b/>
          <w:lang w:val="en-US"/>
        </w:rPr>
        <w:t xml:space="preserve">Insect Repellent </w:t>
      </w:r>
      <w:r>
        <w:rPr>
          <w:b/>
          <w:lang w:val="en-US"/>
        </w:rPr>
        <w:t>Lotion</w:t>
      </w:r>
      <w:r w:rsidRPr="009022C0">
        <w:rPr>
          <w:b/>
          <w:lang w:val="en-US"/>
        </w:rPr>
        <w:t xml:space="preserve"> IR3535</w:t>
      </w:r>
      <w:r w:rsidRPr="009022C0">
        <w:rPr>
          <w:b/>
          <w:vertAlign w:val="superscript"/>
          <w:lang w:val="en-US"/>
        </w:rPr>
        <w:t>®</w:t>
      </w:r>
      <w:r>
        <w:rPr>
          <w:b/>
          <w:lang w:val="en-US"/>
        </w:rPr>
        <w:t xml:space="preserve"> 1</w:t>
      </w:r>
      <w:r w:rsidRPr="009022C0">
        <w:rPr>
          <w:b/>
          <w:lang w:val="en-US"/>
        </w:rPr>
        <w:t>0%</w:t>
      </w:r>
    </w:p>
    <w:p w14:paraId="04579F7A" w14:textId="77777777" w:rsidR="00E52E28" w:rsidRDefault="00E52E28" w:rsidP="00E52E28">
      <w:pPr>
        <w:pStyle w:val="Paragraphedeliste"/>
        <w:numPr>
          <w:ilvl w:val="0"/>
          <w:numId w:val="20"/>
        </w:numPr>
        <w:spacing w:before="0" w:after="0"/>
        <w:contextualSpacing w:val="0"/>
        <w:rPr>
          <w:lang w:val="en-US"/>
        </w:rPr>
      </w:pPr>
      <w:r>
        <w:rPr>
          <w:b/>
          <w:lang w:val="en-US"/>
        </w:rPr>
        <w:t>US Lotion</w:t>
      </w:r>
      <w:r w:rsidRPr="00606AB8">
        <w:rPr>
          <w:b/>
          <w:lang w:val="en-US"/>
        </w:rPr>
        <w:t xml:space="preserve"> Formulation:</w:t>
      </w:r>
      <w:r w:rsidRPr="00606AB8">
        <w:rPr>
          <w:lang w:val="en-US"/>
        </w:rPr>
        <w:t xml:space="preserve"> </w:t>
      </w:r>
      <w:r w:rsidR="00AF254E">
        <w:rPr>
          <w:lang w:val="en-US"/>
        </w:rPr>
        <w:t>In the US EPA formulation, the preservative Paragon II was contained at 1%. Insect Repellent Lotion IR3535</w:t>
      </w:r>
      <w:r w:rsidR="00816022" w:rsidRPr="00E12E4A">
        <w:rPr>
          <w:vertAlign w:val="superscript"/>
          <w:lang w:val="en-US"/>
        </w:rPr>
        <w:t>®</w:t>
      </w:r>
      <w:r w:rsidR="00AF254E">
        <w:rPr>
          <w:lang w:val="en-US"/>
        </w:rPr>
        <w:t xml:space="preserve"> 10%is a preservative-free formulation which is buffered with a citric acid and disodium hydrogen phosphate (hydrated forms) at a total concentration of 1%. The triethanolamine concentration </w:t>
      </w:r>
      <w:r w:rsidR="00AF254E">
        <w:rPr>
          <w:lang w:val="en-US"/>
        </w:rPr>
        <w:lastRenderedPageBreak/>
        <w:t>is very slightly lower than in Insect Repellent Lotion IR3535</w:t>
      </w:r>
      <w:r w:rsidR="00816022" w:rsidRPr="00E12E4A">
        <w:rPr>
          <w:vertAlign w:val="superscript"/>
          <w:lang w:val="en-US"/>
        </w:rPr>
        <w:t>®</w:t>
      </w:r>
      <w:r w:rsidR="003B7B32">
        <w:rPr>
          <w:lang w:val="en-US"/>
        </w:rPr>
        <w:t xml:space="preserve"> 10%. The</w:t>
      </w:r>
      <w:r w:rsidR="00AF254E">
        <w:rPr>
          <w:lang w:val="en-US"/>
        </w:rPr>
        <w:t xml:space="preserve"> difference is compensated by water.</w:t>
      </w:r>
    </w:p>
    <w:p w14:paraId="308DBD4C" w14:textId="77777777" w:rsidR="009D4AEF" w:rsidRPr="00E12E4A" w:rsidRDefault="00AF254E" w:rsidP="00E12E4A">
      <w:pPr>
        <w:pStyle w:val="Paragraphedeliste"/>
        <w:numPr>
          <w:ilvl w:val="0"/>
          <w:numId w:val="20"/>
        </w:numPr>
        <w:autoSpaceDE w:val="0"/>
        <w:autoSpaceDN w:val="0"/>
        <w:spacing w:before="0" w:after="0"/>
        <w:contextualSpacing w:val="0"/>
        <w:rPr>
          <w:rStyle w:val="Accentuationlgre"/>
          <w:i w:val="0"/>
          <w:iCs w:val="0"/>
          <w:color w:val="auto"/>
          <w:sz w:val="20"/>
          <w:lang w:val="en-US"/>
        </w:rPr>
      </w:pPr>
      <w:r>
        <w:rPr>
          <w:b/>
          <w:lang w:val="en-US"/>
        </w:rPr>
        <w:t xml:space="preserve">EU Lotion Formulation </w:t>
      </w:r>
      <w:r>
        <w:rPr>
          <w:lang w:val="en-US"/>
        </w:rPr>
        <w:t xml:space="preserve">or also </w:t>
      </w:r>
      <w:r>
        <w:rPr>
          <w:b/>
          <w:lang w:val="en-US"/>
        </w:rPr>
        <w:t>TMT-001</w:t>
      </w:r>
      <w:r w:rsidR="00E52E28" w:rsidRPr="00606AB8">
        <w:rPr>
          <w:lang w:val="en-US"/>
        </w:rPr>
        <w:t xml:space="preserve"> (</w:t>
      </w:r>
      <w:r w:rsidR="00E52E28">
        <w:rPr>
          <w:lang w:val="en-US"/>
        </w:rPr>
        <w:t xml:space="preserve">efficacy </w:t>
      </w:r>
      <w:r w:rsidR="00E52E28" w:rsidRPr="00606AB8">
        <w:rPr>
          <w:lang w:val="en-US"/>
        </w:rPr>
        <w:t xml:space="preserve">test against </w:t>
      </w:r>
      <w:r w:rsidR="00E52E28" w:rsidRPr="00606AB8">
        <w:rPr>
          <w:i/>
          <w:lang w:val="en-US"/>
        </w:rPr>
        <w:t>Aedes albopictus</w:t>
      </w:r>
      <w:r w:rsidR="00E52E28" w:rsidRPr="00606AB8">
        <w:rPr>
          <w:lang w:val="en-US"/>
        </w:rPr>
        <w:t xml:space="preserve">): </w:t>
      </w:r>
      <w:r>
        <w:rPr>
          <w:lang w:val="en-US"/>
        </w:rPr>
        <w:t>Identical</w:t>
      </w:r>
      <w:r w:rsidR="00E52E28">
        <w:rPr>
          <w:lang w:val="en-US"/>
        </w:rPr>
        <w:t xml:space="preserve"> to the </w:t>
      </w:r>
      <w:r>
        <w:rPr>
          <w:lang w:val="en-US"/>
        </w:rPr>
        <w:t>US Lotion Formulation apart from a very slightly higher concentration of triethanolamine</w:t>
      </w:r>
      <w:r w:rsidR="00E52E28">
        <w:rPr>
          <w:lang w:val="en-US"/>
        </w:rPr>
        <w:t>.</w:t>
      </w:r>
      <w:r w:rsidRPr="00AF254E">
        <w:rPr>
          <w:lang w:val="en-US"/>
        </w:rPr>
        <w:t xml:space="preserve"> </w:t>
      </w:r>
      <w:r w:rsidR="003B7B32">
        <w:rPr>
          <w:lang w:val="en-US"/>
        </w:rPr>
        <w:t>The</w:t>
      </w:r>
      <w:r>
        <w:rPr>
          <w:lang w:val="en-US"/>
        </w:rPr>
        <w:t xml:space="preserve"> difference is compensated by water.</w:t>
      </w:r>
      <w:r w:rsidR="00E52E28">
        <w:rPr>
          <w:lang w:val="en-US"/>
        </w:rPr>
        <w:t xml:space="preserve"> </w:t>
      </w:r>
    </w:p>
    <w:p w14:paraId="48A3EC5E" w14:textId="77777777" w:rsidR="00C5456F" w:rsidRPr="00BD2EF1" w:rsidRDefault="00C5456F" w:rsidP="0028480A">
      <w:pPr>
        <w:rPr>
          <w:lang w:eastAsia="en-US"/>
        </w:rPr>
      </w:pPr>
    </w:p>
    <w:p w14:paraId="53AFB13B" w14:textId="77777777" w:rsidR="0028480A" w:rsidRDefault="0028480A" w:rsidP="0028480A">
      <w:pPr>
        <w:pStyle w:val="Titre3"/>
        <w:rPr>
          <w:lang w:eastAsia="en-US"/>
        </w:rPr>
      </w:pPr>
      <w:bookmarkStart w:id="66" w:name="_Toc12967135"/>
      <w:r w:rsidRPr="00BD2EF1">
        <w:rPr>
          <w:lang w:eastAsia="en-US"/>
        </w:rPr>
        <w:t>Physical, chemical and technical properties</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7"/>
        <w:gridCol w:w="1318"/>
        <w:gridCol w:w="1220"/>
        <w:gridCol w:w="1634"/>
        <w:gridCol w:w="1855"/>
      </w:tblGrid>
      <w:tr w:rsidR="00EB316C" w:rsidRPr="00BD2EF1" w14:paraId="31D5EEC4" w14:textId="77777777" w:rsidTr="00147D38">
        <w:trPr>
          <w:tblHeader/>
        </w:trPr>
        <w:tc>
          <w:tcPr>
            <w:tcW w:w="1265" w:type="pct"/>
            <w:shd w:val="clear" w:color="auto" w:fill="BFBFBF" w:themeFill="background1" w:themeFillShade="BF"/>
            <w:vAlign w:val="center"/>
          </w:tcPr>
          <w:p w14:paraId="162F1188" w14:textId="77777777" w:rsidR="00EB316C" w:rsidRPr="00BD2EF1" w:rsidRDefault="00EB316C" w:rsidP="002E0A8E">
            <w:pPr>
              <w:pStyle w:val="Standaard-Tabellen"/>
              <w:rPr>
                <w:rFonts w:eastAsia="Calibri"/>
                <w:b/>
              </w:rPr>
            </w:pPr>
            <w:r w:rsidRPr="00BD2EF1">
              <w:rPr>
                <w:rFonts w:eastAsia="Calibri"/>
                <w:b/>
              </w:rPr>
              <w:t>Property</w:t>
            </w:r>
          </w:p>
        </w:tc>
        <w:tc>
          <w:tcPr>
            <w:tcW w:w="831" w:type="pct"/>
            <w:shd w:val="clear" w:color="auto" w:fill="BFBFBF" w:themeFill="background1" w:themeFillShade="BF"/>
            <w:vAlign w:val="center"/>
          </w:tcPr>
          <w:p w14:paraId="26C053DE" w14:textId="77777777" w:rsidR="00EB316C" w:rsidRPr="00BD2EF1" w:rsidRDefault="00EB316C" w:rsidP="002E0A8E">
            <w:pPr>
              <w:pStyle w:val="Standaard-Tabellen"/>
              <w:rPr>
                <w:rFonts w:eastAsia="Calibri"/>
                <w:b/>
              </w:rPr>
            </w:pPr>
            <w:r w:rsidRPr="00BD2EF1">
              <w:rPr>
                <w:rFonts w:eastAsia="Calibri"/>
                <w:b/>
              </w:rPr>
              <w:t>Guideline  and Method</w:t>
            </w:r>
          </w:p>
        </w:tc>
        <w:tc>
          <w:tcPr>
            <w:tcW w:w="753" w:type="pct"/>
            <w:shd w:val="clear" w:color="auto" w:fill="BFBFBF" w:themeFill="background1" w:themeFillShade="BF"/>
            <w:vAlign w:val="center"/>
          </w:tcPr>
          <w:p w14:paraId="3B5E2DBC" w14:textId="77777777" w:rsidR="00EB316C" w:rsidRPr="00BD2EF1" w:rsidRDefault="00EB316C" w:rsidP="002E0A8E">
            <w:pPr>
              <w:pStyle w:val="Standaard-Tabellen"/>
              <w:rPr>
                <w:rFonts w:eastAsia="Calibri"/>
                <w:b/>
              </w:rPr>
            </w:pPr>
            <w:r w:rsidRPr="00BD2EF1">
              <w:rPr>
                <w:rFonts w:eastAsia="Calibri"/>
                <w:b/>
              </w:rPr>
              <w:t>Purity of the test substance (% (w/w)</w:t>
            </w:r>
          </w:p>
        </w:tc>
        <w:tc>
          <w:tcPr>
            <w:tcW w:w="1015" w:type="pct"/>
            <w:shd w:val="clear" w:color="auto" w:fill="BFBFBF" w:themeFill="background1" w:themeFillShade="BF"/>
            <w:vAlign w:val="center"/>
          </w:tcPr>
          <w:p w14:paraId="270D6715" w14:textId="77777777" w:rsidR="00EB316C" w:rsidRPr="00BD2EF1" w:rsidRDefault="00EB316C" w:rsidP="002E0A8E">
            <w:pPr>
              <w:pStyle w:val="Standaard-Tabellen"/>
              <w:rPr>
                <w:rFonts w:eastAsia="Calibri"/>
                <w:b/>
              </w:rPr>
            </w:pPr>
            <w:r w:rsidRPr="00BD2EF1">
              <w:rPr>
                <w:rFonts w:eastAsia="Calibri"/>
                <w:b/>
              </w:rPr>
              <w:t>Results</w:t>
            </w:r>
          </w:p>
        </w:tc>
        <w:tc>
          <w:tcPr>
            <w:tcW w:w="1137" w:type="pct"/>
            <w:shd w:val="clear" w:color="auto" w:fill="BFBFBF" w:themeFill="background1" w:themeFillShade="BF"/>
            <w:vAlign w:val="center"/>
          </w:tcPr>
          <w:p w14:paraId="483845AE" w14:textId="77777777" w:rsidR="00EB316C" w:rsidRPr="00BD2EF1" w:rsidRDefault="00EB316C" w:rsidP="002E0A8E">
            <w:pPr>
              <w:pStyle w:val="Standaard-Tabellen"/>
              <w:rPr>
                <w:rFonts w:eastAsia="Calibri"/>
                <w:b/>
              </w:rPr>
            </w:pPr>
            <w:r w:rsidRPr="00BD2EF1">
              <w:rPr>
                <w:rFonts w:eastAsia="Calibri"/>
                <w:b/>
              </w:rPr>
              <w:t>Reference</w:t>
            </w:r>
          </w:p>
        </w:tc>
      </w:tr>
      <w:tr w:rsidR="00147D38" w:rsidRPr="00BD2EF1" w14:paraId="4B871287" w14:textId="77777777" w:rsidTr="00147D38">
        <w:tc>
          <w:tcPr>
            <w:tcW w:w="1265" w:type="pct"/>
          </w:tcPr>
          <w:p w14:paraId="7735A4C6" w14:textId="3EDCE555" w:rsidR="00147D38" w:rsidRPr="00BD2EF1" w:rsidRDefault="00147D38" w:rsidP="00147D38">
            <w:pPr>
              <w:pStyle w:val="Standaard-Tabellen"/>
              <w:rPr>
                <w:rFonts w:eastAsia="Calibri"/>
              </w:rPr>
            </w:pPr>
            <w:r w:rsidRPr="00BD2EF1">
              <w:rPr>
                <w:rFonts w:eastAsia="Calibri"/>
              </w:rPr>
              <w:t>Physical state at 20 °C and 101.3 kPa</w:t>
            </w:r>
          </w:p>
        </w:tc>
        <w:tc>
          <w:tcPr>
            <w:tcW w:w="831" w:type="pct"/>
          </w:tcPr>
          <w:p w14:paraId="5FFF3C62" w14:textId="0BD3E889" w:rsidR="00147D38" w:rsidRPr="00BD2EF1" w:rsidRDefault="00147D38" w:rsidP="00147D38">
            <w:pPr>
              <w:pStyle w:val="Standaard-Tabellen"/>
              <w:rPr>
                <w:rFonts w:eastAsia="Calibri"/>
              </w:rPr>
            </w:pPr>
            <w:r w:rsidRPr="009A3CD8">
              <w:rPr>
                <w:rFonts w:eastAsia="Calibri"/>
              </w:rPr>
              <w:t>Organoleptic</w:t>
            </w:r>
          </w:p>
        </w:tc>
        <w:tc>
          <w:tcPr>
            <w:tcW w:w="753" w:type="pct"/>
          </w:tcPr>
          <w:p w14:paraId="39A7CD25" w14:textId="77777777" w:rsidR="00147D38" w:rsidRDefault="00147D38" w:rsidP="00147D38">
            <w:pPr>
              <w:pStyle w:val="Standaard-Tabellen"/>
              <w:rPr>
                <w:rFonts w:eastAsia="Calibri"/>
              </w:rPr>
            </w:pPr>
            <w:r>
              <w:rPr>
                <w:rFonts w:eastAsia="Calibri"/>
              </w:rPr>
              <w:t>10.23</w:t>
            </w:r>
          </w:p>
          <w:p w14:paraId="213732E9" w14:textId="7575D1D7" w:rsidR="00147D38" w:rsidRPr="003B7B32" w:rsidRDefault="00147D38" w:rsidP="00147D38">
            <w:pPr>
              <w:pStyle w:val="Standaard-Tabellen"/>
              <w:rPr>
                <w:rFonts w:eastAsia="Calibri"/>
              </w:rPr>
            </w:pPr>
            <w:r w:rsidRPr="00EE0BFF">
              <w:rPr>
                <w:rFonts w:eastAsia="Calibri"/>
                <w:lang w:val="en-US"/>
              </w:rPr>
              <w:t>Insect Repellent Lotion IR3535</w:t>
            </w:r>
            <w:r w:rsidRPr="00EE0BFF">
              <w:rPr>
                <w:rFonts w:eastAsia="Calibri"/>
                <w:vertAlign w:val="superscript"/>
                <w:lang w:val="en-US"/>
              </w:rPr>
              <w:t>®</w:t>
            </w:r>
            <w:r w:rsidRPr="00EE0BFF">
              <w:rPr>
                <w:rFonts w:eastAsia="Calibri"/>
                <w:lang w:val="en-US"/>
              </w:rPr>
              <w:t xml:space="preserve"> 10%</w:t>
            </w:r>
          </w:p>
        </w:tc>
        <w:tc>
          <w:tcPr>
            <w:tcW w:w="1015" w:type="pct"/>
          </w:tcPr>
          <w:p w14:paraId="5DA8CC04" w14:textId="528A918E" w:rsidR="00147D38" w:rsidRPr="00BD2EF1" w:rsidRDefault="00147D38" w:rsidP="00147D38">
            <w:pPr>
              <w:pStyle w:val="Standaard-Tabellen"/>
              <w:rPr>
                <w:rFonts w:eastAsia="Calibri"/>
              </w:rPr>
            </w:pPr>
            <w:r>
              <w:rPr>
                <w:rFonts w:eastAsia="Calibri"/>
              </w:rPr>
              <w:t>Liquid</w:t>
            </w:r>
          </w:p>
        </w:tc>
        <w:tc>
          <w:tcPr>
            <w:tcW w:w="1137" w:type="pct"/>
          </w:tcPr>
          <w:p w14:paraId="2FA79836" w14:textId="79661CFF" w:rsidR="00147D38" w:rsidRPr="00BD2EF1" w:rsidRDefault="00147D38" w:rsidP="00147D38">
            <w:pPr>
              <w:pStyle w:val="Standaard-Tabellen"/>
              <w:rPr>
                <w:rFonts w:eastAsia="Calibri"/>
              </w:rPr>
            </w:pPr>
            <w:r>
              <w:rPr>
                <w:rFonts w:eastAsia="Calibri"/>
              </w:rPr>
              <w:t xml:space="preserve">Report no. 98322204, </w:t>
            </w:r>
            <w:proofErr w:type="spellStart"/>
            <w:r>
              <w:rPr>
                <w:rFonts w:eastAsia="Calibri"/>
              </w:rPr>
              <w:t>Fieseler</w:t>
            </w:r>
            <w:proofErr w:type="spellEnd"/>
            <w:r>
              <w:rPr>
                <w:rFonts w:eastAsia="Calibri"/>
              </w:rPr>
              <w:t xml:space="preserve">, A. 2015 </w:t>
            </w:r>
          </w:p>
        </w:tc>
      </w:tr>
      <w:tr w:rsidR="00147D38" w:rsidRPr="00BD2EF1" w14:paraId="0094FC8A" w14:textId="77777777" w:rsidTr="00147D38">
        <w:tc>
          <w:tcPr>
            <w:tcW w:w="1265" w:type="pct"/>
          </w:tcPr>
          <w:p w14:paraId="17DEA6C1" w14:textId="52B2183A" w:rsidR="00147D38" w:rsidRPr="00BD2EF1" w:rsidRDefault="00147D38" w:rsidP="00147D38">
            <w:pPr>
              <w:pStyle w:val="Standaard-Tabellen"/>
              <w:rPr>
                <w:rFonts w:eastAsia="Calibri"/>
              </w:rPr>
            </w:pPr>
            <w:r w:rsidRPr="00BD2EF1">
              <w:rPr>
                <w:rFonts w:eastAsia="Calibri"/>
              </w:rPr>
              <w:t>Colour at 20 °C and 101.3 kPa</w:t>
            </w:r>
          </w:p>
        </w:tc>
        <w:tc>
          <w:tcPr>
            <w:tcW w:w="831" w:type="pct"/>
          </w:tcPr>
          <w:p w14:paraId="53AFE831" w14:textId="74E3A3A2" w:rsidR="00147D38" w:rsidRPr="00BD2EF1" w:rsidRDefault="00147D38" w:rsidP="00147D38">
            <w:pPr>
              <w:pStyle w:val="Standaard-Tabellen"/>
              <w:rPr>
                <w:rFonts w:eastAsia="Calibri"/>
              </w:rPr>
            </w:pPr>
            <w:r w:rsidRPr="009A3CD8">
              <w:rPr>
                <w:rFonts w:eastAsia="Calibri"/>
              </w:rPr>
              <w:t>Organoleptic</w:t>
            </w:r>
          </w:p>
        </w:tc>
        <w:tc>
          <w:tcPr>
            <w:tcW w:w="753" w:type="pct"/>
          </w:tcPr>
          <w:p w14:paraId="73834D6A" w14:textId="77777777" w:rsidR="00147D38" w:rsidRDefault="00147D38" w:rsidP="00147D38">
            <w:pPr>
              <w:pStyle w:val="Standaard-Tabellen"/>
              <w:rPr>
                <w:rFonts w:eastAsia="Calibri"/>
              </w:rPr>
            </w:pPr>
            <w:r>
              <w:rPr>
                <w:rFonts w:eastAsia="Calibri"/>
              </w:rPr>
              <w:t>10.23</w:t>
            </w:r>
          </w:p>
          <w:p w14:paraId="2039CB4F" w14:textId="0F3DC6A9" w:rsidR="00147D38" w:rsidRPr="00BD2EF1" w:rsidRDefault="00147D38" w:rsidP="00147D38">
            <w:pPr>
              <w:pStyle w:val="Standaard-Tabellen"/>
              <w:rPr>
                <w:rFonts w:eastAsia="Calibri"/>
              </w:rPr>
            </w:pPr>
            <w:r w:rsidRPr="00EE0BFF">
              <w:rPr>
                <w:rFonts w:eastAsia="Calibri"/>
                <w:lang w:val="en-US"/>
              </w:rPr>
              <w:t>Insect Repellent Lotion IR3535</w:t>
            </w:r>
            <w:r w:rsidRPr="00EE0BFF">
              <w:rPr>
                <w:rFonts w:eastAsia="Calibri"/>
                <w:vertAlign w:val="superscript"/>
                <w:lang w:val="en-US"/>
              </w:rPr>
              <w:t>®</w:t>
            </w:r>
            <w:r w:rsidRPr="00EE0BFF">
              <w:rPr>
                <w:rFonts w:eastAsia="Calibri"/>
                <w:lang w:val="en-US"/>
              </w:rPr>
              <w:t xml:space="preserve"> 10%</w:t>
            </w:r>
          </w:p>
        </w:tc>
        <w:tc>
          <w:tcPr>
            <w:tcW w:w="1015" w:type="pct"/>
          </w:tcPr>
          <w:p w14:paraId="643948F3" w14:textId="6820F13C" w:rsidR="00147D38" w:rsidRPr="00BD2EF1" w:rsidRDefault="00147D38" w:rsidP="00147D38">
            <w:pPr>
              <w:pStyle w:val="Standaard-Tabellen"/>
              <w:rPr>
                <w:rFonts w:eastAsia="Calibri"/>
              </w:rPr>
            </w:pPr>
            <w:r>
              <w:rPr>
                <w:rFonts w:eastAsia="Calibri"/>
              </w:rPr>
              <w:t>White</w:t>
            </w:r>
          </w:p>
        </w:tc>
        <w:tc>
          <w:tcPr>
            <w:tcW w:w="1137" w:type="pct"/>
          </w:tcPr>
          <w:p w14:paraId="04B07569" w14:textId="551D2E29" w:rsidR="00147D38" w:rsidRPr="00BD2EF1" w:rsidRDefault="00147D38" w:rsidP="00147D38">
            <w:pPr>
              <w:pStyle w:val="Standaard-Tabellen"/>
              <w:rPr>
                <w:rFonts w:eastAsia="Calibri"/>
              </w:rPr>
            </w:pPr>
            <w:r>
              <w:rPr>
                <w:rFonts w:eastAsia="Calibri"/>
              </w:rPr>
              <w:t xml:space="preserve">Report no. 98322204, </w:t>
            </w:r>
            <w:proofErr w:type="spellStart"/>
            <w:r>
              <w:rPr>
                <w:rFonts w:eastAsia="Calibri"/>
              </w:rPr>
              <w:t>Fieseler</w:t>
            </w:r>
            <w:proofErr w:type="spellEnd"/>
            <w:r>
              <w:rPr>
                <w:rFonts w:eastAsia="Calibri"/>
              </w:rPr>
              <w:t>, A. 2015</w:t>
            </w:r>
          </w:p>
        </w:tc>
      </w:tr>
      <w:tr w:rsidR="00147D38" w:rsidRPr="00BD2EF1" w14:paraId="3E69D0EB" w14:textId="77777777" w:rsidTr="00147D38">
        <w:tc>
          <w:tcPr>
            <w:tcW w:w="1265" w:type="pct"/>
          </w:tcPr>
          <w:p w14:paraId="6EA8E0DE" w14:textId="17072201" w:rsidR="00147D38" w:rsidRPr="00BD2EF1" w:rsidRDefault="00147D38" w:rsidP="00147D38">
            <w:pPr>
              <w:pStyle w:val="Standaard-Tabellen"/>
              <w:rPr>
                <w:rFonts w:eastAsia="Calibri"/>
              </w:rPr>
            </w:pPr>
            <w:r w:rsidRPr="00BD2EF1">
              <w:rPr>
                <w:rFonts w:eastAsia="Calibri"/>
              </w:rPr>
              <w:t>Odour at 20 °C and 101.3 kPa</w:t>
            </w:r>
          </w:p>
        </w:tc>
        <w:tc>
          <w:tcPr>
            <w:tcW w:w="831" w:type="pct"/>
          </w:tcPr>
          <w:p w14:paraId="5FC7A154" w14:textId="0FF4F76F" w:rsidR="00147D38" w:rsidRPr="00BD2EF1" w:rsidRDefault="00147D38" w:rsidP="00147D38">
            <w:pPr>
              <w:pStyle w:val="Standaard-Tabellen"/>
              <w:rPr>
                <w:rFonts w:eastAsia="Calibri"/>
              </w:rPr>
            </w:pPr>
            <w:r w:rsidRPr="009A3CD8">
              <w:rPr>
                <w:rFonts w:eastAsia="Calibri"/>
              </w:rPr>
              <w:t>Organoleptic</w:t>
            </w:r>
          </w:p>
        </w:tc>
        <w:tc>
          <w:tcPr>
            <w:tcW w:w="753" w:type="pct"/>
          </w:tcPr>
          <w:p w14:paraId="79C09E8A" w14:textId="77777777" w:rsidR="00147D38" w:rsidRDefault="00147D38" w:rsidP="00147D38">
            <w:pPr>
              <w:pStyle w:val="Standaard-Tabellen"/>
              <w:rPr>
                <w:rFonts w:eastAsia="Calibri"/>
              </w:rPr>
            </w:pPr>
            <w:r>
              <w:rPr>
                <w:rFonts w:eastAsia="Calibri"/>
              </w:rPr>
              <w:t>10.23</w:t>
            </w:r>
          </w:p>
          <w:p w14:paraId="71BD2942" w14:textId="6D8F068C" w:rsidR="00147D38" w:rsidRPr="00BD2EF1" w:rsidRDefault="00147D38" w:rsidP="00147D38">
            <w:pPr>
              <w:pStyle w:val="Standaard-Tabellen"/>
              <w:rPr>
                <w:rFonts w:eastAsia="Calibri"/>
              </w:rPr>
            </w:pPr>
            <w:r w:rsidRPr="00EE0BFF">
              <w:rPr>
                <w:rFonts w:eastAsia="Calibri"/>
                <w:lang w:val="en-US"/>
              </w:rPr>
              <w:t>Insect Repellent Lotion IR3535</w:t>
            </w:r>
            <w:r w:rsidRPr="00EE0BFF">
              <w:rPr>
                <w:rFonts w:eastAsia="Calibri"/>
                <w:vertAlign w:val="superscript"/>
                <w:lang w:val="en-US"/>
              </w:rPr>
              <w:t>®</w:t>
            </w:r>
            <w:r w:rsidRPr="00EE0BFF">
              <w:rPr>
                <w:rFonts w:eastAsia="Calibri"/>
                <w:lang w:val="en-US"/>
              </w:rPr>
              <w:t xml:space="preserve"> 10%</w:t>
            </w:r>
          </w:p>
        </w:tc>
        <w:tc>
          <w:tcPr>
            <w:tcW w:w="1015" w:type="pct"/>
          </w:tcPr>
          <w:p w14:paraId="00E4BD7F" w14:textId="14BFC677" w:rsidR="00147D38" w:rsidRPr="00BD2EF1" w:rsidRDefault="00147D38" w:rsidP="00147D38">
            <w:pPr>
              <w:pStyle w:val="Standaard-Tabellen"/>
              <w:rPr>
                <w:rFonts w:eastAsia="Calibri"/>
              </w:rPr>
            </w:pPr>
            <w:r>
              <w:rPr>
                <w:rFonts w:eastAsia="Calibri"/>
              </w:rPr>
              <w:t>Mild characteristic</w:t>
            </w:r>
          </w:p>
        </w:tc>
        <w:tc>
          <w:tcPr>
            <w:tcW w:w="1137" w:type="pct"/>
          </w:tcPr>
          <w:p w14:paraId="62464FA1" w14:textId="321B66CC" w:rsidR="00147D38" w:rsidRPr="00BD2EF1" w:rsidRDefault="00147D38" w:rsidP="00147D38">
            <w:pPr>
              <w:pStyle w:val="Standaard-Tabellen"/>
              <w:rPr>
                <w:rFonts w:eastAsia="Calibri"/>
              </w:rPr>
            </w:pPr>
            <w:r>
              <w:rPr>
                <w:rFonts w:eastAsia="Calibri"/>
              </w:rPr>
              <w:t xml:space="preserve">Report no. 98322204, </w:t>
            </w:r>
            <w:proofErr w:type="spellStart"/>
            <w:r>
              <w:rPr>
                <w:rFonts w:eastAsia="Calibri"/>
              </w:rPr>
              <w:t>Fieseler</w:t>
            </w:r>
            <w:proofErr w:type="spellEnd"/>
            <w:r>
              <w:rPr>
                <w:rFonts w:eastAsia="Calibri"/>
              </w:rPr>
              <w:t>, A. 2015</w:t>
            </w:r>
          </w:p>
        </w:tc>
      </w:tr>
      <w:tr w:rsidR="00147D38" w:rsidRPr="00BD2EF1" w14:paraId="2A03CBF0" w14:textId="77777777" w:rsidTr="00147D38">
        <w:tc>
          <w:tcPr>
            <w:tcW w:w="1265" w:type="pct"/>
          </w:tcPr>
          <w:p w14:paraId="7C80AF38" w14:textId="170A711C" w:rsidR="00147D38" w:rsidRPr="00BD2EF1" w:rsidRDefault="00147D38" w:rsidP="00147D38">
            <w:pPr>
              <w:pStyle w:val="Standaard-Tabellen"/>
              <w:rPr>
                <w:rFonts w:eastAsia="Calibri"/>
              </w:rPr>
            </w:pPr>
            <w:r w:rsidRPr="00BD2EF1">
              <w:rPr>
                <w:rFonts w:eastAsia="Calibri"/>
              </w:rPr>
              <w:t>Acidity / alkalinity</w:t>
            </w:r>
          </w:p>
        </w:tc>
        <w:tc>
          <w:tcPr>
            <w:tcW w:w="831" w:type="pct"/>
          </w:tcPr>
          <w:p w14:paraId="6FCEEE1A" w14:textId="101CE281" w:rsidR="00147D38" w:rsidRPr="00BD2EF1" w:rsidRDefault="00147D38" w:rsidP="00147D38">
            <w:pPr>
              <w:pStyle w:val="Standaard-Tabellen"/>
              <w:rPr>
                <w:rFonts w:eastAsia="Calibri"/>
              </w:rPr>
            </w:pPr>
            <w:r>
              <w:rPr>
                <w:rFonts w:eastAsia="Calibri"/>
              </w:rPr>
              <w:t>CIPAC MT 75.3</w:t>
            </w:r>
          </w:p>
        </w:tc>
        <w:tc>
          <w:tcPr>
            <w:tcW w:w="753" w:type="pct"/>
          </w:tcPr>
          <w:p w14:paraId="4D7460C9" w14:textId="77777777" w:rsidR="00147D38" w:rsidRDefault="00147D38" w:rsidP="00147D38">
            <w:pPr>
              <w:pStyle w:val="Standaard-Tabellen"/>
              <w:rPr>
                <w:rFonts w:eastAsia="Calibri"/>
              </w:rPr>
            </w:pPr>
            <w:r>
              <w:rPr>
                <w:rFonts w:eastAsia="Calibri"/>
              </w:rPr>
              <w:t>10.23</w:t>
            </w:r>
          </w:p>
          <w:p w14:paraId="12E60785" w14:textId="04B1EDEB" w:rsidR="00147D38" w:rsidRPr="00BD2EF1" w:rsidRDefault="00147D38" w:rsidP="00147D38">
            <w:pPr>
              <w:pStyle w:val="Standaard-Tabellen"/>
              <w:rPr>
                <w:rFonts w:eastAsia="Calibri"/>
              </w:rPr>
            </w:pPr>
            <w:r w:rsidRPr="00EE0BFF">
              <w:rPr>
                <w:rFonts w:eastAsia="Calibri"/>
                <w:lang w:val="en-US"/>
              </w:rPr>
              <w:t>Insect Repellent Lotion IR3535</w:t>
            </w:r>
            <w:r w:rsidRPr="00EE0BFF">
              <w:rPr>
                <w:rFonts w:eastAsia="Calibri"/>
                <w:vertAlign w:val="superscript"/>
                <w:lang w:val="en-US"/>
              </w:rPr>
              <w:t>®</w:t>
            </w:r>
            <w:r w:rsidRPr="00EE0BFF">
              <w:rPr>
                <w:rFonts w:eastAsia="Calibri"/>
                <w:lang w:val="en-US"/>
              </w:rPr>
              <w:t xml:space="preserve"> 10%</w:t>
            </w:r>
          </w:p>
        </w:tc>
        <w:tc>
          <w:tcPr>
            <w:tcW w:w="1015" w:type="pct"/>
          </w:tcPr>
          <w:p w14:paraId="760078E2" w14:textId="56EEBC4A" w:rsidR="00147D38" w:rsidRDefault="00147D38" w:rsidP="00147D38">
            <w:pPr>
              <w:pStyle w:val="Standaard-Tabellen"/>
              <w:rPr>
                <w:rFonts w:eastAsia="Calibri"/>
              </w:rPr>
            </w:pPr>
            <w:r>
              <w:rPr>
                <w:rFonts w:eastAsia="Calibri"/>
              </w:rPr>
              <w:t xml:space="preserve">Undiluted: pH = </w:t>
            </w:r>
            <w:r w:rsidR="00290444">
              <w:rPr>
                <w:rFonts w:eastAsia="Calibri"/>
              </w:rPr>
              <w:t xml:space="preserve">6.4 </w:t>
            </w:r>
          </w:p>
          <w:p w14:paraId="33D15577" w14:textId="71D28DFE" w:rsidR="00147D38" w:rsidRPr="00BD2EF1" w:rsidRDefault="00147D38" w:rsidP="00147D38">
            <w:pPr>
              <w:pStyle w:val="Standaard-Tabellen"/>
              <w:rPr>
                <w:rFonts w:eastAsia="Calibri"/>
              </w:rPr>
            </w:pPr>
            <w:r>
              <w:rPr>
                <w:rFonts w:eastAsia="Calibri"/>
              </w:rPr>
              <w:t xml:space="preserve">At 1 %: pH = </w:t>
            </w:r>
            <w:r w:rsidR="00290444">
              <w:rPr>
                <w:rFonts w:eastAsia="Calibri"/>
              </w:rPr>
              <w:t xml:space="preserve">7.0 </w:t>
            </w:r>
          </w:p>
        </w:tc>
        <w:tc>
          <w:tcPr>
            <w:tcW w:w="1137" w:type="pct"/>
          </w:tcPr>
          <w:p w14:paraId="00C894DE" w14:textId="7F1EF375" w:rsidR="00147D38" w:rsidRPr="00BD2EF1" w:rsidRDefault="00147D38" w:rsidP="00147D38">
            <w:pPr>
              <w:pStyle w:val="Standaard-Tabellen"/>
              <w:rPr>
                <w:rFonts w:eastAsia="Calibri"/>
              </w:rPr>
            </w:pPr>
            <w:r>
              <w:rPr>
                <w:rFonts w:eastAsia="Calibri"/>
              </w:rPr>
              <w:t xml:space="preserve">Report no. 98322204, </w:t>
            </w:r>
            <w:proofErr w:type="spellStart"/>
            <w:r>
              <w:rPr>
                <w:rFonts w:eastAsia="Calibri"/>
              </w:rPr>
              <w:t>Fieseler</w:t>
            </w:r>
            <w:proofErr w:type="spellEnd"/>
            <w:r>
              <w:rPr>
                <w:rFonts w:eastAsia="Calibri"/>
              </w:rPr>
              <w:t>, A. 2015</w:t>
            </w:r>
          </w:p>
        </w:tc>
      </w:tr>
      <w:tr w:rsidR="00147D38" w:rsidRPr="00BD2EF1" w14:paraId="7125DCD4" w14:textId="77777777" w:rsidTr="00147D38">
        <w:tc>
          <w:tcPr>
            <w:tcW w:w="1265" w:type="pct"/>
            <w:tcBorders>
              <w:top w:val="single" w:sz="4" w:space="0" w:color="auto"/>
              <w:left w:val="single" w:sz="4" w:space="0" w:color="auto"/>
              <w:bottom w:val="single" w:sz="4" w:space="0" w:color="auto"/>
              <w:right w:val="single" w:sz="4" w:space="0" w:color="auto"/>
            </w:tcBorders>
          </w:tcPr>
          <w:p w14:paraId="6EB36E02" w14:textId="0B0D9943" w:rsidR="00147D38" w:rsidRPr="00BD2EF1" w:rsidRDefault="00147D38" w:rsidP="00147D38">
            <w:pPr>
              <w:pStyle w:val="Standaard-Tabellen"/>
              <w:rPr>
                <w:rFonts w:eastAsia="Calibri"/>
              </w:rPr>
            </w:pPr>
            <w:r w:rsidRPr="00BD2EF1">
              <w:rPr>
                <w:rFonts w:eastAsia="Calibri"/>
              </w:rPr>
              <w:t>Relative density / bulk density</w:t>
            </w:r>
          </w:p>
        </w:tc>
        <w:tc>
          <w:tcPr>
            <w:tcW w:w="831" w:type="pct"/>
            <w:tcBorders>
              <w:top w:val="single" w:sz="4" w:space="0" w:color="auto"/>
              <w:left w:val="single" w:sz="4" w:space="0" w:color="auto"/>
              <w:bottom w:val="single" w:sz="4" w:space="0" w:color="auto"/>
              <w:right w:val="single" w:sz="4" w:space="0" w:color="auto"/>
            </w:tcBorders>
          </w:tcPr>
          <w:p w14:paraId="7490346D" w14:textId="2FF3FB0C" w:rsidR="00147D38" w:rsidRPr="00BD2EF1" w:rsidRDefault="00147D38" w:rsidP="00147D38">
            <w:pPr>
              <w:pStyle w:val="Standaard-Tabellen"/>
              <w:rPr>
                <w:rFonts w:eastAsia="Calibri"/>
              </w:rPr>
            </w:pPr>
            <w:r>
              <w:rPr>
                <w:rFonts w:eastAsia="Calibri"/>
              </w:rPr>
              <w:t>OECD 109</w:t>
            </w:r>
          </w:p>
        </w:tc>
        <w:tc>
          <w:tcPr>
            <w:tcW w:w="753" w:type="pct"/>
            <w:tcBorders>
              <w:top w:val="single" w:sz="4" w:space="0" w:color="auto"/>
              <w:left w:val="single" w:sz="4" w:space="0" w:color="auto"/>
              <w:bottom w:val="single" w:sz="4" w:space="0" w:color="auto"/>
              <w:right w:val="single" w:sz="4" w:space="0" w:color="auto"/>
            </w:tcBorders>
          </w:tcPr>
          <w:p w14:paraId="28D58C99" w14:textId="77777777" w:rsidR="00147D38" w:rsidRDefault="00147D38" w:rsidP="00147D38">
            <w:pPr>
              <w:pStyle w:val="Standaard-Tabellen"/>
              <w:rPr>
                <w:rFonts w:eastAsia="Calibri"/>
              </w:rPr>
            </w:pPr>
            <w:r>
              <w:rPr>
                <w:rFonts w:eastAsia="Calibri"/>
              </w:rPr>
              <w:t>10.23</w:t>
            </w:r>
          </w:p>
          <w:p w14:paraId="17DD35E9" w14:textId="237F83F4" w:rsidR="00147D38" w:rsidRPr="00BD2EF1" w:rsidRDefault="00147D38" w:rsidP="00147D38">
            <w:pPr>
              <w:pStyle w:val="Standaard-Tabellen"/>
              <w:rPr>
                <w:rFonts w:eastAsia="Calibri"/>
              </w:rPr>
            </w:pPr>
            <w:r w:rsidRPr="00EE0BFF">
              <w:rPr>
                <w:rFonts w:eastAsia="Calibri"/>
                <w:lang w:val="en-US"/>
              </w:rPr>
              <w:t>Insect Repellent Lotion IR3535</w:t>
            </w:r>
            <w:r w:rsidRPr="00EE0BFF">
              <w:rPr>
                <w:rFonts w:eastAsia="Calibri"/>
                <w:vertAlign w:val="superscript"/>
                <w:lang w:val="en-US"/>
              </w:rPr>
              <w:t>®</w:t>
            </w:r>
            <w:r w:rsidRPr="00EE0BFF">
              <w:rPr>
                <w:rFonts w:eastAsia="Calibri"/>
                <w:lang w:val="en-US"/>
              </w:rPr>
              <w:t xml:space="preserve"> 10%</w:t>
            </w:r>
          </w:p>
        </w:tc>
        <w:tc>
          <w:tcPr>
            <w:tcW w:w="1015" w:type="pct"/>
            <w:tcBorders>
              <w:top w:val="single" w:sz="4" w:space="0" w:color="auto"/>
              <w:left w:val="single" w:sz="4" w:space="0" w:color="auto"/>
              <w:bottom w:val="single" w:sz="4" w:space="0" w:color="auto"/>
              <w:right w:val="single" w:sz="4" w:space="0" w:color="auto"/>
            </w:tcBorders>
          </w:tcPr>
          <w:p w14:paraId="1C69EFD5" w14:textId="0EC0DE98" w:rsidR="00147D38" w:rsidRPr="00E83D46" w:rsidRDefault="00147D38" w:rsidP="00147D38">
            <w:pPr>
              <w:pStyle w:val="Standaard-Tabellen"/>
              <w:rPr>
                <w:rFonts w:eastAsia="Calibri"/>
              </w:rPr>
            </w:pPr>
            <w:r>
              <w:rPr>
                <w:rFonts w:eastAsia="Calibri"/>
              </w:rPr>
              <w:t>D</w:t>
            </w:r>
            <w:r>
              <w:rPr>
                <w:rFonts w:eastAsia="Calibri"/>
                <w:vertAlign w:val="subscript"/>
              </w:rPr>
              <w:t>4</w:t>
            </w:r>
            <w:r>
              <w:rPr>
                <w:rFonts w:eastAsia="Calibri"/>
                <w:vertAlign w:val="superscript"/>
              </w:rPr>
              <w:t>20</w:t>
            </w:r>
            <w:r>
              <w:rPr>
                <w:rFonts w:eastAsia="Calibri"/>
              </w:rPr>
              <w:t xml:space="preserve"> = 1.008</w:t>
            </w:r>
          </w:p>
        </w:tc>
        <w:tc>
          <w:tcPr>
            <w:tcW w:w="1137" w:type="pct"/>
            <w:tcBorders>
              <w:top w:val="single" w:sz="4" w:space="0" w:color="auto"/>
              <w:left w:val="single" w:sz="4" w:space="0" w:color="auto"/>
              <w:bottom w:val="single" w:sz="4" w:space="0" w:color="auto"/>
              <w:right w:val="single" w:sz="4" w:space="0" w:color="auto"/>
            </w:tcBorders>
          </w:tcPr>
          <w:p w14:paraId="27227D19" w14:textId="68B36892" w:rsidR="00147D38" w:rsidRPr="00BD2EF1" w:rsidRDefault="00147D38" w:rsidP="00147D38">
            <w:pPr>
              <w:pStyle w:val="Standaard-Tabellen"/>
              <w:rPr>
                <w:rFonts w:eastAsia="Calibri"/>
              </w:rPr>
            </w:pPr>
            <w:r>
              <w:rPr>
                <w:rFonts w:eastAsia="Calibri"/>
              </w:rPr>
              <w:t xml:space="preserve">Report no. 98322204, </w:t>
            </w:r>
            <w:proofErr w:type="spellStart"/>
            <w:r>
              <w:rPr>
                <w:rFonts w:eastAsia="Calibri"/>
              </w:rPr>
              <w:t>Fieseler</w:t>
            </w:r>
            <w:proofErr w:type="spellEnd"/>
            <w:r>
              <w:rPr>
                <w:rFonts w:eastAsia="Calibri"/>
              </w:rPr>
              <w:t>, A. 2015</w:t>
            </w:r>
          </w:p>
        </w:tc>
      </w:tr>
      <w:tr w:rsidR="00147D38" w:rsidRPr="00BD2EF1" w14:paraId="472F8808" w14:textId="77777777" w:rsidTr="00147D38">
        <w:tc>
          <w:tcPr>
            <w:tcW w:w="1265" w:type="pct"/>
          </w:tcPr>
          <w:p w14:paraId="5495AC6C" w14:textId="59EAB6C3" w:rsidR="00147D38" w:rsidRPr="00BD2EF1" w:rsidRDefault="00147D38" w:rsidP="00147D38">
            <w:pPr>
              <w:pStyle w:val="Standaard-Tabellen"/>
              <w:rPr>
                <w:rFonts w:eastAsia="Calibri"/>
              </w:rPr>
            </w:pPr>
            <w:r w:rsidRPr="00BD2EF1">
              <w:rPr>
                <w:rFonts w:eastAsia="Calibri"/>
              </w:rPr>
              <w:t xml:space="preserve">Storage stability test – </w:t>
            </w:r>
            <w:r w:rsidRPr="00BD2EF1">
              <w:rPr>
                <w:rFonts w:eastAsia="Calibri"/>
                <w:b/>
              </w:rPr>
              <w:t>accelerated storage</w:t>
            </w:r>
          </w:p>
        </w:tc>
        <w:tc>
          <w:tcPr>
            <w:tcW w:w="831" w:type="pct"/>
          </w:tcPr>
          <w:p w14:paraId="14FCC8CC" w14:textId="77777777" w:rsidR="0016251D" w:rsidRDefault="00147D38" w:rsidP="00147D38">
            <w:pPr>
              <w:pStyle w:val="Standaard-Tabellen"/>
              <w:rPr>
                <w:rFonts w:eastAsia="Calibri"/>
              </w:rPr>
            </w:pPr>
            <w:r>
              <w:rPr>
                <w:rFonts w:eastAsia="Calibri"/>
              </w:rPr>
              <w:t>CIPAC MT 46.3</w:t>
            </w:r>
          </w:p>
          <w:p w14:paraId="40AFE69E" w14:textId="77777777" w:rsidR="0016251D" w:rsidRDefault="0016251D" w:rsidP="0016251D">
            <w:pPr>
              <w:pStyle w:val="Standaard-Tabellen"/>
              <w:rPr>
                <w:rFonts w:eastAsia="Calibri"/>
              </w:rPr>
            </w:pPr>
            <w:r>
              <w:rPr>
                <w:rFonts w:eastAsia="Calibri"/>
              </w:rPr>
              <w:t>CIPAC MT 191</w:t>
            </w:r>
          </w:p>
          <w:p w14:paraId="372F1131" w14:textId="77777777" w:rsidR="0016251D" w:rsidRDefault="0016251D" w:rsidP="0016251D">
            <w:pPr>
              <w:pStyle w:val="Standaard-Tabellen"/>
              <w:rPr>
                <w:rFonts w:eastAsia="Calibri"/>
              </w:rPr>
            </w:pPr>
            <w:r>
              <w:rPr>
                <w:rFonts w:eastAsia="Calibri"/>
              </w:rPr>
              <w:t>OECD 109</w:t>
            </w:r>
          </w:p>
          <w:p w14:paraId="23B35DD1" w14:textId="77777777" w:rsidR="0016251D" w:rsidRDefault="0016251D" w:rsidP="0016251D">
            <w:pPr>
              <w:pStyle w:val="Standaard-Tabellen"/>
              <w:rPr>
                <w:rFonts w:eastAsia="Calibri"/>
              </w:rPr>
            </w:pPr>
            <w:r>
              <w:rPr>
                <w:rFonts w:eastAsia="Calibri"/>
              </w:rPr>
              <w:t>OECD 114</w:t>
            </w:r>
          </w:p>
          <w:p w14:paraId="3322ECAC" w14:textId="77777777" w:rsidR="0016251D" w:rsidRDefault="0016251D" w:rsidP="0016251D">
            <w:pPr>
              <w:pStyle w:val="Standaard-Tabellen"/>
              <w:rPr>
                <w:rFonts w:eastAsia="Calibri"/>
              </w:rPr>
            </w:pPr>
          </w:p>
          <w:p w14:paraId="5DDE62D7" w14:textId="77777777" w:rsidR="0016251D" w:rsidRDefault="0016251D" w:rsidP="0016251D">
            <w:pPr>
              <w:pStyle w:val="Standaard-Tabellen"/>
              <w:rPr>
                <w:rFonts w:eastAsia="Calibri"/>
              </w:rPr>
            </w:pPr>
            <w:r>
              <w:rPr>
                <w:rFonts w:eastAsia="Calibri"/>
              </w:rPr>
              <w:t xml:space="preserve">[using </w:t>
            </w:r>
            <w:r w:rsidRPr="003631A9">
              <w:rPr>
                <w:rFonts w:eastAsia="Calibri"/>
              </w:rPr>
              <w:t>HPLC-UV</w:t>
            </w:r>
            <w:r>
              <w:rPr>
                <w:rFonts w:eastAsia="Calibri"/>
              </w:rPr>
              <w:t>, as validated in section 2.2.5]</w:t>
            </w:r>
          </w:p>
          <w:p w14:paraId="0D048B5F" w14:textId="1B01A5C1" w:rsidR="00147D38" w:rsidRPr="00BD2EF1" w:rsidRDefault="00147D38" w:rsidP="00147D38">
            <w:pPr>
              <w:pStyle w:val="Standaard-Tabellen"/>
              <w:rPr>
                <w:rFonts w:eastAsia="Calibri"/>
              </w:rPr>
            </w:pPr>
          </w:p>
        </w:tc>
        <w:tc>
          <w:tcPr>
            <w:tcW w:w="753" w:type="pct"/>
          </w:tcPr>
          <w:p w14:paraId="27BCEB2B" w14:textId="77777777" w:rsidR="00147D38" w:rsidRDefault="00147D38" w:rsidP="00147D38">
            <w:pPr>
              <w:pStyle w:val="Standaard-Tabellen"/>
              <w:rPr>
                <w:rFonts w:eastAsia="Calibri"/>
              </w:rPr>
            </w:pPr>
            <w:r>
              <w:rPr>
                <w:rFonts w:eastAsia="Calibri"/>
              </w:rPr>
              <w:t>10.23</w:t>
            </w:r>
          </w:p>
          <w:p w14:paraId="3BE7CE9C" w14:textId="159688E5" w:rsidR="00147D38" w:rsidRPr="00BD2EF1" w:rsidRDefault="00147D38" w:rsidP="00147D38">
            <w:pPr>
              <w:pStyle w:val="Standaard-Tabellen"/>
              <w:rPr>
                <w:rFonts w:eastAsia="Calibri"/>
              </w:rPr>
            </w:pPr>
            <w:r w:rsidRPr="00EE0BFF">
              <w:rPr>
                <w:rFonts w:eastAsia="Calibri"/>
                <w:lang w:val="en-US"/>
              </w:rPr>
              <w:t>Insect Repellent Lotion IR3535</w:t>
            </w:r>
            <w:r w:rsidRPr="00EE0BFF">
              <w:rPr>
                <w:rFonts w:eastAsia="Calibri"/>
                <w:vertAlign w:val="superscript"/>
                <w:lang w:val="en-US"/>
              </w:rPr>
              <w:t>®</w:t>
            </w:r>
            <w:r w:rsidRPr="00EE0BFF">
              <w:rPr>
                <w:rFonts w:eastAsia="Calibri"/>
                <w:lang w:val="en-US"/>
              </w:rPr>
              <w:t xml:space="preserve"> 10%</w:t>
            </w:r>
          </w:p>
        </w:tc>
        <w:tc>
          <w:tcPr>
            <w:tcW w:w="1015" w:type="pct"/>
          </w:tcPr>
          <w:p w14:paraId="3AB072D0" w14:textId="6FDA4F89" w:rsidR="00B467CF" w:rsidRPr="006D29C8" w:rsidRDefault="00B467CF" w:rsidP="00B467CF">
            <w:pPr>
              <w:pStyle w:val="Standaard-Tabellen"/>
              <w:rPr>
                <w:rFonts w:eastAsia="Calibri"/>
              </w:rPr>
            </w:pPr>
            <w:r w:rsidRPr="006D29C8">
              <w:rPr>
                <w:rFonts w:eastAsia="Calibri"/>
              </w:rPr>
              <w:t>- No change in overall appearance</w:t>
            </w:r>
            <w:r>
              <w:rPr>
                <w:rFonts w:eastAsia="Calibri"/>
              </w:rPr>
              <w:t xml:space="preserve"> of the test item</w:t>
            </w:r>
            <w:r w:rsidR="009A43F4">
              <w:rPr>
                <w:rFonts w:eastAsia="Calibri"/>
              </w:rPr>
              <w:t xml:space="preserve">: </w:t>
            </w:r>
            <w:r w:rsidR="008340DD">
              <w:rPr>
                <w:rFonts w:eastAsia="Calibri"/>
              </w:rPr>
              <w:t xml:space="preserve">homogenous </w:t>
            </w:r>
            <w:r w:rsidR="009A43F4">
              <w:rPr>
                <w:rFonts w:eastAsia="Calibri"/>
              </w:rPr>
              <w:t>white liquid with characteristic odour</w:t>
            </w:r>
            <w:r>
              <w:rPr>
                <w:rFonts w:eastAsia="Calibri"/>
              </w:rPr>
              <w:t>.</w:t>
            </w:r>
          </w:p>
          <w:p w14:paraId="1E3168E3" w14:textId="77777777" w:rsidR="00B467CF" w:rsidRPr="006D29C8" w:rsidRDefault="00B467CF" w:rsidP="00B467CF">
            <w:pPr>
              <w:pStyle w:val="Standaard-Tabellen"/>
              <w:rPr>
                <w:rFonts w:eastAsia="Calibri"/>
              </w:rPr>
            </w:pPr>
          </w:p>
          <w:p w14:paraId="68917F57" w14:textId="1B573B88" w:rsidR="00B467CF" w:rsidRPr="006D29C8" w:rsidRDefault="00B467CF" w:rsidP="00B467CF">
            <w:pPr>
              <w:pStyle w:val="Standaard-Tabellen"/>
              <w:rPr>
                <w:rFonts w:eastAsia="Calibri"/>
              </w:rPr>
            </w:pPr>
            <w:r w:rsidRPr="006D29C8">
              <w:rPr>
                <w:rFonts w:eastAsia="Calibri"/>
              </w:rPr>
              <w:t xml:space="preserve">- No change in </w:t>
            </w:r>
            <w:r>
              <w:rPr>
                <w:rFonts w:eastAsia="Calibri"/>
              </w:rPr>
              <w:t>t</w:t>
            </w:r>
            <w:r w:rsidRPr="003F6D67">
              <w:rPr>
                <w:rFonts w:eastAsia="Calibri"/>
              </w:rPr>
              <w:t>he packaging material</w:t>
            </w:r>
            <w:r>
              <w:rPr>
                <w:rFonts w:eastAsia="Calibri"/>
              </w:rPr>
              <w:t>:</w:t>
            </w:r>
            <w:r w:rsidRPr="003F6D67">
              <w:rPr>
                <w:rFonts w:eastAsia="Calibri"/>
              </w:rPr>
              <w:t xml:space="preserve"> container and lid showed no cracking, fogging </w:t>
            </w:r>
            <w:r w:rsidRPr="003F6D67">
              <w:rPr>
                <w:rFonts w:eastAsia="Calibri"/>
              </w:rPr>
              <w:lastRenderedPageBreak/>
              <w:t xml:space="preserve">discoloration or distortion or </w:t>
            </w:r>
            <w:r w:rsidR="00CB280B">
              <w:rPr>
                <w:rFonts w:eastAsia="Calibri"/>
              </w:rPr>
              <w:t xml:space="preserve">significant </w:t>
            </w:r>
            <w:r w:rsidRPr="003F6D67">
              <w:rPr>
                <w:rFonts w:eastAsia="Calibri"/>
              </w:rPr>
              <w:t>change in weight. There is no seepage through the container walls or lid.</w:t>
            </w:r>
          </w:p>
          <w:p w14:paraId="1BF03620" w14:textId="768C448F" w:rsidR="00147D38" w:rsidRDefault="00147D38" w:rsidP="00147D38">
            <w:pPr>
              <w:pStyle w:val="Standaard-Tabellen"/>
              <w:rPr>
                <w:rFonts w:eastAsia="Calibri"/>
              </w:rPr>
            </w:pPr>
          </w:p>
          <w:p w14:paraId="7717DF46" w14:textId="77777777" w:rsidR="0016251D" w:rsidRPr="00892C32" w:rsidRDefault="0016251D" w:rsidP="0016251D">
            <w:pPr>
              <w:pStyle w:val="Standaard-Tabellen"/>
              <w:rPr>
                <w:rFonts w:eastAsia="Calibri"/>
                <w:lang w:val="en-US"/>
              </w:rPr>
            </w:pPr>
            <w:r w:rsidRPr="00892C32">
              <w:rPr>
                <w:rFonts w:eastAsia="Calibri"/>
                <w:lang w:val="en-US"/>
              </w:rPr>
              <w:t>- Change in pH (at 20 ± 1 °C):</w:t>
            </w:r>
          </w:p>
          <w:p w14:paraId="69DD7757" w14:textId="77777777" w:rsidR="0016251D" w:rsidRPr="00892C32" w:rsidRDefault="0016251D" w:rsidP="0016251D">
            <w:pPr>
              <w:pStyle w:val="Standaard-Tabellen"/>
              <w:rPr>
                <w:rFonts w:eastAsia="Calibri"/>
                <w:lang w:val="en-US"/>
              </w:rPr>
            </w:pPr>
            <w:r w:rsidRPr="00892C32">
              <w:rPr>
                <w:rFonts w:eastAsia="Calibri"/>
                <w:lang w:val="en-US"/>
              </w:rPr>
              <w:t>T0: 7.0 (1% dilution) – 6.</w:t>
            </w:r>
            <w:r>
              <w:rPr>
                <w:rFonts w:eastAsia="Calibri"/>
                <w:lang w:val="en-US"/>
              </w:rPr>
              <w:t>4 undiluted</w:t>
            </w:r>
            <w:r w:rsidRPr="00892C32">
              <w:rPr>
                <w:rFonts w:eastAsia="Calibri"/>
                <w:lang w:val="en-US"/>
              </w:rPr>
              <w:t xml:space="preserve"> </w:t>
            </w:r>
          </w:p>
          <w:p w14:paraId="703828A2" w14:textId="24DBC65D" w:rsidR="0016251D" w:rsidRPr="00645B78" w:rsidRDefault="0016251D" w:rsidP="0016251D">
            <w:pPr>
              <w:pStyle w:val="Standaard-Tabellen"/>
              <w:rPr>
                <w:rFonts w:eastAsia="Calibri"/>
                <w:lang w:val="en-US"/>
              </w:rPr>
            </w:pPr>
            <w:r>
              <w:rPr>
                <w:rFonts w:eastAsia="Calibri"/>
                <w:lang w:val="en-US"/>
              </w:rPr>
              <w:t>T8w</w:t>
            </w:r>
            <w:r w:rsidRPr="00645B78">
              <w:rPr>
                <w:rFonts w:eastAsia="Calibri"/>
                <w:lang w:val="en-US"/>
              </w:rPr>
              <w:t xml:space="preserve">: </w:t>
            </w:r>
            <w:r>
              <w:rPr>
                <w:rFonts w:eastAsia="Calibri"/>
                <w:lang w:val="en-US"/>
              </w:rPr>
              <w:t>6.3 (1% dilution) – 5.6 undiluted</w:t>
            </w:r>
            <w:r w:rsidRPr="00645B78">
              <w:rPr>
                <w:rFonts w:eastAsia="Calibri"/>
                <w:lang w:val="en-US"/>
              </w:rPr>
              <w:t xml:space="preserve"> </w:t>
            </w:r>
          </w:p>
          <w:p w14:paraId="7F0ED53F" w14:textId="18FAD75D" w:rsidR="0016251D" w:rsidRDefault="0016251D" w:rsidP="00147D38">
            <w:pPr>
              <w:pStyle w:val="Standaard-Tabellen"/>
              <w:rPr>
                <w:rFonts w:eastAsia="Calibri"/>
              </w:rPr>
            </w:pPr>
          </w:p>
          <w:p w14:paraId="552D8E35" w14:textId="77777777" w:rsidR="0016251D" w:rsidRPr="00892C32" w:rsidRDefault="0016251D" w:rsidP="0016251D">
            <w:pPr>
              <w:pStyle w:val="Standaard-Tabellen"/>
              <w:rPr>
                <w:rFonts w:eastAsia="Calibri"/>
                <w:lang w:val="en-US"/>
              </w:rPr>
            </w:pPr>
            <w:r w:rsidRPr="00892C32">
              <w:rPr>
                <w:rFonts w:eastAsia="Calibri"/>
                <w:lang w:val="en-US"/>
              </w:rPr>
              <w:t xml:space="preserve">- Change in </w:t>
            </w:r>
            <w:r w:rsidRPr="00047B8A">
              <w:rPr>
                <w:rFonts w:eastAsia="Calibri"/>
                <w:lang w:val="en-US"/>
              </w:rPr>
              <w:t>density (kg/m3</w:t>
            </w:r>
            <w:r w:rsidRPr="00892C32">
              <w:rPr>
                <w:rFonts w:eastAsia="Calibri"/>
                <w:lang w:val="en-US"/>
              </w:rPr>
              <w:t xml:space="preserve">, </w:t>
            </w:r>
            <w:r w:rsidRPr="00645B78">
              <w:rPr>
                <w:rFonts w:eastAsia="Calibri"/>
                <w:lang w:val="en-US"/>
              </w:rPr>
              <w:t>at 20 ± 1 °C)</w:t>
            </w:r>
            <w:r w:rsidRPr="00892C32">
              <w:rPr>
                <w:rFonts w:eastAsia="Calibri"/>
                <w:lang w:val="en-US"/>
              </w:rPr>
              <w:t>:</w:t>
            </w:r>
          </w:p>
          <w:p w14:paraId="4FB570C1" w14:textId="405AF6E0" w:rsidR="0016251D" w:rsidRPr="00C07E47" w:rsidRDefault="0016251D" w:rsidP="0016251D">
            <w:pPr>
              <w:pStyle w:val="Standaard-Tabellen"/>
              <w:rPr>
                <w:rFonts w:eastAsia="Calibri"/>
                <w:lang w:val="de-DE"/>
              </w:rPr>
            </w:pPr>
            <w:r w:rsidRPr="00C07E47">
              <w:rPr>
                <w:rFonts w:eastAsia="Calibri"/>
                <w:lang w:val="de-DE"/>
              </w:rPr>
              <w:t>T0: 1008.2 ± 0.4</w:t>
            </w:r>
          </w:p>
          <w:p w14:paraId="7EB36C5C" w14:textId="4508AA31" w:rsidR="0016251D" w:rsidRPr="00C07E47" w:rsidRDefault="0016251D" w:rsidP="0016251D">
            <w:pPr>
              <w:pStyle w:val="Standaard-Tabellen"/>
              <w:rPr>
                <w:rFonts w:eastAsia="Calibri"/>
                <w:lang w:val="de-DE"/>
              </w:rPr>
            </w:pPr>
            <w:r w:rsidRPr="00C07E47">
              <w:rPr>
                <w:rFonts w:eastAsia="Calibri"/>
                <w:lang w:val="de-DE"/>
              </w:rPr>
              <w:t>T8w: 986.3 ± 0.3</w:t>
            </w:r>
          </w:p>
          <w:p w14:paraId="0BB90CD2" w14:textId="7B0CB585" w:rsidR="0016251D" w:rsidRPr="00C07E47" w:rsidRDefault="0016251D" w:rsidP="00147D38">
            <w:pPr>
              <w:pStyle w:val="Standaard-Tabellen"/>
              <w:rPr>
                <w:rFonts w:eastAsia="Calibri"/>
                <w:lang w:val="de-DE"/>
              </w:rPr>
            </w:pPr>
          </w:p>
          <w:p w14:paraId="5CA9EFC5" w14:textId="77777777" w:rsidR="0016251D" w:rsidRPr="00C07E47" w:rsidRDefault="0016251D" w:rsidP="0016251D">
            <w:pPr>
              <w:pStyle w:val="Standaard-Tabellen"/>
              <w:rPr>
                <w:rFonts w:eastAsia="Calibri"/>
                <w:lang w:val="de-DE"/>
              </w:rPr>
            </w:pPr>
            <w:r w:rsidRPr="00C07E47">
              <w:rPr>
                <w:rFonts w:eastAsia="Calibri"/>
                <w:lang w:val="de-DE"/>
              </w:rPr>
              <w:t xml:space="preserve">- Change in </w:t>
            </w:r>
            <w:proofErr w:type="spellStart"/>
            <w:r w:rsidRPr="00C07E47">
              <w:rPr>
                <w:rFonts w:eastAsia="Calibri"/>
                <w:lang w:val="de-DE"/>
              </w:rPr>
              <w:t>viscosity</w:t>
            </w:r>
            <w:proofErr w:type="spellEnd"/>
            <w:r w:rsidRPr="00C07E47">
              <w:rPr>
                <w:rFonts w:eastAsia="Calibri"/>
                <w:lang w:val="de-DE"/>
              </w:rPr>
              <w:t xml:space="preserve"> (20 ± 0.3 °C; min-</w:t>
            </w:r>
            <w:proofErr w:type="spellStart"/>
            <w:r w:rsidRPr="00C07E47">
              <w:rPr>
                <w:rFonts w:eastAsia="Calibri"/>
                <w:lang w:val="de-DE"/>
              </w:rPr>
              <w:t>max</w:t>
            </w:r>
            <w:proofErr w:type="spellEnd"/>
            <w:r w:rsidRPr="00C07E47">
              <w:rPr>
                <w:rFonts w:eastAsia="Calibri"/>
                <w:lang w:val="de-DE"/>
              </w:rPr>
              <w:t xml:space="preserve">; in </w:t>
            </w:r>
            <w:proofErr w:type="spellStart"/>
            <w:r w:rsidRPr="00C07E47">
              <w:rPr>
                <w:rFonts w:eastAsia="Calibri"/>
                <w:lang w:val="de-DE"/>
              </w:rPr>
              <w:t>mPa.s</w:t>
            </w:r>
            <w:proofErr w:type="spellEnd"/>
            <w:r w:rsidRPr="00C07E47">
              <w:rPr>
                <w:rFonts w:eastAsia="Calibri"/>
                <w:lang w:val="de-DE"/>
              </w:rPr>
              <w:t>):</w:t>
            </w:r>
          </w:p>
          <w:p w14:paraId="7E603D31" w14:textId="77777777" w:rsidR="0016251D" w:rsidRPr="00C07E47" w:rsidRDefault="0016251D" w:rsidP="0016251D">
            <w:pPr>
              <w:pStyle w:val="Standaard-Tabellen"/>
              <w:rPr>
                <w:rFonts w:eastAsia="Calibri"/>
                <w:lang w:val="de-DE"/>
              </w:rPr>
            </w:pPr>
            <w:r w:rsidRPr="00C07E47">
              <w:rPr>
                <w:rFonts w:eastAsia="Calibri"/>
                <w:lang w:val="de-DE"/>
              </w:rPr>
              <w:t>T0: 534 - 1462</w:t>
            </w:r>
          </w:p>
          <w:p w14:paraId="4D187ED4" w14:textId="395F8610" w:rsidR="0016251D" w:rsidRPr="00C07E47" w:rsidRDefault="0016251D" w:rsidP="0016251D">
            <w:pPr>
              <w:pStyle w:val="Standaard-Tabellen"/>
              <w:rPr>
                <w:rFonts w:eastAsia="Calibri"/>
                <w:lang w:val="de-DE"/>
              </w:rPr>
            </w:pPr>
            <w:r w:rsidRPr="00C07E47">
              <w:rPr>
                <w:rFonts w:eastAsia="Calibri"/>
                <w:lang w:val="de-DE"/>
              </w:rPr>
              <w:t>T8w: 387 - 986</w:t>
            </w:r>
          </w:p>
          <w:p w14:paraId="319CB72A" w14:textId="6B438263" w:rsidR="0016251D" w:rsidRPr="00C07E47" w:rsidRDefault="0016251D" w:rsidP="00147D38">
            <w:pPr>
              <w:pStyle w:val="Standaard-Tabellen"/>
              <w:rPr>
                <w:rFonts w:eastAsia="Calibri"/>
                <w:lang w:val="de-DE"/>
              </w:rPr>
            </w:pPr>
          </w:p>
          <w:p w14:paraId="1FA4D956" w14:textId="77777777" w:rsidR="0016251D" w:rsidRPr="007C5F36" w:rsidRDefault="0016251D" w:rsidP="0016251D">
            <w:pPr>
              <w:pStyle w:val="Standaard-Tabellen"/>
              <w:rPr>
                <w:rFonts w:eastAsia="Calibri"/>
                <w:lang w:val="en-US"/>
              </w:rPr>
            </w:pPr>
            <w:r w:rsidRPr="007C5F36">
              <w:rPr>
                <w:rFonts w:eastAsia="Calibri"/>
                <w:lang w:val="en-US"/>
              </w:rPr>
              <w:t xml:space="preserve">- Change in viscosity (40 ± 0.5 °C; min-max; in </w:t>
            </w:r>
            <w:proofErr w:type="spellStart"/>
            <w:r w:rsidRPr="007C5F36">
              <w:rPr>
                <w:rFonts w:eastAsia="Calibri"/>
                <w:lang w:val="en-US"/>
              </w:rPr>
              <w:t>mPa.s</w:t>
            </w:r>
            <w:proofErr w:type="spellEnd"/>
            <w:r w:rsidRPr="007C5F36">
              <w:rPr>
                <w:rFonts w:eastAsia="Calibri"/>
                <w:lang w:val="en-US"/>
              </w:rPr>
              <w:t>):</w:t>
            </w:r>
          </w:p>
          <w:p w14:paraId="12328B6A" w14:textId="77777777" w:rsidR="0016251D" w:rsidRPr="00645B78" w:rsidRDefault="0016251D" w:rsidP="0016251D">
            <w:pPr>
              <w:pStyle w:val="Standaard-Tabellen"/>
              <w:rPr>
                <w:rFonts w:eastAsia="Calibri"/>
                <w:lang w:val="de-DE"/>
              </w:rPr>
            </w:pPr>
            <w:r w:rsidRPr="00645B78">
              <w:rPr>
                <w:rFonts w:eastAsia="Calibri"/>
                <w:lang w:val="de-DE"/>
              </w:rPr>
              <w:t xml:space="preserve">T0: </w:t>
            </w:r>
            <w:r>
              <w:rPr>
                <w:rFonts w:eastAsia="Calibri"/>
                <w:lang w:val="de-DE"/>
              </w:rPr>
              <w:t>238 - 597</w:t>
            </w:r>
          </w:p>
          <w:p w14:paraId="17EDFA37" w14:textId="36AF008D" w:rsidR="0016251D" w:rsidRPr="00C07E47" w:rsidRDefault="0016251D" w:rsidP="00147D38">
            <w:pPr>
              <w:pStyle w:val="Standaard-Tabellen"/>
              <w:rPr>
                <w:rFonts w:eastAsia="Calibri"/>
                <w:lang w:val="de-DE"/>
              </w:rPr>
            </w:pPr>
            <w:r>
              <w:rPr>
                <w:rFonts w:eastAsia="Calibri"/>
                <w:lang w:val="de-DE"/>
              </w:rPr>
              <w:t>T8w: 209 - 539</w:t>
            </w:r>
          </w:p>
          <w:p w14:paraId="74BB9E04" w14:textId="77777777" w:rsidR="0016251D" w:rsidRPr="00C07E47" w:rsidRDefault="0016251D" w:rsidP="00147D38">
            <w:pPr>
              <w:pStyle w:val="Standaard-Tabellen"/>
              <w:rPr>
                <w:rFonts w:eastAsia="Calibri"/>
                <w:lang w:val="de-DE"/>
              </w:rPr>
            </w:pPr>
          </w:p>
          <w:p w14:paraId="695923EB" w14:textId="77777777" w:rsidR="00147D38" w:rsidRPr="00FD7375" w:rsidRDefault="00147D38" w:rsidP="00147D38">
            <w:pPr>
              <w:pStyle w:val="Standaard-Tabellen"/>
              <w:rPr>
                <w:rFonts w:eastAsia="Calibri"/>
                <w:lang w:val="de-DE"/>
              </w:rPr>
            </w:pPr>
            <w:r w:rsidRPr="0016251D">
              <w:rPr>
                <w:rFonts w:eastAsia="Calibri"/>
                <w:lang w:val="de-DE"/>
              </w:rPr>
              <w:t>- Change in</w:t>
            </w:r>
            <w:r w:rsidRPr="0016251D">
              <w:rPr>
                <w:bCs w:val="0"/>
                <w:sz w:val="20"/>
                <w:szCs w:val="20"/>
                <w:lang w:val="de-DE" w:eastAsia="de-DE"/>
              </w:rPr>
              <w:t xml:space="preserve"> </w:t>
            </w:r>
            <w:r w:rsidRPr="0016251D">
              <w:rPr>
                <w:rFonts w:eastAsia="Calibri"/>
                <w:lang w:val="de-DE"/>
              </w:rPr>
              <w:t>IR3535</w:t>
            </w:r>
            <w:r w:rsidRPr="0016251D">
              <w:rPr>
                <w:rFonts w:eastAsia="Calibri"/>
                <w:vertAlign w:val="superscript"/>
                <w:lang w:val="de-DE"/>
              </w:rPr>
              <w:t xml:space="preserve">® </w:t>
            </w:r>
            <w:r w:rsidRPr="0016251D">
              <w:rPr>
                <w:rFonts w:eastAsia="Calibri"/>
                <w:lang w:val="de-DE"/>
              </w:rPr>
              <w:t>(w/w %):</w:t>
            </w:r>
          </w:p>
          <w:p w14:paraId="6DB41D85" w14:textId="3E097F52" w:rsidR="00147D38" w:rsidRPr="00824292" w:rsidRDefault="00147D38" w:rsidP="00147D38">
            <w:pPr>
              <w:pStyle w:val="Standaard-Tabellen"/>
              <w:rPr>
                <w:rFonts w:eastAsia="Calibri"/>
                <w:lang w:val="de-DE"/>
              </w:rPr>
            </w:pPr>
            <w:r w:rsidRPr="00824292">
              <w:rPr>
                <w:rFonts w:eastAsia="Calibri"/>
                <w:lang w:val="de-DE"/>
              </w:rPr>
              <w:t>T0: 10.23</w:t>
            </w:r>
          </w:p>
          <w:p w14:paraId="57EDD5C3" w14:textId="2351858E" w:rsidR="00147D38" w:rsidRPr="00824292" w:rsidRDefault="00147D38" w:rsidP="00147D38">
            <w:pPr>
              <w:pStyle w:val="Standaard-Tabellen"/>
              <w:rPr>
                <w:rFonts w:eastAsia="Calibri"/>
                <w:lang w:val="de-DE"/>
              </w:rPr>
            </w:pPr>
            <w:r w:rsidRPr="000D0175">
              <w:rPr>
                <w:rFonts w:eastAsia="Calibri"/>
                <w:lang w:val="de-DE"/>
              </w:rPr>
              <w:t xml:space="preserve">T8w: </w:t>
            </w:r>
            <w:r w:rsidRPr="00C07E47">
              <w:rPr>
                <w:rFonts w:eastAsia="Calibri"/>
                <w:lang w:val="de-DE"/>
              </w:rPr>
              <w:t>9.43</w:t>
            </w:r>
          </w:p>
          <w:p w14:paraId="46D02113" w14:textId="77777777" w:rsidR="00147D38" w:rsidRPr="000D0175" w:rsidRDefault="00147D38" w:rsidP="00147D38">
            <w:pPr>
              <w:pStyle w:val="Standaard-Tabellen"/>
              <w:rPr>
                <w:rFonts w:eastAsia="Calibri"/>
                <w:lang w:val="de-DE"/>
              </w:rPr>
            </w:pPr>
          </w:p>
          <w:p w14:paraId="3991C04D" w14:textId="77777777" w:rsidR="00147D38" w:rsidRPr="00D35B88" w:rsidRDefault="00147D38" w:rsidP="00147D38">
            <w:pPr>
              <w:pStyle w:val="Standaard-Tabellen"/>
              <w:rPr>
                <w:rFonts w:eastAsia="Calibri"/>
                <w:lang w:val="de-DE"/>
              </w:rPr>
            </w:pPr>
            <w:r w:rsidRPr="000D0175">
              <w:rPr>
                <w:rFonts w:eastAsia="Calibri"/>
                <w:lang w:val="de-DE"/>
              </w:rPr>
              <w:t xml:space="preserve">- Change in </w:t>
            </w:r>
            <w:r w:rsidRPr="000D0175">
              <w:rPr>
                <w:lang w:val="de-DE"/>
              </w:rPr>
              <w:t>IR3535</w:t>
            </w:r>
            <w:r w:rsidRPr="005C0BD4">
              <w:rPr>
                <w:vertAlign w:val="superscript"/>
                <w:lang w:val="de-DE"/>
              </w:rPr>
              <w:t>®</w:t>
            </w:r>
            <w:r w:rsidRPr="00D35B88">
              <w:rPr>
                <w:lang w:val="de-DE"/>
              </w:rPr>
              <w:t xml:space="preserve"> </w:t>
            </w:r>
            <w:proofErr w:type="spellStart"/>
            <w:r w:rsidRPr="00D35B88">
              <w:rPr>
                <w:lang w:val="de-DE"/>
              </w:rPr>
              <w:t>free</w:t>
            </w:r>
            <w:proofErr w:type="spellEnd"/>
            <w:r w:rsidRPr="00D35B88">
              <w:rPr>
                <w:lang w:val="de-DE"/>
              </w:rPr>
              <w:t xml:space="preserve"> </w:t>
            </w:r>
            <w:proofErr w:type="spellStart"/>
            <w:r w:rsidRPr="00D35B88">
              <w:rPr>
                <w:lang w:val="de-DE"/>
              </w:rPr>
              <w:t>acid</w:t>
            </w:r>
            <w:proofErr w:type="spellEnd"/>
            <w:r w:rsidRPr="00D35B88">
              <w:rPr>
                <w:rFonts w:eastAsia="Calibri"/>
                <w:lang w:val="de-DE"/>
              </w:rPr>
              <w:t xml:space="preserve"> (w/w %):</w:t>
            </w:r>
          </w:p>
          <w:p w14:paraId="278B211E" w14:textId="7FDF12E6" w:rsidR="00147D38" w:rsidRPr="00824292" w:rsidRDefault="00147D38" w:rsidP="00147D38">
            <w:pPr>
              <w:pStyle w:val="Standaard-Tabellen"/>
              <w:rPr>
                <w:rFonts w:eastAsia="Calibri"/>
                <w:lang w:val="de-DE"/>
              </w:rPr>
            </w:pPr>
            <w:r w:rsidRPr="00824292">
              <w:rPr>
                <w:rFonts w:eastAsia="Calibri"/>
                <w:lang w:val="de-DE"/>
              </w:rPr>
              <w:t>T0: 0.14</w:t>
            </w:r>
          </w:p>
          <w:p w14:paraId="2C2951B9" w14:textId="77777777" w:rsidR="00147D38" w:rsidRPr="00824292" w:rsidRDefault="00147D38" w:rsidP="00147D38">
            <w:pPr>
              <w:pStyle w:val="Standaard-Tabellen"/>
              <w:rPr>
                <w:rFonts w:eastAsia="Calibri"/>
                <w:lang w:val="de-DE"/>
              </w:rPr>
            </w:pPr>
            <w:r w:rsidRPr="00824292">
              <w:rPr>
                <w:rFonts w:eastAsia="Calibri"/>
                <w:lang w:val="de-DE"/>
              </w:rPr>
              <w:t>T8w: 0.82</w:t>
            </w:r>
          </w:p>
          <w:p w14:paraId="19EA28E6" w14:textId="77777777" w:rsidR="00147D38" w:rsidRPr="00824292" w:rsidRDefault="00147D38" w:rsidP="00147D38">
            <w:pPr>
              <w:pStyle w:val="Standaard-Tabellen"/>
              <w:rPr>
                <w:rFonts w:eastAsia="Calibri"/>
                <w:lang w:val="de-DE"/>
              </w:rPr>
            </w:pPr>
          </w:p>
          <w:p w14:paraId="46EDFE01" w14:textId="150C0E79" w:rsidR="00147D38" w:rsidRPr="00C07E47" w:rsidRDefault="0016251D" w:rsidP="00C07E47">
            <w:pPr>
              <w:pStyle w:val="Standaard-Tabellen"/>
              <w:pBdr>
                <w:bottom w:val="single" w:sz="6" w:space="1" w:color="auto"/>
              </w:pBdr>
              <w:rPr>
                <w:rFonts w:eastAsia="Calibri"/>
                <w:lang w:val="en-US"/>
              </w:rPr>
            </w:pPr>
            <w:r w:rsidRPr="00836936">
              <w:rPr>
                <w:rFonts w:eastAsia="Calibri"/>
                <w:lang w:val="en-US"/>
              </w:rPr>
              <w:t xml:space="preserve">[Storage: </w:t>
            </w:r>
            <w:r>
              <w:rPr>
                <w:rFonts w:eastAsia="Calibri"/>
                <w:lang w:val="en-US"/>
              </w:rPr>
              <w:t>40</w:t>
            </w:r>
            <w:r w:rsidRPr="00836936">
              <w:rPr>
                <w:rFonts w:eastAsia="Calibri"/>
                <w:lang w:val="en-US"/>
              </w:rPr>
              <w:t xml:space="preserve"> ± 2°C</w:t>
            </w:r>
            <w:r>
              <w:rPr>
                <w:rFonts w:eastAsia="Calibri"/>
                <w:lang w:val="en-US"/>
              </w:rPr>
              <w:t xml:space="preserve"> for 8 weeks</w:t>
            </w:r>
            <w:r w:rsidRPr="00836936">
              <w:rPr>
                <w:rFonts w:eastAsia="Calibri"/>
                <w:lang w:val="en-US"/>
              </w:rPr>
              <w:t xml:space="preserve">, relative </w:t>
            </w:r>
            <w:r w:rsidRPr="00836936">
              <w:rPr>
                <w:rFonts w:eastAsia="Calibri"/>
                <w:lang w:val="en-US"/>
              </w:rPr>
              <w:lastRenderedPageBreak/>
              <w:t xml:space="preserve">humidity: 50 ± </w:t>
            </w:r>
            <w:r>
              <w:rPr>
                <w:rFonts w:eastAsia="Calibri"/>
                <w:lang w:val="en-US"/>
              </w:rPr>
              <w:t xml:space="preserve">15%, 50ml </w:t>
            </w:r>
            <w:r w:rsidRPr="00B10136">
              <w:rPr>
                <w:rFonts w:eastAsia="Calibri"/>
                <w:lang w:val="en-US"/>
              </w:rPr>
              <w:t>PP squeeze flask</w:t>
            </w:r>
            <w:r w:rsidRPr="00836936">
              <w:rPr>
                <w:rFonts w:eastAsia="Calibri"/>
                <w:lang w:val="en-US"/>
              </w:rPr>
              <w:t>]</w:t>
            </w:r>
          </w:p>
        </w:tc>
        <w:tc>
          <w:tcPr>
            <w:tcW w:w="1137" w:type="pct"/>
          </w:tcPr>
          <w:p w14:paraId="33365A36" w14:textId="3FB65F7D" w:rsidR="00147D38" w:rsidRPr="00BD2EF1" w:rsidRDefault="00147D38" w:rsidP="00147D38">
            <w:pPr>
              <w:pStyle w:val="Standaard-Tabellen"/>
              <w:rPr>
                <w:rFonts w:eastAsia="Calibri"/>
              </w:rPr>
            </w:pPr>
            <w:r>
              <w:rPr>
                <w:rFonts w:eastAsia="Calibri"/>
              </w:rPr>
              <w:lastRenderedPageBreak/>
              <w:t xml:space="preserve">Report no. 98322204, </w:t>
            </w:r>
            <w:proofErr w:type="spellStart"/>
            <w:r>
              <w:rPr>
                <w:rFonts w:eastAsia="Calibri"/>
              </w:rPr>
              <w:t>Fieseler</w:t>
            </w:r>
            <w:proofErr w:type="spellEnd"/>
            <w:r>
              <w:rPr>
                <w:rFonts w:eastAsia="Calibri"/>
              </w:rPr>
              <w:t>, A. 2015</w:t>
            </w:r>
          </w:p>
        </w:tc>
      </w:tr>
      <w:tr w:rsidR="00E12E4A" w:rsidRPr="00BD2EF1" w14:paraId="020692AB" w14:textId="77777777" w:rsidTr="00147D38">
        <w:tc>
          <w:tcPr>
            <w:tcW w:w="1265" w:type="pct"/>
          </w:tcPr>
          <w:p w14:paraId="05828083" w14:textId="5F320DB9" w:rsidR="00E12E4A" w:rsidRPr="00BD2EF1" w:rsidRDefault="00E12E4A" w:rsidP="00E12E4A">
            <w:pPr>
              <w:pStyle w:val="Standaard-Tabellen"/>
              <w:rPr>
                <w:rFonts w:eastAsia="Calibri"/>
              </w:rPr>
            </w:pPr>
            <w:r w:rsidRPr="00BD2EF1">
              <w:rPr>
                <w:rFonts w:eastAsia="Calibri"/>
              </w:rPr>
              <w:lastRenderedPageBreak/>
              <w:t xml:space="preserve">Storage stability test – </w:t>
            </w:r>
            <w:r w:rsidRPr="00BD2EF1">
              <w:rPr>
                <w:rFonts w:eastAsia="Calibri"/>
                <w:b/>
              </w:rPr>
              <w:t>long term storage at ambient temperature</w:t>
            </w:r>
          </w:p>
        </w:tc>
        <w:tc>
          <w:tcPr>
            <w:tcW w:w="831" w:type="pct"/>
          </w:tcPr>
          <w:p w14:paraId="65074892" w14:textId="77777777" w:rsidR="00E12E4A" w:rsidRDefault="00E12E4A" w:rsidP="00E12E4A">
            <w:pPr>
              <w:pStyle w:val="Standaard-Tabellen"/>
              <w:rPr>
                <w:rFonts w:eastAsia="Calibri"/>
              </w:rPr>
            </w:pPr>
            <w:r>
              <w:rPr>
                <w:rFonts w:eastAsia="Calibri"/>
              </w:rPr>
              <w:t>CIPAC MT 75.3</w:t>
            </w:r>
          </w:p>
          <w:p w14:paraId="6377F589" w14:textId="77777777" w:rsidR="00E12E4A" w:rsidRDefault="00E12E4A" w:rsidP="00E12E4A">
            <w:pPr>
              <w:pStyle w:val="Standaard-Tabellen"/>
              <w:rPr>
                <w:rFonts w:eastAsia="Calibri"/>
              </w:rPr>
            </w:pPr>
            <w:r>
              <w:rPr>
                <w:rFonts w:eastAsia="Calibri"/>
              </w:rPr>
              <w:t>CIPAC MT 191</w:t>
            </w:r>
          </w:p>
          <w:p w14:paraId="0C136336" w14:textId="35A722EF" w:rsidR="00E12E4A" w:rsidRDefault="00E12E4A" w:rsidP="00E12E4A">
            <w:pPr>
              <w:pStyle w:val="Standaard-Tabellen"/>
              <w:rPr>
                <w:rFonts w:eastAsia="Calibri"/>
              </w:rPr>
            </w:pPr>
            <w:r>
              <w:rPr>
                <w:rFonts w:eastAsia="Calibri"/>
              </w:rPr>
              <w:t>OECD 10</w:t>
            </w:r>
            <w:r w:rsidR="002351CF">
              <w:rPr>
                <w:rFonts w:eastAsia="Calibri"/>
              </w:rPr>
              <w:t>9</w:t>
            </w:r>
          </w:p>
          <w:p w14:paraId="5ED1CB4F" w14:textId="458D6D7A" w:rsidR="00E12E4A" w:rsidRDefault="00E12E4A" w:rsidP="00E12E4A">
            <w:pPr>
              <w:pStyle w:val="Standaard-Tabellen"/>
              <w:rPr>
                <w:rFonts w:eastAsia="Calibri"/>
              </w:rPr>
            </w:pPr>
            <w:r>
              <w:rPr>
                <w:rFonts w:eastAsia="Calibri"/>
              </w:rPr>
              <w:t>OECD 114</w:t>
            </w:r>
          </w:p>
          <w:p w14:paraId="5DADBDEE" w14:textId="6D5C40C7" w:rsidR="003631A9" w:rsidRDefault="003631A9" w:rsidP="00E12E4A">
            <w:pPr>
              <w:pStyle w:val="Standaard-Tabellen"/>
              <w:rPr>
                <w:rFonts w:eastAsia="Calibri"/>
              </w:rPr>
            </w:pPr>
          </w:p>
          <w:p w14:paraId="072E1306" w14:textId="18BEE1B6" w:rsidR="003631A9" w:rsidRDefault="003631A9" w:rsidP="00E12E4A">
            <w:pPr>
              <w:pStyle w:val="Standaard-Tabellen"/>
              <w:rPr>
                <w:rFonts w:eastAsia="Calibri"/>
              </w:rPr>
            </w:pPr>
            <w:r>
              <w:rPr>
                <w:rFonts w:eastAsia="Calibri"/>
              </w:rPr>
              <w:t xml:space="preserve">[using </w:t>
            </w:r>
            <w:r w:rsidRPr="003631A9">
              <w:rPr>
                <w:rFonts w:eastAsia="Calibri"/>
              </w:rPr>
              <w:t>HPLC-UV</w:t>
            </w:r>
            <w:r>
              <w:rPr>
                <w:rFonts w:eastAsia="Calibri"/>
              </w:rPr>
              <w:t>, as validated in section 2.2.5]</w:t>
            </w:r>
          </w:p>
          <w:p w14:paraId="3171747C" w14:textId="77777777" w:rsidR="00E12E4A" w:rsidRDefault="00E12E4A" w:rsidP="00E12E4A">
            <w:pPr>
              <w:pStyle w:val="Standaard-Tabellen"/>
              <w:rPr>
                <w:rFonts w:eastAsia="Calibri"/>
              </w:rPr>
            </w:pPr>
          </w:p>
          <w:p w14:paraId="688E8A44" w14:textId="77777777" w:rsidR="00E12E4A" w:rsidRDefault="00E12E4A" w:rsidP="00E12E4A">
            <w:pPr>
              <w:pStyle w:val="Standaard-Tabellen"/>
              <w:rPr>
                <w:rFonts w:eastAsia="Calibri"/>
              </w:rPr>
            </w:pPr>
          </w:p>
          <w:p w14:paraId="3F5B4F02" w14:textId="77777777" w:rsidR="00E12E4A" w:rsidRDefault="00E12E4A" w:rsidP="00E12E4A">
            <w:pPr>
              <w:pStyle w:val="Standaard-Tabellen"/>
              <w:rPr>
                <w:rFonts w:eastAsia="Calibri"/>
              </w:rPr>
            </w:pPr>
          </w:p>
          <w:p w14:paraId="2CF2E6AE" w14:textId="77777777" w:rsidR="00E12E4A" w:rsidRDefault="00E12E4A" w:rsidP="00E12E4A">
            <w:pPr>
              <w:pStyle w:val="Standaard-Tabellen"/>
              <w:rPr>
                <w:rFonts w:eastAsia="Calibri"/>
              </w:rPr>
            </w:pPr>
          </w:p>
          <w:p w14:paraId="7D886AB6" w14:textId="77777777" w:rsidR="00E12E4A" w:rsidRDefault="00E12E4A" w:rsidP="00E12E4A">
            <w:pPr>
              <w:pStyle w:val="Standaard-Tabellen"/>
              <w:rPr>
                <w:rFonts w:eastAsia="Calibri"/>
              </w:rPr>
            </w:pPr>
          </w:p>
          <w:p w14:paraId="7572CF96" w14:textId="77777777" w:rsidR="00E12E4A" w:rsidRDefault="00E12E4A" w:rsidP="00E12E4A">
            <w:pPr>
              <w:pStyle w:val="Standaard-Tabellen"/>
              <w:rPr>
                <w:rFonts w:eastAsia="Calibri"/>
              </w:rPr>
            </w:pPr>
          </w:p>
          <w:p w14:paraId="509296EA" w14:textId="77777777" w:rsidR="00E12E4A" w:rsidRDefault="00E12E4A" w:rsidP="00E12E4A">
            <w:pPr>
              <w:pStyle w:val="Standaard-Tabellen"/>
              <w:rPr>
                <w:rFonts w:eastAsia="Calibri"/>
              </w:rPr>
            </w:pPr>
          </w:p>
          <w:p w14:paraId="22B47EBA" w14:textId="77777777" w:rsidR="00E12E4A" w:rsidRDefault="00E12E4A" w:rsidP="00E12E4A">
            <w:pPr>
              <w:pStyle w:val="Standaard-Tabellen"/>
              <w:rPr>
                <w:rFonts w:eastAsia="Calibri"/>
              </w:rPr>
            </w:pPr>
          </w:p>
          <w:p w14:paraId="016E78BF" w14:textId="77777777" w:rsidR="00E12E4A" w:rsidRDefault="00E12E4A" w:rsidP="00E12E4A">
            <w:pPr>
              <w:pStyle w:val="Standaard-Tabellen"/>
              <w:rPr>
                <w:rFonts w:eastAsia="Calibri"/>
              </w:rPr>
            </w:pPr>
          </w:p>
          <w:p w14:paraId="061ADC55" w14:textId="77777777" w:rsidR="00E12E4A" w:rsidRDefault="00E12E4A" w:rsidP="00E12E4A">
            <w:pPr>
              <w:pStyle w:val="Standaard-Tabellen"/>
              <w:rPr>
                <w:rFonts w:eastAsia="Calibri"/>
              </w:rPr>
            </w:pPr>
          </w:p>
          <w:p w14:paraId="4F834B0C" w14:textId="77777777" w:rsidR="00E12E4A" w:rsidRDefault="00E12E4A" w:rsidP="00E12E4A">
            <w:pPr>
              <w:pStyle w:val="Standaard-Tabellen"/>
              <w:rPr>
                <w:rFonts w:eastAsia="Calibri"/>
              </w:rPr>
            </w:pPr>
          </w:p>
          <w:p w14:paraId="7AE2EA19" w14:textId="77777777" w:rsidR="00E12E4A" w:rsidRDefault="00E12E4A" w:rsidP="00E12E4A">
            <w:pPr>
              <w:pStyle w:val="Standaard-Tabellen"/>
              <w:rPr>
                <w:rFonts w:eastAsia="Calibri"/>
              </w:rPr>
            </w:pPr>
          </w:p>
          <w:p w14:paraId="6E3BC0C2" w14:textId="77777777" w:rsidR="00E12E4A" w:rsidRDefault="00E12E4A" w:rsidP="00E12E4A">
            <w:pPr>
              <w:pStyle w:val="Standaard-Tabellen"/>
              <w:rPr>
                <w:rFonts w:eastAsia="Calibri"/>
              </w:rPr>
            </w:pPr>
          </w:p>
          <w:p w14:paraId="055EC01A" w14:textId="77777777" w:rsidR="00E12E4A" w:rsidRDefault="00E12E4A" w:rsidP="00E12E4A">
            <w:pPr>
              <w:pStyle w:val="Standaard-Tabellen"/>
              <w:rPr>
                <w:rFonts w:eastAsia="Calibri"/>
              </w:rPr>
            </w:pPr>
          </w:p>
          <w:p w14:paraId="1EFC4F08" w14:textId="77777777" w:rsidR="00E12E4A" w:rsidRDefault="00E12E4A" w:rsidP="00E12E4A">
            <w:pPr>
              <w:pStyle w:val="Standaard-Tabellen"/>
              <w:rPr>
                <w:rFonts w:eastAsia="Calibri"/>
              </w:rPr>
            </w:pPr>
          </w:p>
          <w:p w14:paraId="5070B87A" w14:textId="77777777" w:rsidR="00E12E4A" w:rsidRDefault="00E12E4A" w:rsidP="00E12E4A">
            <w:pPr>
              <w:pStyle w:val="Standaard-Tabellen"/>
              <w:rPr>
                <w:rFonts w:eastAsia="Calibri"/>
              </w:rPr>
            </w:pPr>
          </w:p>
          <w:p w14:paraId="0F62009B" w14:textId="77777777" w:rsidR="00E12E4A" w:rsidRDefault="00E12E4A" w:rsidP="00E12E4A">
            <w:pPr>
              <w:pStyle w:val="Standaard-Tabellen"/>
              <w:rPr>
                <w:rFonts w:eastAsia="Calibri"/>
              </w:rPr>
            </w:pPr>
          </w:p>
          <w:p w14:paraId="3DBDFD72" w14:textId="77777777" w:rsidR="00E12E4A" w:rsidRDefault="00E12E4A" w:rsidP="00E12E4A">
            <w:pPr>
              <w:pStyle w:val="Standaard-Tabellen"/>
              <w:rPr>
                <w:rFonts w:eastAsia="Calibri"/>
              </w:rPr>
            </w:pPr>
          </w:p>
          <w:p w14:paraId="3CB0CEAA" w14:textId="77777777" w:rsidR="00E12E4A" w:rsidRDefault="00E12E4A" w:rsidP="00E12E4A">
            <w:pPr>
              <w:pStyle w:val="Standaard-Tabellen"/>
              <w:rPr>
                <w:rFonts w:eastAsia="Calibri"/>
              </w:rPr>
            </w:pPr>
          </w:p>
          <w:p w14:paraId="65F517D6" w14:textId="77777777" w:rsidR="00E12E4A" w:rsidRDefault="00E12E4A" w:rsidP="00E12E4A">
            <w:pPr>
              <w:pStyle w:val="Standaard-Tabellen"/>
              <w:rPr>
                <w:rFonts w:eastAsia="Calibri"/>
              </w:rPr>
            </w:pPr>
          </w:p>
          <w:p w14:paraId="06A062E8" w14:textId="77777777" w:rsidR="00E12E4A" w:rsidRDefault="00E12E4A" w:rsidP="00E12E4A">
            <w:pPr>
              <w:pStyle w:val="Standaard-Tabellen"/>
              <w:rPr>
                <w:rFonts w:eastAsia="Calibri"/>
              </w:rPr>
            </w:pPr>
          </w:p>
          <w:p w14:paraId="51FF22EA" w14:textId="77777777" w:rsidR="00E12E4A" w:rsidRDefault="00E12E4A" w:rsidP="00E12E4A">
            <w:pPr>
              <w:pStyle w:val="Standaard-Tabellen"/>
              <w:rPr>
                <w:rFonts w:eastAsia="Calibri"/>
              </w:rPr>
            </w:pPr>
          </w:p>
          <w:p w14:paraId="43EB5388" w14:textId="77777777" w:rsidR="00E12E4A" w:rsidRDefault="00E12E4A" w:rsidP="00E12E4A">
            <w:pPr>
              <w:pStyle w:val="Standaard-Tabellen"/>
              <w:rPr>
                <w:rFonts w:eastAsia="Calibri"/>
              </w:rPr>
            </w:pPr>
          </w:p>
          <w:p w14:paraId="35F07128" w14:textId="77777777" w:rsidR="00E12E4A" w:rsidRDefault="00E12E4A" w:rsidP="00E12E4A">
            <w:pPr>
              <w:pStyle w:val="Standaard-Tabellen"/>
              <w:rPr>
                <w:rFonts w:eastAsia="Calibri"/>
              </w:rPr>
            </w:pPr>
          </w:p>
          <w:p w14:paraId="6431E2D2" w14:textId="77777777" w:rsidR="00E12E4A" w:rsidRDefault="00E12E4A" w:rsidP="00E12E4A">
            <w:pPr>
              <w:pStyle w:val="Standaard-Tabellen"/>
              <w:rPr>
                <w:rFonts w:eastAsia="Calibri"/>
              </w:rPr>
            </w:pPr>
          </w:p>
          <w:p w14:paraId="68D78394" w14:textId="77777777" w:rsidR="00E12E4A" w:rsidRDefault="00E12E4A" w:rsidP="00E12E4A">
            <w:pPr>
              <w:pStyle w:val="Standaard-Tabellen"/>
              <w:rPr>
                <w:rFonts w:eastAsia="Calibri"/>
              </w:rPr>
            </w:pPr>
          </w:p>
          <w:p w14:paraId="2EDFB72F" w14:textId="77777777" w:rsidR="00E12E4A" w:rsidRDefault="00E12E4A" w:rsidP="00E12E4A">
            <w:pPr>
              <w:pStyle w:val="Standaard-Tabellen"/>
              <w:rPr>
                <w:rFonts w:eastAsia="Calibri"/>
              </w:rPr>
            </w:pPr>
          </w:p>
          <w:p w14:paraId="5783478F" w14:textId="77777777" w:rsidR="00E12E4A" w:rsidRDefault="00E12E4A" w:rsidP="00E12E4A">
            <w:pPr>
              <w:pStyle w:val="Standaard-Tabellen"/>
              <w:rPr>
                <w:rFonts w:eastAsia="Calibri"/>
              </w:rPr>
            </w:pPr>
          </w:p>
          <w:p w14:paraId="625D2FB5" w14:textId="77777777" w:rsidR="00E12E4A" w:rsidRDefault="00E12E4A" w:rsidP="00E12E4A">
            <w:pPr>
              <w:pStyle w:val="Standaard-Tabellen"/>
              <w:rPr>
                <w:rFonts w:eastAsia="Calibri"/>
              </w:rPr>
            </w:pPr>
          </w:p>
          <w:p w14:paraId="2BFC2F23" w14:textId="77777777" w:rsidR="00E12E4A" w:rsidRDefault="00E12E4A" w:rsidP="00E12E4A">
            <w:pPr>
              <w:pStyle w:val="Standaard-Tabellen"/>
              <w:rPr>
                <w:rFonts w:eastAsia="Calibri"/>
              </w:rPr>
            </w:pPr>
          </w:p>
          <w:p w14:paraId="04A91946" w14:textId="77777777" w:rsidR="00E12E4A" w:rsidRDefault="00E12E4A" w:rsidP="00E12E4A">
            <w:pPr>
              <w:pStyle w:val="Standaard-Tabellen"/>
              <w:rPr>
                <w:rFonts w:eastAsia="Calibri"/>
              </w:rPr>
            </w:pPr>
          </w:p>
          <w:p w14:paraId="663B57D0" w14:textId="77777777" w:rsidR="00E12E4A" w:rsidRDefault="00E12E4A" w:rsidP="00E12E4A">
            <w:pPr>
              <w:pStyle w:val="Standaard-Tabellen"/>
              <w:rPr>
                <w:rFonts w:eastAsia="Calibri"/>
              </w:rPr>
            </w:pPr>
          </w:p>
          <w:p w14:paraId="0DA4A80C" w14:textId="77777777" w:rsidR="00E12E4A" w:rsidRDefault="00E12E4A" w:rsidP="00E12E4A">
            <w:pPr>
              <w:pStyle w:val="Standaard-Tabellen"/>
              <w:rPr>
                <w:rFonts w:eastAsia="Calibri"/>
              </w:rPr>
            </w:pPr>
          </w:p>
          <w:p w14:paraId="00CF93E7" w14:textId="77777777" w:rsidR="00E12E4A" w:rsidRDefault="00E12E4A" w:rsidP="00E12E4A">
            <w:pPr>
              <w:pStyle w:val="Standaard-Tabellen"/>
              <w:rPr>
                <w:rFonts w:eastAsia="Calibri"/>
              </w:rPr>
            </w:pPr>
          </w:p>
          <w:p w14:paraId="3669B998" w14:textId="77777777" w:rsidR="00E12E4A" w:rsidRDefault="00E12E4A" w:rsidP="00E12E4A">
            <w:pPr>
              <w:pStyle w:val="Standaard-Tabellen"/>
              <w:rPr>
                <w:rFonts w:eastAsia="Calibri"/>
              </w:rPr>
            </w:pPr>
          </w:p>
          <w:p w14:paraId="1101CA4C" w14:textId="77777777" w:rsidR="00E12E4A" w:rsidRDefault="00E12E4A" w:rsidP="00E12E4A">
            <w:pPr>
              <w:pStyle w:val="Standaard-Tabellen"/>
              <w:rPr>
                <w:rFonts w:eastAsia="Calibri"/>
              </w:rPr>
            </w:pPr>
          </w:p>
          <w:p w14:paraId="0CBA8EE5" w14:textId="77777777" w:rsidR="00E12E4A" w:rsidRDefault="00E12E4A" w:rsidP="00E12E4A">
            <w:pPr>
              <w:pStyle w:val="Standaard-Tabellen"/>
              <w:rPr>
                <w:rFonts w:eastAsia="Calibri"/>
              </w:rPr>
            </w:pPr>
          </w:p>
          <w:p w14:paraId="6C088D07" w14:textId="77777777" w:rsidR="00E12E4A" w:rsidRDefault="00E12E4A" w:rsidP="00E12E4A">
            <w:pPr>
              <w:pStyle w:val="Standaard-Tabellen"/>
              <w:rPr>
                <w:rFonts w:eastAsia="Calibri"/>
              </w:rPr>
            </w:pPr>
          </w:p>
          <w:p w14:paraId="1F173B55" w14:textId="77777777" w:rsidR="00E12E4A" w:rsidRDefault="00E12E4A" w:rsidP="00E12E4A">
            <w:pPr>
              <w:pStyle w:val="Standaard-Tabellen"/>
              <w:rPr>
                <w:rFonts w:eastAsia="Calibri"/>
              </w:rPr>
            </w:pPr>
          </w:p>
          <w:p w14:paraId="594BF409" w14:textId="77777777" w:rsidR="00E12E4A" w:rsidRDefault="00E12E4A" w:rsidP="00E12E4A">
            <w:pPr>
              <w:pStyle w:val="Standaard-Tabellen"/>
              <w:rPr>
                <w:rFonts w:eastAsia="Calibri"/>
              </w:rPr>
            </w:pPr>
          </w:p>
          <w:p w14:paraId="51DDD409" w14:textId="77777777" w:rsidR="00E12E4A" w:rsidRDefault="00E12E4A" w:rsidP="00E12E4A">
            <w:pPr>
              <w:pStyle w:val="Standaard-Tabellen"/>
              <w:rPr>
                <w:rFonts w:eastAsia="Calibri"/>
              </w:rPr>
            </w:pPr>
          </w:p>
          <w:p w14:paraId="461C4425" w14:textId="77777777" w:rsidR="00E12E4A" w:rsidRDefault="00E12E4A" w:rsidP="00E12E4A">
            <w:pPr>
              <w:pStyle w:val="Standaard-Tabellen"/>
              <w:rPr>
                <w:rFonts w:eastAsia="Calibri"/>
              </w:rPr>
            </w:pPr>
          </w:p>
          <w:p w14:paraId="456F2857" w14:textId="77777777" w:rsidR="00E12E4A" w:rsidRDefault="00E12E4A" w:rsidP="00E12E4A">
            <w:pPr>
              <w:pStyle w:val="Standaard-Tabellen"/>
              <w:rPr>
                <w:rFonts w:eastAsia="Calibri"/>
              </w:rPr>
            </w:pPr>
          </w:p>
          <w:p w14:paraId="546B76D5" w14:textId="77777777" w:rsidR="00E12E4A" w:rsidRDefault="00E12E4A" w:rsidP="00E12E4A">
            <w:pPr>
              <w:pStyle w:val="Standaard-Tabellen"/>
              <w:rPr>
                <w:rFonts w:eastAsia="Calibri"/>
              </w:rPr>
            </w:pPr>
          </w:p>
          <w:p w14:paraId="39BAB26E" w14:textId="77777777" w:rsidR="00E12E4A" w:rsidRDefault="00E12E4A" w:rsidP="00E12E4A">
            <w:pPr>
              <w:pStyle w:val="Standaard-Tabellen"/>
              <w:rPr>
                <w:rFonts w:eastAsia="Calibri"/>
              </w:rPr>
            </w:pPr>
          </w:p>
          <w:p w14:paraId="4A5BF2C3" w14:textId="77777777" w:rsidR="00E12E4A" w:rsidRDefault="00E12E4A" w:rsidP="00E12E4A">
            <w:pPr>
              <w:pStyle w:val="Standaard-Tabellen"/>
              <w:rPr>
                <w:rFonts w:eastAsia="Calibri"/>
              </w:rPr>
            </w:pPr>
          </w:p>
          <w:p w14:paraId="447D03A6" w14:textId="77777777" w:rsidR="00E12E4A" w:rsidRDefault="00E12E4A" w:rsidP="00E12E4A">
            <w:pPr>
              <w:pStyle w:val="Standaard-Tabellen"/>
              <w:rPr>
                <w:rFonts w:eastAsia="Calibri"/>
              </w:rPr>
            </w:pPr>
          </w:p>
          <w:p w14:paraId="0B01C4DC" w14:textId="77777777" w:rsidR="00E12E4A" w:rsidRDefault="00E12E4A" w:rsidP="00E12E4A">
            <w:pPr>
              <w:pStyle w:val="Standaard-Tabellen"/>
              <w:rPr>
                <w:rFonts w:eastAsia="Calibri"/>
              </w:rPr>
            </w:pPr>
          </w:p>
          <w:p w14:paraId="5DE9DF52" w14:textId="77777777" w:rsidR="00E12E4A" w:rsidRDefault="00E12E4A" w:rsidP="00E12E4A">
            <w:pPr>
              <w:pStyle w:val="Standaard-Tabellen"/>
              <w:rPr>
                <w:rFonts w:eastAsia="Calibri"/>
              </w:rPr>
            </w:pPr>
          </w:p>
          <w:p w14:paraId="70293DDA" w14:textId="77777777" w:rsidR="00E12E4A" w:rsidRDefault="00E12E4A" w:rsidP="00E12E4A">
            <w:pPr>
              <w:pStyle w:val="Standaard-Tabellen"/>
              <w:rPr>
                <w:rFonts w:eastAsia="Calibri"/>
              </w:rPr>
            </w:pPr>
          </w:p>
          <w:p w14:paraId="7936D811" w14:textId="77777777" w:rsidR="00E12E4A" w:rsidRDefault="00E12E4A" w:rsidP="00E12E4A">
            <w:pPr>
              <w:pStyle w:val="Standaard-Tabellen"/>
              <w:rPr>
                <w:rFonts w:eastAsia="Calibri"/>
              </w:rPr>
            </w:pPr>
          </w:p>
          <w:p w14:paraId="480BF864" w14:textId="77777777" w:rsidR="00E12E4A" w:rsidRDefault="00E12E4A" w:rsidP="00E12E4A">
            <w:pPr>
              <w:pStyle w:val="Standaard-Tabellen"/>
              <w:rPr>
                <w:rFonts w:eastAsia="Calibri"/>
              </w:rPr>
            </w:pPr>
          </w:p>
          <w:p w14:paraId="0E44E3AE" w14:textId="77777777" w:rsidR="00E12E4A" w:rsidRDefault="00E12E4A" w:rsidP="00E12E4A">
            <w:pPr>
              <w:pStyle w:val="Standaard-Tabellen"/>
              <w:rPr>
                <w:rFonts w:eastAsia="Calibri"/>
              </w:rPr>
            </w:pPr>
          </w:p>
          <w:p w14:paraId="03DF4B67" w14:textId="77777777" w:rsidR="00E12E4A" w:rsidRDefault="00E12E4A" w:rsidP="00E12E4A">
            <w:pPr>
              <w:pStyle w:val="Standaard-Tabellen"/>
              <w:rPr>
                <w:rFonts w:eastAsia="Calibri"/>
              </w:rPr>
            </w:pPr>
          </w:p>
          <w:p w14:paraId="285C62F2" w14:textId="77777777" w:rsidR="00E12E4A" w:rsidRDefault="00E12E4A" w:rsidP="00E12E4A">
            <w:pPr>
              <w:pStyle w:val="Standaard-Tabellen"/>
              <w:rPr>
                <w:rFonts w:eastAsia="Calibri"/>
              </w:rPr>
            </w:pPr>
          </w:p>
          <w:p w14:paraId="7B4C9E0D" w14:textId="77777777" w:rsidR="00E12E4A" w:rsidRDefault="00E12E4A" w:rsidP="00E12E4A">
            <w:pPr>
              <w:pStyle w:val="Standaard-Tabellen"/>
              <w:rPr>
                <w:rFonts w:eastAsia="Calibri"/>
              </w:rPr>
            </w:pPr>
          </w:p>
          <w:p w14:paraId="45584525" w14:textId="733D123F" w:rsidR="00E12E4A" w:rsidRDefault="00E12E4A" w:rsidP="00E12E4A">
            <w:pPr>
              <w:pStyle w:val="Standaard-Tabellen"/>
              <w:rPr>
                <w:rFonts w:eastAsia="Calibri"/>
              </w:rPr>
            </w:pPr>
          </w:p>
          <w:p w14:paraId="08F1E31E" w14:textId="42A29C7D" w:rsidR="008340DD" w:rsidRDefault="008340DD" w:rsidP="00E12E4A">
            <w:pPr>
              <w:pStyle w:val="Standaard-Tabellen"/>
              <w:rPr>
                <w:rFonts w:eastAsia="Calibri"/>
              </w:rPr>
            </w:pPr>
          </w:p>
          <w:p w14:paraId="735A2FCA" w14:textId="77777777" w:rsidR="008340DD" w:rsidRDefault="008340DD" w:rsidP="00E12E4A">
            <w:pPr>
              <w:pStyle w:val="Standaard-Tabellen"/>
              <w:rPr>
                <w:rFonts w:eastAsia="Calibri"/>
              </w:rPr>
            </w:pPr>
          </w:p>
          <w:p w14:paraId="66616FFC" w14:textId="77777777" w:rsidR="00E12E4A" w:rsidRDefault="00E12E4A" w:rsidP="00E12E4A">
            <w:pPr>
              <w:pStyle w:val="Standaard-Tabellen"/>
              <w:rPr>
                <w:rFonts w:eastAsia="Calibri"/>
              </w:rPr>
            </w:pPr>
          </w:p>
          <w:p w14:paraId="431204B1" w14:textId="77777777" w:rsidR="00E12E4A" w:rsidRDefault="00E12E4A" w:rsidP="00E12E4A">
            <w:pPr>
              <w:pStyle w:val="Standaard-Tabellen"/>
              <w:rPr>
                <w:rFonts w:eastAsia="Calibri"/>
              </w:rPr>
            </w:pPr>
          </w:p>
          <w:p w14:paraId="254AD497" w14:textId="77777777" w:rsidR="00E12E4A" w:rsidRDefault="00E12E4A" w:rsidP="00E12E4A">
            <w:pPr>
              <w:pStyle w:val="Standaard-Tabellen"/>
              <w:rPr>
                <w:rFonts w:eastAsia="Calibri"/>
              </w:rPr>
            </w:pPr>
          </w:p>
          <w:p w14:paraId="42CA79F9" w14:textId="77777777" w:rsidR="00E12E4A" w:rsidRDefault="00E12E4A" w:rsidP="00E12E4A">
            <w:pPr>
              <w:pStyle w:val="Standaard-Tabellen"/>
              <w:rPr>
                <w:rFonts w:eastAsia="Calibri"/>
              </w:rPr>
            </w:pPr>
          </w:p>
          <w:p w14:paraId="6CB62C7B" w14:textId="77777777" w:rsidR="00E12E4A" w:rsidRDefault="00E12E4A" w:rsidP="00E12E4A">
            <w:pPr>
              <w:pStyle w:val="Standaard-Tabellen"/>
              <w:rPr>
                <w:rFonts w:eastAsia="Calibri"/>
              </w:rPr>
            </w:pPr>
          </w:p>
          <w:p w14:paraId="23D56186" w14:textId="77777777" w:rsidR="00E12E4A" w:rsidRDefault="00E12E4A" w:rsidP="00E12E4A">
            <w:pPr>
              <w:pStyle w:val="Standaard-Tabellen"/>
              <w:rPr>
                <w:rFonts w:eastAsia="Calibri"/>
              </w:rPr>
            </w:pPr>
          </w:p>
          <w:p w14:paraId="4C0B0874" w14:textId="77777777" w:rsidR="00E12E4A" w:rsidRDefault="00E12E4A" w:rsidP="00E12E4A">
            <w:pPr>
              <w:pStyle w:val="Standaard-Tabellen"/>
              <w:rPr>
                <w:rFonts w:eastAsia="Calibri"/>
              </w:rPr>
            </w:pPr>
          </w:p>
          <w:p w14:paraId="5E501B83" w14:textId="77777777" w:rsidR="00E12E4A" w:rsidRDefault="00E12E4A" w:rsidP="00E12E4A">
            <w:pPr>
              <w:pStyle w:val="Standaard-Tabellen"/>
              <w:pBdr>
                <w:bottom w:val="single" w:sz="6" w:space="1" w:color="auto"/>
              </w:pBdr>
              <w:rPr>
                <w:rFonts w:eastAsia="Calibri"/>
              </w:rPr>
            </w:pPr>
          </w:p>
          <w:p w14:paraId="423C5478" w14:textId="77777777" w:rsidR="00E12E4A" w:rsidRDefault="00E12E4A" w:rsidP="00E12E4A">
            <w:pPr>
              <w:pStyle w:val="Standaard-Tabellen"/>
              <w:pBdr>
                <w:bottom w:val="single" w:sz="6" w:space="1" w:color="auto"/>
              </w:pBdr>
              <w:rPr>
                <w:rFonts w:eastAsia="Calibri"/>
              </w:rPr>
            </w:pPr>
          </w:p>
          <w:p w14:paraId="1F815E4E" w14:textId="77777777" w:rsidR="00E12E4A" w:rsidRDefault="00E12E4A" w:rsidP="00E12E4A">
            <w:pPr>
              <w:pStyle w:val="Standaard-Tabellen"/>
              <w:pBdr>
                <w:bottom w:val="single" w:sz="6" w:space="1" w:color="auto"/>
              </w:pBdr>
              <w:rPr>
                <w:rFonts w:eastAsia="Calibri"/>
              </w:rPr>
            </w:pPr>
          </w:p>
          <w:p w14:paraId="1F55BDF2" w14:textId="410BA097" w:rsidR="00E12E4A" w:rsidRPr="00BD2EF1" w:rsidRDefault="00E12E4A" w:rsidP="00E12E4A">
            <w:pPr>
              <w:pStyle w:val="Standaard-Tabellen"/>
              <w:rPr>
                <w:rFonts w:eastAsia="Calibri"/>
              </w:rPr>
            </w:pPr>
            <w:r w:rsidRPr="00586459">
              <w:rPr>
                <w:rFonts w:eastAsia="Calibri"/>
              </w:rPr>
              <w:t>OPPTS 830.6317</w:t>
            </w:r>
          </w:p>
        </w:tc>
        <w:tc>
          <w:tcPr>
            <w:tcW w:w="753" w:type="pct"/>
          </w:tcPr>
          <w:p w14:paraId="42700FF3" w14:textId="77777777" w:rsidR="00E12E4A" w:rsidRPr="00E12E4A" w:rsidRDefault="00E12E4A" w:rsidP="00E12E4A">
            <w:pPr>
              <w:pStyle w:val="Standaard-Tabellen"/>
              <w:rPr>
                <w:rFonts w:eastAsia="Calibri"/>
                <w:lang w:val="fr-BE"/>
              </w:rPr>
            </w:pPr>
            <w:r w:rsidRPr="00E12E4A">
              <w:rPr>
                <w:rFonts w:eastAsia="Calibri"/>
                <w:lang w:val="fr-BE"/>
              </w:rPr>
              <w:lastRenderedPageBreak/>
              <w:t>10.23</w:t>
            </w:r>
          </w:p>
          <w:p w14:paraId="6020AA60" w14:textId="77777777" w:rsidR="00E12E4A" w:rsidRPr="00E12E4A" w:rsidRDefault="00E12E4A" w:rsidP="00E12E4A">
            <w:pPr>
              <w:pStyle w:val="Standaard-Tabellen"/>
              <w:rPr>
                <w:rFonts w:eastAsia="Calibri"/>
                <w:lang w:val="fr-BE"/>
              </w:rPr>
            </w:pPr>
            <w:proofErr w:type="spellStart"/>
            <w:r w:rsidRPr="00E12E4A">
              <w:rPr>
                <w:rFonts w:eastAsia="Calibri"/>
                <w:lang w:val="fr-BE"/>
              </w:rPr>
              <w:t>Insect</w:t>
            </w:r>
            <w:proofErr w:type="spellEnd"/>
            <w:r w:rsidRPr="00E12E4A">
              <w:rPr>
                <w:rFonts w:eastAsia="Calibri"/>
                <w:lang w:val="fr-BE"/>
              </w:rPr>
              <w:t xml:space="preserve"> Repellent Lotion IR3535</w:t>
            </w:r>
            <w:r w:rsidRPr="00E12E4A">
              <w:rPr>
                <w:rFonts w:eastAsia="Calibri"/>
                <w:vertAlign w:val="superscript"/>
                <w:lang w:val="fr-BE"/>
              </w:rPr>
              <w:t>®</w:t>
            </w:r>
            <w:r w:rsidRPr="00E12E4A">
              <w:rPr>
                <w:rFonts w:eastAsia="Calibri"/>
                <w:lang w:val="fr-BE"/>
              </w:rPr>
              <w:t xml:space="preserve"> 10%</w:t>
            </w:r>
          </w:p>
          <w:p w14:paraId="6035218E" w14:textId="77777777" w:rsidR="00E12E4A" w:rsidRPr="00E12E4A" w:rsidRDefault="00E12E4A" w:rsidP="00E12E4A">
            <w:pPr>
              <w:pStyle w:val="Standaard-Tabellen"/>
              <w:rPr>
                <w:rFonts w:eastAsia="Calibri"/>
                <w:lang w:val="fr-BE"/>
              </w:rPr>
            </w:pPr>
          </w:p>
          <w:p w14:paraId="71552803" w14:textId="77777777" w:rsidR="00E12E4A" w:rsidRPr="00E12E4A" w:rsidRDefault="00E12E4A" w:rsidP="00E12E4A">
            <w:pPr>
              <w:pStyle w:val="Standaard-Tabellen"/>
              <w:rPr>
                <w:rFonts w:eastAsia="Calibri"/>
                <w:lang w:val="fr-BE"/>
              </w:rPr>
            </w:pPr>
          </w:p>
          <w:p w14:paraId="6AECFCB7" w14:textId="77777777" w:rsidR="00E12E4A" w:rsidRPr="00E12E4A" w:rsidRDefault="00E12E4A" w:rsidP="00E12E4A">
            <w:pPr>
              <w:pStyle w:val="Standaard-Tabellen"/>
              <w:rPr>
                <w:rFonts w:eastAsia="Calibri"/>
                <w:lang w:val="fr-BE"/>
              </w:rPr>
            </w:pPr>
          </w:p>
          <w:p w14:paraId="20A7DB9D" w14:textId="77777777" w:rsidR="00E12E4A" w:rsidRPr="00E12E4A" w:rsidRDefault="00E12E4A" w:rsidP="00E12E4A">
            <w:pPr>
              <w:pStyle w:val="Standaard-Tabellen"/>
              <w:rPr>
                <w:rFonts w:eastAsia="Calibri"/>
                <w:lang w:val="fr-BE"/>
              </w:rPr>
            </w:pPr>
          </w:p>
          <w:p w14:paraId="62A0D57F" w14:textId="77777777" w:rsidR="00E12E4A" w:rsidRPr="00E12E4A" w:rsidRDefault="00E12E4A" w:rsidP="00E12E4A">
            <w:pPr>
              <w:pStyle w:val="Standaard-Tabellen"/>
              <w:rPr>
                <w:rFonts w:eastAsia="Calibri"/>
                <w:lang w:val="fr-BE"/>
              </w:rPr>
            </w:pPr>
          </w:p>
          <w:p w14:paraId="4F2B6392" w14:textId="77777777" w:rsidR="00E12E4A" w:rsidRPr="00E12E4A" w:rsidRDefault="00E12E4A" w:rsidP="00E12E4A">
            <w:pPr>
              <w:pStyle w:val="Standaard-Tabellen"/>
              <w:rPr>
                <w:rFonts w:eastAsia="Calibri"/>
                <w:lang w:val="fr-BE"/>
              </w:rPr>
            </w:pPr>
          </w:p>
          <w:p w14:paraId="4E97AA3C" w14:textId="77777777" w:rsidR="00E12E4A" w:rsidRPr="00E12E4A" w:rsidRDefault="00E12E4A" w:rsidP="00E12E4A">
            <w:pPr>
              <w:pStyle w:val="Standaard-Tabellen"/>
              <w:rPr>
                <w:rFonts w:eastAsia="Calibri"/>
                <w:lang w:val="fr-BE"/>
              </w:rPr>
            </w:pPr>
          </w:p>
          <w:p w14:paraId="2B6AA39A" w14:textId="77777777" w:rsidR="00E12E4A" w:rsidRPr="00E12E4A" w:rsidRDefault="00E12E4A" w:rsidP="00E12E4A">
            <w:pPr>
              <w:pStyle w:val="Standaard-Tabellen"/>
              <w:rPr>
                <w:rFonts w:eastAsia="Calibri"/>
                <w:lang w:val="fr-BE"/>
              </w:rPr>
            </w:pPr>
          </w:p>
          <w:p w14:paraId="351322B0" w14:textId="77777777" w:rsidR="00E12E4A" w:rsidRPr="00E12E4A" w:rsidRDefault="00E12E4A" w:rsidP="00E12E4A">
            <w:pPr>
              <w:pStyle w:val="Standaard-Tabellen"/>
              <w:rPr>
                <w:rFonts w:eastAsia="Calibri"/>
                <w:lang w:val="fr-BE"/>
              </w:rPr>
            </w:pPr>
          </w:p>
          <w:p w14:paraId="3A268850" w14:textId="77777777" w:rsidR="00E12E4A" w:rsidRPr="00E12E4A" w:rsidRDefault="00E12E4A" w:rsidP="00E12E4A">
            <w:pPr>
              <w:pStyle w:val="Standaard-Tabellen"/>
              <w:rPr>
                <w:rFonts w:eastAsia="Calibri"/>
                <w:lang w:val="fr-BE"/>
              </w:rPr>
            </w:pPr>
          </w:p>
          <w:p w14:paraId="73483EC0" w14:textId="77777777" w:rsidR="00E12E4A" w:rsidRPr="00E12E4A" w:rsidRDefault="00E12E4A" w:rsidP="00E12E4A">
            <w:pPr>
              <w:pStyle w:val="Standaard-Tabellen"/>
              <w:rPr>
                <w:rFonts w:eastAsia="Calibri"/>
                <w:lang w:val="fr-BE"/>
              </w:rPr>
            </w:pPr>
          </w:p>
          <w:p w14:paraId="359C35D9" w14:textId="77777777" w:rsidR="00E12E4A" w:rsidRPr="00E12E4A" w:rsidRDefault="00E12E4A" w:rsidP="00E12E4A">
            <w:pPr>
              <w:pStyle w:val="Standaard-Tabellen"/>
              <w:rPr>
                <w:rFonts w:eastAsia="Calibri"/>
                <w:lang w:val="fr-BE"/>
              </w:rPr>
            </w:pPr>
          </w:p>
          <w:p w14:paraId="44CAA777" w14:textId="77777777" w:rsidR="00E12E4A" w:rsidRPr="00E12E4A" w:rsidRDefault="00E12E4A" w:rsidP="00E12E4A">
            <w:pPr>
              <w:pStyle w:val="Standaard-Tabellen"/>
              <w:rPr>
                <w:rFonts w:eastAsia="Calibri"/>
                <w:lang w:val="fr-BE"/>
              </w:rPr>
            </w:pPr>
          </w:p>
          <w:p w14:paraId="2D874DB5" w14:textId="77777777" w:rsidR="00E12E4A" w:rsidRPr="00E12E4A" w:rsidRDefault="00E12E4A" w:rsidP="00E12E4A">
            <w:pPr>
              <w:pStyle w:val="Standaard-Tabellen"/>
              <w:rPr>
                <w:rFonts w:eastAsia="Calibri"/>
                <w:lang w:val="fr-BE"/>
              </w:rPr>
            </w:pPr>
          </w:p>
          <w:p w14:paraId="3ABCEB8D" w14:textId="77777777" w:rsidR="00E12E4A" w:rsidRPr="00E12E4A" w:rsidRDefault="00E12E4A" w:rsidP="00E12E4A">
            <w:pPr>
              <w:pStyle w:val="Standaard-Tabellen"/>
              <w:rPr>
                <w:rFonts w:eastAsia="Calibri"/>
                <w:lang w:val="fr-BE"/>
              </w:rPr>
            </w:pPr>
          </w:p>
          <w:p w14:paraId="7CA54F0B" w14:textId="77777777" w:rsidR="00E12E4A" w:rsidRPr="00E12E4A" w:rsidRDefault="00E12E4A" w:rsidP="00E12E4A">
            <w:pPr>
              <w:pStyle w:val="Standaard-Tabellen"/>
              <w:rPr>
                <w:rFonts w:eastAsia="Calibri"/>
                <w:lang w:val="fr-BE"/>
              </w:rPr>
            </w:pPr>
          </w:p>
          <w:p w14:paraId="6CD65C7E" w14:textId="77777777" w:rsidR="00E12E4A" w:rsidRPr="00E12E4A" w:rsidRDefault="00E12E4A" w:rsidP="00E12E4A">
            <w:pPr>
              <w:pStyle w:val="Standaard-Tabellen"/>
              <w:rPr>
                <w:rFonts w:eastAsia="Calibri"/>
                <w:lang w:val="fr-BE"/>
              </w:rPr>
            </w:pPr>
          </w:p>
          <w:p w14:paraId="76A74595" w14:textId="77777777" w:rsidR="00E12E4A" w:rsidRPr="00E12E4A" w:rsidRDefault="00E12E4A" w:rsidP="00E12E4A">
            <w:pPr>
              <w:pStyle w:val="Standaard-Tabellen"/>
              <w:rPr>
                <w:rFonts w:eastAsia="Calibri"/>
                <w:lang w:val="fr-BE"/>
              </w:rPr>
            </w:pPr>
          </w:p>
          <w:p w14:paraId="0A25500E" w14:textId="77777777" w:rsidR="00E12E4A" w:rsidRPr="00E12E4A" w:rsidRDefault="00E12E4A" w:rsidP="00E12E4A">
            <w:pPr>
              <w:pStyle w:val="Standaard-Tabellen"/>
              <w:rPr>
                <w:rFonts w:eastAsia="Calibri"/>
                <w:lang w:val="fr-BE"/>
              </w:rPr>
            </w:pPr>
          </w:p>
          <w:p w14:paraId="547CE45A" w14:textId="77777777" w:rsidR="00E12E4A" w:rsidRPr="00E12E4A" w:rsidRDefault="00E12E4A" w:rsidP="00E12E4A">
            <w:pPr>
              <w:pStyle w:val="Standaard-Tabellen"/>
              <w:rPr>
                <w:rFonts w:eastAsia="Calibri"/>
                <w:lang w:val="fr-BE"/>
              </w:rPr>
            </w:pPr>
          </w:p>
          <w:p w14:paraId="56514489" w14:textId="77777777" w:rsidR="00E12E4A" w:rsidRPr="00E12E4A" w:rsidRDefault="00E12E4A" w:rsidP="00E12E4A">
            <w:pPr>
              <w:pStyle w:val="Standaard-Tabellen"/>
              <w:rPr>
                <w:rFonts w:eastAsia="Calibri"/>
                <w:lang w:val="fr-BE"/>
              </w:rPr>
            </w:pPr>
          </w:p>
          <w:p w14:paraId="06BF0E92" w14:textId="77777777" w:rsidR="00E12E4A" w:rsidRPr="00E12E4A" w:rsidRDefault="00E12E4A" w:rsidP="00E12E4A">
            <w:pPr>
              <w:pStyle w:val="Standaard-Tabellen"/>
              <w:rPr>
                <w:rFonts w:eastAsia="Calibri"/>
                <w:lang w:val="fr-BE"/>
              </w:rPr>
            </w:pPr>
          </w:p>
          <w:p w14:paraId="6A9E9F80" w14:textId="77777777" w:rsidR="00E12E4A" w:rsidRPr="00E12E4A" w:rsidRDefault="00E12E4A" w:rsidP="00E12E4A">
            <w:pPr>
              <w:pStyle w:val="Standaard-Tabellen"/>
              <w:rPr>
                <w:rFonts w:eastAsia="Calibri"/>
                <w:lang w:val="fr-BE"/>
              </w:rPr>
            </w:pPr>
          </w:p>
          <w:p w14:paraId="6259CEA2" w14:textId="77777777" w:rsidR="00E12E4A" w:rsidRPr="00E12E4A" w:rsidRDefault="00E12E4A" w:rsidP="00E12E4A">
            <w:pPr>
              <w:pStyle w:val="Standaard-Tabellen"/>
              <w:rPr>
                <w:rFonts w:eastAsia="Calibri"/>
                <w:lang w:val="fr-BE"/>
              </w:rPr>
            </w:pPr>
          </w:p>
          <w:p w14:paraId="2A591497" w14:textId="77777777" w:rsidR="00E12E4A" w:rsidRPr="00E12E4A" w:rsidRDefault="00E12E4A" w:rsidP="00E12E4A">
            <w:pPr>
              <w:pStyle w:val="Standaard-Tabellen"/>
              <w:rPr>
                <w:rFonts w:eastAsia="Calibri"/>
                <w:lang w:val="fr-BE"/>
              </w:rPr>
            </w:pPr>
          </w:p>
          <w:p w14:paraId="3677A25F" w14:textId="77777777" w:rsidR="00E12E4A" w:rsidRPr="00E12E4A" w:rsidRDefault="00E12E4A" w:rsidP="00E12E4A">
            <w:pPr>
              <w:pStyle w:val="Standaard-Tabellen"/>
              <w:rPr>
                <w:rFonts w:eastAsia="Calibri"/>
                <w:lang w:val="fr-BE"/>
              </w:rPr>
            </w:pPr>
          </w:p>
          <w:p w14:paraId="269CF539" w14:textId="77777777" w:rsidR="00E12E4A" w:rsidRPr="00E12E4A" w:rsidRDefault="00E12E4A" w:rsidP="00E12E4A">
            <w:pPr>
              <w:pStyle w:val="Standaard-Tabellen"/>
              <w:rPr>
                <w:rFonts w:eastAsia="Calibri"/>
                <w:lang w:val="fr-BE"/>
              </w:rPr>
            </w:pPr>
          </w:p>
          <w:p w14:paraId="6E7855F5" w14:textId="77777777" w:rsidR="00E12E4A" w:rsidRPr="00E12E4A" w:rsidRDefault="00E12E4A" w:rsidP="00E12E4A">
            <w:pPr>
              <w:pStyle w:val="Standaard-Tabellen"/>
              <w:rPr>
                <w:rFonts w:eastAsia="Calibri"/>
                <w:lang w:val="fr-BE"/>
              </w:rPr>
            </w:pPr>
          </w:p>
          <w:p w14:paraId="1986986F" w14:textId="77777777" w:rsidR="00E12E4A" w:rsidRPr="00E12E4A" w:rsidRDefault="00E12E4A" w:rsidP="00E12E4A">
            <w:pPr>
              <w:pStyle w:val="Standaard-Tabellen"/>
              <w:rPr>
                <w:rFonts w:eastAsia="Calibri"/>
                <w:lang w:val="fr-BE"/>
              </w:rPr>
            </w:pPr>
          </w:p>
          <w:p w14:paraId="5B929AB0" w14:textId="77777777" w:rsidR="00E12E4A" w:rsidRPr="00E12E4A" w:rsidRDefault="00E12E4A" w:rsidP="00E12E4A">
            <w:pPr>
              <w:pStyle w:val="Standaard-Tabellen"/>
              <w:rPr>
                <w:rFonts w:eastAsia="Calibri"/>
                <w:lang w:val="fr-BE"/>
              </w:rPr>
            </w:pPr>
          </w:p>
          <w:p w14:paraId="22452CE7" w14:textId="77777777" w:rsidR="00E12E4A" w:rsidRPr="00E12E4A" w:rsidRDefault="00E12E4A" w:rsidP="00E12E4A">
            <w:pPr>
              <w:pStyle w:val="Standaard-Tabellen"/>
              <w:rPr>
                <w:rFonts w:eastAsia="Calibri"/>
                <w:lang w:val="fr-BE"/>
              </w:rPr>
            </w:pPr>
          </w:p>
          <w:p w14:paraId="52D86106" w14:textId="77777777" w:rsidR="00E12E4A" w:rsidRPr="00E12E4A" w:rsidRDefault="00E12E4A" w:rsidP="00E12E4A">
            <w:pPr>
              <w:pStyle w:val="Standaard-Tabellen"/>
              <w:rPr>
                <w:rFonts w:eastAsia="Calibri"/>
                <w:lang w:val="fr-BE"/>
              </w:rPr>
            </w:pPr>
          </w:p>
          <w:p w14:paraId="520F0B7B" w14:textId="77777777" w:rsidR="00E12E4A" w:rsidRPr="00E12E4A" w:rsidRDefault="00E12E4A" w:rsidP="00E12E4A">
            <w:pPr>
              <w:pStyle w:val="Standaard-Tabellen"/>
              <w:rPr>
                <w:rFonts w:eastAsia="Calibri"/>
                <w:lang w:val="fr-BE"/>
              </w:rPr>
            </w:pPr>
          </w:p>
          <w:p w14:paraId="26384188" w14:textId="77777777" w:rsidR="00E12E4A" w:rsidRPr="00E12E4A" w:rsidRDefault="00E12E4A" w:rsidP="00E12E4A">
            <w:pPr>
              <w:pStyle w:val="Standaard-Tabellen"/>
              <w:rPr>
                <w:rFonts w:eastAsia="Calibri"/>
                <w:lang w:val="fr-BE"/>
              </w:rPr>
            </w:pPr>
          </w:p>
          <w:p w14:paraId="5736BBB2" w14:textId="77777777" w:rsidR="00E12E4A" w:rsidRPr="00E12E4A" w:rsidRDefault="00E12E4A" w:rsidP="00E12E4A">
            <w:pPr>
              <w:pStyle w:val="Standaard-Tabellen"/>
              <w:rPr>
                <w:rFonts w:eastAsia="Calibri"/>
                <w:lang w:val="fr-BE"/>
              </w:rPr>
            </w:pPr>
          </w:p>
          <w:p w14:paraId="69CB8BD4" w14:textId="77777777" w:rsidR="00E12E4A" w:rsidRPr="00E12E4A" w:rsidRDefault="00E12E4A" w:rsidP="00E12E4A">
            <w:pPr>
              <w:pStyle w:val="Standaard-Tabellen"/>
              <w:rPr>
                <w:rFonts w:eastAsia="Calibri"/>
                <w:lang w:val="fr-BE"/>
              </w:rPr>
            </w:pPr>
          </w:p>
          <w:p w14:paraId="40C040FF" w14:textId="77777777" w:rsidR="00E12E4A" w:rsidRPr="00E12E4A" w:rsidRDefault="00E12E4A" w:rsidP="00E12E4A">
            <w:pPr>
              <w:pStyle w:val="Standaard-Tabellen"/>
              <w:rPr>
                <w:rFonts w:eastAsia="Calibri"/>
                <w:lang w:val="fr-BE"/>
              </w:rPr>
            </w:pPr>
          </w:p>
          <w:p w14:paraId="2A8A4F94" w14:textId="77777777" w:rsidR="00E12E4A" w:rsidRPr="00E12E4A" w:rsidRDefault="00E12E4A" w:rsidP="00E12E4A">
            <w:pPr>
              <w:pStyle w:val="Standaard-Tabellen"/>
              <w:rPr>
                <w:rFonts w:eastAsia="Calibri"/>
                <w:lang w:val="fr-BE"/>
              </w:rPr>
            </w:pPr>
          </w:p>
          <w:p w14:paraId="171BAB8C" w14:textId="77777777" w:rsidR="00E12E4A" w:rsidRPr="00E12E4A" w:rsidRDefault="00E12E4A" w:rsidP="00E12E4A">
            <w:pPr>
              <w:pStyle w:val="Standaard-Tabellen"/>
              <w:rPr>
                <w:rFonts w:eastAsia="Calibri"/>
                <w:lang w:val="fr-BE"/>
              </w:rPr>
            </w:pPr>
          </w:p>
          <w:p w14:paraId="1B90D7FA" w14:textId="77777777" w:rsidR="00E12E4A" w:rsidRPr="00E12E4A" w:rsidRDefault="00E12E4A" w:rsidP="00E12E4A">
            <w:pPr>
              <w:pStyle w:val="Standaard-Tabellen"/>
              <w:rPr>
                <w:rFonts w:eastAsia="Calibri"/>
                <w:lang w:val="fr-BE"/>
              </w:rPr>
            </w:pPr>
          </w:p>
          <w:p w14:paraId="1EBA5B8D" w14:textId="77777777" w:rsidR="00E12E4A" w:rsidRPr="00E12E4A" w:rsidRDefault="00E12E4A" w:rsidP="00E12E4A">
            <w:pPr>
              <w:pStyle w:val="Standaard-Tabellen"/>
              <w:rPr>
                <w:rFonts w:eastAsia="Calibri"/>
                <w:lang w:val="fr-BE"/>
              </w:rPr>
            </w:pPr>
          </w:p>
          <w:p w14:paraId="6E56FFDE" w14:textId="77777777" w:rsidR="00E12E4A" w:rsidRPr="00E12E4A" w:rsidRDefault="00E12E4A" w:rsidP="00E12E4A">
            <w:pPr>
              <w:pStyle w:val="Standaard-Tabellen"/>
              <w:rPr>
                <w:rFonts w:eastAsia="Calibri"/>
                <w:lang w:val="fr-BE"/>
              </w:rPr>
            </w:pPr>
          </w:p>
          <w:p w14:paraId="1AA2EB13" w14:textId="77777777" w:rsidR="00E12E4A" w:rsidRPr="00E12E4A" w:rsidRDefault="00E12E4A" w:rsidP="00E12E4A">
            <w:pPr>
              <w:pStyle w:val="Standaard-Tabellen"/>
              <w:rPr>
                <w:rFonts w:eastAsia="Calibri"/>
                <w:lang w:val="fr-BE"/>
              </w:rPr>
            </w:pPr>
          </w:p>
          <w:p w14:paraId="77210274" w14:textId="77777777" w:rsidR="00E12E4A" w:rsidRPr="00E12E4A" w:rsidRDefault="00E12E4A" w:rsidP="00E12E4A">
            <w:pPr>
              <w:pStyle w:val="Standaard-Tabellen"/>
              <w:rPr>
                <w:rFonts w:eastAsia="Calibri"/>
                <w:lang w:val="fr-BE"/>
              </w:rPr>
            </w:pPr>
          </w:p>
          <w:p w14:paraId="48681214" w14:textId="77777777" w:rsidR="00E12E4A" w:rsidRPr="00E12E4A" w:rsidRDefault="00E12E4A" w:rsidP="00E12E4A">
            <w:pPr>
              <w:pStyle w:val="Standaard-Tabellen"/>
              <w:rPr>
                <w:rFonts w:eastAsia="Calibri"/>
                <w:lang w:val="fr-BE"/>
              </w:rPr>
            </w:pPr>
          </w:p>
          <w:p w14:paraId="5B8A5F82" w14:textId="77777777" w:rsidR="00E12E4A" w:rsidRPr="00E12E4A" w:rsidRDefault="00E12E4A" w:rsidP="00E12E4A">
            <w:pPr>
              <w:pStyle w:val="Standaard-Tabellen"/>
              <w:rPr>
                <w:rFonts w:eastAsia="Calibri"/>
                <w:lang w:val="fr-BE"/>
              </w:rPr>
            </w:pPr>
          </w:p>
          <w:p w14:paraId="667EDAB0" w14:textId="77777777" w:rsidR="00E12E4A" w:rsidRPr="00E12E4A" w:rsidRDefault="00E12E4A" w:rsidP="00E12E4A">
            <w:pPr>
              <w:pStyle w:val="Standaard-Tabellen"/>
              <w:rPr>
                <w:rFonts w:eastAsia="Calibri"/>
                <w:lang w:val="fr-BE"/>
              </w:rPr>
            </w:pPr>
          </w:p>
          <w:p w14:paraId="2B987153" w14:textId="77777777" w:rsidR="00E12E4A" w:rsidRPr="00E12E4A" w:rsidRDefault="00E12E4A" w:rsidP="00E12E4A">
            <w:pPr>
              <w:pStyle w:val="Standaard-Tabellen"/>
              <w:rPr>
                <w:rFonts w:eastAsia="Calibri"/>
                <w:lang w:val="fr-BE"/>
              </w:rPr>
            </w:pPr>
          </w:p>
          <w:p w14:paraId="12403966" w14:textId="77777777" w:rsidR="00E12E4A" w:rsidRPr="00E12E4A" w:rsidRDefault="00E12E4A" w:rsidP="00E12E4A">
            <w:pPr>
              <w:pStyle w:val="Standaard-Tabellen"/>
              <w:rPr>
                <w:rFonts w:eastAsia="Calibri"/>
                <w:lang w:val="fr-BE"/>
              </w:rPr>
            </w:pPr>
          </w:p>
          <w:p w14:paraId="44E6B307" w14:textId="77777777" w:rsidR="00E12E4A" w:rsidRPr="00E12E4A" w:rsidRDefault="00E12E4A" w:rsidP="00E12E4A">
            <w:pPr>
              <w:pStyle w:val="Standaard-Tabellen"/>
              <w:rPr>
                <w:rFonts w:eastAsia="Calibri"/>
                <w:lang w:val="fr-BE"/>
              </w:rPr>
            </w:pPr>
          </w:p>
          <w:p w14:paraId="616EFD7D" w14:textId="77777777" w:rsidR="00E12E4A" w:rsidRPr="00E12E4A" w:rsidRDefault="00E12E4A" w:rsidP="00E12E4A">
            <w:pPr>
              <w:pStyle w:val="Standaard-Tabellen"/>
              <w:rPr>
                <w:rFonts w:eastAsia="Calibri"/>
                <w:lang w:val="fr-BE"/>
              </w:rPr>
            </w:pPr>
          </w:p>
          <w:p w14:paraId="79FF9E77" w14:textId="77777777" w:rsidR="00E12E4A" w:rsidRPr="00E12E4A" w:rsidRDefault="00E12E4A" w:rsidP="00E12E4A">
            <w:pPr>
              <w:pStyle w:val="Standaard-Tabellen"/>
              <w:rPr>
                <w:rFonts w:eastAsia="Calibri"/>
                <w:lang w:val="fr-BE"/>
              </w:rPr>
            </w:pPr>
          </w:p>
          <w:p w14:paraId="5E6F374F" w14:textId="77777777" w:rsidR="00E12E4A" w:rsidRPr="00E12E4A" w:rsidRDefault="00E12E4A" w:rsidP="00E12E4A">
            <w:pPr>
              <w:pStyle w:val="Standaard-Tabellen"/>
              <w:rPr>
                <w:rFonts w:eastAsia="Calibri"/>
                <w:lang w:val="fr-BE"/>
              </w:rPr>
            </w:pPr>
          </w:p>
          <w:p w14:paraId="6BA9CA1B" w14:textId="77777777" w:rsidR="00E12E4A" w:rsidRPr="00E12E4A" w:rsidRDefault="00E12E4A" w:rsidP="00E12E4A">
            <w:pPr>
              <w:pStyle w:val="Standaard-Tabellen"/>
              <w:rPr>
                <w:rFonts w:eastAsia="Calibri"/>
                <w:lang w:val="fr-BE"/>
              </w:rPr>
            </w:pPr>
          </w:p>
          <w:p w14:paraId="6BBB6A0A" w14:textId="77777777" w:rsidR="00E12E4A" w:rsidRPr="00E12E4A" w:rsidRDefault="00E12E4A" w:rsidP="00E12E4A">
            <w:pPr>
              <w:pStyle w:val="Standaard-Tabellen"/>
              <w:rPr>
                <w:rFonts w:eastAsia="Calibri"/>
                <w:lang w:val="fr-BE"/>
              </w:rPr>
            </w:pPr>
          </w:p>
          <w:p w14:paraId="0FDFE1C5" w14:textId="77777777" w:rsidR="00E12E4A" w:rsidRPr="00E12E4A" w:rsidRDefault="00E12E4A" w:rsidP="00E12E4A">
            <w:pPr>
              <w:pStyle w:val="Standaard-Tabellen"/>
              <w:rPr>
                <w:rFonts w:eastAsia="Calibri"/>
                <w:lang w:val="fr-BE"/>
              </w:rPr>
            </w:pPr>
          </w:p>
          <w:p w14:paraId="1AE4F7D8" w14:textId="77777777" w:rsidR="00E12E4A" w:rsidRPr="00E12E4A" w:rsidRDefault="00E12E4A" w:rsidP="00E12E4A">
            <w:pPr>
              <w:pStyle w:val="Standaard-Tabellen"/>
              <w:rPr>
                <w:rFonts w:eastAsia="Calibri"/>
                <w:lang w:val="fr-BE"/>
              </w:rPr>
            </w:pPr>
          </w:p>
          <w:p w14:paraId="5D04D290" w14:textId="77777777" w:rsidR="00E12E4A" w:rsidRPr="00E12E4A" w:rsidRDefault="00E12E4A" w:rsidP="00E12E4A">
            <w:pPr>
              <w:pStyle w:val="Standaard-Tabellen"/>
              <w:rPr>
                <w:rFonts w:eastAsia="Calibri"/>
                <w:lang w:val="fr-BE"/>
              </w:rPr>
            </w:pPr>
          </w:p>
          <w:p w14:paraId="1D0EC7E4" w14:textId="77777777" w:rsidR="00E12E4A" w:rsidRPr="00E12E4A" w:rsidRDefault="00E12E4A" w:rsidP="00E12E4A">
            <w:pPr>
              <w:pStyle w:val="Standaard-Tabellen"/>
              <w:rPr>
                <w:rFonts w:eastAsia="Calibri"/>
                <w:lang w:val="fr-BE"/>
              </w:rPr>
            </w:pPr>
          </w:p>
          <w:p w14:paraId="5B1726AE" w14:textId="77777777" w:rsidR="00E12E4A" w:rsidRPr="00E12E4A" w:rsidRDefault="00E12E4A" w:rsidP="00E12E4A">
            <w:pPr>
              <w:pStyle w:val="Standaard-Tabellen"/>
              <w:rPr>
                <w:rFonts w:eastAsia="Calibri"/>
                <w:lang w:val="fr-BE"/>
              </w:rPr>
            </w:pPr>
          </w:p>
          <w:p w14:paraId="2233CB89" w14:textId="77777777" w:rsidR="00E12E4A" w:rsidRPr="00E12E4A" w:rsidRDefault="00E12E4A" w:rsidP="00E12E4A">
            <w:pPr>
              <w:pStyle w:val="Standaard-Tabellen"/>
              <w:rPr>
                <w:rFonts w:eastAsia="Calibri"/>
                <w:lang w:val="fr-BE"/>
              </w:rPr>
            </w:pPr>
          </w:p>
          <w:p w14:paraId="381416F2" w14:textId="77777777" w:rsidR="00E12E4A" w:rsidRPr="00E12E4A" w:rsidRDefault="00E12E4A" w:rsidP="00E12E4A">
            <w:pPr>
              <w:pStyle w:val="Standaard-Tabellen"/>
              <w:rPr>
                <w:rFonts w:eastAsia="Calibri"/>
                <w:lang w:val="fr-BE"/>
              </w:rPr>
            </w:pPr>
          </w:p>
          <w:p w14:paraId="75C10306" w14:textId="77777777" w:rsidR="00E12E4A" w:rsidRPr="00E12E4A" w:rsidRDefault="00E12E4A" w:rsidP="00E12E4A">
            <w:pPr>
              <w:pStyle w:val="Standaard-Tabellen"/>
              <w:rPr>
                <w:rFonts w:eastAsia="Calibri"/>
                <w:lang w:val="fr-BE"/>
              </w:rPr>
            </w:pPr>
          </w:p>
          <w:p w14:paraId="089DF777" w14:textId="77777777" w:rsidR="00E12E4A" w:rsidRPr="00E12E4A" w:rsidRDefault="00E12E4A" w:rsidP="00E12E4A">
            <w:pPr>
              <w:pStyle w:val="Standaard-Tabellen"/>
              <w:rPr>
                <w:rFonts w:eastAsia="Calibri"/>
                <w:lang w:val="fr-BE"/>
              </w:rPr>
            </w:pPr>
          </w:p>
          <w:p w14:paraId="2F2B547E" w14:textId="292F073D" w:rsidR="00E12E4A" w:rsidRDefault="00E12E4A" w:rsidP="00E12E4A">
            <w:pPr>
              <w:pStyle w:val="Standaard-Tabellen"/>
              <w:rPr>
                <w:rFonts w:eastAsia="Calibri"/>
                <w:lang w:val="fr-BE"/>
              </w:rPr>
            </w:pPr>
          </w:p>
          <w:p w14:paraId="0C3583FC" w14:textId="7C14FF55" w:rsidR="008340DD" w:rsidRDefault="008340DD" w:rsidP="00E12E4A">
            <w:pPr>
              <w:pStyle w:val="Standaard-Tabellen"/>
              <w:rPr>
                <w:rFonts w:eastAsia="Calibri"/>
                <w:lang w:val="fr-BE"/>
              </w:rPr>
            </w:pPr>
          </w:p>
          <w:p w14:paraId="4C946733" w14:textId="7447EB29" w:rsidR="008340DD" w:rsidRDefault="008340DD" w:rsidP="00E12E4A">
            <w:pPr>
              <w:pStyle w:val="Standaard-Tabellen"/>
              <w:rPr>
                <w:rFonts w:eastAsia="Calibri"/>
                <w:lang w:val="fr-BE"/>
              </w:rPr>
            </w:pPr>
          </w:p>
          <w:p w14:paraId="061589B8" w14:textId="03511B35" w:rsidR="008340DD" w:rsidRDefault="008340DD" w:rsidP="00E12E4A">
            <w:pPr>
              <w:pStyle w:val="Standaard-Tabellen"/>
              <w:rPr>
                <w:rFonts w:eastAsia="Calibri"/>
                <w:lang w:val="fr-BE"/>
              </w:rPr>
            </w:pPr>
          </w:p>
          <w:p w14:paraId="598D7F0B" w14:textId="244FAB15" w:rsidR="008340DD" w:rsidRDefault="008340DD" w:rsidP="00E12E4A">
            <w:pPr>
              <w:pStyle w:val="Standaard-Tabellen"/>
              <w:rPr>
                <w:rFonts w:eastAsia="Calibri"/>
                <w:lang w:val="fr-BE"/>
              </w:rPr>
            </w:pPr>
          </w:p>
          <w:p w14:paraId="1F630632" w14:textId="34F15D2B" w:rsidR="008340DD" w:rsidRDefault="008340DD" w:rsidP="00E12E4A">
            <w:pPr>
              <w:pStyle w:val="Standaard-Tabellen"/>
              <w:rPr>
                <w:rFonts w:eastAsia="Calibri"/>
                <w:lang w:val="fr-BE"/>
              </w:rPr>
            </w:pPr>
          </w:p>
          <w:p w14:paraId="2A900C85" w14:textId="77777777" w:rsidR="008340DD" w:rsidRPr="00E12E4A" w:rsidRDefault="008340DD" w:rsidP="00E12E4A">
            <w:pPr>
              <w:pStyle w:val="Standaard-Tabellen"/>
              <w:rPr>
                <w:rFonts w:eastAsia="Calibri"/>
                <w:lang w:val="fr-BE"/>
              </w:rPr>
            </w:pPr>
          </w:p>
          <w:p w14:paraId="2C552B75" w14:textId="77777777" w:rsidR="00E12E4A" w:rsidRPr="00E12E4A" w:rsidRDefault="00E12E4A" w:rsidP="00E12E4A">
            <w:pPr>
              <w:pStyle w:val="Standaard-Tabellen"/>
              <w:rPr>
                <w:rFonts w:eastAsia="Calibri"/>
                <w:lang w:val="fr-BE"/>
              </w:rPr>
            </w:pPr>
          </w:p>
          <w:p w14:paraId="5A70FE7F" w14:textId="77777777" w:rsidR="00E12E4A" w:rsidRPr="00E12E4A" w:rsidRDefault="00E12E4A" w:rsidP="00E12E4A">
            <w:pPr>
              <w:pStyle w:val="Standaard-Tabellen"/>
              <w:pBdr>
                <w:bottom w:val="single" w:sz="6" w:space="1" w:color="auto"/>
              </w:pBdr>
              <w:rPr>
                <w:rFonts w:eastAsia="Calibri"/>
                <w:lang w:val="fr-BE"/>
              </w:rPr>
            </w:pPr>
          </w:p>
          <w:p w14:paraId="3BE0238E" w14:textId="77777777" w:rsidR="00E12E4A" w:rsidRPr="00E12E4A" w:rsidRDefault="00E12E4A" w:rsidP="00E12E4A">
            <w:pPr>
              <w:pStyle w:val="Standaard-Tabellen"/>
              <w:pBdr>
                <w:bottom w:val="single" w:sz="6" w:space="1" w:color="auto"/>
              </w:pBdr>
              <w:rPr>
                <w:rFonts w:eastAsia="Calibri"/>
                <w:lang w:val="fr-BE"/>
              </w:rPr>
            </w:pPr>
          </w:p>
          <w:p w14:paraId="20C0DB20" w14:textId="77777777" w:rsidR="00E12E4A" w:rsidRPr="00E12E4A" w:rsidRDefault="00E12E4A" w:rsidP="00E12E4A">
            <w:pPr>
              <w:pStyle w:val="Standaard-Tabellen"/>
              <w:rPr>
                <w:rFonts w:eastAsia="Calibri"/>
                <w:lang w:val="fr-BE"/>
              </w:rPr>
            </w:pPr>
            <w:r w:rsidRPr="00E12E4A">
              <w:rPr>
                <w:rFonts w:eastAsia="Calibri"/>
                <w:lang w:val="fr-BE"/>
              </w:rPr>
              <w:t>9.7</w:t>
            </w:r>
          </w:p>
          <w:p w14:paraId="679BAAB7" w14:textId="21A31A9E" w:rsidR="00E12E4A" w:rsidRPr="00E12E4A" w:rsidRDefault="00E12E4A" w:rsidP="00E12E4A">
            <w:pPr>
              <w:pStyle w:val="Standaard-Tabellen"/>
              <w:rPr>
                <w:rFonts w:eastAsia="Calibri"/>
                <w:lang w:val="fr-BE"/>
              </w:rPr>
            </w:pPr>
            <w:r w:rsidRPr="00E12E4A">
              <w:rPr>
                <w:rFonts w:eastAsia="Calibri"/>
                <w:lang w:val="fr-BE"/>
              </w:rPr>
              <w:t>EU Lotion Formulation</w:t>
            </w:r>
          </w:p>
        </w:tc>
        <w:tc>
          <w:tcPr>
            <w:tcW w:w="1015" w:type="pct"/>
          </w:tcPr>
          <w:p w14:paraId="47792671" w14:textId="456E07D3" w:rsidR="009A43F4" w:rsidRPr="006D29C8" w:rsidRDefault="009A43F4" w:rsidP="009A43F4">
            <w:pPr>
              <w:pStyle w:val="Standaard-Tabellen"/>
              <w:rPr>
                <w:rFonts w:eastAsia="Calibri"/>
              </w:rPr>
            </w:pPr>
            <w:r w:rsidRPr="006D29C8">
              <w:rPr>
                <w:rFonts w:eastAsia="Calibri"/>
              </w:rPr>
              <w:lastRenderedPageBreak/>
              <w:t>- No change in overall appearance</w:t>
            </w:r>
            <w:r>
              <w:rPr>
                <w:rFonts w:eastAsia="Calibri"/>
              </w:rPr>
              <w:t xml:space="preserve"> of the test item: white liquid with characteristic odour.</w:t>
            </w:r>
          </w:p>
          <w:p w14:paraId="5F9723F8" w14:textId="77777777" w:rsidR="00E12E4A" w:rsidRPr="006D29C8" w:rsidRDefault="00E12E4A" w:rsidP="00E12E4A">
            <w:pPr>
              <w:pStyle w:val="Standaard-Tabellen"/>
              <w:rPr>
                <w:rFonts w:eastAsia="Calibri"/>
              </w:rPr>
            </w:pPr>
          </w:p>
          <w:p w14:paraId="444BC68C" w14:textId="2F82B534" w:rsidR="00E12E4A" w:rsidRPr="006D29C8" w:rsidRDefault="00E12E4A" w:rsidP="00E12E4A">
            <w:pPr>
              <w:pStyle w:val="Standaard-Tabellen"/>
              <w:rPr>
                <w:rFonts w:eastAsia="Calibri"/>
              </w:rPr>
            </w:pPr>
            <w:r w:rsidRPr="006D29C8">
              <w:rPr>
                <w:rFonts w:eastAsia="Calibri"/>
              </w:rPr>
              <w:t xml:space="preserve">- No change in </w:t>
            </w:r>
            <w:r>
              <w:rPr>
                <w:rFonts w:eastAsia="Calibri"/>
              </w:rPr>
              <w:t>t</w:t>
            </w:r>
            <w:r w:rsidRPr="003F6D67">
              <w:rPr>
                <w:rFonts w:eastAsia="Calibri"/>
              </w:rPr>
              <w:t>he packaging material</w:t>
            </w:r>
            <w:r>
              <w:rPr>
                <w:rFonts w:eastAsia="Calibri"/>
              </w:rPr>
              <w:t>:</w:t>
            </w:r>
            <w:r w:rsidRPr="003F6D67">
              <w:rPr>
                <w:rFonts w:eastAsia="Calibri"/>
              </w:rPr>
              <w:t xml:space="preserve"> container and lid showed no cracking, fogging discoloration or distortion or </w:t>
            </w:r>
            <w:r w:rsidR="00CB280B">
              <w:rPr>
                <w:rFonts w:eastAsia="Calibri"/>
              </w:rPr>
              <w:t xml:space="preserve">significant </w:t>
            </w:r>
            <w:r w:rsidRPr="003F6D67">
              <w:rPr>
                <w:rFonts w:eastAsia="Calibri"/>
              </w:rPr>
              <w:t>change in weight. There is no seepage through the container walls or lid.</w:t>
            </w:r>
          </w:p>
          <w:p w14:paraId="2A0CC074" w14:textId="77777777" w:rsidR="00E12E4A" w:rsidRPr="006D29C8" w:rsidRDefault="00E12E4A" w:rsidP="00E12E4A">
            <w:pPr>
              <w:pStyle w:val="Standaard-Tabellen"/>
              <w:rPr>
                <w:rFonts w:eastAsia="Calibri"/>
              </w:rPr>
            </w:pPr>
          </w:p>
          <w:p w14:paraId="463FE294" w14:textId="77777777" w:rsidR="00E12E4A" w:rsidRPr="00892C32" w:rsidRDefault="00E12E4A" w:rsidP="00E12E4A">
            <w:pPr>
              <w:pStyle w:val="Standaard-Tabellen"/>
              <w:rPr>
                <w:rFonts w:eastAsia="Calibri"/>
                <w:lang w:val="en-US"/>
              </w:rPr>
            </w:pPr>
            <w:r w:rsidRPr="00892C32">
              <w:rPr>
                <w:rFonts w:eastAsia="Calibri"/>
                <w:lang w:val="en-US"/>
              </w:rPr>
              <w:t>- Change in pH (at 20 ± 1 °C):</w:t>
            </w:r>
          </w:p>
          <w:p w14:paraId="1BE429B3" w14:textId="77777777" w:rsidR="00E12E4A" w:rsidRPr="00892C32" w:rsidRDefault="00E12E4A" w:rsidP="00E12E4A">
            <w:pPr>
              <w:pStyle w:val="Standaard-Tabellen"/>
              <w:rPr>
                <w:rFonts w:eastAsia="Calibri"/>
                <w:lang w:val="en-US"/>
              </w:rPr>
            </w:pPr>
            <w:r w:rsidRPr="00892C32">
              <w:rPr>
                <w:rFonts w:eastAsia="Calibri"/>
                <w:lang w:val="en-US"/>
              </w:rPr>
              <w:t>T0: 7.0 (1% dilution) – 6.</w:t>
            </w:r>
            <w:r>
              <w:rPr>
                <w:rFonts w:eastAsia="Calibri"/>
                <w:lang w:val="en-US"/>
              </w:rPr>
              <w:t>4 undiluted</w:t>
            </w:r>
            <w:r w:rsidRPr="00892C32">
              <w:rPr>
                <w:rFonts w:eastAsia="Calibri"/>
                <w:lang w:val="en-US"/>
              </w:rPr>
              <w:t xml:space="preserve"> </w:t>
            </w:r>
          </w:p>
          <w:p w14:paraId="1B207B04" w14:textId="77777777" w:rsidR="00E12E4A" w:rsidRPr="00645B78" w:rsidRDefault="00E12E4A" w:rsidP="00E12E4A">
            <w:pPr>
              <w:pStyle w:val="Standaard-Tabellen"/>
              <w:rPr>
                <w:rFonts w:eastAsia="Calibri"/>
                <w:lang w:val="en-US"/>
              </w:rPr>
            </w:pPr>
            <w:r>
              <w:rPr>
                <w:rFonts w:eastAsia="Calibri"/>
                <w:lang w:val="en-US"/>
              </w:rPr>
              <w:t>T6m</w:t>
            </w:r>
            <w:r w:rsidRPr="00645B78">
              <w:rPr>
                <w:rFonts w:eastAsia="Calibri"/>
                <w:lang w:val="en-US"/>
              </w:rPr>
              <w:t xml:space="preserve">: </w:t>
            </w:r>
            <w:r>
              <w:rPr>
                <w:rFonts w:eastAsia="Calibri"/>
                <w:lang w:val="en-US"/>
              </w:rPr>
              <w:t>6.8</w:t>
            </w:r>
            <w:r w:rsidRPr="00645B78">
              <w:rPr>
                <w:rFonts w:eastAsia="Calibri"/>
                <w:lang w:val="en-US"/>
              </w:rPr>
              <w:t xml:space="preserve"> (1% dilution) – 6.</w:t>
            </w:r>
            <w:r>
              <w:rPr>
                <w:rFonts w:eastAsia="Calibri"/>
                <w:lang w:val="en-US"/>
              </w:rPr>
              <w:t>1 undiluted</w:t>
            </w:r>
            <w:r w:rsidRPr="00645B78">
              <w:rPr>
                <w:rFonts w:eastAsia="Calibri"/>
                <w:lang w:val="en-US"/>
              </w:rPr>
              <w:t xml:space="preserve"> </w:t>
            </w:r>
          </w:p>
          <w:p w14:paraId="481C0AC4" w14:textId="77777777" w:rsidR="00E12E4A" w:rsidRPr="00645B78" w:rsidRDefault="00E12E4A" w:rsidP="00E12E4A">
            <w:pPr>
              <w:pStyle w:val="Standaard-Tabellen"/>
              <w:rPr>
                <w:rFonts w:eastAsia="Calibri"/>
                <w:lang w:val="en-US"/>
              </w:rPr>
            </w:pPr>
            <w:r w:rsidRPr="00645B78">
              <w:rPr>
                <w:rFonts w:eastAsia="Calibri"/>
                <w:lang w:val="en-US"/>
              </w:rPr>
              <w:t>T</w:t>
            </w:r>
            <w:r>
              <w:rPr>
                <w:rFonts w:eastAsia="Calibri"/>
                <w:lang w:val="en-US"/>
              </w:rPr>
              <w:t>12m</w:t>
            </w:r>
            <w:r w:rsidRPr="00645B78">
              <w:rPr>
                <w:rFonts w:eastAsia="Calibri"/>
                <w:lang w:val="en-US"/>
              </w:rPr>
              <w:t xml:space="preserve">: </w:t>
            </w:r>
            <w:r>
              <w:rPr>
                <w:rFonts w:eastAsia="Calibri"/>
                <w:lang w:val="en-US"/>
              </w:rPr>
              <w:t>6.8</w:t>
            </w:r>
            <w:r w:rsidRPr="00645B78">
              <w:rPr>
                <w:rFonts w:eastAsia="Calibri"/>
                <w:lang w:val="en-US"/>
              </w:rPr>
              <w:t xml:space="preserve"> (1% dilution) – </w:t>
            </w:r>
            <w:r>
              <w:rPr>
                <w:rFonts w:eastAsia="Calibri"/>
                <w:lang w:val="en-US"/>
              </w:rPr>
              <w:t>5.9 undiluted</w:t>
            </w:r>
            <w:r w:rsidRPr="00645B78">
              <w:rPr>
                <w:rFonts w:eastAsia="Calibri"/>
                <w:lang w:val="en-US"/>
              </w:rPr>
              <w:t xml:space="preserve"> </w:t>
            </w:r>
          </w:p>
          <w:p w14:paraId="76D5D186" w14:textId="77777777" w:rsidR="00E12E4A" w:rsidRPr="00645B78" w:rsidRDefault="00E12E4A" w:rsidP="00E12E4A">
            <w:pPr>
              <w:pStyle w:val="Standaard-Tabellen"/>
              <w:rPr>
                <w:rFonts w:eastAsia="Calibri"/>
                <w:lang w:val="en-US"/>
              </w:rPr>
            </w:pPr>
            <w:r w:rsidRPr="00645B78">
              <w:rPr>
                <w:rFonts w:eastAsia="Calibri"/>
                <w:lang w:val="en-US"/>
              </w:rPr>
              <w:t>T</w:t>
            </w:r>
            <w:r>
              <w:rPr>
                <w:rFonts w:eastAsia="Calibri"/>
                <w:lang w:val="en-US"/>
              </w:rPr>
              <w:t>18m</w:t>
            </w:r>
            <w:r w:rsidRPr="00645B78">
              <w:rPr>
                <w:rFonts w:eastAsia="Calibri"/>
                <w:lang w:val="en-US"/>
              </w:rPr>
              <w:t xml:space="preserve">: </w:t>
            </w:r>
            <w:r>
              <w:rPr>
                <w:rFonts w:eastAsia="Calibri"/>
                <w:lang w:val="en-US"/>
              </w:rPr>
              <w:t>6</w:t>
            </w:r>
            <w:r w:rsidRPr="00645B78">
              <w:rPr>
                <w:rFonts w:eastAsia="Calibri"/>
                <w:lang w:val="en-US"/>
              </w:rPr>
              <w:t xml:space="preserve">.0 (1% dilution) – </w:t>
            </w:r>
            <w:r>
              <w:rPr>
                <w:rFonts w:eastAsia="Calibri"/>
                <w:lang w:val="en-US"/>
              </w:rPr>
              <w:t>5.5 undiluted</w:t>
            </w:r>
            <w:r w:rsidRPr="00645B78">
              <w:rPr>
                <w:rFonts w:eastAsia="Calibri"/>
                <w:lang w:val="en-US"/>
              </w:rPr>
              <w:t xml:space="preserve"> </w:t>
            </w:r>
          </w:p>
          <w:p w14:paraId="03D3F719" w14:textId="0574742B" w:rsidR="00E12E4A" w:rsidRPr="00645B78" w:rsidRDefault="00E12E4A" w:rsidP="00E12E4A">
            <w:pPr>
              <w:pStyle w:val="Standaard-Tabellen"/>
              <w:rPr>
                <w:rFonts w:eastAsia="Calibri"/>
                <w:lang w:val="en-US"/>
              </w:rPr>
            </w:pPr>
            <w:r>
              <w:rPr>
                <w:rFonts w:eastAsia="Calibri"/>
                <w:lang w:val="en-US"/>
              </w:rPr>
              <w:t>T24m</w:t>
            </w:r>
            <w:r w:rsidRPr="00645B78">
              <w:rPr>
                <w:rFonts w:eastAsia="Calibri"/>
                <w:lang w:val="en-US"/>
              </w:rPr>
              <w:t xml:space="preserve">: </w:t>
            </w:r>
            <w:r>
              <w:rPr>
                <w:rFonts w:eastAsia="Calibri"/>
                <w:lang w:val="en-US"/>
              </w:rPr>
              <w:t>5.4</w:t>
            </w:r>
            <w:r w:rsidRPr="00645B78">
              <w:rPr>
                <w:rFonts w:eastAsia="Calibri"/>
                <w:lang w:val="en-US"/>
              </w:rPr>
              <w:t xml:space="preserve"> (1% dilution) – </w:t>
            </w:r>
            <w:r>
              <w:rPr>
                <w:rFonts w:eastAsia="Calibri"/>
                <w:lang w:val="en-US"/>
              </w:rPr>
              <w:t>5.2 undiluted</w:t>
            </w:r>
            <w:r w:rsidRPr="00645B78">
              <w:rPr>
                <w:rFonts w:eastAsia="Calibri"/>
                <w:lang w:val="en-US"/>
              </w:rPr>
              <w:t xml:space="preserve"> </w:t>
            </w:r>
          </w:p>
          <w:p w14:paraId="75BB1F78" w14:textId="77777777" w:rsidR="00E12E4A" w:rsidRDefault="00E12E4A" w:rsidP="00E12E4A">
            <w:pPr>
              <w:pStyle w:val="Standaard-Tabellen"/>
              <w:rPr>
                <w:rFonts w:eastAsia="Calibri"/>
              </w:rPr>
            </w:pPr>
          </w:p>
          <w:p w14:paraId="26B330F0" w14:textId="77777777" w:rsidR="00E12E4A" w:rsidRPr="00892C32" w:rsidRDefault="00E12E4A" w:rsidP="00E12E4A">
            <w:pPr>
              <w:pStyle w:val="Standaard-Tabellen"/>
              <w:rPr>
                <w:rFonts w:eastAsia="Calibri"/>
                <w:lang w:val="en-US"/>
              </w:rPr>
            </w:pPr>
            <w:r w:rsidRPr="00892C32">
              <w:rPr>
                <w:rFonts w:eastAsia="Calibri"/>
                <w:lang w:val="en-US"/>
              </w:rPr>
              <w:t xml:space="preserve">- Change in </w:t>
            </w:r>
            <w:r w:rsidRPr="00047B8A">
              <w:rPr>
                <w:rFonts w:eastAsia="Calibri"/>
                <w:lang w:val="en-US"/>
              </w:rPr>
              <w:t>density (kg/m3</w:t>
            </w:r>
            <w:r w:rsidRPr="00892C32">
              <w:rPr>
                <w:rFonts w:eastAsia="Calibri"/>
                <w:lang w:val="en-US"/>
              </w:rPr>
              <w:t xml:space="preserve">, </w:t>
            </w:r>
            <w:r w:rsidRPr="00645B78">
              <w:rPr>
                <w:rFonts w:eastAsia="Calibri"/>
                <w:lang w:val="en-US"/>
              </w:rPr>
              <w:t>at 20 ± 1 °C)</w:t>
            </w:r>
            <w:r w:rsidRPr="00892C32">
              <w:rPr>
                <w:rFonts w:eastAsia="Calibri"/>
                <w:lang w:val="en-US"/>
              </w:rPr>
              <w:t>:</w:t>
            </w:r>
          </w:p>
          <w:p w14:paraId="436921DB" w14:textId="77777777" w:rsidR="00E12E4A" w:rsidRPr="00C85279" w:rsidRDefault="00E12E4A" w:rsidP="00E12E4A">
            <w:pPr>
              <w:pStyle w:val="Standaard-Tabellen"/>
              <w:rPr>
                <w:rFonts w:eastAsia="Calibri"/>
                <w:lang w:val="fr-BE"/>
              </w:rPr>
            </w:pPr>
            <w:r w:rsidRPr="00C85279">
              <w:rPr>
                <w:rFonts w:eastAsia="Calibri"/>
                <w:lang w:val="fr-BE"/>
              </w:rPr>
              <w:t>T0: 1008.2</w:t>
            </w:r>
          </w:p>
          <w:p w14:paraId="3344B104" w14:textId="77777777" w:rsidR="00E12E4A" w:rsidRPr="00C85279" w:rsidRDefault="00E12E4A" w:rsidP="00E12E4A">
            <w:pPr>
              <w:pStyle w:val="Standaard-Tabellen"/>
              <w:rPr>
                <w:rFonts w:eastAsia="Calibri"/>
                <w:lang w:val="fr-BE"/>
              </w:rPr>
            </w:pPr>
            <w:r w:rsidRPr="00C85279">
              <w:rPr>
                <w:rFonts w:eastAsia="Calibri"/>
                <w:lang w:val="fr-BE"/>
              </w:rPr>
              <w:t>T6m: 988.5</w:t>
            </w:r>
          </w:p>
          <w:p w14:paraId="6D47B3DA" w14:textId="77777777" w:rsidR="00E12E4A" w:rsidRPr="00C85279" w:rsidRDefault="00E12E4A" w:rsidP="00E12E4A">
            <w:pPr>
              <w:pStyle w:val="Standaard-Tabellen"/>
              <w:rPr>
                <w:rFonts w:eastAsia="Calibri"/>
                <w:lang w:val="fr-BE"/>
              </w:rPr>
            </w:pPr>
            <w:r w:rsidRPr="00C85279">
              <w:rPr>
                <w:rFonts w:eastAsia="Calibri"/>
                <w:lang w:val="fr-BE"/>
              </w:rPr>
              <w:t>T12m: 1002.8</w:t>
            </w:r>
          </w:p>
          <w:p w14:paraId="72CBA462" w14:textId="77777777" w:rsidR="00E12E4A" w:rsidRPr="00C85279" w:rsidRDefault="00E12E4A" w:rsidP="00E12E4A">
            <w:pPr>
              <w:pStyle w:val="Standaard-Tabellen"/>
              <w:rPr>
                <w:rFonts w:eastAsia="Calibri"/>
                <w:lang w:val="fr-BE"/>
              </w:rPr>
            </w:pPr>
            <w:r w:rsidRPr="00C85279">
              <w:rPr>
                <w:rFonts w:eastAsia="Calibri"/>
                <w:lang w:val="fr-BE"/>
              </w:rPr>
              <w:t>T18m: 999.3</w:t>
            </w:r>
          </w:p>
          <w:p w14:paraId="096E3CEA" w14:textId="77777777" w:rsidR="00E12E4A" w:rsidRPr="00C85279" w:rsidRDefault="00E12E4A" w:rsidP="00E12E4A">
            <w:pPr>
              <w:pStyle w:val="Standaard-Tabellen"/>
              <w:rPr>
                <w:rFonts w:eastAsia="Calibri"/>
                <w:lang w:val="fr-BE"/>
              </w:rPr>
            </w:pPr>
            <w:r w:rsidRPr="00C85279">
              <w:rPr>
                <w:rFonts w:eastAsia="Calibri"/>
                <w:lang w:val="fr-BE"/>
              </w:rPr>
              <w:t>T24m: 998.9</w:t>
            </w:r>
          </w:p>
          <w:p w14:paraId="6523937B" w14:textId="77777777" w:rsidR="00E12E4A" w:rsidRPr="00C85279" w:rsidRDefault="00E12E4A" w:rsidP="00E12E4A">
            <w:pPr>
              <w:pStyle w:val="Standaard-Tabellen"/>
              <w:rPr>
                <w:rFonts w:eastAsia="Calibri"/>
                <w:lang w:val="fr-BE"/>
              </w:rPr>
            </w:pPr>
          </w:p>
          <w:p w14:paraId="20DDB18C" w14:textId="77777777" w:rsidR="00E12E4A" w:rsidRPr="00C85279" w:rsidRDefault="00E12E4A" w:rsidP="00E12E4A">
            <w:pPr>
              <w:pStyle w:val="Standaard-Tabellen"/>
              <w:rPr>
                <w:rFonts w:eastAsia="Calibri"/>
                <w:lang w:val="fr-BE"/>
              </w:rPr>
            </w:pPr>
            <w:r w:rsidRPr="00C85279">
              <w:rPr>
                <w:rFonts w:eastAsia="Calibri"/>
                <w:lang w:val="fr-BE"/>
              </w:rPr>
              <w:lastRenderedPageBreak/>
              <w:t xml:space="preserve">- Change in </w:t>
            </w:r>
            <w:proofErr w:type="spellStart"/>
            <w:r w:rsidRPr="00C85279">
              <w:rPr>
                <w:rFonts w:eastAsia="Calibri"/>
                <w:lang w:val="fr-BE"/>
              </w:rPr>
              <w:t>viscosity</w:t>
            </w:r>
            <w:proofErr w:type="spellEnd"/>
            <w:r w:rsidRPr="00C85279">
              <w:rPr>
                <w:rFonts w:eastAsia="Calibri"/>
                <w:lang w:val="fr-BE"/>
              </w:rPr>
              <w:t xml:space="preserve"> (20 ± 0.3 °C; min-max; in </w:t>
            </w:r>
            <w:proofErr w:type="spellStart"/>
            <w:r w:rsidRPr="00C85279">
              <w:rPr>
                <w:rFonts w:eastAsia="Calibri"/>
                <w:lang w:val="fr-BE"/>
              </w:rPr>
              <w:t>mPa.s</w:t>
            </w:r>
            <w:proofErr w:type="spellEnd"/>
            <w:r w:rsidRPr="00C85279">
              <w:rPr>
                <w:rFonts w:eastAsia="Calibri"/>
                <w:lang w:val="fr-BE"/>
              </w:rPr>
              <w:t>):</w:t>
            </w:r>
          </w:p>
          <w:p w14:paraId="73F115DB" w14:textId="77777777" w:rsidR="00E12E4A" w:rsidRPr="00C85279" w:rsidRDefault="00E12E4A" w:rsidP="00E12E4A">
            <w:pPr>
              <w:pStyle w:val="Standaard-Tabellen"/>
              <w:rPr>
                <w:rFonts w:eastAsia="Calibri"/>
                <w:lang w:val="fr-BE"/>
              </w:rPr>
            </w:pPr>
            <w:r w:rsidRPr="00C85279">
              <w:rPr>
                <w:rFonts w:eastAsia="Calibri"/>
                <w:lang w:val="fr-BE"/>
              </w:rPr>
              <w:t>T0: 534 - 1462</w:t>
            </w:r>
          </w:p>
          <w:p w14:paraId="02E07623" w14:textId="77777777" w:rsidR="00E12E4A" w:rsidRPr="00C85279" w:rsidRDefault="00E12E4A" w:rsidP="00E12E4A">
            <w:pPr>
              <w:pStyle w:val="Standaard-Tabellen"/>
              <w:rPr>
                <w:rFonts w:eastAsia="Calibri"/>
                <w:lang w:val="fr-BE"/>
              </w:rPr>
            </w:pPr>
            <w:r w:rsidRPr="00C85279">
              <w:rPr>
                <w:rFonts w:eastAsia="Calibri"/>
                <w:lang w:val="fr-BE"/>
              </w:rPr>
              <w:t>T6m: 535 - 1338</w:t>
            </w:r>
          </w:p>
          <w:p w14:paraId="7820CEB0" w14:textId="77777777" w:rsidR="00E12E4A" w:rsidRPr="00C85279" w:rsidRDefault="00E12E4A" w:rsidP="00E12E4A">
            <w:pPr>
              <w:pStyle w:val="Standaard-Tabellen"/>
              <w:rPr>
                <w:rFonts w:eastAsia="Calibri"/>
                <w:lang w:val="fr-BE"/>
              </w:rPr>
            </w:pPr>
            <w:r w:rsidRPr="00C85279">
              <w:rPr>
                <w:rFonts w:eastAsia="Calibri"/>
                <w:lang w:val="fr-BE"/>
              </w:rPr>
              <w:t>T12m: 490 - 1376</w:t>
            </w:r>
          </w:p>
          <w:p w14:paraId="1DA63C10" w14:textId="77777777" w:rsidR="00E12E4A" w:rsidRPr="00C85279" w:rsidRDefault="00E12E4A" w:rsidP="00E12E4A">
            <w:pPr>
              <w:pStyle w:val="Standaard-Tabellen"/>
              <w:rPr>
                <w:rFonts w:eastAsia="Calibri"/>
                <w:lang w:val="fr-BE"/>
              </w:rPr>
            </w:pPr>
            <w:r w:rsidRPr="00C85279">
              <w:rPr>
                <w:rFonts w:eastAsia="Calibri"/>
                <w:lang w:val="fr-BE"/>
              </w:rPr>
              <w:t>T18m: 424 - 1064</w:t>
            </w:r>
          </w:p>
          <w:p w14:paraId="0D5B019D" w14:textId="77777777" w:rsidR="00E12E4A" w:rsidRPr="00C85279" w:rsidRDefault="00E12E4A" w:rsidP="00E12E4A">
            <w:pPr>
              <w:pStyle w:val="Standaard-Tabellen"/>
              <w:rPr>
                <w:rFonts w:eastAsia="Calibri"/>
                <w:lang w:val="fr-BE"/>
              </w:rPr>
            </w:pPr>
            <w:r w:rsidRPr="00C85279">
              <w:rPr>
                <w:rFonts w:eastAsia="Calibri"/>
                <w:lang w:val="fr-BE"/>
              </w:rPr>
              <w:t>T24m: 434 - 1051</w:t>
            </w:r>
          </w:p>
          <w:p w14:paraId="7759A8AB" w14:textId="77777777" w:rsidR="00E12E4A" w:rsidRPr="00C85279" w:rsidRDefault="00E12E4A" w:rsidP="00E12E4A">
            <w:pPr>
              <w:pStyle w:val="Standaard-Tabellen"/>
              <w:rPr>
                <w:rFonts w:eastAsia="Calibri"/>
                <w:lang w:val="fr-BE"/>
              </w:rPr>
            </w:pPr>
          </w:p>
          <w:p w14:paraId="45A890A5" w14:textId="77777777" w:rsidR="00E12E4A" w:rsidRPr="00C85279" w:rsidRDefault="00E12E4A" w:rsidP="00E12E4A">
            <w:pPr>
              <w:pStyle w:val="Standaard-Tabellen"/>
              <w:rPr>
                <w:rFonts w:eastAsia="Calibri"/>
                <w:lang w:val="fr-BE"/>
              </w:rPr>
            </w:pPr>
            <w:r w:rsidRPr="00C85279">
              <w:rPr>
                <w:rFonts w:eastAsia="Calibri"/>
                <w:lang w:val="fr-BE"/>
              </w:rPr>
              <w:t xml:space="preserve">- Change in </w:t>
            </w:r>
            <w:proofErr w:type="spellStart"/>
            <w:r w:rsidRPr="00C85279">
              <w:rPr>
                <w:rFonts w:eastAsia="Calibri"/>
                <w:lang w:val="fr-BE"/>
              </w:rPr>
              <w:t>viscosity</w:t>
            </w:r>
            <w:proofErr w:type="spellEnd"/>
            <w:r w:rsidRPr="00C85279">
              <w:rPr>
                <w:rFonts w:eastAsia="Calibri"/>
                <w:lang w:val="fr-BE"/>
              </w:rPr>
              <w:t xml:space="preserve"> (40 ± 0.5 °C; min-max; in </w:t>
            </w:r>
            <w:proofErr w:type="spellStart"/>
            <w:r w:rsidRPr="00C85279">
              <w:rPr>
                <w:rFonts w:eastAsia="Calibri"/>
                <w:lang w:val="fr-BE"/>
              </w:rPr>
              <w:t>mPa.s</w:t>
            </w:r>
            <w:proofErr w:type="spellEnd"/>
            <w:r w:rsidRPr="00C85279">
              <w:rPr>
                <w:rFonts w:eastAsia="Calibri"/>
                <w:lang w:val="fr-BE"/>
              </w:rPr>
              <w:t>):</w:t>
            </w:r>
          </w:p>
          <w:p w14:paraId="6EC1F2C3" w14:textId="77777777" w:rsidR="00E12E4A" w:rsidRPr="00645B78" w:rsidRDefault="00E12E4A" w:rsidP="00E12E4A">
            <w:pPr>
              <w:pStyle w:val="Standaard-Tabellen"/>
              <w:rPr>
                <w:rFonts w:eastAsia="Calibri"/>
                <w:lang w:val="de-DE"/>
              </w:rPr>
            </w:pPr>
            <w:r w:rsidRPr="00645B78">
              <w:rPr>
                <w:rFonts w:eastAsia="Calibri"/>
                <w:lang w:val="de-DE"/>
              </w:rPr>
              <w:t xml:space="preserve">T0: </w:t>
            </w:r>
            <w:r>
              <w:rPr>
                <w:rFonts w:eastAsia="Calibri"/>
                <w:lang w:val="de-DE"/>
              </w:rPr>
              <w:t>238 - 597</w:t>
            </w:r>
          </w:p>
          <w:p w14:paraId="218B2777" w14:textId="77777777" w:rsidR="00E12E4A" w:rsidRPr="00892C32" w:rsidRDefault="00E12E4A" w:rsidP="00E12E4A">
            <w:pPr>
              <w:pStyle w:val="Standaard-Tabellen"/>
              <w:rPr>
                <w:rFonts w:eastAsia="Calibri"/>
                <w:lang w:val="de-DE"/>
              </w:rPr>
            </w:pPr>
            <w:r w:rsidRPr="00892C32">
              <w:rPr>
                <w:rFonts w:eastAsia="Calibri"/>
                <w:lang w:val="de-DE"/>
              </w:rPr>
              <w:t>T6m: 230 - 521</w:t>
            </w:r>
          </w:p>
          <w:p w14:paraId="7275C72F" w14:textId="77777777" w:rsidR="00E12E4A" w:rsidRPr="00892C32" w:rsidRDefault="00E12E4A" w:rsidP="00E12E4A">
            <w:pPr>
              <w:pStyle w:val="Standaard-Tabellen"/>
              <w:rPr>
                <w:rFonts w:eastAsia="Calibri"/>
                <w:lang w:val="de-DE"/>
              </w:rPr>
            </w:pPr>
            <w:r w:rsidRPr="00892C32">
              <w:rPr>
                <w:rFonts w:eastAsia="Calibri"/>
                <w:lang w:val="de-DE"/>
              </w:rPr>
              <w:t>T12m: 217 - 547</w:t>
            </w:r>
          </w:p>
          <w:p w14:paraId="2B6756CD" w14:textId="77777777" w:rsidR="00E12E4A" w:rsidRPr="00892C32" w:rsidRDefault="00E12E4A" w:rsidP="00E12E4A">
            <w:pPr>
              <w:pStyle w:val="Standaard-Tabellen"/>
              <w:rPr>
                <w:rFonts w:eastAsia="Calibri"/>
                <w:lang w:val="de-DE"/>
              </w:rPr>
            </w:pPr>
            <w:r w:rsidRPr="00892C32">
              <w:rPr>
                <w:rFonts w:eastAsia="Calibri"/>
                <w:lang w:val="de-DE"/>
              </w:rPr>
              <w:t>T18m: 201 - 488</w:t>
            </w:r>
          </w:p>
          <w:p w14:paraId="3679D2B6" w14:textId="77777777" w:rsidR="00E12E4A" w:rsidRPr="00892C32" w:rsidRDefault="00E12E4A" w:rsidP="00E12E4A">
            <w:pPr>
              <w:pStyle w:val="Standaard-Tabellen"/>
              <w:rPr>
                <w:rFonts w:eastAsia="Calibri"/>
                <w:lang w:val="de-DE"/>
              </w:rPr>
            </w:pPr>
            <w:r w:rsidRPr="00892C32">
              <w:rPr>
                <w:rFonts w:eastAsia="Calibri"/>
                <w:lang w:val="de-DE"/>
              </w:rPr>
              <w:t>T24m:203 - 498</w:t>
            </w:r>
          </w:p>
          <w:p w14:paraId="7A955A98" w14:textId="77777777" w:rsidR="00E12E4A" w:rsidRPr="00892C32" w:rsidRDefault="00E12E4A" w:rsidP="00E12E4A">
            <w:pPr>
              <w:pStyle w:val="Standaard-Tabellen"/>
              <w:rPr>
                <w:rFonts w:eastAsia="Calibri"/>
                <w:lang w:val="de-DE"/>
              </w:rPr>
            </w:pPr>
          </w:p>
          <w:p w14:paraId="4EC16830" w14:textId="77777777" w:rsidR="00E12E4A" w:rsidRPr="00892C32" w:rsidRDefault="00E12E4A" w:rsidP="00E12E4A">
            <w:pPr>
              <w:pStyle w:val="Standaard-Tabellen"/>
              <w:rPr>
                <w:rFonts w:eastAsia="Calibri"/>
                <w:lang w:val="de-DE"/>
              </w:rPr>
            </w:pPr>
            <w:r w:rsidRPr="00BE5BB6">
              <w:rPr>
                <w:rFonts w:eastAsia="Calibri"/>
                <w:lang w:val="de-DE"/>
              </w:rPr>
              <w:t>- Change in</w:t>
            </w:r>
            <w:r w:rsidRPr="00892C32">
              <w:rPr>
                <w:bCs w:val="0"/>
                <w:sz w:val="20"/>
                <w:szCs w:val="20"/>
                <w:lang w:val="de-DE" w:eastAsia="de-DE"/>
              </w:rPr>
              <w:t xml:space="preserve"> </w:t>
            </w:r>
            <w:r w:rsidRPr="00892C32">
              <w:rPr>
                <w:rFonts w:eastAsia="Calibri"/>
                <w:lang w:val="de-DE"/>
              </w:rPr>
              <w:t>IR3535</w:t>
            </w:r>
            <w:r w:rsidRPr="00892C32">
              <w:rPr>
                <w:rFonts w:eastAsia="Calibri"/>
                <w:vertAlign w:val="superscript"/>
                <w:lang w:val="de-DE"/>
              </w:rPr>
              <w:t xml:space="preserve">® </w:t>
            </w:r>
            <w:r w:rsidRPr="00892C32">
              <w:rPr>
                <w:rFonts w:eastAsia="Calibri"/>
                <w:lang w:val="de-DE"/>
              </w:rPr>
              <w:t>(w/w %):</w:t>
            </w:r>
          </w:p>
          <w:p w14:paraId="6CC6D3B9" w14:textId="77777777" w:rsidR="00E12E4A" w:rsidRPr="004825BF" w:rsidRDefault="00E12E4A" w:rsidP="00E12E4A">
            <w:pPr>
              <w:pStyle w:val="Standaard-Tabellen"/>
              <w:rPr>
                <w:rFonts w:eastAsia="Calibri"/>
                <w:lang w:val="de-DE"/>
              </w:rPr>
            </w:pPr>
            <w:r w:rsidRPr="00892C32">
              <w:rPr>
                <w:rFonts w:eastAsia="Calibri"/>
                <w:lang w:val="de-DE"/>
              </w:rPr>
              <w:t>T0:</w:t>
            </w:r>
            <w:r>
              <w:rPr>
                <w:rFonts w:eastAsia="Calibri"/>
                <w:lang w:val="de-DE"/>
              </w:rPr>
              <w:t xml:space="preserve"> 10.1</w:t>
            </w:r>
          </w:p>
          <w:p w14:paraId="22B55BB1" w14:textId="77777777" w:rsidR="00E12E4A" w:rsidRDefault="00E12E4A" w:rsidP="00E12E4A">
            <w:pPr>
              <w:pStyle w:val="Standaard-Tabellen"/>
              <w:rPr>
                <w:rFonts w:eastAsia="Calibri"/>
                <w:lang w:val="de-DE"/>
              </w:rPr>
            </w:pPr>
            <w:r>
              <w:rPr>
                <w:rFonts w:eastAsia="Calibri"/>
                <w:lang w:val="de-DE"/>
              </w:rPr>
              <w:t>T6m: 9.8 (= 97% T0)</w:t>
            </w:r>
          </w:p>
          <w:p w14:paraId="228B55F7" w14:textId="77777777" w:rsidR="00E12E4A" w:rsidRDefault="00E12E4A" w:rsidP="00E12E4A">
            <w:pPr>
              <w:pStyle w:val="Standaard-Tabellen"/>
              <w:rPr>
                <w:rFonts w:eastAsia="Calibri"/>
                <w:lang w:val="de-DE"/>
              </w:rPr>
            </w:pPr>
            <w:r>
              <w:rPr>
                <w:rFonts w:eastAsia="Calibri"/>
                <w:lang w:val="de-DE"/>
              </w:rPr>
              <w:t>T12m: 9.6 (= 94% T0)</w:t>
            </w:r>
          </w:p>
          <w:p w14:paraId="566DB534" w14:textId="77777777" w:rsidR="00E12E4A" w:rsidRDefault="00E12E4A" w:rsidP="00E12E4A">
            <w:pPr>
              <w:pStyle w:val="Standaard-Tabellen"/>
              <w:rPr>
                <w:rFonts w:eastAsia="Calibri"/>
                <w:lang w:val="de-DE"/>
              </w:rPr>
            </w:pPr>
            <w:r>
              <w:rPr>
                <w:rFonts w:eastAsia="Calibri"/>
                <w:lang w:val="de-DE"/>
              </w:rPr>
              <w:t>T18m(*): 9.0 (= 88% T0)</w:t>
            </w:r>
          </w:p>
          <w:p w14:paraId="49CD68E0" w14:textId="77777777" w:rsidR="00E12E4A" w:rsidRPr="00E12E4A" w:rsidRDefault="00E12E4A" w:rsidP="00E12E4A">
            <w:pPr>
              <w:pStyle w:val="Standaard-Tabellen"/>
              <w:rPr>
                <w:rFonts w:eastAsia="Calibri"/>
                <w:lang w:val="de-DE"/>
              </w:rPr>
            </w:pPr>
            <w:r>
              <w:rPr>
                <w:rFonts w:eastAsia="Calibri"/>
                <w:lang w:val="de-DE"/>
              </w:rPr>
              <w:t>T24m 9.0 (= 89% T0)</w:t>
            </w:r>
          </w:p>
          <w:p w14:paraId="683D432C" w14:textId="77777777" w:rsidR="00E12E4A" w:rsidRPr="00E12E4A" w:rsidRDefault="00E12E4A" w:rsidP="00E12E4A">
            <w:pPr>
              <w:pStyle w:val="Standaard-Tabellen"/>
              <w:rPr>
                <w:rFonts w:eastAsia="Calibri"/>
                <w:lang w:val="de-DE"/>
              </w:rPr>
            </w:pPr>
          </w:p>
          <w:p w14:paraId="1146DB1C" w14:textId="77777777" w:rsidR="00E12E4A" w:rsidRPr="00836936" w:rsidRDefault="00E12E4A" w:rsidP="00E12E4A">
            <w:pPr>
              <w:pStyle w:val="Standaard-Tabellen"/>
              <w:rPr>
                <w:rFonts w:eastAsia="Calibri"/>
                <w:lang w:val="de-DE"/>
              </w:rPr>
            </w:pPr>
            <w:r w:rsidRPr="008C5876">
              <w:rPr>
                <w:rFonts w:eastAsia="Calibri"/>
                <w:lang w:val="de-DE"/>
              </w:rPr>
              <w:t xml:space="preserve">- Change in </w:t>
            </w:r>
            <w:r w:rsidRPr="00836936">
              <w:rPr>
                <w:lang w:val="de-DE"/>
              </w:rPr>
              <w:t>IR3535</w:t>
            </w:r>
            <w:r w:rsidRPr="00836936">
              <w:rPr>
                <w:vertAlign w:val="superscript"/>
                <w:lang w:val="de-DE"/>
              </w:rPr>
              <w:t>®</w:t>
            </w:r>
            <w:r w:rsidRPr="00836936">
              <w:rPr>
                <w:lang w:val="de-DE"/>
              </w:rPr>
              <w:t xml:space="preserve"> </w:t>
            </w:r>
            <w:proofErr w:type="spellStart"/>
            <w:r w:rsidRPr="00836936">
              <w:rPr>
                <w:lang w:val="de-DE"/>
              </w:rPr>
              <w:t>free</w:t>
            </w:r>
            <w:proofErr w:type="spellEnd"/>
            <w:r w:rsidRPr="00836936">
              <w:rPr>
                <w:lang w:val="de-DE"/>
              </w:rPr>
              <w:t xml:space="preserve"> </w:t>
            </w:r>
            <w:proofErr w:type="spellStart"/>
            <w:r w:rsidRPr="00836936">
              <w:rPr>
                <w:lang w:val="de-DE"/>
              </w:rPr>
              <w:t>acid</w:t>
            </w:r>
            <w:proofErr w:type="spellEnd"/>
            <w:r w:rsidRPr="00836936">
              <w:rPr>
                <w:rFonts w:eastAsia="Calibri"/>
                <w:lang w:val="de-DE"/>
              </w:rPr>
              <w:t xml:space="preserve"> (w/w %):</w:t>
            </w:r>
          </w:p>
          <w:p w14:paraId="665078C4" w14:textId="77777777" w:rsidR="00E12E4A" w:rsidRPr="004825BF" w:rsidRDefault="00E12E4A" w:rsidP="00E12E4A">
            <w:pPr>
              <w:pStyle w:val="Standaard-Tabellen"/>
              <w:rPr>
                <w:rFonts w:eastAsia="Calibri"/>
                <w:lang w:val="de-DE"/>
              </w:rPr>
            </w:pPr>
            <w:r w:rsidRPr="00645B78">
              <w:rPr>
                <w:rFonts w:eastAsia="Calibri"/>
                <w:lang w:val="de-DE"/>
              </w:rPr>
              <w:t>T0:</w:t>
            </w:r>
            <w:r>
              <w:rPr>
                <w:rFonts w:eastAsia="Calibri"/>
                <w:lang w:val="de-DE"/>
              </w:rPr>
              <w:t xml:space="preserve"> 0.1</w:t>
            </w:r>
          </w:p>
          <w:p w14:paraId="3835EEDD" w14:textId="77777777" w:rsidR="00E12E4A" w:rsidRDefault="00E12E4A" w:rsidP="00E12E4A">
            <w:pPr>
              <w:pStyle w:val="Standaard-Tabellen"/>
              <w:rPr>
                <w:rFonts w:eastAsia="Calibri"/>
                <w:lang w:val="de-DE"/>
              </w:rPr>
            </w:pPr>
            <w:r>
              <w:rPr>
                <w:rFonts w:eastAsia="Calibri"/>
                <w:lang w:val="de-DE"/>
              </w:rPr>
              <w:t>T6m: 0.5</w:t>
            </w:r>
          </w:p>
          <w:p w14:paraId="08197133" w14:textId="77777777" w:rsidR="00E12E4A" w:rsidRPr="007C5F36" w:rsidRDefault="00E12E4A" w:rsidP="00E12E4A">
            <w:pPr>
              <w:pStyle w:val="Standaard-Tabellen"/>
              <w:rPr>
                <w:rFonts w:eastAsia="Calibri"/>
                <w:lang w:val="de-DE"/>
              </w:rPr>
            </w:pPr>
            <w:r w:rsidRPr="007C5F36">
              <w:rPr>
                <w:rFonts w:eastAsia="Calibri"/>
                <w:lang w:val="de-DE"/>
              </w:rPr>
              <w:t>T12m: 0.8</w:t>
            </w:r>
          </w:p>
          <w:p w14:paraId="53186DFE" w14:textId="77777777" w:rsidR="00E12E4A" w:rsidRPr="007C5F36" w:rsidRDefault="00E12E4A" w:rsidP="00E12E4A">
            <w:pPr>
              <w:pStyle w:val="Standaard-Tabellen"/>
              <w:rPr>
                <w:rFonts w:eastAsia="Calibri"/>
                <w:lang w:val="de-DE"/>
              </w:rPr>
            </w:pPr>
            <w:r w:rsidRPr="007C5F36">
              <w:rPr>
                <w:rFonts w:eastAsia="Calibri"/>
                <w:lang w:val="de-DE"/>
              </w:rPr>
              <w:t>T18m(*): 1.0</w:t>
            </w:r>
          </w:p>
          <w:p w14:paraId="6B409984" w14:textId="77777777" w:rsidR="00E12E4A" w:rsidRPr="00836936" w:rsidRDefault="00E12E4A" w:rsidP="00E12E4A">
            <w:pPr>
              <w:pStyle w:val="Standaard-Tabellen"/>
              <w:rPr>
                <w:rFonts w:eastAsia="Calibri"/>
                <w:lang w:val="en-US"/>
              </w:rPr>
            </w:pPr>
            <w:r w:rsidRPr="008C5876">
              <w:rPr>
                <w:rFonts w:eastAsia="Calibri"/>
                <w:lang w:val="en-US"/>
              </w:rPr>
              <w:t>T24m 1.1</w:t>
            </w:r>
          </w:p>
          <w:p w14:paraId="284E3A8A" w14:textId="77777777" w:rsidR="00E12E4A" w:rsidRPr="00836936" w:rsidRDefault="00E12E4A" w:rsidP="00E12E4A">
            <w:pPr>
              <w:pStyle w:val="Standaard-Tabellen"/>
              <w:pBdr>
                <w:bottom w:val="single" w:sz="6" w:space="1" w:color="auto"/>
              </w:pBdr>
              <w:rPr>
                <w:rFonts w:eastAsia="Calibri"/>
                <w:lang w:val="en-US"/>
              </w:rPr>
            </w:pPr>
          </w:p>
          <w:p w14:paraId="5C289506" w14:textId="47DA4DC8" w:rsidR="00E12E4A" w:rsidRPr="00836936" w:rsidRDefault="00E12E4A" w:rsidP="00E12E4A">
            <w:pPr>
              <w:pStyle w:val="Standaard-Tabellen"/>
              <w:pBdr>
                <w:bottom w:val="single" w:sz="6" w:space="1" w:color="auto"/>
              </w:pBdr>
              <w:rPr>
                <w:rFonts w:eastAsia="Calibri"/>
                <w:lang w:val="en-US"/>
              </w:rPr>
            </w:pPr>
            <w:r w:rsidRPr="00836936">
              <w:rPr>
                <w:rFonts w:eastAsia="Calibri"/>
                <w:lang w:val="en-US"/>
              </w:rPr>
              <w:t>[Storage: 20 ± 2°C, relative humidity: 50 ± 25%, intervals: X ± 2 weeks</w:t>
            </w:r>
            <w:r w:rsidR="00B10136">
              <w:rPr>
                <w:rFonts w:eastAsia="Calibri"/>
                <w:lang w:val="en-US"/>
              </w:rPr>
              <w:t xml:space="preserve">, 50ml </w:t>
            </w:r>
            <w:r w:rsidR="00B10136" w:rsidRPr="00B10136">
              <w:rPr>
                <w:rFonts w:eastAsia="Calibri"/>
                <w:lang w:val="en-US"/>
              </w:rPr>
              <w:t>PP squeeze flask</w:t>
            </w:r>
            <w:r w:rsidRPr="00836936">
              <w:rPr>
                <w:rFonts w:eastAsia="Calibri"/>
                <w:lang w:val="en-US"/>
              </w:rPr>
              <w:t>]</w:t>
            </w:r>
          </w:p>
          <w:p w14:paraId="1BE9FFAB" w14:textId="77777777" w:rsidR="00E12E4A" w:rsidRPr="00836936" w:rsidRDefault="00E12E4A" w:rsidP="00E12E4A">
            <w:pPr>
              <w:pStyle w:val="Standaard-Tabellen"/>
              <w:pBdr>
                <w:bottom w:val="single" w:sz="6" w:space="1" w:color="auto"/>
              </w:pBdr>
              <w:rPr>
                <w:rFonts w:eastAsia="Calibri"/>
                <w:lang w:val="en-US"/>
              </w:rPr>
            </w:pPr>
          </w:p>
          <w:p w14:paraId="7B01F997" w14:textId="77777777" w:rsidR="00E12E4A" w:rsidRDefault="00E12E4A" w:rsidP="00E12E4A">
            <w:pPr>
              <w:pStyle w:val="Standaard-Tabellen"/>
              <w:pBdr>
                <w:bottom w:val="single" w:sz="6" w:space="1" w:color="auto"/>
              </w:pBdr>
              <w:rPr>
                <w:rFonts w:eastAsia="Calibri"/>
              </w:rPr>
            </w:pPr>
            <w:r>
              <w:rPr>
                <w:rFonts w:eastAsia="Calibri"/>
              </w:rPr>
              <w:lastRenderedPageBreak/>
              <w:t xml:space="preserve">(*) Measurement identified as outlier do to experimental error, refer to test report and IUCLID </w:t>
            </w:r>
            <w:r w:rsidRPr="00F66C09">
              <w:rPr>
                <w:rFonts w:eastAsia="Calibri"/>
              </w:rPr>
              <w:t>Executive summary</w:t>
            </w:r>
            <w:r>
              <w:rPr>
                <w:rFonts w:eastAsia="Calibri"/>
              </w:rPr>
              <w:t xml:space="preserve"> for more information</w:t>
            </w:r>
          </w:p>
          <w:p w14:paraId="631E0594" w14:textId="54977510" w:rsidR="00E12E4A" w:rsidRPr="00BD2EF1" w:rsidRDefault="00E12E4A" w:rsidP="00E12E4A">
            <w:pPr>
              <w:pStyle w:val="Standaard-Tabellen"/>
              <w:rPr>
                <w:rFonts w:eastAsia="Calibri"/>
              </w:rPr>
            </w:pPr>
            <w:r>
              <w:rPr>
                <w:rFonts w:eastAsia="Calibri"/>
              </w:rPr>
              <w:t xml:space="preserve">Another study, on a 9.7 % sample with </w:t>
            </w:r>
            <w:r w:rsidRPr="000D1DFB">
              <w:rPr>
                <w:rFonts w:eastAsia="Calibri"/>
              </w:rPr>
              <w:t>slightly deviating composition (no buffer</w:t>
            </w:r>
            <w:r>
              <w:rPr>
                <w:rFonts w:eastAsia="Calibri"/>
              </w:rPr>
              <w:t xml:space="preserve"> but containing preservatives (1 % w/w in total)), gives acceptable results for up to 12 months storage: 7.2 % variation (9.0 versus 9.7 % w/w</w:t>
            </w:r>
            <w:r w:rsidR="003B2A6D">
              <w:rPr>
                <w:rFonts w:eastAsia="Calibri"/>
              </w:rPr>
              <w:t xml:space="preserve">, respectively </w:t>
            </w:r>
            <w:r w:rsidR="003B2A6D" w:rsidRPr="00C07E47">
              <w:rPr>
                <w:rFonts w:eastAsia="Calibri"/>
                <w:lang w:val="en-US"/>
              </w:rPr>
              <w:t>T</w:t>
            </w:r>
            <w:r w:rsidR="003B2A6D">
              <w:rPr>
                <w:rFonts w:eastAsia="Calibri"/>
                <w:lang w:val="en-US"/>
              </w:rPr>
              <w:t xml:space="preserve">12m versus </w:t>
            </w:r>
            <w:r w:rsidR="003B2A6D" w:rsidRPr="00C07E47">
              <w:rPr>
                <w:rFonts w:eastAsia="Calibri"/>
                <w:lang w:val="en-US"/>
              </w:rPr>
              <w:t>T0</w:t>
            </w:r>
            <w:r>
              <w:rPr>
                <w:rFonts w:eastAsia="Calibri"/>
              </w:rPr>
              <w:t>).</w:t>
            </w:r>
          </w:p>
        </w:tc>
        <w:tc>
          <w:tcPr>
            <w:tcW w:w="1137" w:type="pct"/>
          </w:tcPr>
          <w:p w14:paraId="2FDB183A" w14:textId="77777777" w:rsidR="00147D38" w:rsidRDefault="00147D38" w:rsidP="00147D38">
            <w:pPr>
              <w:pStyle w:val="Standaard-Tabellen"/>
              <w:spacing w:line="256" w:lineRule="auto"/>
              <w:rPr>
                <w:rFonts w:eastAsia="Calibri"/>
              </w:rPr>
            </w:pPr>
            <w:r>
              <w:rPr>
                <w:rFonts w:eastAsia="Calibri"/>
              </w:rPr>
              <w:lastRenderedPageBreak/>
              <w:t xml:space="preserve">Report no. 98321204, </w:t>
            </w:r>
            <w:proofErr w:type="spellStart"/>
            <w:r>
              <w:rPr>
                <w:rFonts w:eastAsia="Calibri"/>
              </w:rPr>
              <w:t>Fieseler</w:t>
            </w:r>
            <w:proofErr w:type="spellEnd"/>
            <w:r>
              <w:rPr>
                <w:rFonts w:eastAsia="Calibri"/>
              </w:rPr>
              <w:t>, A. 2018</w:t>
            </w:r>
          </w:p>
          <w:p w14:paraId="033D3C65" w14:textId="77777777" w:rsidR="00147D38" w:rsidRDefault="00147D38" w:rsidP="00147D38">
            <w:pPr>
              <w:pStyle w:val="Standaard-Tabellen"/>
              <w:spacing w:line="256" w:lineRule="auto"/>
              <w:rPr>
                <w:rFonts w:eastAsia="Calibri"/>
              </w:rPr>
            </w:pPr>
          </w:p>
          <w:p w14:paraId="5F42A191" w14:textId="77777777" w:rsidR="00147D38" w:rsidRDefault="00147D38" w:rsidP="00147D38">
            <w:pPr>
              <w:pStyle w:val="Standaard-Tabellen"/>
              <w:spacing w:line="256" w:lineRule="auto"/>
              <w:rPr>
                <w:rFonts w:eastAsia="Calibri"/>
              </w:rPr>
            </w:pPr>
          </w:p>
          <w:p w14:paraId="1A3D1E55" w14:textId="77777777" w:rsidR="00147D38" w:rsidRDefault="00147D38" w:rsidP="00147D38">
            <w:pPr>
              <w:pStyle w:val="Standaard-Tabellen"/>
              <w:spacing w:line="256" w:lineRule="auto"/>
              <w:rPr>
                <w:rFonts w:eastAsia="Calibri"/>
              </w:rPr>
            </w:pPr>
          </w:p>
          <w:p w14:paraId="35C16784" w14:textId="77777777" w:rsidR="00147D38" w:rsidRDefault="00147D38" w:rsidP="00147D38">
            <w:pPr>
              <w:pStyle w:val="Standaard-Tabellen"/>
              <w:spacing w:line="256" w:lineRule="auto"/>
              <w:rPr>
                <w:rFonts w:eastAsia="Calibri"/>
              </w:rPr>
            </w:pPr>
          </w:p>
          <w:p w14:paraId="57ACF51D" w14:textId="77777777" w:rsidR="00147D38" w:rsidRDefault="00147D38" w:rsidP="00147D38">
            <w:pPr>
              <w:pStyle w:val="Standaard-Tabellen"/>
              <w:spacing w:line="256" w:lineRule="auto"/>
              <w:rPr>
                <w:rFonts w:eastAsia="Calibri"/>
              </w:rPr>
            </w:pPr>
          </w:p>
          <w:p w14:paraId="21444249" w14:textId="77777777" w:rsidR="00147D38" w:rsidRDefault="00147D38" w:rsidP="00147D38">
            <w:pPr>
              <w:pStyle w:val="Standaard-Tabellen"/>
              <w:spacing w:line="256" w:lineRule="auto"/>
              <w:rPr>
                <w:rFonts w:eastAsia="Calibri"/>
              </w:rPr>
            </w:pPr>
          </w:p>
          <w:p w14:paraId="52AFC1CF" w14:textId="77777777" w:rsidR="00147D38" w:rsidRDefault="00147D38" w:rsidP="00147D38">
            <w:pPr>
              <w:pStyle w:val="Standaard-Tabellen"/>
              <w:spacing w:line="256" w:lineRule="auto"/>
              <w:rPr>
                <w:rFonts w:eastAsia="Calibri"/>
              </w:rPr>
            </w:pPr>
          </w:p>
          <w:p w14:paraId="3BAB137E" w14:textId="77777777" w:rsidR="00147D38" w:rsidRDefault="00147D38" w:rsidP="00147D38">
            <w:pPr>
              <w:pStyle w:val="Standaard-Tabellen"/>
              <w:spacing w:line="256" w:lineRule="auto"/>
              <w:rPr>
                <w:rFonts w:eastAsia="Calibri"/>
              </w:rPr>
            </w:pPr>
          </w:p>
          <w:p w14:paraId="2D1794D4" w14:textId="77777777" w:rsidR="00147D38" w:rsidRDefault="00147D38" w:rsidP="00147D38">
            <w:pPr>
              <w:pStyle w:val="Standaard-Tabellen"/>
              <w:spacing w:line="256" w:lineRule="auto"/>
              <w:rPr>
                <w:rFonts w:eastAsia="Calibri"/>
              </w:rPr>
            </w:pPr>
          </w:p>
          <w:p w14:paraId="7CB54A80" w14:textId="77777777" w:rsidR="00147D38" w:rsidRDefault="00147D38" w:rsidP="00147D38">
            <w:pPr>
              <w:pStyle w:val="Standaard-Tabellen"/>
              <w:spacing w:line="256" w:lineRule="auto"/>
              <w:rPr>
                <w:rFonts w:eastAsia="Calibri"/>
              </w:rPr>
            </w:pPr>
          </w:p>
          <w:p w14:paraId="51F80743" w14:textId="77777777" w:rsidR="00147D38" w:rsidRDefault="00147D38" w:rsidP="00147D38">
            <w:pPr>
              <w:pStyle w:val="Standaard-Tabellen"/>
              <w:spacing w:line="256" w:lineRule="auto"/>
              <w:rPr>
                <w:rFonts w:eastAsia="Calibri"/>
              </w:rPr>
            </w:pPr>
          </w:p>
          <w:p w14:paraId="333B6B6F" w14:textId="77777777" w:rsidR="00147D38" w:rsidRDefault="00147D38" w:rsidP="00147D38">
            <w:pPr>
              <w:pStyle w:val="Standaard-Tabellen"/>
              <w:spacing w:line="256" w:lineRule="auto"/>
              <w:rPr>
                <w:rFonts w:eastAsia="Calibri"/>
              </w:rPr>
            </w:pPr>
          </w:p>
          <w:p w14:paraId="09954FDA" w14:textId="77777777" w:rsidR="00147D38" w:rsidRDefault="00147D38" w:rsidP="00147D38">
            <w:pPr>
              <w:pStyle w:val="Standaard-Tabellen"/>
              <w:spacing w:line="256" w:lineRule="auto"/>
              <w:rPr>
                <w:rFonts w:eastAsia="Calibri"/>
              </w:rPr>
            </w:pPr>
          </w:p>
          <w:p w14:paraId="40251F75" w14:textId="77777777" w:rsidR="00147D38" w:rsidRDefault="00147D38" w:rsidP="00147D38">
            <w:pPr>
              <w:pStyle w:val="Standaard-Tabellen"/>
              <w:spacing w:line="256" w:lineRule="auto"/>
              <w:rPr>
                <w:rFonts w:eastAsia="Calibri"/>
              </w:rPr>
            </w:pPr>
          </w:p>
          <w:p w14:paraId="6B34AD5C" w14:textId="77777777" w:rsidR="00147D38" w:rsidRDefault="00147D38" w:rsidP="00147D38">
            <w:pPr>
              <w:pStyle w:val="Standaard-Tabellen"/>
              <w:spacing w:line="256" w:lineRule="auto"/>
              <w:rPr>
                <w:rFonts w:eastAsia="Calibri"/>
              </w:rPr>
            </w:pPr>
          </w:p>
          <w:p w14:paraId="5EEB84CD" w14:textId="77777777" w:rsidR="00147D38" w:rsidRDefault="00147D38" w:rsidP="00147D38">
            <w:pPr>
              <w:pStyle w:val="Standaard-Tabellen"/>
              <w:spacing w:line="256" w:lineRule="auto"/>
              <w:rPr>
                <w:rFonts w:eastAsia="Calibri"/>
              </w:rPr>
            </w:pPr>
          </w:p>
          <w:p w14:paraId="0C529959" w14:textId="77777777" w:rsidR="00147D38" w:rsidRDefault="00147D38" w:rsidP="00147D38">
            <w:pPr>
              <w:pStyle w:val="Standaard-Tabellen"/>
              <w:spacing w:line="256" w:lineRule="auto"/>
              <w:rPr>
                <w:rFonts w:eastAsia="Calibri"/>
              </w:rPr>
            </w:pPr>
          </w:p>
          <w:p w14:paraId="57D19BE2" w14:textId="77777777" w:rsidR="00147D38" w:rsidRDefault="00147D38" w:rsidP="00147D38">
            <w:pPr>
              <w:pStyle w:val="Standaard-Tabellen"/>
              <w:spacing w:line="256" w:lineRule="auto"/>
              <w:rPr>
                <w:rFonts w:eastAsia="Calibri"/>
              </w:rPr>
            </w:pPr>
          </w:p>
          <w:p w14:paraId="1F5621EB" w14:textId="77777777" w:rsidR="00147D38" w:rsidRDefault="00147D38" w:rsidP="00147D38">
            <w:pPr>
              <w:pStyle w:val="Standaard-Tabellen"/>
              <w:spacing w:line="256" w:lineRule="auto"/>
              <w:rPr>
                <w:rFonts w:eastAsia="Calibri"/>
              </w:rPr>
            </w:pPr>
          </w:p>
          <w:p w14:paraId="465FEEAA" w14:textId="77777777" w:rsidR="00147D38" w:rsidRDefault="00147D38" w:rsidP="00147D38">
            <w:pPr>
              <w:pStyle w:val="Standaard-Tabellen"/>
              <w:spacing w:line="256" w:lineRule="auto"/>
              <w:rPr>
                <w:rFonts w:eastAsia="Calibri"/>
              </w:rPr>
            </w:pPr>
          </w:p>
          <w:p w14:paraId="6953D5BC" w14:textId="77777777" w:rsidR="00147D38" w:rsidRDefault="00147D38" w:rsidP="00147D38">
            <w:pPr>
              <w:pStyle w:val="Standaard-Tabellen"/>
              <w:spacing w:line="256" w:lineRule="auto"/>
              <w:rPr>
                <w:rFonts w:eastAsia="Calibri"/>
              </w:rPr>
            </w:pPr>
          </w:p>
          <w:p w14:paraId="503B6F4D" w14:textId="77777777" w:rsidR="00147D38" w:rsidRDefault="00147D38" w:rsidP="00147D38">
            <w:pPr>
              <w:pStyle w:val="Standaard-Tabellen"/>
              <w:spacing w:line="256" w:lineRule="auto"/>
              <w:rPr>
                <w:rFonts w:eastAsia="Calibri"/>
              </w:rPr>
            </w:pPr>
          </w:p>
          <w:p w14:paraId="1329CD4B" w14:textId="77777777" w:rsidR="00147D38" w:rsidRDefault="00147D38" w:rsidP="00147D38">
            <w:pPr>
              <w:pStyle w:val="Standaard-Tabellen"/>
              <w:spacing w:line="256" w:lineRule="auto"/>
              <w:rPr>
                <w:rFonts w:eastAsia="Calibri"/>
              </w:rPr>
            </w:pPr>
          </w:p>
          <w:p w14:paraId="45B57470" w14:textId="77777777" w:rsidR="00147D38" w:rsidRDefault="00147D38" w:rsidP="00147D38">
            <w:pPr>
              <w:pStyle w:val="Standaard-Tabellen"/>
              <w:spacing w:line="256" w:lineRule="auto"/>
              <w:rPr>
                <w:rFonts w:eastAsia="Calibri"/>
              </w:rPr>
            </w:pPr>
          </w:p>
          <w:p w14:paraId="5D40BD62" w14:textId="77777777" w:rsidR="00147D38" w:rsidRDefault="00147D38" w:rsidP="00147D38">
            <w:pPr>
              <w:pStyle w:val="Standaard-Tabellen"/>
              <w:spacing w:line="256" w:lineRule="auto"/>
              <w:rPr>
                <w:rFonts w:eastAsia="Calibri"/>
              </w:rPr>
            </w:pPr>
          </w:p>
          <w:p w14:paraId="17AE4A7F" w14:textId="77777777" w:rsidR="00147D38" w:rsidRDefault="00147D38" w:rsidP="00147D38">
            <w:pPr>
              <w:pStyle w:val="Standaard-Tabellen"/>
              <w:spacing w:line="256" w:lineRule="auto"/>
              <w:rPr>
                <w:rFonts w:eastAsia="Calibri"/>
              </w:rPr>
            </w:pPr>
          </w:p>
          <w:p w14:paraId="146CA136" w14:textId="77777777" w:rsidR="00147D38" w:rsidRDefault="00147D38" w:rsidP="00147D38">
            <w:pPr>
              <w:pStyle w:val="Standaard-Tabellen"/>
              <w:spacing w:line="256" w:lineRule="auto"/>
              <w:rPr>
                <w:rFonts w:eastAsia="Calibri"/>
              </w:rPr>
            </w:pPr>
          </w:p>
          <w:p w14:paraId="26715B80" w14:textId="77777777" w:rsidR="00147D38" w:rsidRDefault="00147D38" w:rsidP="00147D38">
            <w:pPr>
              <w:pStyle w:val="Standaard-Tabellen"/>
              <w:spacing w:line="256" w:lineRule="auto"/>
              <w:rPr>
                <w:rFonts w:eastAsia="Calibri"/>
              </w:rPr>
            </w:pPr>
          </w:p>
          <w:p w14:paraId="65D010E5" w14:textId="77777777" w:rsidR="00147D38" w:rsidRDefault="00147D38" w:rsidP="00147D38">
            <w:pPr>
              <w:pStyle w:val="Standaard-Tabellen"/>
              <w:spacing w:line="256" w:lineRule="auto"/>
              <w:rPr>
                <w:rFonts w:eastAsia="Calibri"/>
              </w:rPr>
            </w:pPr>
          </w:p>
          <w:p w14:paraId="7A250165" w14:textId="77777777" w:rsidR="00147D38" w:rsidRDefault="00147D38" w:rsidP="00147D38">
            <w:pPr>
              <w:pStyle w:val="Standaard-Tabellen"/>
              <w:spacing w:line="256" w:lineRule="auto"/>
              <w:rPr>
                <w:rFonts w:eastAsia="Calibri"/>
              </w:rPr>
            </w:pPr>
          </w:p>
          <w:p w14:paraId="78B38895" w14:textId="77777777" w:rsidR="00147D38" w:rsidRDefault="00147D38" w:rsidP="00147D38">
            <w:pPr>
              <w:pStyle w:val="Standaard-Tabellen"/>
              <w:spacing w:line="256" w:lineRule="auto"/>
              <w:rPr>
                <w:rFonts w:eastAsia="Calibri"/>
              </w:rPr>
            </w:pPr>
          </w:p>
          <w:p w14:paraId="1A8BB6F0" w14:textId="77777777" w:rsidR="00147D38" w:rsidRDefault="00147D38" w:rsidP="00147D38">
            <w:pPr>
              <w:pStyle w:val="Standaard-Tabellen"/>
              <w:spacing w:line="256" w:lineRule="auto"/>
              <w:rPr>
                <w:rFonts w:eastAsia="Calibri"/>
              </w:rPr>
            </w:pPr>
          </w:p>
          <w:p w14:paraId="7CF5E3EF" w14:textId="77777777" w:rsidR="00147D38" w:rsidRDefault="00147D38" w:rsidP="00147D38">
            <w:pPr>
              <w:pStyle w:val="Standaard-Tabellen"/>
              <w:spacing w:line="256" w:lineRule="auto"/>
              <w:rPr>
                <w:rFonts w:eastAsia="Calibri"/>
              </w:rPr>
            </w:pPr>
          </w:p>
          <w:p w14:paraId="0036445C" w14:textId="77777777" w:rsidR="00147D38" w:rsidRDefault="00147D38" w:rsidP="00147D38">
            <w:pPr>
              <w:pStyle w:val="Standaard-Tabellen"/>
              <w:spacing w:line="256" w:lineRule="auto"/>
              <w:rPr>
                <w:rFonts w:eastAsia="Calibri"/>
              </w:rPr>
            </w:pPr>
          </w:p>
          <w:p w14:paraId="3CE92CB4" w14:textId="77777777" w:rsidR="00147D38" w:rsidRDefault="00147D38" w:rsidP="00147D38">
            <w:pPr>
              <w:pStyle w:val="Standaard-Tabellen"/>
              <w:spacing w:line="256" w:lineRule="auto"/>
              <w:rPr>
                <w:rFonts w:eastAsia="Calibri"/>
              </w:rPr>
            </w:pPr>
          </w:p>
          <w:p w14:paraId="5864C078" w14:textId="77777777" w:rsidR="00147D38" w:rsidRDefault="00147D38" w:rsidP="00147D38">
            <w:pPr>
              <w:pStyle w:val="Standaard-Tabellen"/>
              <w:spacing w:line="256" w:lineRule="auto"/>
              <w:rPr>
                <w:rFonts w:eastAsia="Calibri"/>
              </w:rPr>
            </w:pPr>
          </w:p>
          <w:p w14:paraId="2C38A3F8" w14:textId="77777777" w:rsidR="00147D38" w:rsidRDefault="00147D38" w:rsidP="00147D38">
            <w:pPr>
              <w:pStyle w:val="Standaard-Tabellen"/>
              <w:spacing w:line="256" w:lineRule="auto"/>
              <w:rPr>
                <w:rFonts w:eastAsia="Calibri"/>
              </w:rPr>
            </w:pPr>
          </w:p>
          <w:p w14:paraId="13F73BE9" w14:textId="77777777" w:rsidR="00147D38" w:rsidRDefault="00147D38" w:rsidP="00147D38">
            <w:pPr>
              <w:pStyle w:val="Standaard-Tabellen"/>
              <w:spacing w:line="256" w:lineRule="auto"/>
              <w:rPr>
                <w:rFonts w:eastAsia="Calibri"/>
              </w:rPr>
            </w:pPr>
          </w:p>
          <w:p w14:paraId="0EC212D1" w14:textId="77777777" w:rsidR="00147D38" w:rsidRDefault="00147D38" w:rsidP="00147D38">
            <w:pPr>
              <w:pStyle w:val="Standaard-Tabellen"/>
              <w:spacing w:line="256" w:lineRule="auto"/>
              <w:rPr>
                <w:rFonts w:eastAsia="Calibri"/>
              </w:rPr>
            </w:pPr>
          </w:p>
          <w:p w14:paraId="4658A61B" w14:textId="77777777" w:rsidR="00147D38" w:rsidRDefault="00147D38" w:rsidP="00147D38">
            <w:pPr>
              <w:pStyle w:val="Standaard-Tabellen"/>
              <w:spacing w:line="256" w:lineRule="auto"/>
              <w:rPr>
                <w:rFonts w:eastAsia="Calibri"/>
              </w:rPr>
            </w:pPr>
          </w:p>
          <w:p w14:paraId="51E92CE7" w14:textId="77777777" w:rsidR="00147D38" w:rsidRDefault="00147D38" w:rsidP="00147D38">
            <w:pPr>
              <w:pStyle w:val="Standaard-Tabellen"/>
              <w:spacing w:line="256" w:lineRule="auto"/>
              <w:rPr>
                <w:rFonts w:eastAsia="Calibri"/>
              </w:rPr>
            </w:pPr>
          </w:p>
          <w:p w14:paraId="796C849D" w14:textId="77777777" w:rsidR="00147D38" w:rsidRDefault="00147D38" w:rsidP="00147D38">
            <w:pPr>
              <w:pStyle w:val="Standaard-Tabellen"/>
              <w:spacing w:line="256" w:lineRule="auto"/>
              <w:rPr>
                <w:rFonts w:eastAsia="Calibri"/>
              </w:rPr>
            </w:pPr>
          </w:p>
          <w:p w14:paraId="53286E0D" w14:textId="77777777" w:rsidR="00147D38" w:rsidRDefault="00147D38" w:rsidP="00147D38">
            <w:pPr>
              <w:pStyle w:val="Standaard-Tabellen"/>
              <w:spacing w:line="256" w:lineRule="auto"/>
              <w:rPr>
                <w:rFonts w:eastAsia="Calibri"/>
              </w:rPr>
            </w:pPr>
          </w:p>
          <w:p w14:paraId="5112BBAB" w14:textId="77777777" w:rsidR="00147D38" w:rsidRDefault="00147D38" w:rsidP="00147D38">
            <w:pPr>
              <w:pStyle w:val="Standaard-Tabellen"/>
              <w:spacing w:line="256" w:lineRule="auto"/>
              <w:rPr>
                <w:rFonts w:eastAsia="Calibri"/>
              </w:rPr>
            </w:pPr>
          </w:p>
          <w:p w14:paraId="56B66BE2" w14:textId="77777777" w:rsidR="00147D38" w:rsidRDefault="00147D38" w:rsidP="00147D38">
            <w:pPr>
              <w:pStyle w:val="Standaard-Tabellen"/>
              <w:spacing w:line="256" w:lineRule="auto"/>
              <w:rPr>
                <w:rFonts w:eastAsia="Calibri"/>
              </w:rPr>
            </w:pPr>
          </w:p>
          <w:p w14:paraId="2F5591FF" w14:textId="77777777" w:rsidR="00147D38" w:rsidRDefault="00147D38" w:rsidP="00147D38">
            <w:pPr>
              <w:pStyle w:val="Standaard-Tabellen"/>
              <w:spacing w:line="256" w:lineRule="auto"/>
              <w:rPr>
                <w:rFonts w:eastAsia="Calibri"/>
              </w:rPr>
            </w:pPr>
          </w:p>
          <w:p w14:paraId="00CEB5C3" w14:textId="77777777" w:rsidR="00147D38" w:rsidRDefault="00147D38" w:rsidP="00147D38">
            <w:pPr>
              <w:pStyle w:val="Standaard-Tabellen"/>
              <w:spacing w:line="256" w:lineRule="auto"/>
              <w:rPr>
                <w:rFonts w:eastAsia="Calibri"/>
              </w:rPr>
            </w:pPr>
          </w:p>
          <w:p w14:paraId="151FB051" w14:textId="77777777" w:rsidR="00147D38" w:rsidRDefault="00147D38" w:rsidP="00147D38">
            <w:pPr>
              <w:pStyle w:val="Standaard-Tabellen"/>
              <w:spacing w:line="256" w:lineRule="auto"/>
              <w:rPr>
                <w:rFonts w:eastAsia="Calibri"/>
              </w:rPr>
            </w:pPr>
          </w:p>
          <w:p w14:paraId="7BBBC8EC" w14:textId="77777777" w:rsidR="00147D38" w:rsidRDefault="00147D38" w:rsidP="00147D38">
            <w:pPr>
              <w:pStyle w:val="Standaard-Tabellen"/>
              <w:spacing w:line="256" w:lineRule="auto"/>
              <w:rPr>
                <w:rFonts w:eastAsia="Calibri"/>
              </w:rPr>
            </w:pPr>
          </w:p>
          <w:p w14:paraId="6E180599" w14:textId="77777777" w:rsidR="00147D38" w:rsidRDefault="00147D38" w:rsidP="00147D38">
            <w:pPr>
              <w:pStyle w:val="Standaard-Tabellen"/>
              <w:spacing w:line="256" w:lineRule="auto"/>
              <w:rPr>
                <w:rFonts w:eastAsia="Calibri"/>
              </w:rPr>
            </w:pPr>
          </w:p>
          <w:p w14:paraId="2A9BAA8E" w14:textId="77777777" w:rsidR="00147D38" w:rsidRDefault="00147D38" w:rsidP="00147D38">
            <w:pPr>
              <w:pStyle w:val="Standaard-Tabellen"/>
              <w:spacing w:line="256" w:lineRule="auto"/>
              <w:rPr>
                <w:rFonts w:eastAsia="Calibri"/>
              </w:rPr>
            </w:pPr>
          </w:p>
          <w:p w14:paraId="30EAD9AF" w14:textId="77777777" w:rsidR="00147D38" w:rsidRDefault="00147D38" w:rsidP="00147D38">
            <w:pPr>
              <w:pStyle w:val="Standaard-Tabellen"/>
              <w:spacing w:line="256" w:lineRule="auto"/>
              <w:rPr>
                <w:rFonts w:eastAsia="Calibri"/>
              </w:rPr>
            </w:pPr>
          </w:p>
          <w:p w14:paraId="3CADEF15" w14:textId="77777777" w:rsidR="00147D38" w:rsidRDefault="00147D38" w:rsidP="00147D38">
            <w:pPr>
              <w:pStyle w:val="Standaard-Tabellen"/>
              <w:spacing w:line="256" w:lineRule="auto"/>
              <w:rPr>
                <w:rFonts w:eastAsia="Calibri"/>
              </w:rPr>
            </w:pPr>
          </w:p>
          <w:p w14:paraId="77B9D0AB" w14:textId="77777777" w:rsidR="00147D38" w:rsidRDefault="00147D38" w:rsidP="00147D38">
            <w:pPr>
              <w:pStyle w:val="Standaard-Tabellen"/>
              <w:spacing w:line="256" w:lineRule="auto"/>
              <w:rPr>
                <w:rFonts w:eastAsia="Calibri"/>
              </w:rPr>
            </w:pPr>
          </w:p>
          <w:p w14:paraId="2E871A5F" w14:textId="77777777" w:rsidR="00147D38" w:rsidRDefault="00147D38" w:rsidP="00147D38">
            <w:pPr>
              <w:pStyle w:val="Standaard-Tabellen"/>
              <w:spacing w:line="256" w:lineRule="auto"/>
              <w:rPr>
                <w:rFonts w:eastAsia="Calibri"/>
              </w:rPr>
            </w:pPr>
          </w:p>
          <w:p w14:paraId="100B77DF" w14:textId="77777777" w:rsidR="00147D38" w:rsidRDefault="00147D38" w:rsidP="00147D38">
            <w:pPr>
              <w:pStyle w:val="Standaard-Tabellen"/>
              <w:spacing w:line="256" w:lineRule="auto"/>
              <w:rPr>
                <w:rFonts w:eastAsia="Calibri"/>
              </w:rPr>
            </w:pPr>
          </w:p>
          <w:p w14:paraId="230252D2" w14:textId="77777777" w:rsidR="00147D38" w:rsidRDefault="00147D38" w:rsidP="00147D38">
            <w:pPr>
              <w:pStyle w:val="Standaard-Tabellen"/>
              <w:spacing w:line="256" w:lineRule="auto"/>
              <w:rPr>
                <w:rFonts w:eastAsia="Calibri"/>
              </w:rPr>
            </w:pPr>
          </w:p>
          <w:p w14:paraId="2B300D98" w14:textId="65E8440E" w:rsidR="00147D38" w:rsidRDefault="00147D38" w:rsidP="00147D38">
            <w:pPr>
              <w:pStyle w:val="Standaard-Tabellen"/>
              <w:spacing w:line="256" w:lineRule="auto"/>
              <w:rPr>
                <w:rFonts w:eastAsia="Calibri"/>
              </w:rPr>
            </w:pPr>
          </w:p>
          <w:p w14:paraId="1A87A7AD" w14:textId="61386279" w:rsidR="008340DD" w:rsidRDefault="008340DD" w:rsidP="00147D38">
            <w:pPr>
              <w:pStyle w:val="Standaard-Tabellen"/>
              <w:spacing w:line="256" w:lineRule="auto"/>
              <w:rPr>
                <w:rFonts w:eastAsia="Calibri"/>
              </w:rPr>
            </w:pPr>
          </w:p>
          <w:p w14:paraId="4B26B8DD" w14:textId="77777777" w:rsidR="008340DD" w:rsidRDefault="008340DD" w:rsidP="00147D38">
            <w:pPr>
              <w:pStyle w:val="Standaard-Tabellen"/>
              <w:spacing w:line="256" w:lineRule="auto"/>
              <w:rPr>
                <w:rFonts w:eastAsia="Calibri"/>
              </w:rPr>
            </w:pPr>
          </w:p>
          <w:p w14:paraId="6D8648BF" w14:textId="77777777" w:rsidR="00147D38" w:rsidRDefault="00147D38" w:rsidP="00147D38">
            <w:pPr>
              <w:pStyle w:val="Standaard-Tabellen"/>
              <w:spacing w:line="256" w:lineRule="auto"/>
              <w:rPr>
                <w:rFonts w:eastAsia="Calibri"/>
              </w:rPr>
            </w:pPr>
          </w:p>
          <w:p w14:paraId="53A1C0FF" w14:textId="77777777" w:rsidR="00147D38" w:rsidRDefault="00147D38" w:rsidP="00147D38">
            <w:pPr>
              <w:pStyle w:val="Standaard-Tabellen"/>
              <w:spacing w:line="256" w:lineRule="auto"/>
              <w:rPr>
                <w:rFonts w:eastAsia="Calibri"/>
              </w:rPr>
            </w:pPr>
          </w:p>
          <w:p w14:paraId="7F75C8FB" w14:textId="77777777" w:rsidR="00147D38" w:rsidRDefault="00147D38" w:rsidP="00147D38">
            <w:pPr>
              <w:pStyle w:val="Standaard-Tabellen"/>
              <w:spacing w:line="256" w:lineRule="auto"/>
              <w:rPr>
                <w:rFonts w:eastAsia="Calibri"/>
              </w:rPr>
            </w:pPr>
          </w:p>
          <w:p w14:paraId="64AC36EC" w14:textId="77777777" w:rsidR="00147D38" w:rsidRDefault="00147D38" w:rsidP="00147D38">
            <w:pPr>
              <w:pStyle w:val="Standaard-Tabellen"/>
              <w:spacing w:line="256" w:lineRule="auto"/>
              <w:rPr>
                <w:rFonts w:eastAsia="Calibri"/>
              </w:rPr>
            </w:pPr>
          </w:p>
          <w:p w14:paraId="3DC3F1BF" w14:textId="77777777" w:rsidR="00147D38" w:rsidRDefault="00147D38" w:rsidP="00147D38">
            <w:pPr>
              <w:pStyle w:val="Standaard-Tabellen"/>
              <w:spacing w:line="256" w:lineRule="auto"/>
              <w:rPr>
                <w:rFonts w:eastAsia="Calibri"/>
              </w:rPr>
            </w:pPr>
          </w:p>
          <w:p w14:paraId="211E0973" w14:textId="77777777" w:rsidR="00147D38" w:rsidRDefault="00147D38" w:rsidP="00147D38">
            <w:pPr>
              <w:pStyle w:val="Standaard-Tabellen"/>
              <w:spacing w:line="256" w:lineRule="auto"/>
              <w:rPr>
                <w:rFonts w:eastAsia="Calibri"/>
              </w:rPr>
            </w:pPr>
          </w:p>
          <w:p w14:paraId="185D4B2F" w14:textId="77777777" w:rsidR="00147D38" w:rsidRDefault="00147D38" w:rsidP="00147D38">
            <w:pPr>
              <w:pStyle w:val="Standaard-Tabellen"/>
              <w:spacing w:line="256" w:lineRule="auto"/>
              <w:rPr>
                <w:rFonts w:eastAsia="Calibri"/>
              </w:rPr>
            </w:pPr>
          </w:p>
          <w:p w14:paraId="4E1A0BB6" w14:textId="77777777" w:rsidR="00147D38" w:rsidRDefault="00147D38" w:rsidP="00147D38">
            <w:pPr>
              <w:pStyle w:val="Standaard-Tabellen"/>
              <w:spacing w:line="256" w:lineRule="auto"/>
              <w:rPr>
                <w:rFonts w:eastAsia="Calibri"/>
              </w:rPr>
            </w:pPr>
          </w:p>
          <w:p w14:paraId="58402373" w14:textId="77777777" w:rsidR="00147D38" w:rsidRDefault="00147D38" w:rsidP="00147D38">
            <w:pPr>
              <w:pStyle w:val="Standaard-Tabellen"/>
              <w:spacing w:line="256" w:lineRule="auto"/>
              <w:rPr>
                <w:rFonts w:eastAsia="Calibri"/>
              </w:rPr>
            </w:pPr>
          </w:p>
          <w:p w14:paraId="2F9CE6EB" w14:textId="77777777" w:rsidR="00147D38" w:rsidRDefault="00147D38" w:rsidP="00147D38">
            <w:pPr>
              <w:pStyle w:val="Standaard-Tabellen"/>
              <w:spacing w:line="256" w:lineRule="auto"/>
              <w:rPr>
                <w:rFonts w:eastAsia="Calibri"/>
              </w:rPr>
            </w:pPr>
          </w:p>
          <w:p w14:paraId="31538DAE" w14:textId="77777777" w:rsidR="00147D38" w:rsidRDefault="00147D38" w:rsidP="00147D38">
            <w:pPr>
              <w:pStyle w:val="Standaard-Tabellen"/>
              <w:pBdr>
                <w:bottom w:val="single" w:sz="6" w:space="1" w:color="auto"/>
              </w:pBdr>
              <w:spacing w:line="256" w:lineRule="auto"/>
              <w:rPr>
                <w:rFonts w:eastAsia="Calibri"/>
              </w:rPr>
            </w:pPr>
          </w:p>
          <w:p w14:paraId="43DCA083" w14:textId="2A7B8C26" w:rsidR="00E12E4A" w:rsidRPr="00BD2EF1" w:rsidRDefault="00147D38" w:rsidP="00147D38">
            <w:pPr>
              <w:pStyle w:val="Standaard-Tabellen"/>
              <w:rPr>
                <w:rFonts w:eastAsia="Calibri"/>
              </w:rPr>
            </w:pPr>
            <w:r>
              <w:rPr>
                <w:rFonts w:eastAsia="Calibri"/>
              </w:rPr>
              <w:t xml:space="preserve">Report no. 245-005,  </w:t>
            </w:r>
            <w:proofErr w:type="spellStart"/>
            <w:r>
              <w:rPr>
                <w:rFonts w:eastAsia="Calibri"/>
              </w:rPr>
              <w:t>Meinerling</w:t>
            </w:r>
            <w:proofErr w:type="spellEnd"/>
            <w:r>
              <w:rPr>
                <w:rFonts w:eastAsia="Calibri"/>
              </w:rPr>
              <w:t>, M. 2009</w:t>
            </w:r>
          </w:p>
        </w:tc>
      </w:tr>
      <w:tr w:rsidR="00E12E4A" w:rsidRPr="00BD2EF1" w14:paraId="082A1DB6" w14:textId="77777777" w:rsidTr="00147D38">
        <w:tc>
          <w:tcPr>
            <w:tcW w:w="1265" w:type="pct"/>
          </w:tcPr>
          <w:p w14:paraId="51354BC3" w14:textId="35EBDC71" w:rsidR="00E12E4A" w:rsidRPr="00BD2EF1" w:rsidRDefault="00E12E4A" w:rsidP="00E12E4A">
            <w:pPr>
              <w:pStyle w:val="Standaard-Tabellen"/>
              <w:rPr>
                <w:rFonts w:eastAsia="Calibri"/>
              </w:rPr>
            </w:pPr>
            <w:r w:rsidRPr="00BD2EF1">
              <w:rPr>
                <w:rFonts w:eastAsia="Calibri"/>
              </w:rPr>
              <w:lastRenderedPageBreak/>
              <w:t xml:space="preserve">Storage stability test – </w:t>
            </w:r>
            <w:r w:rsidRPr="00BD2EF1">
              <w:rPr>
                <w:rFonts w:eastAsia="Calibri"/>
                <w:b/>
              </w:rPr>
              <w:t>low temperature stability test for liquids</w:t>
            </w:r>
          </w:p>
        </w:tc>
        <w:tc>
          <w:tcPr>
            <w:tcW w:w="831" w:type="pct"/>
          </w:tcPr>
          <w:p w14:paraId="04A8670A" w14:textId="7AD6B14F" w:rsidR="00E12E4A" w:rsidRPr="00BD2EF1" w:rsidRDefault="00E12E4A" w:rsidP="00E12E4A">
            <w:pPr>
              <w:pStyle w:val="Standaard-Tabellen"/>
              <w:rPr>
                <w:rFonts w:eastAsia="Calibri"/>
              </w:rPr>
            </w:pPr>
            <w:r>
              <w:rPr>
                <w:rFonts w:eastAsia="Calibri"/>
              </w:rPr>
              <w:t>CIPAC MT 39.3</w:t>
            </w:r>
          </w:p>
        </w:tc>
        <w:tc>
          <w:tcPr>
            <w:tcW w:w="753" w:type="pct"/>
          </w:tcPr>
          <w:p w14:paraId="24F229C5" w14:textId="77777777" w:rsidR="00E12E4A" w:rsidRDefault="00E12E4A" w:rsidP="00E12E4A">
            <w:pPr>
              <w:pStyle w:val="Standaard-Tabellen"/>
              <w:rPr>
                <w:rFonts w:eastAsia="Calibri"/>
              </w:rPr>
            </w:pPr>
            <w:r>
              <w:rPr>
                <w:rFonts w:eastAsia="Calibri"/>
              </w:rPr>
              <w:t>10.4</w:t>
            </w:r>
          </w:p>
          <w:p w14:paraId="60F27FA0" w14:textId="79393ABD" w:rsidR="00E12E4A" w:rsidRPr="00BD2EF1" w:rsidRDefault="00E12E4A" w:rsidP="00E12E4A">
            <w:pPr>
              <w:pStyle w:val="Standaard-Tabellen"/>
              <w:rPr>
                <w:rFonts w:eastAsia="Calibri"/>
              </w:rPr>
            </w:pPr>
            <w:r>
              <w:rPr>
                <w:rFonts w:eastAsia="Calibri"/>
              </w:rPr>
              <w:t>EU Lotion Formulation</w:t>
            </w:r>
          </w:p>
        </w:tc>
        <w:tc>
          <w:tcPr>
            <w:tcW w:w="1015" w:type="pct"/>
          </w:tcPr>
          <w:p w14:paraId="34C6CDEA" w14:textId="5D9B12D5" w:rsidR="00E12E4A" w:rsidRDefault="00E12E4A" w:rsidP="00E12E4A">
            <w:pPr>
              <w:pStyle w:val="Standaard-Tabellen"/>
              <w:rPr>
                <w:rFonts w:eastAsia="Calibri"/>
              </w:rPr>
            </w:pPr>
            <w:r>
              <w:rPr>
                <w:rFonts w:eastAsia="Calibri"/>
              </w:rPr>
              <w:t xml:space="preserve">A study on a sample with </w:t>
            </w:r>
            <w:r w:rsidRPr="000D1DFB">
              <w:rPr>
                <w:rFonts w:eastAsia="Calibri"/>
              </w:rPr>
              <w:t>slightly deviating composition (no buffer but containing</w:t>
            </w:r>
            <w:r>
              <w:rPr>
                <w:rFonts w:eastAsia="Calibri"/>
              </w:rPr>
              <w:t xml:space="preserve"> preservatives (1 % w/w in total)) was introduced, and gives acceptable results</w:t>
            </w:r>
            <w:r w:rsidR="009C5EA2">
              <w:rPr>
                <w:rFonts w:eastAsia="Calibri"/>
              </w:rPr>
              <w:t>:</w:t>
            </w:r>
          </w:p>
          <w:p w14:paraId="409BEF2F" w14:textId="449CB872" w:rsidR="009C5EA2" w:rsidRDefault="009C5EA2" w:rsidP="00E12E4A">
            <w:pPr>
              <w:pStyle w:val="Standaard-Tabellen"/>
              <w:rPr>
                <w:rFonts w:eastAsia="Calibri"/>
              </w:rPr>
            </w:pPr>
          </w:p>
          <w:p w14:paraId="7D9E74AC" w14:textId="5CE77769" w:rsidR="00FD7375" w:rsidRDefault="00FD7375" w:rsidP="00FD7375">
            <w:pPr>
              <w:pStyle w:val="Standaard-Tabellen"/>
              <w:rPr>
                <w:rFonts w:eastAsia="Calibri"/>
              </w:rPr>
            </w:pPr>
            <w:r w:rsidRPr="006D29C8">
              <w:rPr>
                <w:rFonts w:eastAsia="Calibri"/>
              </w:rPr>
              <w:t xml:space="preserve">- </w:t>
            </w:r>
            <w:r>
              <w:rPr>
                <w:rFonts w:eastAsia="Calibri"/>
              </w:rPr>
              <w:t>A</w:t>
            </w:r>
            <w:r w:rsidRPr="006D29C8">
              <w:rPr>
                <w:rFonts w:eastAsia="Calibri"/>
              </w:rPr>
              <w:t>ppearance</w:t>
            </w:r>
            <w:r>
              <w:rPr>
                <w:rFonts w:eastAsia="Calibri"/>
              </w:rPr>
              <w:t xml:space="preserve"> of the test item: T0: homogenous, white liquid with characteristic odour. No </w:t>
            </w:r>
            <w:r>
              <w:rPr>
                <w:rFonts w:eastAsia="Calibri"/>
              </w:rPr>
              <w:lastRenderedPageBreak/>
              <w:t>separated material.</w:t>
            </w:r>
          </w:p>
          <w:p w14:paraId="72F83E43" w14:textId="60B8B7FD" w:rsidR="00FD7375" w:rsidRDefault="00FD7375" w:rsidP="00FD7375">
            <w:pPr>
              <w:pStyle w:val="Standaard-Tabellen"/>
              <w:rPr>
                <w:rFonts w:eastAsia="Calibri"/>
              </w:rPr>
            </w:pPr>
            <w:r>
              <w:rPr>
                <w:rFonts w:eastAsia="Calibri"/>
              </w:rPr>
              <w:t>T7d: homogenous, white solid with characteristic odour. No separated material.</w:t>
            </w:r>
          </w:p>
          <w:p w14:paraId="4B5CBB60" w14:textId="483BA006" w:rsidR="00FD7375" w:rsidRDefault="00FD7375" w:rsidP="00E12E4A">
            <w:pPr>
              <w:pStyle w:val="Standaard-Tabellen"/>
              <w:rPr>
                <w:rFonts w:eastAsia="Calibri"/>
              </w:rPr>
            </w:pPr>
            <w:r>
              <w:rPr>
                <w:rFonts w:eastAsia="Calibri"/>
              </w:rPr>
              <w:t>T7d + 24h at RT: homogenous, white liquid with characteristic odour. No separated material after one inversion.</w:t>
            </w:r>
          </w:p>
          <w:p w14:paraId="7080934F" w14:textId="2F957318" w:rsidR="00FD7375" w:rsidRPr="00836936" w:rsidRDefault="00FD7375" w:rsidP="00FD7375">
            <w:pPr>
              <w:pStyle w:val="Standaard-Tabellen"/>
              <w:pBdr>
                <w:bottom w:val="single" w:sz="6" w:space="1" w:color="auto"/>
              </w:pBdr>
              <w:rPr>
                <w:rFonts w:eastAsia="Calibri"/>
                <w:lang w:val="en-US"/>
              </w:rPr>
            </w:pPr>
          </w:p>
          <w:p w14:paraId="52170A38" w14:textId="0620167B" w:rsidR="009C5EA2" w:rsidRPr="00BD2EF1" w:rsidRDefault="00FD7375" w:rsidP="00C07E47">
            <w:pPr>
              <w:pStyle w:val="Standaard-Tabellen"/>
              <w:pBdr>
                <w:bottom w:val="single" w:sz="6" w:space="1" w:color="auto"/>
              </w:pBdr>
              <w:rPr>
                <w:rFonts w:eastAsia="Calibri"/>
              </w:rPr>
            </w:pPr>
            <w:r w:rsidRPr="00836936">
              <w:rPr>
                <w:rFonts w:eastAsia="Calibri"/>
                <w:lang w:val="en-US"/>
              </w:rPr>
              <w:t xml:space="preserve">[Storage: </w:t>
            </w:r>
            <w:r>
              <w:rPr>
                <w:rFonts w:eastAsia="Calibri"/>
                <w:lang w:val="en-US"/>
              </w:rPr>
              <w:t>0</w:t>
            </w:r>
            <w:r w:rsidRPr="00836936">
              <w:rPr>
                <w:rFonts w:eastAsia="Calibri"/>
                <w:lang w:val="en-US"/>
              </w:rPr>
              <w:t xml:space="preserve"> ± </w:t>
            </w:r>
            <w:r>
              <w:rPr>
                <w:rFonts w:eastAsia="Calibri"/>
                <w:lang w:val="en-US"/>
              </w:rPr>
              <w:t>1</w:t>
            </w:r>
            <w:r w:rsidRPr="00836936">
              <w:rPr>
                <w:rFonts w:eastAsia="Calibri"/>
                <w:lang w:val="en-US"/>
              </w:rPr>
              <w:t>°C</w:t>
            </w:r>
            <w:r>
              <w:rPr>
                <w:rFonts w:eastAsia="Calibri"/>
                <w:lang w:val="en-US"/>
              </w:rPr>
              <w:t xml:space="preserve"> for 7 days</w:t>
            </w:r>
            <w:r w:rsidR="003649B1">
              <w:rPr>
                <w:rFonts w:eastAsia="Calibri"/>
                <w:lang w:val="en-US"/>
              </w:rPr>
              <w:t>, 100ml PP centrifuge tube</w:t>
            </w:r>
            <w:r w:rsidRPr="00836936">
              <w:rPr>
                <w:rFonts w:eastAsia="Calibri"/>
                <w:lang w:val="en-US"/>
              </w:rPr>
              <w:t>]</w:t>
            </w:r>
          </w:p>
        </w:tc>
        <w:tc>
          <w:tcPr>
            <w:tcW w:w="1137" w:type="pct"/>
          </w:tcPr>
          <w:p w14:paraId="11A034AC" w14:textId="77777777" w:rsidR="00147D38" w:rsidRDefault="00147D38" w:rsidP="00147D38">
            <w:pPr>
              <w:pStyle w:val="Standaard-Tabellen"/>
              <w:spacing w:line="256" w:lineRule="auto"/>
              <w:rPr>
                <w:rFonts w:eastAsia="Calibri"/>
              </w:rPr>
            </w:pPr>
            <w:r>
              <w:rPr>
                <w:rFonts w:eastAsia="Calibri"/>
              </w:rPr>
              <w:lastRenderedPageBreak/>
              <w:t xml:space="preserve">Report no. 63194204, </w:t>
            </w:r>
            <w:proofErr w:type="spellStart"/>
            <w:r>
              <w:rPr>
                <w:rFonts w:eastAsia="Calibri"/>
              </w:rPr>
              <w:t>Meinerling</w:t>
            </w:r>
            <w:proofErr w:type="spellEnd"/>
            <w:r>
              <w:rPr>
                <w:rFonts w:eastAsia="Calibri"/>
              </w:rPr>
              <w:t>, M. 2011</w:t>
            </w:r>
          </w:p>
          <w:p w14:paraId="58EFF22A" w14:textId="722C83E5" w:rsidR="00E12E4A" w:rsidRPr="00BD2EF1" w:rsidRDefault="00E12E4A" w:rsidP="00E12E4A">
            <w:pPr>
              <w:pStyle w:val="Standaard-Tabellen"/>
              <w:rPr>
                <w:rFonts w:eastAsia="Calibri"/>
              </w:rPr>
            </w:pPr>
          </w:p>
        </w:tc>
      </w:tr>
      <w:tr w:rsidR="00147D38" w:rsidRPr="00BD2EF1" w14:paraId="2903EF8D" w14:textId="77777777" w:rsidTr="00147D38">
        <w:tc>
          <w:tcPr>
            <w:tcW w:w="1265" w:type="pct"/>
          </w:tcPr>
          <w:p w14:paraId="52C28A89" w14:textId="3AD4E2E5" w:rsidR="00147D38" w:rsidRPr="00BD2EF1" w:rsidRDefault="00147D38" w:rsidP="00147D38">
            <w:pPr>
              <w:pStyle w:val="Standaard-Tabellen"/>
              <w:rPr>
                <w:rFonts w:eastAsia="Calibri"/>
              </w:rPr>
            </w:pPr>
            <w:r w:rsidRPr="00BD2EF1">
              <w:rPr>
                <w:rFonts w:eastAsia="Calibri"/>
              </w:rPr>
              <w:t xml:space="preserve">Effects on content of the active substance and technical characteristics of the biocidal product - </w:t>
            </w:r>
            <w:r w:rsidRPr="00BD2EF1">
              <w:rPr>
                <w:rFonts w:eastAsia="Calibri"/>
                <w:b/>
              </w:rPr>
              <w:t>ligh</w:t>
            </w:r>
            <w:r w:rsidRPr="00BD2EF1">
              <w:rPr>
                <w:rFonts w:eastAsia="Calibri"/>
              </w:rPr>
              <w:t>t</w:t>
            </w:r>
          </w:p>
        </w:tc>
        <w:tc>
          <w:tcPr>
            <w:tcW w:w="831" w:type="pct"/>
          </w:tcPr>
          <w:p w14:paraId="0C49852F" w14:textId="753339D8" w:rsidR="00147D38" w:rsidRPr="00BD2EF1" w:rsidRDefault="00147D38" w:rsidP="00147D38">
            <w:pPr>
              <w:pStyle w:val="Standaard-Tabellen"/>
              <w:rPr>
                <w:rFonts w:eastAsia="Calibri"/>
              </w:rPr>
            </w:pPr>
            <w:r>
              <w:rPr>
                <w:rFonts w:eastAsia="Calibri"/>
              </w:rPr>
              <w:t>Waived</w:t>
            </w:r>
          </w:p>
        </w:tc>
        <w:tc>
          <w:tcPr>
            <w:tcW w:w="753" w:type="pct"/>
          </w:tcPr>
          <w:p w14:paraId="7B8726A0" w14:textId="11337E11" w:rsidR="00147D38" w:rsidRPr="00BD2EF1" w:rsidRDefault="00147D38" w:rsidP="00147D38">
            <w:pPr>
              <w:pStyle w:val="Standaard-Tabellen"/>
              <w:rPr>
                <w:rFonts w:eastAsia="Calibri"/>
              </w:rPr>
            </w:pPr>
            <w:r>
              <w:rPr>
                <w:rFonts w:eastAsia="Calibri"/>
              </w:rPr>
              <w:t>/</w:t>
            </w:r>
          </w:p>
        </w:tc>
        <w:tc>
          <w:tcPr>
            <w:tcW w:w="1015" w:type="pct"/>
          </w:tcPr>
          <w:p w14:paraId="0AE1BE11" w14:textId="3E4C1D80" w:rsidR="00147D38" w:rsidRPr="00BD2EF1" w:rsidRDefault="00147D38" w:rsidP="00147D38">
            <w:pPr>
              <w:pStyle w:val="Standaard-Tabellen"/>
              <w:rPr>
                <w:rFonts w:eastAsia="Calibri"/>
              </w:rPr>
            </w:pPr>
            <w:r w:rsidRPr="007013EF">
              <w:rPr>
                <w:rFonts w:eastAsia="Calibri"/>
              </w:rPr>
              <w:t xml:space="preserve">The product is intended to be placed on the market in lightproof </w:t>
            </w:r>
            <w:r>
              <w:rPr>
                <w:rFonts w:eastAsia="Calibri"/>
              </w:rPr>
              <w:t>plastic packaging</w:t>
            </w:r>
            <w:r w:rsidRPr="007013EF">
              <w:rPr>
                <w:rFonts w:eastAsia="Calibri"/>
              </w:rPr>
              <w:t>, so that the effect of light can be excluded.</w:t>
            </w:r>
          </w:p>
        </w:tc>
        <w:tc>
          <w:tcPr>
            <w:tcW w:w="1137" w:type="pct"/>
          </w:tcPr>
          <w:p w14:paraId="1145420F" w14:textId="6EF10359" w:rsidR="00147D38" w:rsidRPr="00BD2EF1" w:rsidRDefault="00147D38" w:rsidP="00147D38">
            <w:pPr>
              <w:pStyle w:val="Standaard-Tabellen"/>
              <w:rPr>
                <w:rFonts w:eastAsia="Calibri"/>
              </w:rPr>
            </w:pPr>
            <w:r>
              <w:rPr>
                <w:rFonts w:eastAsia="Calibri"/>
              </w:rPr>
              <w:t>/</w:t>
            </w:r>
          </w:p>
        </w:tc>
      </w:tr>
      <w:tr w:rsidR="00147D38" w:rsidRPr="00BD2EF1" w14:paraId="24AD00CC" w14:textId="77777777" w:rsidTr="00147D38">
        <w:tc>
          <w:tcPr>
            <w:tcW w:w="1265" w:type="pct"/>
          </w:tcPr>
          <w:p w14:paraId="1709AD3F" w14:textId="72A5E478" w:rsidR="00147D38" w:rsidRPr="00BD2EF1" w:rsidRDefault="00147D38" w:rsidP="00147D38">
            <w:pPr>
              <w:pStyle w:val="Standaard-Tabellen"/>
              <w:rPr>
                <w:rFonts w:eastAsia="Calibri"/>
              </w:rPr>
            </w:pPr>
            <w:r w:rsidRPr="00BD2EF1">
              <w:rPr>
                <w:rFonts w:eastAsia="Calibri"/>
              </w:rPr>
              <w:t xml:space="preserve">Effects on content of the active substance and technical characteristics of the biocidal product – </w:t>
            </w:r>
            <w:r w:rsidRPr="00BD2EF1">
              <w:rPr>
                <w:rFonts w:eastAsia="Calibri"/>
                <w:b/>
              </w:rPr>
              <w:t>temperature and humidity</w:t>
            </w:r>
          </w:p>
        </w:tc>
        <w:tc>
          <w:tcPr>
            <w:tcW w:w="831" w:type="pct"/>
          </w:tcPr>
          <w:p w14:paraId="69480620" w14:textId="24D8BE2C" w:rsidR="00147D38" w:rsidRPr="00BD2EF1" w:rsidRDefault="00147D38" w:rsidP="00147D38">
            <w:pPr>
              <w:pStyle w:val="Standaard-Tabellen"/>
              <w:rPr>
                <w:rFonts w:eastAsia="Calibri"/>
              </w:rPr>
            </w:pPr>
            <w:r>
              <w:rPr>
                <w:rFonts w:eastAsia="Calibri"/>
              </w:rPr>
              <w:t>Waived</w:t>
            </w:r>
          </w:p>
        </w:tc>
        <w:tc>
          <w:tcPr>
            <w:tcW w:w="753" w:type="pct"/>
          </w:tcPr>
          <w:p w14:paraId="0B1FFB54" w14:textId="0775D6D7" w:rsidR="00147D38" w:rsidRPr="00BD2EF1" w:rsidRDefault="00147D38" w:rsidP="00147D38">
            <w:pPr>
              <w:pStyle w:val="Standaard-Tabellen"/>
              <w:rPr>
                <w:rFonts w:eastAsia="Calibri"/>
              </w:rPr>
            </w:pPr>
            <w:r>
              <w:rPr>
                <w:rFonts w:eastAsia="Calibri"/>
              </w:rPr>
              <w:t>/</w:t>
            </w:r>
          </w:p>
        </w:tc>
        <w:tc>
          <w:tcPr>
            <w:tcW w:w="1015" w:type="pct"/>
          </w:tcPr>
          <w:p w14:paraId="42315BC9" w14:textId="77777777" w:rsidR="00BF1682" w:rsidRPr="00BF1682" w:rsidRDefault="00BF1682" w:rsidP="00BF1682">
            <w:pPr>
              <w:pStyle w:val="Standaard-Tabellen"/>
              <w:rPr>
                <w:rFonts w:eastAsia="Calibri"/>
              </w:rPr>
            </w:pPr>
            <w:r w:rsidRPr="00BF1682">
              <w:rPr>
                <w:rFonts w:eastAsia="Calibri"/>
              </w:rPr>
              <w:t>- Since the product is tightly</w:t>
            </w:r>
          </w:p>
          <w:p w14:paraId="7A9B16D7" w14:textId="77777777" w:rsidR="00BF1682" w:rsidRPr="00BF1682" w:rsidRDefault="00BF1682" w:rsidP="00BF1682">
            <w:pPr>
              <w:pStyle w:val="Standaard-Tabellen"/>
              <w:rPr>
                <w:rFonts w:eastAsia="Calibri"/>
              </w:rPr>
            </w:pPr>
            <w:r w:rsidRPr="00BF1682">
              <w:rPr>
                <w:rFonts w:eastAsia="Calibri"/>
              </w:rPr>
              <w:t>closed there are no effects</w:t>
            </w:r>
          </w:p>
          <w:p w14:paraId="2AC83ABB" w14:textId="6D395C52" w:rsidR="00BF1682" w:rsidRDefault="00BF1682" w:rsidP="00BF1682">
            <w:pPr>
              <w:pStyle w:val="Standaard-Tabellen"/>
              <w:rPr>
                <w:rFonts w:eastAsia="Calibri"/>
              </w:rPr>
            </w:pPr>
            <w:r w:rsidRPr="00BF1682">
              <w:rPr>
                <w:rFonts w:eastAsia="Calibri"/>
              </w:rPr>
              <w:t>due to humidity.</w:t>
            </w:r>
          </w:p>
          <w:p w14:paraId="4C97A954" w14:textId="77777777" w:rsidR="00BF1682" w:rsidRPr="00BF1682" w:rsidRDefault="00BF1682" w:rsidP="00BF1682">
            <w:pPr>
              <w:pStyle w:val="Standaard-Tabellen"/>
              <w:rPr>
                <w:rFonts w:eastAsia="Calibri"/>
              </w:rPr>
            </w:pPr>
          </w:p>
          <w:p w14:paraId="5E81DEE4" w14:textId="77777777" w:rsidR="00BF1682" w:rsidRPr="00BF1682" w:rsidRDefault="00BF1682" w:rsidP="00BF1682">
            <w:pPr>
              <w:pStyle w:val="Standaard-Tabellen"/>
              <w:rPr>
                <w:rFonts w:eastAsia="Calibri"/>
              </w:rPr>
            </w:pPr>
            <w:r w:rsidRPr="00BF1682">
              <w:rPr>
                <w:rFonts w:eastAsia="Calibri"/>
              </w:rPr>
              <w:t>- Effects of temperature have</w:t>
            </w:r>
          </w:p>
          <w:p w14:paraId="3750AB31" w14:textId="77777777" w:rsidR="00BF1682" w:rsidRPr="00BF1682" w:rsidRDefault="00BF1682" w:rsidP="00BF1682">
            <w:pPr>
              <w:pStyle w:val="Standaard-Tabellen"/>
              <w:rPr>
                <w:rFonts w:eastAsia="Calibri"/>
              </w:rPr>
            </w:pPr>
            <w:r w:rsidRPr="00BF1682">
              <w:rPr>
                <w:rFonts w:eastAsia="Calibri"/>
              </w:rPr>
              <w:t>been studied during the</w:t>
            </w:r>
          </w:p>
          <w:p w14:paraId="2CC452E4" w14:textId="77777777" w:rsidR="00BF1682" w:rsidRPr="00BF1682" w:rsidRDefault="00BF1682" w:rsidP="00BF1682">
            <w:pPr>
              <w:pStyle w:val="Standaard-Tabellen"/>
              <w:rPr>
                <w:rFonts w:eastAsia="Calibri"/>
              </w:rPr>
            </w:pPr>
            <w:r w:rsidRPr="00BF1682">
              <w:rPr>
                <w:rFonts w:eastAsia="Calibri"/>
              </w:rPr>
              <w:t>storage stability tests (see</w:t>
            </w:r>
          </w:p>
          <w:p w14:paraId="02ACB160" w14:textId="77777777" w:rsidR="00BF1682" w:rsidRPr="00BF1682" w:rsidRDefault="00BF1682" w:rsidP="00BF1682">
            <w:pPr>
              <w:pStyle w:val="Standaard-Tabellen"/>
              <w:rPr>
                <w:rFonts w:eastAsia="Calibri"/>
              </w:rPr>
            </w:pPr>
            <w:r w:rsidRPr="00BF1682">
              <w:rPr>
                <w:rFonts w:eastAsia="Calibri"/>
              </w:rPr>
              <w:t>above). The product should</w:t>
            </w:r>
          </w:p>
          <w:p w14:paraId="361D5A5C" w14:textId="77777777" w:rsidR="00BF1682" w:rsidRPr="00BF1682" w:rsidRDefault="00BF1682" w:rsidP="00BF1682">
            <w:pPr>
              <w:pStyle w:val="Standaard-Tabellen"/>
              <w:rPr>
                <w:rFonts w:eastAsia="Calibri"/>
              </w:rPr>
            </w:pPr>
            <w:r w:rsidRPr="00BF1682">
              <w:rPr>
                <w:rFonts w:eastAsia="Calibri"/>
              </w:rPr>
              <w:t>not be stored for prolonged</w:t>
            </w:r>
          </w:p>
          <w:p w14:paraId="1F2054E4" w14:textId="77777777" w:rsidR="00BF1682" w:rsidRPr="00BF1682" w:rsidRDefault="00BF1682" w:rsidP="00BF1682">
            <w:pPr>
              <w:pStyle w:val="Standaard-Tabellen"/>
              <w:rPr>
                <w:rFonts w:eastAsia="Calibri"/>
              </w:rPr>
            </w:pPr>
            <w:r w:rsidRPr="00BF1682">
              <w:rPr>
                <w:rFonts w:eastAsia="Calibri"/>
              </w:rPr>
              <w:t>times at temperatures</w:t>
            </w:r>
          </w:p>
          <w:p w14:paraId="64F98919" w14:textId="694412CE" w:rsidR="00147D38" w:rsidRPr="00BD2EF1" w:rsidRDefault="00BF1682" w:rsidP="00BF1682">
            <w:pPr>
              <w:pStyle w:val="Standaard-Tabellen"/>
              <w:rPr>
                <w:rFonts w:eastAsia="Calibri"/>
              </w:rPr>
            </w:pPr>
            <w:r w:rsidRPr="00BF1682">
              <w:rPr>
                <w:rFonts w:eastAsia="Calibri"/>
              </w:rPr>
              <w:t>&gt;40°C.</w:t>
            </w:r>
          </w:p>
        </w:tc>
        <w:tc>
          <w:tcPr>
            <w:tcW w:w="1137" w:type="pct"/>
          </w:tcPr>
          <w:p w14:paraId="540D7E24" w14:textId="6059AC3D" w:rsidR="00147D38" w:rsidRPr="00BD2EF1" w:rsidRDefault="00147D38" w:rsidP="00147D38">
            <w:pPr>
              <w:pStyle w:val="Standaard-Tabellen"/>
              <w:rPr>
                <w:rFonts w:eastAsia="Calibri"/>
              </w:rPr>
            </w:pPr>
            <w:r>
              <w:rPr>
                <w:rFonts w:eastAsia="Calibri"/>
              </w:rPr>
              <w:t>/</w:t>
            </w:r>
          </w:p>
        </w:tc>
      </w:tr>
      <w:tr w:rsidR="00147D38" w:rsidRPr="00BD2EF1" w14:paraId="1ADA010B" w14:textId="77777777" w:rsidTr="00147D38">
        <w:tc>
          <w:tcPr>
            <w:tcW w:w="1265" w:type="pct"/>
          </w:tcPr>
          <w:p w14:paraId="1C046429" w14:textId="645A94AB" w:rsidR="00147D38" w:rsidRPr="00BD2EF1" w:rsidRDefault="00147D38" w:rsidP="00147D38">
            <w:pPr>
              <w:pStyle w:val="Standaard-Tabellen"/>
              <w:rPr>
                <w:rFonts w:eastAsia="Calibri"/>
              </w:rPr>
            </w:pPr>
            <w:r w:rsidRPr="00BD2EF1">
              <w:rPr>
                <w:rFonts w:eastAsia="Calibri"/>
              </w:rPr>
              <w:lastRenderedPageBreak/>
              <w:t>Effects on content of the active substance and technical characteristics of the biocidal product - reactivity towards container material</w:t>
            </w:r>
          </w:p>
        </w:tc>
        <w:tc>
          <w:tcPr>
            <w:tcW w:w="831" w:type="pct"/>
          </w:tcPr>
          <w:p w14:paraId="6F832866" w14:textId="4955008F" w:rsidR="00147D38" w:rsidRPr="00BD2EF1" w:rsidRDefault="00147D38" w:rsidP="00147D38">
            <w:pPr>
              <w:pStyle w:val="Standaard-Tabellen"/>
              <w:rPr>
                <w:rFonts w:eastAsia="Calibri"/>
              </w:rPr>
            </w:pPr>
            <w:r w:rsidRPr="009A3CD8">
              <w:rPr>
                <w:rFonts w:eastAsia="Calibri"/>
              </w:rPr>
              <w:t>Organoleptic</w:t>
            </w:r>
          </w:p>
        </w:tc>
        <w:tc>
          <w:tcPr>
            <w:tcW w:w="753" w:type="pct"/>
          </w:tcPr>
          <w:p w14:paraId="61591F65" w14:textId="77777777" w:rsidR="00147D38" w:rsidRPr="00E12E4A" w:rsidRDefault="00147D38" w:rsidP="00147D38">
            <w:pPr>
              <w:pStyle w:val="Standaard-Tabellen"/>
              <w:rPr>
                <w:rFonts w:eastAsia="Calibri"/>
                <w:lang w:val="fr-BE"/>
              </w:rPr>
            </w:pPr>
            <w:r w:rsidRPr="00E12E4A">
              <w:rPr>
                <w:rFonts w:eastAsia="Calibri"/>
                <w:lang w:val="fr-BE"/>
              </w:rPr>
              <w:t>10.23</w:t>
            </w:r>
          </w:p>
          <w:p w14:paraId="33164022" w14:textId="77777777" w:rsidR="00147D38" w:rsidRPr="00E12E4A" w:rsidRDefault="00147D38" w:rsidP="00147D38">
            <w:pPr>
              <w:pStyle w:val="Standaard-Tabellen"/>
              <w:rPr>
                <w:rFonts w:eastAsia="Calibri"/>
                <w:lang w:val="fr-BE"/>
              </w:rPr>
            </w:pPr>
            <w:proofErr w:type="spellStart"/>
            <w:r w:rsidRPr="00E12E4A">
              <w:rPr>
                <w:rFonts w:eastAsia="Calibri"/>
                <w:lang w:val="fr-BE"/>
              </w:rPr>
              <w:t>Insect</w:t>
            </w:r>
            <w:proofErr w:type="spellEnd"/>
            <w:r w:rsidRPr="00E12E4A">
              <w:rPr>
                <w:rFonts w:eastAsia="Calibri"/>
                <w:lang w:val="fr-BE"/>
              </w:rPr>
              <w:t xml:space="preserve"> Repellent Lotion IR3535</w:t>
            </w:r>
            <w:r w:rsidRPr="00E12E4A">
              <w:rPr>
                <w:rFonts w:eastAsia="Calibri"/>
                <w:vertAlign w:val="superscript"/>
                <w:lang w:val="fr-BE"/>
              </w:rPr>
              <w:t>®</w:t>
            </w:r>
            <w:r w:rsidRPr="00E12E4A">
              <w:rPr>
                <w:rFonts w:eastAsia="Calibri"/>
                <w:lang w:val="fr-BE"/>
              </w:rPr>
              <w:t xml:space="preserve"> 10%</w:t>
            </w:r>
          </w:p>
          <w:p w14:paraId="77A7150A" w14:textId="77777777" w:rsidR="00147D38" w:rsidRPr="00E12E4A" w:rsidRDefault="00147D38" w:rsidP="00147D38">
            <w:pPr>
              <w:pStyle w:val="Standaard-Tabellen"/>
              <w:rPr>
                <w:rFonts w:eastAsia="Calibri"/>
                <w:lang w:val="fr-BE"/>
              </w:rPr>
            </w:pPr>
            <w:r w:rsidRPr="00E12E4A">
              <w:rPr>
                <w:rFonts w:eastAsia="Calibri"/>
                <w:lang w:val="fr-BE"/>
              </w:rPr>
              <w:t>9.7</w:t>
            </w:r>
          </w:p>
          <w:p w14:paraId="239F9498" w14:textId="5FDF25C7" w:rsidR="00147D38" w:rsidRPr="00E12E4A" w:rsidRDefault="00147D38" w:rsidP="00147D38">
            <w:pPr>
              <w:pStyle w:val="Standaard-Tabellen"/>
              <w:rPr>
                <w:rFonts w:eastAsia="Calibri"/>
                <w:lang w:val="fr-BE"/>
              </w:rPr>
            </w:pPr>
            <w:r w:rsidRPr="00E12E4A">
              <w:rPr>
                <w:rFonts w:eastAsia="Calibri"/>
                <w:lang w:val="fr-BE"/>
              </w:rPr>
              <w:t>EU Lotion Formulation</w:t>
            </w:r>
          </w:p>
        </w:tc>
        <w:tc>
          <w:tcPr>
            <w:tcW w:w="1015" w:type="pct"/>
          </w:tcPr>
          <w:p w14:paraId="3C14431E" w14:textId="56110B53" w:rsidR="00147D38" w:rsidRPr="00BD2EF1" w:rsidRDefault="00147D38" w:rsidP="00147D38">
            <w:pPr>
              <w:pStyle w:val="Standaard-Tabellen"/>
              <w:rPr>
                <w:rFonts w:eastAsia="Calibri"/>
              </w:rPr>
            </w:pPr>
            <w:r>
              <w:rPr>
                <w:rFonts w:eastAsia="Calibri"/>
              </w:rPr>
              <w:t>N</w:t>
            </w:r>
            <w:r w:rsidRPr="008C4AC2">
              <w:rPr>
                <w:rFonts w:eastAsia="Calibri"/>
              </w:rPr>
              <w:t>o reactivity towards container material was observed</w:t>
            </w:r>
            <w:r>
              <w:rPr>
                <w:rFonts w:eastAsia="Calibri"/>
              </w:rPr>
              <w:t xml:space="preserve"> during accelerated storage at 40 °C and during long term storage at ambient temperature.</w:t>
            </w:r>
            <w:r w:rsidR="005D678E">
              <w:rPr>
                <w:rFonts w:eastAsia="Calibri"/>
              </w:rPr>
              <w:t xml:space="preserve"> Refer to s</w:t>
            </w:r>
            <w:r w:rsidR="005D678E" w:rsidRPr="005B163C">
              <w:rPr>
                <w:rFonts w:eastAsia="Calibri"/>
              </w:rPr>
              <w:t>torage stability test</w:t>
            </w:r>
            <w:r w:rsidR="005D678E">
              <w:rPr>
                <w:rFonts w:eastAsia="Calibri"/>
              </w:rPr>
              <w:t>s</w:t>
            </w:r>
            <w:r w:rsidR="00BF1682">
              <w:rPr>
                <w:rFonts w:eastAsia="Calibri"/>
              </w:rPr>
              <w:t xml:space="preserve"> (see above)</w:t>
            </w:r>
          </w:p>
        </w:tc>
        <w:tc>
          <w:tcPr>
            <w:tcW w:w="1137" w:type="pct"/>
          </w:tcPr>
          <w:p w14:paraId="42EAF2E5" w14:textId="77777777" w:rsidR="00147D38" w:rsidRDefault="00147D38" w:rsidP="00147D38">
            <w:pPr>
              <w:pStyle w:val="Standaard-Tabellen"/>
              <w:spacing w:line="256" w:lineRule="auto"/>
              <w:rPr>
                <w:rFonts w:eastAsia="Calibri"/>
              </w:rPr>
            </w:pPr>
            <w:r>
              <w:rPr>
                <w:rFonts w:eastAsia="Calibri"/>
              </w:rPr>
              <w:t xml:space="preserve">Report no. 98322204, </w:t>
            </w:r>
            <w:proofErr w:type="spellStart"/>
            <w:r>
              <w:rPr>
                <w:rFonts w:eastAsia="Calibri"/>
              </w:rPr>
              <w:t>Fieseler</w:t>
            </w:r>
            <w:proofErr w:type="spellEnd"/>
            <w:r>
              <w:rPr>
                <w:rFonts w:eastAsia="Calibri"/>
              </w:rPr>
              <w:t>, A. 2015</w:t>
            </w:r>
          </w:p>
          <w:p w14:paraId="1F0B982F" w14:textId="71F7044E" w:rsidR="00147D38" w:rsidRPr="00BD2EF1" w:rsidRDefault="00147D38" w:rsidP="00147D38">
            <w:pPr>
              <w:pStyle w:val="Standaard-Tabellen"/>
              <w:rPr>
                <w:rFonts w:eastAsia="Calibri"/>
              </w:rPr>
            </w:pPr>
            <w:r>
              <w:rPr>
                <w:rFonts w:eastAsia="Calibri"/>
              </w:rPr>
              <w:t xml:space="preserve">Report no. 245-005,  </w:t>
            </w:r>
            <w:proofErr w:type="spellStart"/>
            <w:r>
              <w:rPr>
                <w:rFonts w:eastAsia="Calibri"/>
              </w:rPr>
              <w:t>Meinerling</w:t>
            </w:r>
            <w:proofErr w:type="spellEnd"/>
            <w:r>
              <w:rPr>
                <w:rFonts w:eastAsia="Calibri"/>
              </w:rPr>
              <w:t>, M. 2009</w:t>
            </w:r>
          </w:p>
        </w:tc>
      </w:tr>
      <w:tr w:rsidR="00147D38" w:rsidRPr="00BD2EF1" w14:paraId="2608C1A4" w14:textId="77777777" w:rsidTr="00147D38">
        <w:tc>
          <w:tcPr>
            <w:tcW w:w="1265" w:type="pct"/>
          </w:tcPr>
          <w:p w14:paraId="3866BECA" w14:textId="7A380E09" w:rsidR="00147D38" w:rsidRPr="00BD2EF1" w:rsidRDefault="00147D38" w:rsidP="00147D38">
            <w:pPr>
              <w:pStyle w:val="Standaard-Tabellen"/>
              <w:rPr>
                <w:rFonts w:eastAsia="Calibri"/>
              </w:rPr>
            </w:pPr>
            <w:r w:rsidRPr="00BD2EF1">
              <w:rPr>
                <w:rFonts w:eastAsia="Calibri"/>
              </w:rPr>
              <w:t>Wettability</w:t>
            </w:r>
          </w:p>
        </w:tc>
        <w:tc>
          <w:tcPr>
            <w:tcW w:w="831" w:type="pct"/>
          </w:tcPr>
          <w:p w14:paraId="58B22346" w14:textId="5C7F5449" w:rsidR="00147D38" w:rsidRPr="00BD2EF1" w:rsidRDefault="00147D38" w:rsidP="00147D38">
            <w:pPr>
              <w:pStyle w:val="Standaard-Tabellen"/>
              <w:rPr>
                <w:rFonts w:eastAsia="Calibri"/>
              </w:rPr>
            </w:pPr>
            <w:r>
              <w:rPr>
                <w:rFonts w:eastAsia="Calibri"/>
              </w:rPr>
              <w:t>Waived</w:t>
            </w:r>
          </w:p>
        </w:tc>
        <w:tc>
          <w:tcPr>
            <w:tcW w:w="753" w:type="pct"/>
          </w:tcPr>
          <w:p w14:paraId="450010BE" w14:textId="47A991BD" w:rsidR="00147D38" w:rsidRPr="00BD2EF1" w:rsidRDefault="00147D38" w:rsidP="00147D38">
            <w:pPr>
              <w:pStyle w:val="Standaard-Tabellen"/>
              <w:rPr>
                <w:rFonts w:eastAsia="Calibri"/>
              </w:rPr>
            </w:pPr>
            <w:r>
              <w:rPr>
                <w:rFonts w:eastAsia="Calibri"/>
              </w:rPr>
              <w:t>/</w:t>
            </w:r>
          </w:p>
        </w:tc>
        <w:tc>
          <w:tcPr>
            <w:tcW w:w="1015" w:type="pct"/>
          </w:tcPr>
          <w:p w14:paraId="2E8F1A79" w14:textId="3BD21262" w:rsidR="00147D38" w:rsidRPr="00BD2EF1" w:rsidRDefault="00147D38" w:rsidP="00147D38">
            <w:pPr>
              <w:pStyle w:val="Standaard-Tabellen"/>
              <w:rPr>
                <w:rFonts w:eastAsia="Calibri"/>
              </w:rPr>
            </w:pPr>
            <w:r>
              <w:rPr>
                <w:rFonts w:eastAsia="Calibri"/>
              </w:rPr>
              <w:t>Not applicable, product is not a solid.</w:t>
            </w:r>
          </w:p>
        </w:tc>
        <w:tc>
          <w:tcPr>
            <w:tcW w:w="1137" w:type="pct"/>
          </w:tcPr>
          <w:p w14:paraId="42F75871" w14:textId="0006CF0C" w:rsidR="00147D38" w:rsidRPr="00BD2EF1" w:rsidRDefault="00147D38" w:rsidP="00147D38">
            <w:pPr>
              <w:pStyle w:val="Standaard-Tabellen"/>
              <w:rPr>
                <w:rFonts w:eastAsia="Calibri"/>
              </w:rPr>
            </w:pPr>
            <w:r>
              <w:rPr>
                <w:rFonts w:eastAsia="Calibri"/>
              </w:rPr>
              <w:t>/</w:t>
            </w:r>
          </w:p>
        </w:tc>
      </w:tr>
      <w:tr w:rsidR="00147D38" w:rsidRPr="00BD2EF1" w14:paraId="34AAA00F" w14:textId="77777777" w:rsidTr="00147D38">
        <w:tc>
          <w:tcPr>
            <w:tcW w:w="1265" w:type="pct"/>
          </w:tcPr>
          <w:p w14:paraId="38F97B35" w14:textId="0835C1A6" w:rsidR="00147D38" w:rsidRPr="00BD2EF1" w:rsidRDefault="00147D38" w:rsidP="00147D38">
            <w:pPr>
              <w:pStyle w:val="Standaard-Tabellen"/>
              <w:rPr>
                <w:rFonts w:eastAsia="Calibri"/>
              </w:rPr>
            </w:pPr>
            <w:r w:rsidRPr="00BD2EF1">
              <w:rPr>
                <w:rFonts w:eastAsia="Calibri"/>
              </w:rPr>
              <w:t>Suspensibility, spontaneity and dispersion stability</w:t>
            </w:r>
          </w:p>
        </w:tc>
        <w:tc>
          <w:tcPr>
            <w:tcW w:w="831" w:type="pct"/>
          </w:tcPr>
          <w:p w14:paraId="55F876CC" w14:textId="2BFB9E57" w:rsidR="00147D38" w:rsidRPr="00BD2EF1" w:rsidRDefault="00147D38" w:rsidP="00147D38">
            <w:pPr>
              <w:pStyle w:val="Standaard-Tabellen"/>
              <w:rPr>
                <w:rFonts w:eastAsia="Calibri"/>
              </w:rPr>
            </w:pPr>
            <w:r>
              <w:rPr>
                <w:rFonts w:eastAsia="Calibri"/>
              </w:rPr>
              <w:t>Waived</w:t>
            </w:r>
          </w:p>
        </w:tc>
        <w:tc>
          <w:tcPr>
            <w:tcW w:w="753" w:type="pct"/>
          </w:tcPr>
          <w:p w14:paraId="37F24215" w14:textId="75813938" w:rsidR="00147D38" w:rsidRPr="00BD2EF1" w:rsidRDefault="00147D38" w:rsidP="00147D38">
            <w:pPr>
              <w:pStyle w:val="Standaard-Tabellen"/>
              <w:rPr>
                <w:rFonts w:eastAsia="Calibri"/>
              </w:rPr>
            </w:pPr>
            <w:r>
              <w:rPr>
                <w:rFonts w:eastAsia="Calibri"/>
              </w:rPr>
              <w:t>/</w:t>
            </w:r>
          </w:p>
        </w:tc>
        <w:tc>
          <w:tcPr>
            <w:tcW w:w="1015" w:type="pct"/>
          </w:tcPr>
          <w:p w14:paraId="63DDEE87" w14:textId="4C4D4402" w:rsidR="00147D38" w:rsidRPr="00BD2EF1" w:rsidRDefault="00147D38" w:rsidP="00147D38">
            <w:pPr>
              <w:pStyle w:val="Standaard-Tabellen"/>
              <w:rPr>
                <w:rFonts w:eastAsia="Calibri"/>
              </w:rPr>
            </w:pPr>
            <w:r>
              <w:rPr>
                <w:rFonts w:eastAsia="Calibri"/>
              </w:rPr>
              <w:t>Not applicable, product is ready for use and not intended to be diluted.</w:t>
            </w:r>
          </w:p>
        </w:tc>
        <w:tc>
          <w:tcPr>
            <w:tcW w:w="1137" w:type="pct"/>
          </w:tcPr>
          <w:p w14:paraId="54149525" w14:textId="28DBD81B" w:rsidR="00147D38" w:rsidRPr="00BD2EF1" w:rsidRDefault="00147D38" w:rsidP="00147D38">
            <w:pPr>
              <w:pStyle w:val="Standaard-Tabellen"/>
              <w:rPr>
                <w:rFonts w:eastAsia="Calibri"/>
              </w:rPr>
            </w:pPr>
            <w:r>
              <w:rPr>
                <w:rFonts w:eastAsia="Calibri"/>
              </w:rPr>
              <w:t>/</w:t>
            </w:r>
          </w:p>
        </w:tc>
      </w:tr>
      <w:tr w:rsidR="00147D38" w:rsidRPr="00BD2EF1" w14:paraId="64DEDA68" w14:textId="77777777" w:rsidTr="00147D38">
        <w:tc>
          <w:tcPr>
            <w:tcW w:w="1265" w:type="pct"/>
          </w:tcPr>
          <w:p w14:paraId="10CB1D58" w14:textId="10F60F2A" w:rsidR="00147D38" w:rsidRPr="00BD2EF1" w:rsidRDefault="00147D38" w:rsidP="00147D38">
            <w:pPr>
              <w:pStyle w:val="Standaard-Tabellen"/>
              <w:rPr>
                <w:rFonts w:eastAsia="Calibri"/>
              </w:rPr>
            </w:pPr>
            <w:r w:rsidRPr="00BD2EF1">
              <w:rPr>
                <w:rFonts w:eastAsia="Calibri"/>
              </w:rPr>
              <w:t>Wet sieve analysis and dry sieve test</w:t>
            </w:r>
          </w:p>
        </w:tc>
        <w:tc>
          <w:tcPr>
            <w:tcW w:w="831" w:type="pct"/>
          </w:tcPr>
          <w:p w14:paraId="5B316DCB" w14:textId="6DC30E12" w:rsidR="00147D38" w:rsidRPr="00BD2EF1" w:rsidRDefault="00147D38" w:rsidP="00147D38">
            <w:pPr>
              <w:pStyle w:val="Standaard-Tabellen"/>
              <w:rPr>
                <w:rFonts w:eastAsia="Calibri"/>
              </w:rPr>
            </w:pPr>
            <w:r>
              <w:rPr>
                <w:rFonts w:eastAsia="Calibri"/>
              </w:rPr>
              <w:t>Waived</w:t>
            </w:r>
          </w:p>
        </w:tc>
        <w:tc>
          <w:tcPr>
            <w:tcW w:w="753" w:type="pct"/>
          </w:tcPr>
          <w:p w14:paraId="124DE0C3" w14:textId="6346CF7B" w:rsidR="00147D38" w:rsidRPr="00BD2EF1" w:rsidRDefault="00147D38" w:rsidP="00147D38">
            <w:pPr>
              <w:pStyle w:val="Standaard-Tabellen"/>
              <w:rPr>
                <w:rFonts w:eastAsia="Calibri"/>
              </w:rPr>
            </w:pPr>
            <w:r>
              <w:rPr>
                <w:rFonts w:eastAsia="Calibri"/>
              </w:rPr>
              <w:t>/</w:t>
            </w:r>
          </w:p>
        </w:tc>
        <w:tc>
          <w:tcPr>
            <w:tcW w:w="1015" w:type="pct"/>
          </w:tcPr>
          <w:p w14:paraId="50B44E6A" w14:textId="44B6540F" w:rsidR="00147D38" w:rsidRPr="00BD2EF1" w:rsidRDefault="00147D38" w:rsidP="00147D38">
            <w:pPr>
              <w:pStyle w:val="Standaard-Tabellen"/>
              <w:rPr>
                <w:rFonts w:eastAsia="Calibri"/>
              </w:rPr>
            </w:pPr>
            <w:r>
              <w:rPr>
                <w:rFonts w:eastAsia="Calibri"/>
              </w:rPr>
              <w:t>Not applicable, product is ready for use and not intended to be diluted.</w:t>
            </w:r>
          </w:p>
        </w:tc>
        <w:tc>
          <w:tcPr>
            <w:tcW w:w="1137" w:type="pct"/>
          </w:tcPr>
          <w:p w14:paraId="30310D7A" w14:textId="5475ABE4" w:rsidR="00147D38" w:rsidRPr="00BD2EF1" w:rsidRDefault="00147D38" w:rsidP="00147D38">
            <w:pPr>
              <w:pStyle w:val="Standaard-Tabellen"/>
              <w:rPr>
                <w:rFonts w:eastAsia="Calibri"/>
              </w:rPr>
            </w:pPr>
            <w:r>
              <w:rPr>
                <w:rFonts w:eastAsia="Calibri"/>
              </w:rPr>
              <w:t>/</w:t>
            </w:r>
          </w:p>
        </w:tc>
      </w:tr>
      <w:tr w:rsidR="00147D38" w:rsidRPr="00BD2EF1" w14:paraId="51253DB4" w14:textId="77777777" w:rsidTr="00147D38">
        <w:tc>
          <w:tcPr>
            <w:tcW w:w="1265" w:type="pct"/>
          </w:tcPr>
          <w:p w14:paraId="546DC6DC" w14:textId="67F7773E" w:rsidR="00147D38" w:rsidRPr="00BD2EF1" w:rsidRDefault="00147D38" w:rsidP="00147D38">
            <w:pPr>
              <w:pStyle w:val="Standaard-Tabellen"/>
              <w:rPr>
                <w:rFonts w:eastAsia="Calibri"/>
              </w:rPr>
            </w:pPr>
            <w:proofErr w:type="spellStart"/>
            <w:r w:rsidRPr="00BD2EF1">
              <w:rPr>
                <w:rFonts w:eastAsia="Calibri"/>
              </w:rPr>
              <w:t>Emulsifiability</w:t>
            </w:r>
            <w:proofErr w:type="spellEnd"/>
            <w:r w:rsidRPr="00BD2EF1">
              <w:rPr>
                <w:rFonts w:eastAsia="Calibri"/>
              </w:rPr>
              <w:t>, re-</w:t>
            </w:r>
            <w:proofErr w:type="spellStart"/>
            <w:r w:rsidRPr="00BD2EF1">
              <w:rPr>
                <w:rFonts w:eastAsia="Calibri"/>
              </w:rPr>
              <w:t>emulsifiability</w:t>
            </w:r>
            <w:proofErr w:type="spellEnd"/>
            <w:r w:rsidRPr="00BD2EF1">
              <w:rPr>
                <w:rFonts w:eastAsia="Calibri"/>
              </w:rPr>
              <w:t xml:space="preserve"> and emulsion stability</w:t>
            </w:r>
          </w:p>
        </w:tc>
        <w:tc>
          <w:tcPr>
            <w:tcW w:w="831" w:type="pct"/>
          </w:tcPr>
          <w:p w14:paraId="1272C229" w14:textId="5CC1551F" w:rsidR="00147D38" w:rsidRPr="00BD2EF1" w:rsidRDefault="00147D38" w:rsidP="00147D38">
            <w:pPr>
              <w:pStyle w:val="Standaard-Tabellen"/>
              <w:rPr>
                <w:rFonts w:eastAsia="Calibri"/>
              </w:rPr>
            </w:pPr>
            <w:r>
              <w:rPr>
                <w:rFonts w:eastAsia="Calibri"/>
              </w:rPr>
              <w:t>Waived</w:t>
            </w:r>
          </w:p>
        </w:tc>
        <w:tc>
          <w:tcPr>
            <w:tcW w:w="753" w:type="pct"/>
          </w:tcPr>
          <w:p w14:paraId="578F695F" w14:textId="07AF6AA2" w:rsidR="00147D38" w:rsidRPr="00BD2EF1" w:rsidRDefault="00147D38" w:rsidP="00147D38">
            <w:pPr>
              <w:pStyle w:val="Standaard-Tabellen"/>
              <w:rPr>
                <w:rFonts w:eastAsia="Calibri"/>
              </w:rPr>
            </w:pPr>
            <w:r>
              <w:rPr>
                <w:rFonts w:eastAsia="Calibri"/>
              </w:rPr>
              <w:t>/</w:t>
            </w:r>
          </w:p>
        </w:tc>
        <w:tc>
          <w:tcPr>
            <w:tcW w:w="1015" w:type="pct"/>
          </w:tcPr>
          <w:p w14:paraId="33CA507B" w14:textId="14D9F19B" w:rsidR="00147D38" w:rsidRPr="00BD2EF1" w:rsidRDefault="00147D38" w:rsidP="00147D38">
            <w:pPr>
              <w:pStyle w:val="Standaard-Tabellen"/>
              <w:rPr>
                <w:rFonts w:eastAsia="Calibri"/>
              </w:rPr>
            </w:pPr>
            <w:r>
              <w:rPr>
                <w:szCs w:val="18"/>
                <w:lang w:val="en-US"/>
              </w:rPr>
              <w:t xml:space="preserve">Whereas the lotion is an emulsion (oil in water), a test for </w:t>
            </w:r>
            <w:proofErr w:type="spellStart"/>
            <w:r>
              <w:rPr>
                <w:szCs w:val="18"/>
                <w:lang w:val="en-US"/>
              </w:rPr>
              <w:t>emulsifiability</w:t>
            </w:r>
            <w:proofErr w:type="spellEnd"/>
            <w:r>
              <w:rPr>
                <w:szCs w:val="18"/>
                <w:lang w:val="en-US"/>
              </w:rPr>
              <w:t xml:space="preserve"> seems not relevant. The lotion formulation is a ready-to-use product and will not need to be diluted, nor emulsified by consumers. In addition, the storage stability trials have shown that the emulsion is stable and no phase-separation has been observed.</w:t>
            </w:r>
          </w:p>
        </w:tc>
        <w:tc>
          <w:tcPr>
            <w:tcW w:w="1137" w:type="pct"/>
          </w:tcPr>
          <w:p w14:paraId="737E58E5" w14:textId="4D7BB5B9" w:rsidR="00147D38" w:rsidRPr="00BD2EF1" w:rsidRDefault="00147D38" w:rsidP="00147D38">
            <w:pPr>
              <w:pStyle w:val="Standaard-Tabellen"/>
              <w:rPr>
                <w:rFonts w:eastAsia="Calibri"/>
              </w:rPr>
            </w:pPr>
            <w:r>
              <w:rPr>
                <w:rFonts w:eastAsia="Calibri"/>
              </w:rPr>
              <w:t>/</w:t>
            </w:r>
          </w:p>
        </w:tc>
      </w:tr>
      <w:tr w:rsidR="00147D38" w:rsidRPr="00BD2EF1" w14:paraId="49536DEB" w14:textId="77777777" w:rsidTr="00147D38">
        <w:tc>
          <w:tcPr>
            <w:tcW w:w="1265" w:type="pct"/>
          </w:tcPr>
          <w:p w14:paraId="1CBD0D9E" w14:textId="608B4D09" w:rsidR="00147D38" w:rsidRPr="00BD2EF1" w:rsidRDefault="00147D38" w:rsidP="00147D38">
            <w:pPr>
              <w:pStyle w:val="Standaard-Tabellen"/>
              <w:rPr>
                <w:rFonts w:eastAsia="Calibri"/>
              </w:rPr>
            </w:pPr>
            <w:r w:rsidRPr="00BD2EF1">
              <w:rPr>
                <w:rFonts w:eastAsia="Calibri"/>
              </w:rPr>
              <w:t>Disintegration time</w:t>
            </w:r>
          </w:p>
        </w:tc>
        <w:tc>
          <w:tcPr>
            <w:tcW w:w="831" w:type="pct"/>
          </w:tcPr>
          <w:p w14:paraId="1BC0171B" w14:textId="265C994E" w:rsidR="00147D38" w:rsidRPr="00BD2EF1" w:rsidRDefault="00147D38" w:rsidP="00147D38">
            <w:pPr>
              <w:pStyle w:val="Standaard-Tabellen"/>
              <w:rPr>
                <w:rFonts w:eastAsia="Calibri"/>
              </w:rPr>
            </w:pPr>
            <w:r>
              <w:rPr>
                <w:rFonts w:eastAsia="Calibri"/>
              </w:rPr>
              <w:t>Waived</w:t>
            </w:r>
          </w:p>
        </w:tc>
        <w:tc>
          <w:tcPr>
            <w:tcW w:w="753" w:type="pct"/>
          </w:tcPr>
          <w:p w14:paraId="33431CD5" w14:textId="3A005492" w:rsidR="00147D38" w:rsidRPr="00BD2EF1" w:rsidRDefault="00147D38" w:rsidP="00147D38">
            <w:pPr>
              <w:pStyle w:val="Standaard-Tabellen"/>
              <w:rPr>
                <w:rFonts w:eastAsia="Calibri"/>
              </w:rPr>
            </w:pPr>
            <w:r>
              <w:rPr>
                <w:rFonts w:eastAsia="Calibri"/>
              </w:rPr>
              <w:t>/</w:t>
            </w:r>
          </w:p>
        </w:tc>
        <w:tc>
          <w:tcPr>
            <w:tcW w:w="1015" w:type="pct"/>
          </w:tcPr>
          <w:p w14:paraId="30B5EFCC" w14:textId="14463D0D" w:rsidR="00147D38" w:rsidRPr="00BD2EF1" w:rsidRDefault="00147D38" w:rsidP="00147D38">
            <w:pPr>
              <w:pStyle w:val="Standaard-Tabellen"/>
              <w:rPr>
                <w:rFonts w:eastAsia="Calibri"/>
              </w:rPr>
            </w:pPr>
            <w:r>
              <w:rPr>
                <w:rFonts w:eastAsia="Calibri"/>
              </w:rPr>
              <w:t>Not applicable, product is not a tablet.</w:t>
            </w:r>
          </w:p>
        </w:tc>
        <w:tc>
          <w:tcPr>
            <w:tcW w:w="1137" w:type="pct"/>
          </w:tcPr>
          <w:p w14:paraId="4EBD2579" w14:textId="6405F11D" w:rsidR="00147D38" w:rsidRPr="00BD2EF1" w:rsidRDefault="00147D38" w:rsidP="00147D38">
            <w:pPr>
              <w:pStyle w:val="Standaard-Tabellen"/>
              <w:rPr>
                <w:rFonts w:eastAsia="Calibri"/>
              </w:rPr>
            </w:pPr>
            <w:r>
              <w:rPr>
                <w:rFonts w:eastAsia="Calibri"/>
              </w:rPr>
              <w:t>/</w:t>
            </w:r>
          </w:p>
        </w:tc>
      </w:tr>
      <w:tr w:rsidR="00147D38" w:rsidRPr="00BD2EF1" w14:paraId="6991AA7B" w14:textId="77777777" w:rsidTr="00147D38">
        <w:tc>
          <w:tcPr>
            <w:tcW w:w="1265" w:type="pct"/>
          </w:tcPr>
          <w:p w14:paraId="20ACBDD8" w14:textId="63B2BAC9" w:rsidR="00147D38" w:rsidRPr="00BD2EF1" w:rsidRDefault="00147D38" w:rsidP="00147D38">
            <w:pPr>
              <w:pStyle w:val="Standaard-Tabellen"/>
              <w:rPr>
                <w:rFonts w:eastAsia="Calibri"/>
              </w:rPr>
            </w:pPr>
            <w:r w:rsidRPr="00BD2EF1">
              <w:rPr>
                <w:rFonts w:eastAsia="Calibri"/>
              </w:rPr>
              <w:lastRenderedPageBreak/>
              <w:t>Particle size distribution, content of dust/fines, attrition, friability</w:t>
            </w:r>
          </w:p>
        </w:tc>
        <w:tc>
          <w:tcPr>
            <w:tcW w:w="831" w:type="pct"/>
          </w:tcPr>
          <w:p w14:paraId="1DFBC968" w14:textId="5EAF8405" w:rsidR="00147D38" w:rsidRPr="00BD2EF1" w:rsidRDefault="00147D38" w:rsidP="00147D38">
            <w:pPr>
              <w:pStyle w:val="Standaard-Tabellen"/>
              <w:rPr>
                <w:rFonts w:eastAsia="Calibri"/>
              </w:rPr>
            </w:pPr>
            <w:r>
              <w:rPr>
                <w:rFonts w:eastAsia="Calibri"/>
              </w:rPr>
              <w:t>Waived</w:t>
            </w:r>
          </w:p>
        </w:tc>
        <w:tc>
          <w:tcPr>
            <w:tcW w:w="753" w:type="pct"/>
          </w:tcPr>
          <w:p w14:paraId="5F6A6EA0" w14:textId="5CBBAFF1" w:rsidR="00147D38" w:rsidRPr="00BD2EF1" w:rsidRDefault="00147D38" w:rsidP="00147D38">
            <w:pPr>
              <w:pStyle w:val="Standaard-Tabellen"/>
              <w:rPr>
                <w:rFonts w:eastAsia="Calibri"/>
              </w:rPr>
            </w:pPr>
            <w:r>
              <w:rPr>
                <w:rFonts w:eastAsia="Calibri"/>
              </w:rPr>
              <w:t>/</w:t>
            </w:r>
          </w:p>
        </w:tc>
        <w:tc>
          <w:tcPr>
            <w:tcW w:w="1015" w:type="pct"/>
          </w:tcPr>
          <w:p w14:paraId="1122D3C8" w14:textId="343E0C0C" w:rsidR="00147D38" w:rsidRPr="00BD2EF1" w:rsidRDefault="00147D38" w:rsidP="00147D38">
            <w:pPr>
              <w:pStyle w:val="Standaard-Tabellen"/>
              <w:rPr>
                <w:rFonts w:eastAsia="Calibri"/>
              </w:rPr>
            </w:pPr>
            <w:r>
              <w:rPr>
                <w:rFonts w:eastAsia="Calibri"/>
              </w:rPr>
              <w:t>Not applicable, product is not a powder/granule.</w:t>
            </w:r>
          </w:p>
        </w:tc>
        <w:tc>
          <w:tcPr>
            <w:tcW w:w="1137" w:type="pct"/>
          </w:tcPr>
          <w:p w14:paraId="00236977" w14:textId="088572CC" w:rsidR="00147D38" w:rsidRPr="00BD2EF1" w:rsidRDefault="00147D38" w:rsidP="00147D38">
            <w:pPr>
              <w:pStyle w:val="Standaard-Tabellen"/>
              <w:rPr>
                <w:rFonts w:eastAsia="Calibri"/>
              </w:rPr>
            </w:pPr>
            <w:r>
              <w:rPr>
                <w:rFonts w:eastAsia="Calibri"/>
              </w:rPr>
              <w:t>/</w:t>
            </w:r>
          </w:p>
        </w:tc>
      </w:tr>
      <w:tr w:rsidR="00147D38" w:rsidRPr="00BD2EF1" w14:paraId="1F5E4F21" w14:textId="77777777" w:rsidTr="00147D38">
        <w:tc>
          <w:tcPr>
            <w:tcW w:w="1265" w:type="pct"/>
          </w:tcPr>
          <w:p w14:paraId="14462FFE" w14:textId="645627EC" w:rsidR="00147D38" w:rsidRPr="00BD2EF1" w:rsidRDefault="00147D38" w:rsidP="00147D38">
            <w:pPr>
              <w:pStyle w:val="Standaard-Tabellen"/>
              <w:rPr>
                <w:rFonts w:eastAsia="Calibri"/>
              </w:rPr>
            </w:pPr>
            <w:r w:rsidRPr="00BD2EF1">
              <w:rPr>
                <w:rFonts w:eastAsia="Calibri"/>
              </w:rPr>
              <w:t>Persistent foaming</w:t>
            </w:r>
          </w:p>
        </w:tc>
        <w:tc>
          <w:tcPr>
            <w:tcW w:w="831" w:type="pct"/>
          </w:tcPr>
          <w:p w14:paraId="63ABD613" w14:textId="1FE72B93" w:rsidR="00147D38" w:rsidRPr="00BD2EF1" w:rsidRDefault="00147D38" w:rsidP="00147D38">
            <w:pPr>
              <w:pStyle w:val="Standaard-Tabellen"/>
              <w:rPr>
                <w:rFonts w:eastAsia="Calibri"/>
              </w:rPr>
            </w:pPr>
            <w:r>
              <w:rPr>
                <w:rFonts w:eastAsia="Calibri"/>
              </w:rPr>
              <w:t>Waived</w:t>
            </w:r>
          </w:p>
        </w:tc>
        <w:tc>
          <w:tcPr>
            <w:tcW w:w="753" w:type="pct"/>
          </w:tcPr>
          <w:p w14:paraId="52407696" w14:textId="6F032C3B" w:rsidR="00147D38" w:rsidRPr="00BD2EF1" w:rsidRDefault="00147D38" w:rsidP="00147D38">
            <w:pPr>
              <w:pStyle w:val="Standaard-Tabellen"/>
              <w:rPr>
                <w:rFonts w:eastAsia="Calibri"/>
              </w:rPr>
            </w:pPr>
            <w:r>
              <w:rPr>
                <w:rFonts w:eastAsia="Calibri"/>
              </w:rPr>
              <w:t>/</w:t>
            </w:r>
          </w:p>
        </w:tc>
        <w:tc>
          <w:tcPr>
            <w:tcW w:w="1015" w:type="pct"/>
          </w:tcPr>
          <w:p w14:paraId="0E12309C" w14:textId="00FE6AAD" w:rsidR="00147D38" w:rsidRPr="00BD2EF1" w:rsidRDefault="00147D38" w:rsidP="00147D38">
            <w:pPr>
              <w:pStyle w:val="Standaard-Tabellen"/>
              <w:rPr>
                <w:rFonts w:eastAsia="Calibri"/>
              </w:rPr>
            </w:pPr>
            <w:r>
              <w:rPr>
                <w:rFonts w:eastAsia="Calibri"/>
              </w:rPr>
              <w:t>Not applicable, product is ready for use and not intended to be diluted.</w:t>
            </w:r>
          </w:p>
        </w:tc>
        <w:tc>
          <w:tcPr>
            <w:tcW w:w="1137" w:type="pct"/>
          </w:tcPr>
          <w:p w14:paraId="6ADF9B86" w14:textId="24576590" w:rsidR="00147D38" w:rsidRPr="00BD2EF1" w:rsidRDefault="00147D38" w:rsidP="00147D38">
            <w:pPr>
              <w:pStyle w:val="Standaard-Tabellen"/>
              <w:rPr>
                <w:rFonts w:eastAsia="Calibri"/>
              </w:rPr>
            </w:pPr>
            <w:r>
              <w:rPr>
                <w:rFonts w:eastAsia="Calibri"/>
              </w:rPr>
              <w:t>/</w:t>
            </w:r>
          </w:p>
        </w:tc>
      </w:tr>
      <w:tr w:rsidR="00147D38" w:rsidRPr="00BD2EF1" w14:paraId="33044C72" w14:textId="77777777" w:rsidTr="00147D38">
        <w:tc>
          <w:tcPr>
            <w:tcW w:w="1265" w:type="pct"/>
          </w:tcPr>
          <w:p w14:paraId="000E6AC0" w14:textId="649FCA70" w:rsidR="00147D38" w:rsidRPr="00BD2EF1" w:rsidRDefault="00147D38" w:rsidP="00147D38">
            <w:pPr>
              <w:pStyle w:val="Standaard-Tabellen"/>
              <w:rPr>
                <w:rFonts w:eastAsia="Calibri"/>
              </w:rPr>
            </w:pPr>
            <w:r w:rsidRPr="00BD2EF1">
              <w:rPr>
                <w:rFonts w:eastAsia="Calibri"/>
              </w:rPr>
              <w:t>Flowability/Pourability/</w:t>
            </w:r>
            <w:proofErr w:type="spellStart"/>
            <w:r w:rsidRPr="00BD2EF1">
              <w:rPr>
                <w:rFonts w:eastAsia="Calibri"/>
              </w:rPr>
              <w:t>Dustability</w:t>
            </w:r>
            <w:proofErr w:type="spellEnd"/>
          </w:p>
        </w:tc>
        <w:tc>
          <w:tcPr>
            <w:tcW w:w="831" w:type="pct"/>
          </w:tcPr>
          <w:p w14:paraId="4421FF59" w14:textId="0CFB2486" w:rsidR="00147D38" w:rsidRPr="00BD2EF1" w:rsidRDefault="00147D38" w:rsidP="00147D38">
            <w:pPr>
              <w:pStyle w:val="Standaard-Tabellen"/>
              <w:rPr>
                <w:rFonts w:eastAsia="Calibri"/>
              </w:rPr>
            </w:pPr>
            <w:r>
              <w:rPr>
                <w:rFonts w:eastAsia="Calibri"/>
              </w:rPr>
              <w:t>Waived</w:t>
            </w:r>
          </w:p>
        </w:tc>
        <w:tc>
          <w:tcPr>
            <w:tcW w:w="753" w:type="pct"/>
          </w:tcPr>
          <w:p w14:paraId="674DCAA1" w14:textId="4DB61670" w:rsidR="00147D38" w:rsidRPr="00BD2EF1" w:rsidRDefault="00147D38" w:rsidP="00147D38">
            <w:pPr>
              <w:pStyle w:val="Standaard-Tabellen"/>
              <w:rPr>
                <w:rFonts w:eastAsia="Calibri"/>
              </w:rPr>
            </w:pPr>
            <w:r>
              <w:rPr>
                <w:rFonts w:eastAsia="Calibri"/>
              </w:rPr>
              <w:t>/</w:t>
            </w:r>
          </w:p>
        </w:tc>
        <w:tc>
          <w:tcPr>
            <w:tcW w:w="1015" w:type="pct"/>
          </w:tcPr>
          <w:p w14:paraId="732A2B30" w14:textId="77777777" w:rsidR="003359A3" w:rsidRPr="003359A3" w:rsidRDefault="003359A3" w:rsidP="003359A3">
            <w:pPr>
              <w:pStyle w:val="Standaard-Tabellen"/>
              <w:rPr>
                <w:rFonts w:eastAsia="Calibri"/>
              </w:rPr>
            </w:pPr>
            <w:r w:rsidRPr="003359A3">
              <w:rPr>
                <w:rFonts w:eastAsia="Calibri"/>
              </w:rPr>
              <w:t>Not applicable since biocidal</w:t>
            </w:r>
          </w:p>
          <w:p w14:paraId="33C7D849" w14:textId="77777777" w:rsidR="003359A3" w:rsidRPr="003359A3" w:rsidRDefault="003359A3" w:rsidP="003359A3">
            <w:pPr>
              <w:pStyle w:val="Standaard-Tabellen"/>
              <w:rPr>
                <w:rFonts w:eastAsia="Calibri"/>
              </w:rPr>
            </w:pPr>
            <w:r w:rsidRPr="003359A3">
              <w:rPr>
                <w:rFonts w:eastAsia="Calibri"/>
              </w:rPr>
              <w:t>product is not granular/a</w:t>
            </w:r>
          </w:p>
          <w:p w14:paraId="2E636D0A" w14:textId="4E939926" w:rsidR="00147D38" w:rsidRPr="00BD2EF1" w:rsidRDefault="003359A3" w:rsidP="003359A3">
            <w:pPr>
              <w:pStyle w:val="Standaard-Tabellen"/>
              <w:rPr>
                <w:rFonts w:eastAsia="Calibri"/>
              </w:rPr>
            </w:pPr>
            <w:r w:rsidRPr="003359A3">
              <w:rPr>
                <w:rFonts w:eastAsia="Calibri"/>
              </w:rPr>
              <w:t>suspension.</w:t>
            </w:r>
          </w:p>
        </w:tc>
        <w:tc>
          <w:tcPr>
            <w:tcW w:w="1137" w:type="pct"/>
          </w:tcPr>
          <w:p w14:paraId="375AD759" w14:textId="57038FF3" w:rsidR="00147D38" w:rsidRPr="00BD2EF1" w:rsidRDefault="00147D38" w:rsidP="00147D38">
            <w:pPr>
              <w:pStyle w:val="Standaard-Tabellen"/>
              <w:rPr>
                <w:rFonts w:eastAsia="Calibri"/>
              </w:rPr>
            </w:pPr>
            <w:r>
              <w:rPr>
                <w:rFonts w:eastAsia="Calibri"/>
              </w:rPr>
              <w:t>/</w:t>
            </w:r>
          </w:p>
        </w:tc>
      </w:tr>
      <w:tr w:rsidR="00147D38" w:rsidRPr="00BD2EF1" w14:paraId="6E8EE22A" w14:textId="77777777" w:rsidTr="00147D38">
        <w:tc>
          <w:tcPr>
            <w:tcW w:w="1265" w:type="pct"/>
          </w:tcPr>
          <w:p w14:paraId="46F58675" w14:textId="5B4D76B7" w:rsidR="00147D38" w:rsidRPr="00BD2EF1" w:rsidRDefault="00147D38" w:rsidP="00147D38">
            <w:pPr>
              <w:pStyle w:val="Standaard-Tabellen"/>
              <w:rPr>
                <w:rFonts w:eastAsia="Calibri"/>
              </w:rPr>
            </w:pPr>
            <w:r w:rsidRPr="00BD2EF1">
              <w:rPr>
                <w:rFonts w:eastAsia="Calibri"/>
              </w:rPr>
              <w:t>Burning rate — smoke generators</w:t>
            </w:r>
          </w:p>
        </w:tc>
        <w:tc>
          <w:tcPr>
            <w:tcW w:w="831" w:type="pct"/>
          </w:tcPr>
          <w:p w14:paraId="54341690" w14:textId="5F97D23B" w:rsidR="00147D38" w:rsidRPr="00BD2EF1" w:rsidRDefault="00147D38" w:rsidP="00147D38">
            <w:pPr>
              <w:pStyle w:val="Standaard-Tabellen"/>
              <w:rPr>
                <w:rFonts w:eastAsia="Calibri"/>
              </w:rPr>
            </w:pPr>
            <w:r>
              <w:rPr>
                <w:rFonts w:eastAsia="Calibri"/>
              </w:rPr>
              <w:t>Waived</w:t>
            </w:r>
          </w:p>
        </w:tc>
        <w:tc>
          <w:tcPr>
            <w:tcW w:w="753" w:type="pct"/>
          </w:tcPr>
          <w:p w14:paraId="6D5266E7" w14:textId="0092CF08" w:rsidR="00147D38" w:rsidRPr="00BD2EF1" w:rsidRDefault="00147D38" w:rsidP="00147D38">
            <w:pPr>
              <w:pStyle w:val="Standaard-Tabellen"/>
              <w:rPr>
                <w:rFonts w:eastAsia="Calibri"/>
              </w:rPr>
            </w:pPr>
            <w:r>
              <w:rPr>
                <w:rFonts w:eastAsia="Calibri"/>
              </w:rPr>
              <w:t>/</w:t>
            </w:r>
          </w:p>
        </w:tc>
        <w:tc>
          <w:tcPr>
            <w:tcW w:w="1015" w:type="pct"/>
          </w:tcPr>
          <w:p w14:paraId="0D42AEE5" w14:textId="45BCDDC7" w:rsidR="00147D38" w:rsidRPr="00BD2EF1" w:rsidRDefault="00147D38" w:rsidP="00147D38">
            <w:pPr>
              <w:pStyle w:val="Standaard-Tabellen"/>
              <w:rPr>
                <w:rFonts w:eastAsia="Calibri"/>
              </w:rPr>
            </w:pPr>
            <w:r>
              <w:rPr>
                <w:rFonts w:eastAsia="Calibri"/>
              </w:rPr>
              <w:t>Not applicable, product is not a smoke generator.</w:t>
            </w:r>
          </w:p>
        </w:tc>
        <w:tc>
          <w:tcPr>
            <w:tcW w:w="1137" w:type="pct"/>
          </w:tcPr>
          <w:p w14:paraId="523C4E26" w14:textId="250E7A9B" w:rsidR="00147D38" w:rsidRPr="00BD2EF1" w:rsidRDefault="00147D38" w:rsidP="00147D38">
            <w:pPr>
              <w:pStyle w:val="Standaard-Tabellen"/>
              <w:rPr>
                <w:rFonts w:eastAsia="Calibri"/>
              </w:rPr>
            </w:pPr>
            <w:r>
              <w:rPr>
                <w:rFonts w:eastAsia="Calibri"/>
              </w:rPr>
              <w:t>/</w:t>
            </w:r>
          </w:p>
        </w:tc>
      </w:tr>
      <w:tr w:rsidR="00147D38" w:rsidRPr="00BD2EF1" w14:paraId="2D548A17" w14:textId="77777777" w:rsidTr="00147D38">
        <w:tc>
          <w:tcPr>
            <w:tcW w:w="1265" w:type="pct"/>
          </w:tcPr>
          <w:p w14:paraId="7A8767B4" w14:textId="5FC85AF0" w:rsidR="00147D38" w:rsidRPr="00BD2EF1" w:rsidRDefault="00147D38" w:rsidP="00147D38">
            <w:pPr>
              <w:pStyle w:val="Standaard-Tabellen"/>
              <w:rPr>
                <w:rFonts w:eastAsia="Calibri"/>
              </w:rPr>
            </w:pPr>
            <w:r w:rsidRPr="00BD2EF1">
              <w:rPr>
                <w:rFonts w:eastAsia="Calibri"/>
              </w:rPr>
              <w:t>Burning completeness — smoke generators</w:t>
            </w:r>
          </w:p>
        </w:tc>
        <w:tc>
          <w:tcPr>
            <w:tcW w:w="831" w:type="pct"/>
          </w:tcPr>
          <w:p w14:paraId="37A26DBC" w14:textId="02CC4FF9" w:rsidR="00147D38" w:rsidRPr="00BD2EF1" w:rsidRDefault="00147D38" w:rsidP="00147D38">
            <w:pPr>
              <w:pStyle w:val="Standaard-Tabellen"/>
              <w:rPr>
                <w:rFonts w:eastAsia="Calibri"/>
              </w:rPr>
            </w:pPr>
            <w:r>
              <w:rPr>
                <w:rFonts w:eastAsia="Calibri"/>
              </w:rPr>
              <w:t>Waived</w:t>
            </w:r>
          </w:p>
        </w:tc>
        <w:tc>
          <w:tcPr>
            <w:tcW w:w="753" w:type="pct"/>
          </w:tcPr>
          <w:p w14:paraId="6D589D2F" w14:textId="62D57D22" w:rsidR="00147D38" w:rsidRPr="00BD2EF1" w:rsidRDefault="00147D38" w:rsidP="00147D38">
            <w:pPr>
              <w:pStyle w:val="Standaard-Tabellen"/>
              <w:rPr>
                <w:rFonts w:eastAsia="Calibri"/>
              </w:rPr>
            </w:pPr>
            <w:r>
              <w:rPr>
                <w:rFonts w:eastAsia="Calibri"/>
              </w:rPr>
              <w:t>/</w:t>
            </w:r>
          </w:p>
        </w:tc>
        <w:tc>
          <w:tcPr>
            <w:tcW w:w="1015" w:type="pct"/>
          </w:tcPr>
          <w:p w14:paraId="7B9316BF" w14:textId="190203B6" w:rsidR="00147D38" w:rsidRPr="00BD2EF1" w:rsidRDefault="00147D38" w:rsidP="00147D38">
            <w:pPr>
              <w:pStyle w:val="Standaard-Tabellen"/>
              <w:rPr>
                <w:rFonts w:eastAsia="Calibri"/>
              </w:rPr>
            </w:pPr>
            <w:r>
              <w:rPr>
                <w:rFonts w:eastAsia="Calibri"/>
              </w:rPr>
              <w:t>Not applicable, product is not a smoke generator.</w:t>
            </w:r>
          </w:p>
        </w:tc>
        <w:tc>
          <w:tcPr>
            <w:tcW w:w="1137" w:type="pct"/>
          </w:tcPr>
          <w:p w14:paraId="54DC9532" w14:textId="1598B15A" w:rsidR="00147D38" w:rsidRPr="00BD2EF1" w:rsidRDefault="00147D38" w:rsidP="00147D38">
            <w:pPr>
              <w:pStyle w:val="Standaard-Tabellen"/>
              <w:rPr>
                <w:rFonts w:eastAsia="Calibri"/>
              </w:rPr>
            </w:pPr>
            <w:r>
              <w:rPr>
                <w:rFonts w:eastAsia="Calibri"/>
              </w:rPr>
              <w:t>/</w:t>
            </w:r>
          </w:p>
        </w:tc>
      </w:tr>
      <w:tr w:rsidR="00147D38" w:rsidRPr="00BD2EF1" w14:paraId="0366AC6F" w14:textId="77777777" w:rsidTr="00147D38">
        <w:tc>
          <w:tcPr>
            <w:tcW w:w="1265" w:type="pct"/>
          </w:tcPr>
          <w:p w14:paraId="1F424F8D" w14:textId="44561E49" w:rsidR="00147D38" w:rsidRPr="00BD2EF1" w:rsidRDefault="00147D38" w:rsidP="00147D38">
            <w:pPr>
              <w:pStyle w:val="Standaard-Tabellen"/>
              <w:rPr>
                <w:rFonts w:eastAsia="Calibri"/>
              </w:rPr>
            </w:pPr>
            <w:r w:rsidRPr="00BD2EF1">
              <w:rPr>
                <w:rFonts w:eastAsia="Calibri"/>
              </w:rPr>
              <w:t>Composition of smoke — smoke generators</w:t>
            </w:r>
          </w:p>
        </w:tc>
        <w:tc>
          <w:tcPr>
            <w:tcW w:w="831" w:type="pct"/>
          </w:tcPr>
          <w:p w14:paraId="4DF29ABB" w14:textId="1986FF33" w:rsidR="00147D38" w:rsidRPr="00BD2EF1" w:rsidRDefault="00147D38" w:rsidP="00147D38">
            <w:pPr>
              <w:pStyle w:val="Standaard-Tabellen"/>
              <w:rPr>
                <w:rFonts w:eastAsia="Calibri"/>
              </w:rPr>
            </w:pPr>
            <w:r>
              <w:rPr>
                <w:rFonts w:eastAsia="Calibri"/>
              </w:rPr>
              <w:t>Waived</w:t>
            </w:r>
          </w:p>
        </w:tc>
        <w:tc>
          <w:tcPr>
            <w:tcW w:w="753" w:type="pct"/>
          </w:tcPr>
          <w:p w14:paraId="6F26CED9" w14:textId="6D5D600D" w:rsidR="00147D38" w:rsidRPr="00BD2EF1" w:rsidRDefault="00147D38" w:rsidP="00147D38">
            <w:pPr>
              <w:pStyle w:val="Standaard-Tabellen"/>
              <w:rPr>
                <w:rFonts w:eastAsia="Calibri"/>
              </w:rPr>
            </w:pPr>
            <w:r>
              <w:rPr>
                <w:rFonts w:eastAsia="Calibri"/>
              </w:rPr>
              <w:t>/</w:t>
            </w:r>
          </w:p>
        </w:tc>
        <w:tc>
          <w:tcPr>
            <w:tcW w:w="1015" w:type="pct"/>
          </w:tcPr>
          <w:p w14:paraId="3EDA4FA5" w14:textId="110ED5A6" w:rsidR="00147D38" w:rsidRPr="00BD2EF1" w:rsidRDefault="00147D38" w:rsidP="00147D38">
            <w:pPr>
              <w:pStyle w:val="Standaard-Tabellen"/>
              <w:rPr>
                <w:rFonts w:eastAsia="Calibri"/>
              </w:rPr>
            </w:pPr>
            <w:r>
              <w:rPr>
                <w:rFonts w:eastAsia="Calibri"/>
              </w:rPr>
              <w:t>Not applicable, product is not a smoke generator.</w:t>
            </w:r>
          </w:p>
        </w:tc>
        <w:tc>
          <w:tcPr>
            <w:tcW w:w="1137" w:type="pct"/>
          </w:tcPr>
          <w:p w14:paraId="582E4DAC" w14:textId="675330D4" w:rsidR="00147D38" w:rsidRPr="00BD2EF1" w:rsidRDefault="00147D38" w:rsidP="00147D38">
            <w:pPr>
              <w:pStyle w:val="Standaard-Tabellen"/>
              <w:rPr>
                <w:rFonts w:eastAsia="Calibri"/>
              </w:rPr>
            </w:pPr>
            <w:r>
              <w:rPr>
                <w:rFonts w:eastAsia="Calibri"/>
              </w:rPr>
              <w:t>/</w:t>
            </w:r>
          </w:p>
        </w:tc>
      </w:tr>
      <w:tr w:rsidR="00147D38" w:rsidRPr="00BD2EF1" w14:paraId="4335D8BD" w14:textId="77777777" w:rsidTr="00147D38">
        <w:tc>
          <w:tcPr>
            <w:tcW w:w="1265" w:type="pct"/>
          </w:tcPr>
          <w:p w14:paraId="14F1D5D9" w14:textId="4DB797C5" w:rsidR="00147D38" w:rsidRPr="00BD2EF1" w:rsidRDefault="00147D38" w:rsidP="00147D38">
            <w:pPr>
              <w:pStyle w:val="Standaard-Tabellen"/>
              <w:rPr>
                <w:rFonts w:eastAsia="Calibri"/>
              </w:rPr>
            </w:pPr>
            <w:r w:rsidRPr="00BD2EF1">
              <w:rPr>
                <w:rFonts w:eastAsia="Calibri"/>
              </w:rPr>
              <w:t>Spraying pattern — aerosols</w:t>
            </w:r>
          </w:p>
        </w:tc>
        <w:tc>
          <w:tcPr>
            <w:tcW w:w="831" w:type="pct"/>
          </w:tcPr>
          <w:p w14:paraId="1CA5B02A" w14:textId="7B41702A" w:rsidR="00147D38" w:rsidRPr="00BD2EF1" w:rsidRDefault="00147D38" w:rsidP="00147D38">
            <w:pPr>
              <w:pStyle w:val="Standaard-Tabellen"/>
              <w:rPr>
                <w:rFonts w:eastAsia="Calibri"/>
              </w:rPr>
            </w:pPr>
            <w:r>
              <w:rPr>
                <w:rFonts w:eastAsia="Calibri"/>
              </w:rPr>
              <w:t>Waived</w:t>
            </w:r>
          </w:p>
        </w:tc>
        <w:tc>
          <w:tcPr>
            <w:tcW w:w="753" w:type="pct"/>
          </w:tcPr>
          <w:p w14:paraId="1B63F5EE" w14:textId="750BA756" w:rsidR="00147D38" w:rsidRPr="00BD2EF1" w:rsidRDefault="00147D38" w:rsidP="00147D38">
            <w:pPr>
              <w:pStyle w:val="Standaard-Tabellen"/>
              <w:rPr>
                <w:rFonts w:eastAsia="Calibri"/>
              </w:rPr>
            </w:pPr>
            <w:r>
              <w:rPr>
                <w:rFonts w:eastAsia="Calibri"/>
              </w:rPr>
              <w:t>/</w:t>
            </w:r>
          </w:p>
        </w:tc>
        <w:tc>
          <w:tcPr>
            <w:tcW w:w="1015" w:type="pct"/>
          </w:tcPr>
          <w:p w14:paraId="64DE678D" w14:textId="609ACBEC" w:rsidR="00147D38" w:rsidRPr="00BD2EF1" w:rsidRDefault="00147D38" w:rsidP="00147D38">
            <w:pPr>
              <w:pStyle w:val="Standaard-Tabellen"/>
              <w:rPr>
                <w:rFonts w:eastAsia="Calibri"/>
              </w:rPr>
            </w:pPr>
            <w:r>
              <w:rPr>
                <w:rFonts w:eastAsia="Calibri"/>
              </w:rPr>
              <w:t>Not applicable, product is not an aerosol.</w:t>
            </w:r>
          </w:p>
        </w:tc>
        <w:tc>
          <w:tcPr>
            <w:tcW w:w="1137" w:type="pct"/>
          </w:tcPr>
          <w:p w14:paraId="43377FFD" w14:textId="7067599F" w:rsidR="00147D38" w:rsidRPr="00BD2EF1" w:rsidRDefault="00147D38" w:rsidP="00147D38">
            <w:pPr>
              <w:pStyle w:val="Standaard-Tabellen"/>
              <w:rPr>
                <w:rFonts w:eastAsia="Calibri"/>
              </w:rPr>
            </w:pPr>
            <w:r>
              <w:rPr>
                <w:rFonts w:eastAsia="Calibri"/>
              </w:rPr>
              <w:t>/</w:t>
            </w:r>
          </w:p>
        </w:tc>
      </w:tr>
      <w:tr w:rsidR="00147D38" w:rsidRPr="00BD2EF1" w14:paraId="012A341E" w14:textId="77777777" w:rsidTr="00147D38">
        <w:tc>
          <w:tcPr>
            <w:tcW w:w="1265" w:type="pct"/>
          </w:tcPr>
          <w:p w14:paraId="03C89D9C" w14:textId="3AF9CE69" w:rsidR="00147D38" w:rsidRPr="00BD2EF1" w:rsidRDefault="00147D38" w:rsidP="00147D38">
            <w:pPr>
              <w:pStyle w:val="Standaard-Tabellen"/>
              <w:rPr>
                <w:rFonts w:eastAsia="Calibri"/>
              </w:rPr>
            </w:pPr>
            <w:r w:rsidRPr="00BD2EF1">
              <w:rPr>
                <w:rFonts w:eastAsia="Calibri"/>
              </w:rPr>
              <w:t>Physical compatibility</w:t>
            </w:r>
          </w:p>
        </w:tc>
        <w:tc>
          <w:tcPr>
            <w:tcW w:w="831" w:type="pct"/>
          </w:tcPr>
          <w:p w14:paraId="42532012" w14:textId="1EB7E20F" w:rsidR="00147D38" w:rsidRPr="00BD2EF1" w:rsidRDefault="00147D38" w:rsidP="00147D38">
            <w:pPr>
              <w:pStyle w:val="Standaard-Tabellen"/>
              <w:rPr>
                <w:rFonts w:eastAsia="Calibri"/>
              </w:rPr>
            </w:pPr>
            <w:r>
              <w:rPr>
                <w:rFonts w:eastAsia="Calibri"/>
              </w:rPr>
              <w:t>Waived</w:t>
            </w:r>
          </w:p>
        </w:tc>
        <w:tc>
          <w:tcPr>
            <w:tcW w:w="753" w:type="pct"/>
          </w:tcPr>
          <w:p w14:paraId="0A022770" w14:textId="288AB1D4" w:rsidR="00147D38" w:rsidRPr="00BD2EF1" w:rsidRDefault="00147D38" w:rsidP="00147D38">
            <w:pPr>
              <w:pStyle w:val="Standaard-Tabellen"/>
              <w:rPr>
                <w:rFonts w:eastAsia="Calibri"/>
              </w:rPr>
            </w:pPr>
            <w:r>
              <w:rPr>
                <w:rFonts w:eastAsia="Calibri"/>
              </w:rPr>
              <w:t>/</w:t>
            </w:r>
          </w:p>
        </w:tc>
        <w:tc>
          <w:tcPr>
            <w:tcW w:w="1015" w:type="pct"/>
          </w:tcPr>
          <w:p w14:paraId="0FAF9F73" w14:textId="5F470650" w:rsidR="00147D38" w:rsidRPr="00BD2EF1" w:rsidRDefault="00147D38" w:rsidP="00147D38">
            <w:pPr>
              <w:pStyle w:val="Standaard-Tabellen"/>
              <w:rPr>
                <w:rFonts w:eastAsia="Calibri"/>
              </w:rPr>
            </w:pPr>
            <w:r>
              <w:rPr>
                <w:rFonts w:eastAsia="Calibri"/>
              </w:rPr>
              <w:t>Lotion</w:t>
            </w:r>
            <w:r w:rsidRPr="00A46D1C">
              <w:rPr>
                <w:rFonts w:eastAsia="Calibri"/>
              </w:rPr>
              <w:t xml:space="preserve"> is not intended for use together with other products.</w:t>
            </w:r>
          </w:p>
        </w:tc>
        <w:tc>
          <w:tcPr>
            <w:tcW w:w="1137" w:type="pct"/>
          </w:tcPr>
          <w:p w14:paraId="5F84B540" w14:textId="75BC42C5" w:rsidR="00147D38" w:rsidRPr="00BD2EF1" w:rsidRDefault="00147D38" w:rsidP="00147D38">
            <w:pPr>
              <w:pStyle w:val="Standaard-Tabellen"/>
              <w:rPr>
                <w:rFonts w:eastAsia="Calibri"/>
              </w:rPr>
            </w:pPr>
            <w:r>
              <w:rPr>
                <w:rFonts w:eastAsia="Calibri"/>
              </w:rPr>
              <w:t>/</w:t>
            </w:r>
          </w:p>
        </w:tc>
      </w:tr>
      <w:tr w:rsidR="00147D38" w:rsidRPr="00BD2EF1" w14:paraId="5F63CFAF" w14:textId="77777777" w:rsidTr="00147D38">
        <w:tc>
          <w:tcPr>
            <w:tcW w:w="1265" w:type="pct"/>
          </w:tcPr>
          <w:p w14:paraId="4B1E0A89" w14:textId="5AF1662D" w:rsidR="00147D38" w:rsidRPr="00BD2EF1" w:rsidRDefault="00147D38" w:rsidP="00147D38">
            <w:pPr>
              <w:pStyle w:val="Standaard-Tabellen"/>
              <w:rPr>
                <w:rFonts w:eastAsia="Calibri"/>
              </w:rPr>
            </w:pPr>
            <w:r w:rsidRPr="00BD2EF1">
              <w:rPr>
                <w:rFonts w:eastAsia="Calibri"/>
              </w:rPr>
              <w:t>Chemical compatibility</w:t>
            </w:r>
          </w:p>
        </w:tc>
        <w:tc>
          <w:tcPr>
            <w:tcW w:w="831" w:type="pct"/>
          </w:tcPr>
          <w:p w14:paraId="5A8706FB" w14:textId="1462880F" w:rsidR="00147D38" w:rsidRPr="00BD2EF1" w:rsidRDefault="00147D38" w:rsidP="00147D38">
            <w:pPr>
              <w:pStyle w:val="Standaard-Tabellen"/>
              <w:rPr>
                <w:rFonts w:eastAsia="Calibri"/>
              </w:rPr>
            </w:pPr>
            <w:r>
              <w:rPr>
                <w:rFonts w:eastAsia="Calibri"/>
              </w:rPr>
              <w:t>Waived</w:t>
            </w:r>
          </w:p>
        </w:tc>
        <w:tc>
          <w:tcPr>
            <w:tcW w:w="753" w:type="pct"/>
          </w:tcPr>
          <w:p w14:paraId="0923AEFE" w14:textId="6200E8BB" w:rsidR="00147D38" w:rsidRPr="00BD2EF1" w:rsidRDefault="00147D38" w:rsidP="00147D38">
            <w:pPr>
              <w:pStyle w:val="Standaard-Tabellen"/>
              <w:rPr>
                <w:rFonts w:eastAsia="Calibri"/>
              </w:rPr>
            </w:pPr>
            <w:r>
              <w:rPr>
                <w:rFonts w:eastAsia="Calibri"/>
              </w:rPr>
              <w:t>/</w:t>
            </w:r>
          </w:p>
        </w:tc>
        <w:tc>
          <w:tcPr>
            <w:tcW w:w="1015" w:type="pct"/>
          </w:tcPr>
          <w:p w14:paraId="38FCF7A7" w14:textId="414C5AE5" w:rsidR="00147D38" w:rsidRPr="00BD2EF1" w:rsidRDefault="00147D38" w:rsidP="00147D38">
            <w:pPr>
              <w:pStyle w:val="Standaard-Tabellen"/>
              <w:rPr>
                <w:rFonts w:eastAsia="Calibri"/>
              </w:rPr>
            </w:pPr>
            <w:r>
              <w:rPr>
                <w:rFonts w:eastAsia="Calibri"/>
              </w:rPr>
              <w:t>Lotion</w:t>
            </w:r>
            <w:r w:rsidRPr="00A46D1C">
              <w:rPr>
                <w:rFonts w:eastAsia="Calibri"/>
              </w:rPr>
              <w:t xml:space="preserve"> is not intended for use together with other products.</w:t>
            </w:r>
          </w:p>
        </w:tc>
        <w:tc>
          <w:tcPr>
            <w:tcW w:w="1137" w:type="pct"/>
          </w:tcPr>
          <w:p w14:paraId="5BB5900B" w14:textId="26C28201" w:rsidR="00147D38" w:rsidRPr="00BD2EF1" w:rsidRDefault="00147D38" w:rsidP="00147D38">
            <w:pPr>
              <w:pStyle w:val="Standaard-Tabellen"/>
              <w:rPr>
                <w:rFonts w:eastAsia="Calibri"/>
              </w:rPr>
            </w:pPr>
            <w:r>
              <w:rPr>
                <w:rFonts w:eastAsia="Calibri"/>
              </w:rPr>
              <w:t>/</w:t>
            </w:r>
          </w:p>
        </w:tc>
      </w:tr>
      <w:tr w:rsidR="00147D38" w:rsidRPr="00BD2EF1" w14:paraId="217793B5" w14:textId="77777777" w:rsidTr="00147D38">
        <w:tc>
          <w:tcPr>
            <w:tcW w:w="1265" w:type="pct"/>
          </w:tcPr>
          <w:p w14:paraId="132356AD" w14:textId="42ACE7F6" w:rsidR="00147D38" w:rsidRPr="00BD2EF1" w:rsidRDefault="00147D38" w:rsidP="00147D38">
            <w:pPr>
              <w:pStyle w:val="Standaard-Tabellen"/>
              <w:rPr>
                <w:rFonts w:eastAsia="Calibri"/>
              </w:rPr>
            </w:pPr>
            <w:r w:rsidRPr="00BD2EF1">
              <w:rPr>
                <w:rFonts w:eastAsia="Calibri"/>
              </w:rPr>
              <w:t>Degree of dissolution and dilution stability</w:t>
            </w:r>
          </w:p>
        </w:tc>
        <w:tc>
          <w:tcPr>
            <w:tcW w:w="831" w:type="pct"/>
          </w:tcPr>
          <w:p w14:paraId="4DC0E61E" w14:textId="360AE365" w:rsidR="00147D38" w:rsidRPr="00BD2EF1" w:rsidRDefault="00147D38" w:rsidP="00147D38">
            <w:pPr>
              <w:pStyle w:val="Standaard-Tabellen"/>
              <w:rPr>
                <w:rFonts w:eastAsia="Calibri"/>
              </w:rPr>
            </w:pPr>
            <w:r>
              <w:rPr>
                <w:rFonts w:eastAsia="Calibri"/>
              </w:rPr>
              <w:t>Waived</w:t>
            </w:r>
          </w:p>
        </w:tc>
        <w:tc>
          <w:tcPr>
            <w:tcW w:w="753" w:type="pct"/>
          </w:tcPr>
          <w:p w14:paraId="7C48DA5F" w14:textId="6D28247F" w:rsidR="00147D38" w:rsidRPr="00BD2EF1" w:rsidRDefault="00147D38" w:rsidP="00147D38">
            <w:pPr>
              <w:pStyle w:val="Standaard-Tabellen"/>
              <w:rPr>
                <w:rFonts w:eastAsia="Calibri"/>
              </w:rPr>
            </w:pPr>
            <w:r>
              <w:rPr>
                <w:rFonts w:eastAsia="Calibri"/>
              </w:rPr>
              <w:t>/</w:t>
            </w:r>
          </w:p>
        </w:tc>
        <w:tc>
          <w:tcPr>
            <w:tcW w:w="1015" w:type="pct"/>
          </w:tcPr>
          <w:p w14:paraId="11EE67AD" w14:textId="658CFAD2" w:rsidR="00147D38" w:rsidRPr="00BD2EF1" w:rsidRDefault="00147D38" w:rsidP="00147D38">
            <w:pPr>
              <w:pStyle w:val="Standaard-Tabellen"/>
              <w:rPr>
                <w:rFonts w:eastAsia="Calibri"/>
              </w:rPr>
            </w:pPr>
            <w:r>
              <w:rPr>
                <w:rFonts w:eastAsia="Calibri"/>
              </w:rPr>
              <w:t>Not applicable, product is ready for use and not intended to be diluted, and is not a tablet.</w:t>
            </w:r>
          </w:p>
        </w:tc>
        <w:tc>
          <w:tcPr>
            <w:tcW w:w="1137" w:type="pct"/>
          </w:tcPr>
          <w:p w14:paraId="020C0063" w14:textId="36A1A169" w:rsidR="00147D38" w:rsidRPr="00BD2EF1" w:rsidRDefault="00147D38" w:rsidP="00147D38">
            <w:pPr>
              <w:pStyle w:val="Standaard-Tabellen"/>
              <w:rPr>
                <w:rFonts w:eastAsia="Calibri"/>
              </w:rPr>
            </w:pPr>
            <w:r>
              <w:rPr>
                <w:rFonts w:eastAsia="Calibri"/>
              </w:rPr>
              <w:t>/</w:t>
            </w:r>
          </w:p>
        </w:tc>
      </w:tr>
      <w:tr w:rsidR="00147D38" w:rsidRPr="00FC3AF4" w14:paraId="4BAE197E" w14:textId="77777777" w:rsidTr="00147D38">
        <w:tc>
          <w:tcPr>
            <w:tcW w:w="1265" w:type="pct"/>
          </w:tcPr>
          <w:p w14:paraId="036A5403" w14:textId="69E97A7D" w:rsidR="00147D38" w:rsidRPr="00BD2EF1" w:rsidRDefault="00147D38" w:rsidP="00147D38">
            <w:pPr>
              <w:pStyle w:val="Standaard-Tabellen"/>
              <w:rPr>
                <w:rFonts w:eastAsia="Calibri"/>
              </w:rPr>
            </w:pPr>
            <w:r w:rsidRPr="00BD2EF1">
              <w:rPr>
                <w:rFonts w:eastAsia="Calibri"/>
              </w:rPr>
              <w:t>Surface tension</w:t>
            </w:r>
          </w:p>
        </w:tc>
        <w:tc>
          <w:tcPr>
            <w:tcW w:w="831" w:type="pct"/>
          </w:tcPr>
          <w:p w14:paraId="2125A59F" w14:textId="3418C806" w:rsidR="00147D38" w:rsidRPr="00BD2EF1" w:rsidRDefault="00147D38" w:rsidP="00147D38">
            <w:pPr>
              <w:pStyle w:val="Standaard-Tabellen"/>
              <w:rPr>
                <w:rFonts w:eastAsia="Calibri"/>
              </w:rPr>
            </w:pPr>
            <w:r>
              <w:rPr>
                <w:rFonts w:eastAsia="Calibri"/>
              </w:rPr>
              <w:t>OECD 115</w:t>
            </w:r>
          </w:p>
        </w:tc>
        <w:tc>
          <w:tcPr>
            <w:tcW w:w="753" w:type="pct"/>
          </w:tcPr>
          <w:p w14:paraId="65449281" w14:textId="77777777" w:rsidR="00147D38" w:rsidRDefault="00147D38" w:rsidP="00147D38">
            <w:pPr>
              <w:pStyle w:val="Standaard-Tabellen"/>
              <w:rPr>
                <w:rFonts w:eastAsia="Calibri"/>
              </w:rPr>
            </w:pPr>
            <w:r>
              <w:rPr>
                <w:rFonts w:eastAsia="Calibri"/>
              </w:rPr>
              <w:t>10</w:t>
            </w:r>
          </w:p>
          <w:p w14:paraId="545C38F0" w14:textId="12B53FE6" w:rsidR="00147D38" w:rsidRPr="00BD2EF1" w:rsidRDefault="00147D38" w:rsidP="00147D38">
            <w:pPr>
              <w:pStyle w:val="Standaard-Tabellen"/>
              <w:rPr>
                <w:rFonts w:eastAsia="Calibri"/>
              </w:rPr>
            </w:pPr>
            <w:r w:rsidRPr="00EE0BFF">
              <w:rPr>
                <w:rFonts w:eastAsia="Calibri"/>
                <w:lang w:val="en-US"/>
              </w:rPr>
              <w:t>Insect Repellent Lotion IR3535</w:t>
            </w:r>
            <w:r w:rsidRPr="00EE0BFF">
              <w:rPr>
                <w:rFonts w:eastAsia="Calibri"/>
                <w:vertAlign w:val="superscript"/>
                <w:lang w:val="en-US"/>
              </w:rPr>
              <w:t>®</w:t>
            </w:r>
            <w:r w:rsidRPr="00EE0BFF">
              <w:rPr>
                <w:rFonts w:eastAsia="Calibri"/>
                <w:lang w:val="en-US"/>
              </w:rPr>
              <w:t xml:space="preserve"> 10%</w:t>
            </w:r>
          </w:p>
        </w:tc>
        <w:tc>
          <w:tcPr>
            <w:tcW w:w="1015" w:type="pct"/>
          </w:tcPr>
          <w:p w14:paraId="71012B0C" w14:textId="7DAEABB4" w:rsidR="00147D38" w:rsidRPr="00BD2EF1" w:rsidRDefault="00147D38" w:rsidP="00147D38">
            <w:pPr>
              <w:pStyle w:val="Standaard-Tabellen"/>
              <w:rPr>
                <w:rFonts w:eastAsia="Calibri"/>
              </w:rPr>
            </w:pPr>
            <w:r>
              <w:rPr>
                <w:rFonts w:eastAsia="Calibri"/>
              </w:rPr>
              <w:t xml:space="preserve">29.9 </w:t>
            </w:r>
            <w:proofErr w:type="spellStart"/>
            <w:r>
              <w:rPr>
                <w:rFonts w:eastAsia="Calibri"/>
              </w:rPr>
              <w:t>nN</w:t>
            </w:r>
            <w:proofErr w:type="spellEnd"/>
            <w:r>
              <w:rPr>
                <w:rFonts w:eastAsia="Calibri"/>
              </w:rPr>
              <w:t>/m (20 °C ± 0.5 °C)</w:t>
            </w:r>
          </w:p>
        </w:tc>
        <w:tc>
          <w:tcPr>
            <w:tcW w:w="1137" w:type="pct"/>
          </w:tcPr>
          <w:p w14:paraId="54DD5FB9" w14:textId="47930C3B" w:rsidR="00147D38" w:rsidRPr="004D7442" w:rsidRDefault="00147D38" w:rsidP="00147D38">
            <w:pPr>
              <w:pStyle w:val="Standaard-Tabellen"/>
              <w:rPr>
                <w:rFonts w:eastAsia="Calibri"/>
                <w:lang w:val="de-DE"/>
              </w:rPr>
            </w:pPr>
            <w:r>
              <w:rPr>
                <w:rFonts w:eastAsia="Calibri"/>
                <w:lang w:val="de-DE"/>
              </w:rPr>
              <w:t xml:space="preserve">Project </w:t>
            </w:r>
            <w:proofErr w:type="spellStart"/>
            <w:r>
              <w:rPr>
                <w:rFonts w:eastAsia="Calibri"/>
                <w:lang w:val="de-DE"/>
              </w:rPr>
              <w:t>no</w:t>
            </w:r>
            <w:proofErr w:type="spellEnd"/>
            <w:r>
              <w:rPr>
                <w:rFonts w:eastAsia="Calibri"/>
                <w:lang w:val="de-DE"/>
              </w:rPr>
              <w:t>. 6442, Zur Lage, J. 2016</w:t>
            </w:r>
          </w:p>
        </w:tc>
      </w:tr>
      <w:tr w:rsidR="00147D38" w:rsidRPr="00BD2EF1" w14:paraId="6BD09650" w14:textId="77777777" w:rsidTr="00147D38">
        <w:tc>
          <w:tcPr>
            <w:tcW w:w="1265" w:type="pct"/>
          </w:tcPr>
          <w:p w14:paraId="7114D614" w14:textId="1CE8C914" w:rsidR="00147D38" w:rsidRPr="00BD2EF1" w:rsidRDefault="00147D38" w:rsidP="00147D38">
            <w:pPr>
              <w:pStyle w:val="Standaard-Tabellen"/>
              <w:rPr>
                <w:rFonts w:eastAsia="Calibri"/>
              </w:rPr>
            </w:pPr>
            <w:r w:rsidRPr="00BD2EF1">
              <w:rPr>
                <w:rFonts w:eastAsia="Calibri"/>
              </w:rPr>
              <w:t>Viscosity</w:t>
            </w:r>
          </w:p>
        </w:tc>
        <w:tc>
          <w:tcPr>
            <w:tcW w:w="831" w:type="pct"/>
          </w:tcPr>
          <w:p w14:paraId="4765BF44" w14:textId="4AE3E0A7" w:rsidR="00147D38" w:rsidRPr="00BD2EF1" w:rsidRDefault="00147D38" w:rsidP="00147D38">
            <w:pPr>
              <w:pStyle w:val="Standaard-Tabellen"/>
              <w:rPr>
                <w:rFonts w:eastAsia="Calibri"/>
              </w:rPr>
            </w:pPr>
            <w:r>
              <w:rPr>
                <w:rFonts w:eastAsia="Calibri"/>
              </w:rPr>
              <w:t>OECD 114</w:t>
            </w:r>
          </w:p>
        </w:tc>
        <w:tc>
          <w:tcPr>
            <w:tcW w:w="753" w:type="pct"/>
          </w:tcPr>
          <w:p w14:paraId="3F457A38" w14:textId="77777777" w:rsidR="00147D38" w:rsidRDefault="00147D38" w:rsidP="00147D38">
            <w:pPr>
              <w:pStyle w:val="Standaard-Tabellen"/>
              <w:rPr>
                <w:rFonts w:eastAsia="Calibri"/>
              </w:rPr>
            </w:pPr>
            <w:r>
              <w:rPr>
                <w:rFonts w:eastAsia="Calibri"/>
              </w:rPr>
              <w:t>10.23</w:t>
            </w:r>
          </w:p>
          <w:p w14:paraId="0CBCB558" w14:textId="676E9234" w:rsidR="00147D38" w:rsidRPr="00BD2EF1" w:rsidRDefault="00147D38" w:rsidP="00147D38">
            <w:pPr>
              <w:pStyle w:val="Standaard-Tabellen"/>
              <w:rPr>
                <w:rFonts w:eastAsia="Calibri"/>
              </w:rPr>
            </w:pPr>
            <w:r w:rsidRPr="00EE0BFF">
              <w:rPr>
                <w:rFonts w:eastAsia="Calibri"/>
                <w:lang w:val="en-US"/>
              </w:rPr>
              <w:t>Insect Repellent Lotion IR3535</w:t>
            </w:r>
            <w:r w:rsidRPr="00EE0BFF">
              <w:rPr>
                <w:rFonts w:eastAsia="Calibri"/>
                <w:vertAlign w:val="superscript"/>
                <w:lang w:val="en-US"/>
              </w:rPr>
              <w:t>®</w:t>
            </w:r>
            <w:r w:rsidRPr="00EE0BFF">
              <w:rPr>
                <w:rFonts w:eastAsia="Calibri"/>
                <w:lang w:val="en-US"/>
              </w:rPr>
              <w:t xml:space="preserve"> 10%</w:t>
            </w:r>
          </w:p>
        </w:tc>
        <w:tc>
          <w:tcPr>
            <w:tcW w:w="1015" w:type="pct"/>
          </w:tcPr>
          <w:p w14:paraId="4B949FD3" w14:textId="77777777" w:rsidR="00147D38" w:rsidRDefault="00147D38" w:rsidP="00147D38">
            <w:pPr>
              <w:pStyle w:val="Standaard-Tabellen"/>
              <w:rPr>
                <w:rFonts w:eastAsia="Calibri"/>
              </w:rPr>
            </w:pPr>
            <w:r>
              <w:rPr>
                <w:rFonts w:eastAsia="Calibri"/>
              </w:rPr>
              <w:t>(M</w:t>
            </w:r>
            <w:r w:rsidRPr="005D5B23">
              <w:rPr>
                <w:rFonts w:eastAsia="Calibri"/>
              </w:rPr>
              <w:t>easured using a rotary viscometer at different shear rates (20 – 100 s</w:t>
            </w:r>
            <w:r>
              <w:rPr>
                <w:rFonts w:eastAsia="Calibri"/>
                <w:vertAlign w:val="superscript"/>
              </w:rPr>
              <w:t>-1</w:t>
            </w:r>
            <w:r w:rsidRPr="005D5B23">
              <w:rPr>
                <w:rFonts w:eastAsia="Calibri"/>
              </w:rPr>
              <w:t>)</w:t>
            </w:r>
            <w:r>
              <w:rPr>
                <w:rFonts w:eastAsia="Calibri"/>
              </w:rPr>
              <w:t>)</w:t>
            </w:r>
          </w:p>
          <w:p w14:paraId="1FC439FF" w14:textId="77777777" w:rsidR="00147D38" w:rsidRDefault="00147D38" w:rsidP="00147D38">
            <w:pPr>
              <w:pStyle w:val="Standaard-Tabellen"/>
              <w:rPr>
                <w:rFonts w:eastAsia="Calibri"/>
              </w:rPr>
            </w:pPr>
          </w:p>
          <w:p w14:paraId="45F1A508" w14:textId="77777777" w:rsidR="00147D38" w:rsidRDefault="00147D38" w:rsidP="00147D38">
            <w:pPr>
              <w:pStyle w:val="Standaard-Tabellen"/>
              <w:rPr>
                <w:rFonts w:eastAsia="Calibri"/>
              </w:rPr>
            </w:pPr>
            <w:r>
              <w:rPr>
                <w:rFonts w:eastAsia="Calibri"/>
              </w:rPr>
              <w:lastRenderedPageBreak/>
              <w:t xml:space="preserve">534-1462 </w:t>
            </w:r>
            <w:proofErr w:type="spellStart"/>
            <w:r>
              <w:rPr>
                <w:rFonts w:eastAsia="Calibri"/>
              </w:rPr>
              <w:t>mPa.s</w:t>
            </w:r>
            <w:proofErr w:type="spellEnd"/>
            <w:r>
              <w:rPr>
                <w:rFonts w:eastAsia="Calibri"/>
              </w:rPr>
              <w:t>. (20 °C ± 0.5 °C)</w:t>
            </w:r>
          </w:p>
          <w:p w14:paraId="625502FD" w14:textId="77777777" w:rsidR="00147D38" w:rsidRDefault="00147D38" w:rsidP="00147D38">
            <w:pPr>
              <w:pStyle w:val="Standaard-Tabellen"/>
              <w:rPr>
                <w:rFonts w:eastAsia="Calibri"/>
              </w:rPr>
            </w:pPr>
          </w:p>
          <w:p w14:paraId="72609101" w14:textId="77777777" w:rsidR="00147D38" w:rsidRDefault="00147D38" w:rsidP="00147D38">
            <w:pPr>
              <w:pStyle w:val="Standaard-Tabellen"/>
              <w:rPr>
                <w:rFonts w:eastAsia="Calibri"/>
              </w:rPr>
            </w:pPr>
            <w:r>
              <w:rPr>
                <w:rFonts w:eastAsia="Calibri"/>
              </w:rPr>
              <w:t xml:space="preserve">238-597 </w:t>
            </w:r>
            <w:proofErr w:type="spellStart"/>
            <w:r>
              <w:rPr>
                <w:rFonts w:eastAsia="Calibri"/>
              </w:rPr>
              <w:t>mPa.s</w:t>
            </w:r>
            <w:proofErr w:type="spellEnd"/>
            <w:r>
              <w:rPr>
                <w:rFonts w:eastAsia="Calibri"/>
              </w:rPr>
              <w:t>. (40 °C ± 0.5 °C)</w:t>
            </w:r>
          </w:p>
          <w:p w14:paraId="7DA7BF2F" w14:textId="77777777" w:rsidR="00147D38" w:rsidRDefault="00147D38" w:rsidP="00147D38">
            <w:pPr>
              <w:pStyle w:val="Standaard-Tabellen"/>
              <w:rPr>
                <w:rFonts w:eastAsia="Calibri"/>
              </w:rPr>
            </w:pPr>
          </w:p>
          <w:p w14:paraId="5E6B297A" w14:textId="275E569A" w:rsidR="00147D38" w:rsidRPr="005D5B23" w:rsidRDefault="00147D38" w:rsidP="00147D38">
            <w:pPr>
              <w:pStyle w:val="Standaard-Tabellen"/>
              <w:rPr>
                <w:rFonts w:eastAsia="Calibri"/>
                <w:lang w:val="en-US"/>
              </w:rPr>
            </w:pPr>
            <w:r>
              <w:rPr>
                <w:rFonts w:eastAsia="Calibri"/>
              </w:rPr>
              <w:t>L</w:t>
            </w:r>
            <w:proofErr w:type="spellStart"/>
            <w:r w:rsidRPr="005D5B23">
              <w:rPr>
                <w:rFonts w:eastAsia="Calibri"/>
                <w:lang w:val="en-US"/>
              </w:rPr>
              <w:t>otion</w:t>
            </w:r>
            <w:proofErr w:type="spellEnd"/>
            <w:r w:rsidRPr="005D5B23">
              <w:rPr>
                <w:rFonts w:eastAsia="Calibri"/>
                <w:lang w:val="en-US"/>
              </w:rPr>
              <w:t xml:space="preserve"> is not a Newtonian solution since the shear rates influence the viscosity results.</w:t>
            </w:r>
          </w:p>
        </w:tc>
        <w:tc>
          <w:tcPr>
            <w:tcW w:w="1137" w:type="pct"/>
          </w:tcPr>
          <w:p w14:paraId="50230DAD" w14:textId="77A7F020" w:rsidR="00147D38" w:rsidRPr="00BD2EF1" w:rsidRDefault="00147D38" w:rsidP="00147D38">
            <w:pPr>
              <w:pStyle w:val="Standaard-Tabellen"/>
              <w:rPr>
                <w:rFonts w:eastAsia="Calibri"/>
              </w:rPr>
            </w:pPr>
            <w:r>
              <w:rPr>
                <w:rFonts w:eastAsia="Calibri"/>
              </w:rPr>
              <w:lastRenderedPageBreak/>
              <w:t xml:space="preserve">Report no. 98322204, </w:t>
            </w:r>
            <w:proofErr w:type="spellStart"/>
            <w:r>
              <w:rPr>
                <w:rFonts w:eastAsia="Calibri"/>
              </w:rPr>
              <w:t>Fieseler</w:t>
            </w:r>
            <w:proofErr w:type="spellEnd"/>
            <w:r>
              <w:rPr>
                <w:rFonts w:eastAsia="Calibri"/>
              </w:rPr>
              <w:t>, A. 2015</w:t>
            </w:r>
          </w:p>
        </w:tc>
      </w:tr>
    </w:tbl>
    <w:p w14:paraId="3C236D8E" w14:textId="77777777" w:rsidR="00EB316C" w:rsidRDefault="00EB316C" w:rsidP="00EB316C">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28480A" w:rsidRPr="007C0BA5" w14:paraId="3717D746" w14:textId="77777777" w:rsidTr="003E39B1">
        <w:tc>
          <w:tcPr>
            <w:tcW w:w="5000" w:type="pct"/>
            <w:tcBorders>
              <w:top w:val="single" w:sz="4" w:space="0" w:color="auto"/>
              <w:left w:val="single" w:sz="4" w:space="0" w:color="auto"/>
              <w:bottom w:val="single" w:sz="6" w:space="0" w:color="auto"/>
              <w:right w:val="single" w:sz="6" w:space="0" w:color="auto"/>
            </w:tcBorders>
            <w:shd w:val="clear" w:color="auto" w:fill="CCFFCC"/>
          </w:tcPr>
          <w:p w14:paraId="362EA90B" w14:textId="77777777" w:rsidR="0028480A" w:rsidRPr="007C0BA5" w:rsidRDefault="0028480A" w:rsidP="00FF76D2">
            <w:pPr>
              <w:rPr>
                <w:rFonts w:eastAsia="Calibri"/>
                <w:b/>
                <w:bCs/>
                <w:lang w:eastAsia="en-US"/>
              </w:rPr>
            </w:pPr>
            <w:r w:rsidRPr="007C0BA5">
              <w:rPr>
                <w:rFonts w:eastAsia="Calibri"/>
                <w:b/>
                <w:bCs/>
                <w:lang w:eastAsia="en-US"/>
              </w:rPr>
              <w:t>Conclusion on the p</w:t>
            </w:r>
            <w:r w:rsidRPr="007C0BA5">
              <w:rPr>
                <w:rFonts w:eastAsia="Calibri"/>
                <w:b/>
              </w:rPr>
              <w:t>hysical, chemical and technical properties</w:t>
            </w:r>
            <w:r w:rsidRPr="007C0BA5">
              <w:rPr>
                <w:rFonts w:eastAsia="Calibri"/>
                <w:b/>
                <w:bCs/>
                <w:lang w:eastAsia="en-US"/>
              </w:rPr>
              <w:t xml:space="preserve"> of the product</w:t>
            </w:r>
          </w:p>
        </w:tc>
      </w:tr>
      <w:tr w:rsidR="0028480A" w:rsidRPr="00BD2EF1" w14:paraId="2D6A58B0" w14:textId="77777777" w:rsidTr="003E39B1">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8AA6ED3" w14:textId="43216AE7" w:rsidR="0028480A" w:rsidRPr="00BD2EF1" w:rsidRDefault="00E12E4A" w:rsidP="00E12E4A">
            <w:pPr>
              <w:rPr>
                <w:rFonts w:eastAsia="Calibri"/>
                <w:b/>
                <w:lang w:eastAsia="en-US"/>
              </w:rPr>
            </w:pPr>
            <w:r w:rsidRPr="00F96061">
              <w:rPr>
                <w:rFonts w:eastAsia="Calibri"/>
                <w:lang w:eastAsia="en-US"/>
              </w:rPr>
              <w:t xml:space="preserve">The </w:t>
            </w:r>
            <w:r>
              <w:rPr>
                <w:rFonts w:eastAsia="Calibri"/>
                <w:lang w:eastAsia="en-US"/>
              </w:rPr>
              <w:t>Insect R</w:t>
            </w:r>
            <w:r w:rsidRPr="00F96061">
              <w:rPr>
                <w:rFonts w:eastAsia="Calibri"/>
                <w:lang w:eastAsia="en-US"/>
              </w:rPr>
              <w:t xml:space="preserve">epellent </w:t>
            </w:r>
            <w:r>
              <w:rPr>
                <w:rFonts w:eastAsia="Calibri"/>
                <w:lang w:eastAsia="en-US"/>
              </w:rPr>
              <w:t>Lotion IR3535</w:t>
            </w:r>
            <w:r w:rsidRPr="007C0BA5">
              <w:rPr>
                <w:rFonts w:eastAsia="Calibri"/>
                <w:vertAlign w:val="superscript"/>
                <w:lang w:eastAsia="en-US"/>
              </w:rPr>
              <w:t>®</w:t>
            </w:r>
            <w:r>
              <w:rPr>
                <w:rFonts w:eastAsia="Calibri"/>
                <w:lang w:eastAsia="en-US"/>
              </w:rPr>
              <w:t xml:space="preserve"> 10%,</w:t>
            </w:r>
            <w:r w:rsidRPr="00F96061">
              <w:rPr>
                <w:rFonts w:eastAsia="Calibri"/>
                <w:lang w:eastAsia="en-US"/>
              </w:rPr>
              <w:t xml:space="preserve"> as manufactured</w:t>
            </w:r>
            <w:r>
              <w:rPr>
                <w:rFonts w:eastAsia="Calibri"/>
                <w:lang w:eastAsia="en-US"/>
              </w:rPr>
              <w:t>,</w:t>
            </w:r>
            <w:r w:rsidRPr="00F96061">
              <w:rPr>
                <w:rFonts w:eastAsia="Calibri"/>
                <w:lang w:eastAsia="en-US"/>
              </w:rPr>
              <w:t xml:space="preserve"> is a </w:t>
            </w:r>
            <w:r>
              <w:rPr>
                <w:rFonts w:eastAsia="Calibri"/>
                <w:lang w:eastAsia="en-US"/>
              </w:rPr>
              <w:t xml:space="preserve">white </w:t>
            </w:r>
            <w:r w:rsidRPr="00F96061">
              <w:rPr>
                <w:rFonts w:eastAsia="Calibri"/>
                <w:lang w:eastAsia="en-US"/>
              </w:rPr>
              <w:t xml:space="preserve">liquid with a mild characteristic smell. The relative density of the product is </w:t>
            </w:r>
            <w:r>
              <w:rPr>
                <w:rFonts w:eastAsia="Calibri"/>
                <w:lang w:eastAsia="en-US"/>
              </w:rPr>
              <w:t>1</w:t>
            </w:r>
            <w:r w:rsidRPr="00F96061">
              <w:rPr>
                <w:rFonts w:eastAsia="Calibri"/>
                <w:lang w:eastAsia="en-US"/>
              </w:rPr>
              <w:t>.</w:t>
            </w:r>
            <w:r>
              <w:rPr>
                <w:rFonts w:eastAsia="Calibri"/>
                <w:lang w:eastAsia="en-US"/>
              </w:rPr>
              <w:t>008</w:t>
            </w:r>
            <w:r w:rsidRPr="00F96061">
              <w:rPr>
                <w:rFonts w:eastAsia="Calibri"/>
                <w:lang w:eastAsia="en-US"/>
              </w:rPr>
              <w:t xml:space="preserve"> at 20 °C. At  20</w:t>
            </w:r>
            <w:r>
              <w:rPr>
                <w:rFonts w:eastAsia="Calibri"/>
                <w:lang w:eastAsia="en-US"/>
              </w:rPr>
              <w:t xml:space="preserve"> </w:t>
            </w:r>
            <w:r w:rsidRPr="00F96061">
              <w:rPr>
                <w:rFonts w:eastAsia="Calibri"/>
                <w:lang w:eastAsia="en-US"/>
              </w:rPr>
              <w:t>°C and a concentration betw</w:t>
            </w:r>
            <w:r>
              <w:rPr>
                <w:rFonts w:eastAsia="Calibri"/>
                <w:lang w:eastAsia="en-US"/>
              </w:rPr>
              <w:t>een 1.0 vol% and 100 vol%, the p</w:t>
            </w:r>
            <w:r w:rsidRPr="00F96061">
              <w:rPr>
                <w:rFonts w:eastAsia="Calibri"/>
                <w:lang w:eastAsia="en-US"/>
              </w:rPr>
              <w:t xml:space="preserve">H value is between </w:t>
            </w:r>
            <w:r>
              <w:rPr>
                <w:rFonts w:eastAsia="Calibri"/>
                <w:lang w:eastAsia="en-US"/>
              </w:rPr>
              <w:t>6</w:t>
            </w:r>
            <w:r w:rsidRPr="00F96061">
              <w:rPr>
                <w:rFonts w:eastAsia="Calibri"/>
                <w:lang w:eastAsia="en-US"/>
              </w:rPr>
              <w:t>.</w:t>
            </w:r>
            <w:r>
              <w:rPr>
                <w:rFonts w:eastAsia="Calibri"/>
                <w:lang w:eastAsia="en-US"/>
              </w:rPr>
              <w:t>3</w:t>
            </w:r>
            <w:r w:rsidRPr="00F96061">
              <w:rPr>
                <w:rFonts w:eastAsia="Calibri"/>
                <w:lang w:eastAsia="en-US"/>
              </w:rPr>
              <w:t xml:space="preserve"> and </w:t>
            </w:r>
            <w:r>
              <w:rPr>
                <w:rFonts w:eastAsia="Calibri"/>
                <w:lang w:eastAsia="en-US"/>
              </w:rPr>
              <w:t>7</w:t>
            </w:r>
            <w:r w:rsidRPr="00F96061">
              <w:rPr>
                <w:rFonts w:eastAsia="Calibri"/>
                <w:lang w:eastAsia="en-US"/>
              </w:rPr>
              <w:t>.</w:t>
            </w:r>
            <w:r>
              <w:rPr>
                <w:rFonts w:eastAsia="Calibri"/>
                <w:lang w:eastAsia="en-US"/>
              </w:rPr>
              <w:t xml:space="preserve">0. </w:t>
            </w:r>
            <w:r w:rsidR="00290444">
              <w:rPr>
                <w:rFonts w:eastAsia="Calibri"/>
                <w:lang w:eastAsia="en-US"/>
              </w:rPr>
              <w:t>T</w:t>
            </w:r>
            <w:r>
              <w:rPr>
                <w:rFonts w:eastAsia="Calibri"/>
                <w:lang w:eastAsia="en-US"/>
              </w:rPr>
              <w:t>he accelerated stability test indicate</w:t>
            </w:r>
            <w:r w:rsidR="00290444">
              <w:rPr>
                <w:rFonts w:eastAsia="Calibri"/>
                <w:lang w:eastAsia="en-US"/>
              </w:rPr>
              <w:t>s</w:t>
            </w:r>
            <w:r>
              <w:rPr>
                <w:rFonts w:eastAsia="Calibri"/>
                <w:lang w:eastAsia="en-US"/>
              </w:rPr>
              <w:t xml:space="preserve"> that </w:t>
            </w:r>
            <w:r w:rsidRPr="00F50D6E">
              <w:rPr>
                <w:rFonts w:eastAsia="Calibri"/>
                <w:lang w:eastAsia="en-US"/>
              </w:rPr>
              <w:t xml:space="preserve">the formulation </w:t>
            </w:r>
            <w:r>
              <w:rPr>
                <w:rFonts w:eastAsia="Calibri"/>
                <w:lang w:eastAsia="en-US"/>
              </w:rPr>
              <w:t>i</w:t>
            </w:r>
            <w:r w:rsidRPr="00F50D6E">
              <w:rPr>
                <w:rFonts w:eastAsia="Calibri"/>
                <w:lang w:eastAsia="en-US"/>
              </w:rPr>
              <w:t>s stable for two years</w:t>
            </w:r>
            <w:r>
              <w:rPr>
                <w:rFonts w:eastAsia="Calibri"/>
                <w:lang w:eastAsia="en-US"/>
              </w:rPr>
              <w:t xml:space="preserve">. </w:t>
            </w:r>
            <w:r w:rsidR="00290444">
              <w:rPr>
                <w:rFonts w:eastAsia="Calibri"/>
                <w:lang w:eastAsia="en-US"/>
              </w:rPr>
              <w:t xml:space="preserve">Based on the long term stability test at ambient temperature </w:t>
            </w:r>
            <w:r w:rsidR="00290444">
              <w:rPr>
                <w:rFonts w:eastAsia="Calibri"/>
              </w:rPr>
              <w:t xml:space="preserve">and the IUCLID </w:t>
            </w:r>
            <w:r w:rsidR="00290444" w:rsidRPr="00F66C09">
              <w:rPr>
                <w:rFonts w:eastAsia="Calibri"/>
              </w:rPr>
              <w:t>Executive summary</w:t>
            </w:r>
            <w:r w:rsidR="00290444">
              <w:rPr>
                <w:rFonts w:eastAsia="Calibri"/>
              </w:rPr>
              <w:t xml:space="preserve"> (incl. the proposed linear regression), a stability of 18 months was accepted by the </w:t>
            </w:r>
            <w:proofErr w:type="spellStart"/>
            <w:r w:rsidR="00290444">
              <w:rPr>
                <w:rFonts w:eastAsia="Calibri"/>
              </w:rPr>
              <w:t>eCA</w:t>
            </w:r>
            <w:proofErr w:type="spellEnd"/>
            <w:r w:rsidR="00290444">
              <w:rPr>
                <w:rFonts w:eastAsia="Calibri"/>
              </w:rPr>
              <w:t xml:space="preserve"> and a majority of the commenting MS during the RCOM. Nonetheless, the applicant must provide the </w:t>
            </w:r>
            <w:proofErr w:type="spellStart"/>
            <w:r w:rsidR="00290444">
              <w:rPr>
                <w:rFonts w:eastAsia="Calibri"/>
              </w:rPr>
              <w:t>eCA</w:t>
            </w:r>
            <w:proofErr w:type="spellEnd"/>
            <w:r w:rsidR="00290444">
              <w:rPr>
                <w:rFonts w:eastAsia="Calibri"/>
              </w:rPr>
              <w:t xml:space="preserve"> with a new </w:t>
            </w:r>
            <w:r w:rsidR="00290444">
              <w:rPr>
                <w:rFonts w:eastAsia="Calibri"/>
                <w:lang w:eastAsia="en-US"/>
              </w:rPr>
              <w:t>long term stability test at ambient temperature which supports this approach within a 2 year period post-approval. T</w:t>
            </w:r>
            <w:r w:rsidRPr="00F96061">
              <w:rPr>
                <w:rFonts w:eastAsia="Calibri"/>
                <w:lang w:eastAsia="en-US"/>
              </w:rPr>
              <w:t xml:space="preserve">he product </w:t>
            </w:r>
            <w:r>
              <w:rPr>
                <w:rFonts w:eastAsia="Calibri"/>
                <w:lang w:eastAsia="en-US"/>
              </w:rPr>
              <w:t>has been shown to be</w:t>
            </w:r>
            <w:r w:rsidRPr="00F96061">
              <w:rPr>
                <w:rFonts w:eastAsia="Calibri"/>
                <w:lang w:eastAsia="en-US"/>
              </w:rPr>
              <w:t xml:space="preserve"> s</w:t>
            </w:r>
            <w:r>
              <w:rPr>
                <w:rFonts w:eastAsia="Calibri"/>
                <w:lang w:eastAsia="en-US"/>
              </w:rPr>
              <w:t xml:space="preserve">table under cold temperature storage conditions. </w:t>
            </w:r>
            <w:r w:rsidR="00824292" w:rsidRPr="00824292">
              <w:rPr>
                <w:rFonts w:eastAsia="Calibri"/>
                <w:lang w:eastAsia="en-US"/>
              </w:rPr>
              <w:t>The product should not be stored for prolonged times at temperatures &gt;40°C.</w:t>
            </w:r>
            <w:r w:rsidR="00824292">
              <w:rPr>
                <w:rFonts w:eastAsia="Calibri"/>
                <w:lang w:eastAsia="en-US"/>
              </w:rPr>
              <w:t xml:space="preserve"> </w:t>
            </w:r>
            <w:r w:rsidRPr="00F96061">
              <w:rPr>
                <w:rFonts w:eastAsia="Calibri"/>
                <w:lang w:eastAsia="en-US"/>
              </w:rPr>
              <w:t xml:space="preserve">Light influence is avoided by using a lightproof </w:t>
            </w:r>
            <w:r>
              <w:rPr>
                <w:rFonts w:eastAsia="Calibri"/>
                <w:lang w:eastAsia="en-US"/>
              </w:rPr>
              <w:t xml:space="preserve">plastic </w:t>
            </w:r>
            <w:r w:rsidRPr="00F96061">
              <w:rPr>
                <w:rFonts w:eastAsia="Calibri"/>
                <w:lang w:eastAsia="en-US"/>
              </w:rPr>
              <w:t>packaging. There are no humidity effects expected in th</w:t>
            </w:r>
            <w:r>
              <w:rPr>
                <w:rFonts w:eastAsia="Calibri"/>
                <w:lang w:eastAsia="en-US"/>
              </w:rPr>
              <w:t>e</w:t>
            </w:r>
            <w:r w:rsidRPr="00F96061">
              <w:rPr>
                <w:rFonts w:eastAsia="Calibri"/>
                <w:lang w:eastAsia="en-US"/>
              </w:rPr>
              <w:t xml:space="preserve"> closed package. The surface tension is 29.9 </w:t>
            </w:r>
            <w:proofErr w:type="spellStart"/>
            <w:r>
              <w:rPr>
                <w:rFonts w:eastAsia="Calibri"/>
                <w:lang w:eastAsia="en-US"/>
              </w:rPr>
              <w:t>n</w:t>
            </w:r>
            <w:r w:rsidRPr="00F96061">
              <w:rPr>
                <w:rFonts w:eastAsia="Calibri"/>
                <w:lang w:eastAsia="en-US"/>
              </w:rPr>
              <w:t>N</w:t>
            </w:r>
            <w:proofErr w:type="spellEnd"/>
            <w:r w:rsidRPr="00F96061">
              <w:rPr>
                <w:rFonts w:eastAsia="Calibri"/>
                <w:lang w:eastAsia="en-US"/>
              </w:rPr>
              <w:t>/m and the viscosity</w:t>
            </w:r>
            <w:r>
              <w:rPr>
                <w:rFonts w:eastAsia="Calibri"/>
                <w:lang w:eastAsia="en-US"/>
              </w:rPr>
              <w:t xml:space="preserve"> – measured at different shear rates –</w:t>
            </w:r>
            <w:r w:rsidRPr="00F96061">
              <w:rPr>
                <w:rFonts w:eastAsia="Calibri"/>
                <w:lang w:eastAsia="en-US"/>
              </w:rPr>
              <w:t xml:space="preserve"> </w:t>
            </w:r>
            <w:r>
              <w:rPr>
                <w:rFonts w:eastAsia="Calibri"/>
                <w:lang w:eastAsia="en-US"/>
              </w:rPr>
              <w:t xml:space="preserve">ranges between 534 and 1462 </w:t>
            </w:r>
            <w:proofErr w:type="spellStart"/>
            <w:r>
              <w:rPr>
                <w:rFonts w:eastAsia="Calibri"/>
                <w:lang w:eastAsia="en-US"/>
              </w:rPr>
              <w:t>mPa.s</w:t>
            </w:r>
            <w:proofErr w:type="spellEnd"/>
            <w:r>
              <w:rPr>
                <w:rFonts w:eastAsia="Calibri"/>
                <w:lang w:eastAsia="en-US"/>
              </w:rPr>
              <w:t xml:space="preserve">. at 20°C, and 238 and 597 </w:t>
            </w:r>
            <w:proofErr w:type="spellStart"/>
            <w:r>
              <w:rPr>
                <w:rFonts w:eastAsia="Calibri"/>
                <w:lang w:eastAsia="en-US"/>
              </w:rPr>
              <w:t>mPa.s</w:t>
            </w:r>
            <w:proofErr w:type="spellEnd"/>
            <w:r>
              <w:rPr>
                <w:rFonts w:eastAsia="Calibri"/>
                <w:lang w:eastAsia="en-US"/>
              </w:rPr>
              <w:t>. at 40°C</w:t>
            </w:r>
            <w:r w:rsidRPr="00F96061">
              <w:rPr>
                <w:rFonts w:eastAsia="Calibri"/>
                <w:lang w:eastAsia="en-US"/>
              </w:rPr>
              <w:t xml:space="preserve">. </w:t>
            </w:r>
            <w:r>
              <w:rPr>
                <w:rFonts w:eastAsia="Calibri"/>
                <w:lang w:eastAsia="en-US"/>
              </w:rPr>
              <w:t>The l</w:t>
            </w:r>
            <w:proofErr w:type="spellStart"/>
            <w:r>
              <w:rPr>
                <w:rFonts w:eastAsia="Calibri"/>
                <w:lang w:val="en-US"/>
              </w:rPr>
              <w:t>otion</w:t>
            </w:r>
            <w:proofErr w:type="spellEnd"/>
            <w:r>
              <w:rPr>
                <w:rFonts w:eastAsia="Calibri"/>
                <w:lang w:val="en-US"/>
              </w:rPr>
              <w:t xml:space="preserve"> is </w:t>
            </w:r>
            <w:r w:rsidRPr="005D5B23">
              <w:rPr>
                <w:rFonts w:eastAsia="Calibri"/>
                <w:lang w:val="en-US"/>
              </w:rPr>
              <w:t xml:space="preserve">a </w:t>
            </w:r>
            <w:r>
              <w:rPr>
                <w:rFonts w:eastAsia="Calibri"/>
                <w:lang w:val="en-US"/>
              </w:rPr>
              <w:t>non-</w:t>
            </w:r>
            <w:r w:rsidRPr="005D5B23">
              <w:rPr>
                <w:rFonts w:eastAsia="Calibri"/>
                <w:lang w:val="en-US"/>
              </w:rPr>
              <w:t>Newtonian</w:t>
            </w:r>
            <w:r>
              <w:rPr>
                <w:rFonts w:eastAsia="Calibri"/>
                <w:lang w:val="en-US"/>
              </w:rPr>
              <w:t xml:space="preserve"> solution. </w:t>
            </w:r>
            <w:r w:rsidRPr="00F96061">
              <w:rPr>
                <w:rFonts w:eastAsia="Calibri"/>
                <w:lang w:eastAsia="en-US"/>
              </w:rPr>
              <w:t>Physical and chemical compatibility with other products are not relevant.</w:t>
            </w:r>
          </w:p>
        </w:tc>
      </w:tr>
    </w:tbl>
    <w:p w14:paraId="63D92F14" w14:textId="113F22EB" w:rsidR="0028480A" w:rsidRDefault="0028480A" w:rsidP="0028480A">
      <w:pPr>
        <w:rPr>
          <w:lang w:eastAsia="en-US"/>
        </w:rPr>
      </w:pPr>
    </w:p>
    <w:p w14:paraId="3E2B5209" w14:textId="1EF6F3BF" w:rsidR="00C85279" w:rsidRDefault="00C85279" w:rsidP="0028480A">
      <w:pPr>
        <w:rPr>
          <w:lang w:eastAsia="en-US"/>
        </w:rPr>
      </w:pPr>
    </w:p>
    <w:p w14:paraId="4AD87086" w14:textId="36EC7D8F" w:rsidR="00C85279" w:rsidRDefault="00C85279" w:rsidP="00C85279">
      <w:pPr>
        <w:rPr>
          <w:rFonts w:eastAsia="Calibri"/>
        </w:rPr>
      </w:pPr>
    </w:p>
    <w:p w14:paraId="2999AED8" w14:textId="07D54A6C" w:rsidR="00C85279" w:rsidRDefault="00C85279" w:rsidP="00C85279">
      <w:pPr>
        <w:rPr>
          <w:rFonts w:eastAsia="Calibri"/>
        </w:rPr>
      </w:pPr>
    </w:p>
    <w:p w14:paraId="1C94BC52" w14:textId="11095A47" w:rsidR="00C85279" w:rsidRDefault="00C85279" w:rsidP="00C85279">
      <w:pPr>
        <w:rPr>
          <w:rFonts w:eastAsia="Calibri"/>
        </w:rPr>
      </w:pPr>
    </w:p>
    <w:p w14:paraId="2ED90A05" w14:textId="57622C72" w:rsidR="00C85279" w:rsidRDefault="00C85279" w:rsidP="00C85279">
      <w:pPr>
        <w:rPr>
          <w:rFonts w:eastAsia="Calibri"/>
        </w:rPr>
      </w:pPr>
    </w:p>
    <w:p w14:paraId="6C4FE7F4" w14:textId="508273FA" w:rsidR="00C85279" w:rsidRDefault="00C85279" w:rsidP="00C85279">
      <w:pPr>
        <w:rPr>
          <w:rFonts w:eastAsia="Calibri"/>
        </w:rPr>
      </w:pPr>
    </w:p>
    <w:p w14:paraId="37A80CDF" w14:textId="450292B0" w:rsidR="00C85279" w:rsidRDefault="00C85279" w:rsidP="00C85279">
      <w:pPr>
        <w:rPr>
          <w:rFonts w:eastAsia="Calibri"/>
        </w:rPr>
      </w:pPr>
    </w:p>
    <w:p w14:paraId="0EC25550" w14:textId="504F9CB4" w:rsidR="00C85279" w:rsidRDefault="00C85279" w:rsidP="00C85279">
      <w:pPr>
        <w:rPr>
          <w:rFonts w:eastAsia="Calibri"/>
        </w:rPr>
      </w:pPr>
    </w:p>
    <w:p w14:paraId="193B798A" w14:textId="19B255F0" w:rsidR="00C85279" w:rsidRDefault="00C85279" w:rsidP="00C85279">
      <w:pPr>
        <w:rPr>
          <w:rFonts w:eastAsia="Calibri"/>
        </w:rPr>
      </w:pPr>
    </w:p>
    <w:p w14:paraId="69979181" w14:textId="76B60057" w:rsidR="00C85279" w:rsidRDefault="00C85279" w:rsidP="00C85279">
      <w:pPr>
        <w:rPr>
          <w:rFonts w:eastAsia="Calibri"/>
        </w:rPr>
      </w:pPr>
    </w:p>
    <w:p w14:paraId="3F37FAD3" w14:textId="619E35CF" w:rsidR="00C85279" w:rsidRDefault="00C85279" w:rsidP="00C85279">
      <w:pPr>
        <w:rPr>
          <w:rFonts w:eastAsia="Calibri"/>
        </w:rPr>
      </w:pPr>
    </w:p>
    <w:p w14:paraId="0D833925" w14:textId="77777777" w:rsidR="00C85279" w:rsidRDefault="00C85279" w:rsidP="00C85279">
      <w:pPr>
        <w:rPr>
          <w:rFonts w:eastAsia="Calibri"/>
        </w:rPr>
      </w:pPr>
    </w:p>
    <w:p w14:paraId="6C619048" w14:textId="77777777" w:rsidR="00C85279" w:rsidRPr="00C85279" w:rsidRDefault="00C85279" w:rsidP="00C85279">
      <w:pPr>
        <w:rPr>
          <w:rFonts w:eastAsia="Calibri"/>
          <w:sz w:val="28"/>
          <w:szCs w:val="28"/>
        </w:rPr>
      </w:pPr>
      <w:r w:rsidRPr="00C85279">
        <w:rPr>
          <w:rFonts w:eastAsia="Calibri"/>
          <w:sz w:val="28"/>
          <w:szCs w:val="28"/>
          <w:highlight w:val="green"/>
          <w:u w:val="single"/>
        </w:rPr>
        <w:lastRenderedPageBreak/>
        <w:t>Minor change (2023)</w:t>
      </w:r>
      <w:r w:rsidRPr="00C85279">
        <w:rPr>
          <w:rFonts w:eastAsia="Calibri"/>
          <w:sz w:val="28"/>
          <w:szCs w:val="28"/>
        </w:rPr>
        <w:t xml:space="preserve"> </w:t>
      </w:r>
    </w:p>
    <w:p w14:paraId="02F19D03" w14:textId="5CC6246D" w:rsidR="00C85279" w:rsidRDefault="00C85279" w:rsidP="0028480A">
      <w:pPr>
        <w:rPr>
          <w:lang w:eastAsia="en-US"/>
        </w:rPr>
      </w:pPr>
    </w:p>
    <w:p w14:paraId="51FB91B8" w14:textId="77777777" w:rsidR="00C85279" w:rsidRDefault="00C85279" w:rsidP="00C85279">
      <w:pPr>
        <w:pStyle w:val="Lgende"/>
        <w:keepNext/>
      </w:pPr>
      <w:r>
        <w:t xml:space="preserve">Table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Table \* ARABIC \s 1 </w:instrText>
      </w:r>
      <w:r>
        <w:fldChar w:fldCharType="separate"/>
      </w:r>
      <w:r>
        <w:rPr>
          <w:noProof/>
        </w:rPr>
        <w:t>2</w:t>
      </w:r>
      <w:r>
        <w:rPr>
          <w:noProof/>
        </w:rPr>
        <w:fldChar w:fldCharType="end"/>
      </w:r>
      <w:r w:rsidRPr="006420E5">
        <w:t xml:space="preserve"> </w:t>
      </w:r>
      <w:r w:rsidRPr="00564CFB">
        <w:t>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2"/>
        <w:gridCol w:w="1632"/>
        <w:gridCol w:w="1291"/>
        <w:gridCol w:w="1903"/>
        <w:gridCol w:w="1747"/>
        <w:gridCol w:w="1369"/>
      </w:tblGrid>
      <w:tr w:rsidR="00C85279" w:rsidRPr="00C56C96" w14:paraId="14998C2F" w14:textId="77777777" w:rsidTr="00342271">
        <w:trPr>
          <w:trHeight w:val="782"/>
          <w:tblHeader/>
        </w:trPr>
        <w:tc>
          <w:tcPr>
            <w:tcW w:w="686" w:type="pct"/>
            <w:shd w:val="clear" w:color="auto" w:fill="FFFFCC"/>
          </w:tcPr>
          <w:p w14:paraId="3B1223F3" w14:textId="77777777" w:rsidR="00C85279" w:rsidRPr="00C56C96" w:rsidRDefault="00C85279" w:rsidP="00342271">
            <w:pPr>
              <w:jc w:val="center"/>
              <w:rPr>
                <w:rFonts w:eastAsia="Calibri"/>
                <w:b/>
                <w:sz w:val="18"/>
                <w:szCs w:val="18"/>
                <w:lang w:eastAsia="en-US"/>
              </w:rPr>
            </w:pPr>
            <w:r w:rsidRPr="00C56C96">
              <w:rPr>
                <w:rFonts w:eastAsia="Calibri"/>
                <w:b/>
                <w:sz w:val="18"/>
                <w:szCs w:val="18"/>
                <w:lang w:eastAsia="en-US"/>
              </w:rPr>
              <w:t>Numbering according to Annex III of BPR</w:t>
            </w:r>
          </w:p>
        </w:tc>
        <w:tc>
          <w:tcPr>
            <w:tcW w:w="1023" w:type="pct"/>
            <w:shd w:val="clear" w:color="auto" w:fill="FFFFCC"/>
            <w:vAlign w:val="center"/>
          </w:tcPr>
          <w:p w14:paraId="41F9F9FE" w14:textId="77777777" w:rsidR="00C85279" w:rsidRPr="00C56C96" w:rsidRDefault="00C85279" w:rsidP="00342271">
            <w:pPr>
              <w:jc w:val="center"/>
              <w:rPr>
                <w:rFonts w:eastAsia="Calibri"/>
                <w:b/>
                <w:sz w:val="18"/>
                <w:szCs w:val="18"/>
                <w:lang w:eastAsia="en-US"/>
              </w:rPr>
            </w:pPr>
            <w:r w:rsidRPr="00C56C96">
              <w:rPr>
                <w:rFonts w:eastAsia="Calibri"/>
                <w:b/>
                <w:sz w:val="18"/>
                <w:szCs w:val="18"/>
                <w:lang w:eastAsia="en-US"/>
              </w:rPr>
              <w:t>Property</w:t>
            </w:r>
          </w:p>
        </w:tc>
        <w:tc>
          <w:tcPr>
            <w:tcW w:w="770" w:type="pct"/>
            <w:shd w:val="clear" w:color="auto" w:fill="FFFFCC"/>
            <w:vAlign w:val="center"/>
          </w:tcPr>
          <w:p w14:paraId="2DF86183" w14:textId="77777777" w:rsidR="00C85279" w:rsidRPr="00C56C96" w:rsidRDefault="00C85279" w:rsidP="00342271">
            <w:pPr>
              <w:jc w:val="center"/>
              <w:rPr>
                <w:rFonts w:eastAsia="Calibri"/>
                <w:b/>
                <w:sz w:val="18"/>
                <w:szCs w:val="18"/>
                <w:lang w:eastAsia="en-US"/>
              </w:rPr>
            </w:pPr>
            <w:r w:rsidRPr="00C56C96">
              <w:rPr>
                <w:rFonts w:eastAsia="Calibri"/>
                <w:b/>
                <w:sz w:val="18"/>
                <w:szCs w:val="18"/>
                <w:lang w:eastAsia="en-US"/>
              </w:rPr>
              <w:t>Guideline and Method</w:t>
            </w:r>
          </w:p>
        </w:tc>
        <w:tc>
          <w:tcPr>
            <w:tcW w:w="874" w:type="pct"/>
            <w:shd w:val="clear" w:color="auto" w:fill="FFFFCC"/>
            <w:vAlign w:val="center"/>
          </w:tcPr>
          <w:p w14:paraId="2CC1A912" w14:textId="77777777" w:rsidR="00C85279" w:rsidRPr="00C56C96" w:rsidRDefault="00C85279" w:rsidP="00342271">
            <w:pPr>
              <w:jc w:val="both"/>
              <w:rPr>
                <w:rFonts w:eastAsia="Calibri"/>
                <w:b/>
                <w:sz w:val="18"/>
                <w:szCs w:val="18"/>
                <w:lang w:eastAsia="en-US"/>
              </w:rPr>
            </w:pPr>
            <w:r w:rsidRPr="00C56C96">
              <w:rPr>
                <w:rFonts w:eastAsia="Calibri"/>
                <w:b/>
                <w:sz w:val="18"/>
                <w:szCs w:val="18"/>
                <w:lang w:eastAsia="en-US"/>
              </w:rPr>
              <w:t>Tested product/batch (AS% w/w)</w:t>
            </w:r>
          </w:p>
        </w:tc>
        <w:tc>
          <w:tcPr>
            <w:tcW w:w="1017" w:type="pct"/>
            <w:shd w:val="clear" w:color="auto" w:fill="FFFFCC"/>
            <w:vAlign w:val="center"/>
          </w:tcPr>
          <w:p w14:paraId="1C7FE026" w14:textId="77777777" w:rsidR="00C85279" w:rsidRPr="00C56C96" w:rsidRDefault="00C85279" w:rsidP="00342271">
            <w:pPr>
              <w:jc w:val="center"/>
              <w:rPr>
                <w:rFonts w:eastAsia="Calibri"/>
                <w:b/>
                <w:sz w:val="18"/>
                <w:szCs w:val="18"/>
                <w:lang w:eastAsia="en-US"/>
              </w:rPr>
            </w:pPr>
            <w:r w:rsidRPr="00C56C96">
              <w:rPr>
                <w:rFonts w:eastAsia="Calibri"/>
                <w:b/>
                <w:sz w:val="18"/>
                <w:szCs w:val="18"/>
                <w:lang w:eastAsia="en-US"/>
              </w:rPr>
              <w:t>Results</w:t>
            </w:r>
          </w:p>
        </w:tc>
        <w:tc>
          <w:tcPr>
            <w:tcW w:w="630" w:type="pct"/>
            <w:shd w:val="clear" w:color="auto" w:fill="FFFFCC"/>
            <w:vAlign w:val="center"/>
          </w:tcPr>
          <w:p w14:paraId="70C6C5A7" w14:textId="77777777" w:rsidR="00C85279" w:rsidRPr="00C56C96" w:rsidRDefault="00C85279" w:rsidP="00342271">
            <w:pPr>
              <w:jc w:val="center"/>
              <w:rPr>
                <w:rFonts w:eastAsia="Calibri"/>
                <w:b/>
                <w:sz w:val="18"/>
                <w:szCs w:val="18"/>
                <w:lang w:eastAsia="en-US"/>
              </w:rPr>
            </w:pPr>
            <w:r w:rsidRPr="00C56C96">
              <w:rPr>
                <w:rFonts w:eastAsia="Calibri"/>
                <w:b/>
                <w:sz w:val="18"/>
                <w:szCs w:val="18"/>
                <w:lang w:eastAsia="en-US"/>
              </w:rPr>
              <w:t>Reference</w:t>
            </w:r>
          </w:p>
        </w:tc>
      </w:tr>
      <w:tr w:rsidR="00C85279" w:rsidRPr="00C56C96" w14:paraId="7DBB4A9F" w14:textId="77777777" w:rsidTr="00342271">
        <w:trPr>
          <w:trHeight w:val="1218"/>
        </w:trPr>
        <w:tc>
          <w:tcPr>
            <w:tcW w:w="686" w:type="pct"/>
          </w:tcPr>
          <w:p w14:paraId="61A3ABEE" w14:textId="77777777" w:rsidR="00C85279" w:rsidRPr="00C56C96" w:rsidRDefault="00C85279" w:rsidP="00342271">
            <w:pPr>
              <w:rPr>
                <w:rFonts w:eastAsia="Calibri"/>
                <w:sz w:val="18"/>
                <w:szCs w:val="18"/>
              </w:rPr>
            </w:pPr>
            <w:r w:rsidRPr="00C56C96">
              <w:rPr>
                <w:rFonts w:eastAsia="Calibri"/>
                <w:sz w:val="18"/>
                <w:szCs w:val="18"/>
              </w:rPr>
              <w:t>3.4.1.2.</w:t>
            </w:r>
          </w:p>
        </w:tc>
        <w:tc>
          <w:tcPr>
            <w:tcW w:w="1023" w:type="pct"/>
          </w:tcPr>
          <w:p w14:paraId="5F07C6E4" w14:textId="77777777" w:rsidR="00C85279" w:rsidRPr="00C56C96" w:rsidRDefault="00C85279" w:rsidP="00342271">
            <w:pPr>
              <w:rPr>
                <w:rFonts w:eastAsia="Calibri"/>
                <w:sz w:val="18"/>
                <w:szCs w:val="18"/>
              </w:rPr>
            </w:pPr>
            <w:r w:rsidRPr="00C56C96">
              <w:rPr>
                <w:rFonts w:eastAsia="Calibri"/>
                <w:sz w:val="18"/>
                <w:szCs w:val="18"/>
              </w:rPr>
              <w:t xml:space="preserve">Storage stability test – </w:t>
            </w:r>
            <w:r w:rsidRPr="00C56C96">
              <w:rPr>
                <w:rFonts w:eastAsia="Calibri"/>
                <w:b/>
                <w:sz w:val="18"/>
                <w:szCs w:val="18"/>
              </w:rPr>
              <w:t>long-term storage at ambient temperature</w:t>
            </w:r>
          </w:p>
        </w:tc>
        <w:tc>
          <w:tcPr>
            <w:tcW w:w="770" w:type="pct"/>
          </w:tcPr>
          <w:p w14:paraId="4865F537" w14:textId="77777777" w:rsidR="00C85279" w:rsidRDefault="00C85279" w:rsidP="00342271">
            <w:pPr>
              <w:pStyle w:val="Standaard-Tabellen"/>
              <w:rPr>
                <w:rFonts w:eastAsia="Calibri"/>
                <w:szCs w:val="18"/>
              </w:rPr>
            </w:pPr>
            <w:r w:rsidRPr="00C56C96">
              <w:rPr>
                <w:rFonts w:eastAsia="Calibri"/>
                <w:szCs w:val="18"/>
              </w:rPr>
              <w:t>CIPAC MT 75.3</w:t>
            </w:r>
          </w:p>
          <w:p w14:paraId="0A7D1766" w14:textId="77777777" w:rsidR="00C85279" w:rsidRDefault="00C85279" w:rsidP="00342271">
            <w:pPr>
              <w:pStyle w:val="Standaard-Tabellen"/>
              <w:rPr>
                <w:rFonts w:eastAsia="Calibri"/>
                <w:szCs w:val="18"/>
              </w:rPr>
            </w:pPr>
          </w:p>
          <w:p w14:paraId="7BF7646A" w14:textId="77777777" w:rsidR="00C85279" w:rsidRDefault="00C85279" w:rsidP="00342271">
            <w:pPr>
              <w:pStyle w:val="Standaard-Tabellen"/>
              <w:rPr>
                <w:rFonts w:eastAsia="Calibri"/>
                <w:szCs w:val="18"/>
              </w:rPr>
            </w:pPr>
            <w:r>
              <w:rPr>
                <w:rFonts w:eastAsia="Calibri"/>
                <w:szCs w:val="18"/>
              </w:rPr>
              <w:t>OECD 114</w:t>
            </w:r>
          </w:p>
          <w:p w14:paraId="5CD437D5" w14:textId="77777777" w:rsidR="00C85279" w:rsidRDefault="00C85279" w:rsidP="00342271">
            <w:pPr>
              <w:pStyle w:val="Standaard-Tabellen"/>
              <w:rPr>
                <w:rFonts w:eastAsia="Calibri"/>
                <w:szCs w:val="18"/>
              </w:rPr>
            </w:pPr>
          </w:p>
          <w:p w14:paraId="546ED400" w14:textId="77777777" w:rsidR="00C85279" w:rsidRPr="00C56C96" w:rsidRDefault="00C85279" w:rsidP="00342271">
            <w:pPr>
              <w:pStyle w:val="Standaard-Tabellen"/>
              <w:rPr>
                <w:rFonts w:eastAsia="Calibri"/>
                <w:szCs w:val="18"/>
              </w:rPr>
            </w:pPr>
            <w:r>
              <w:rPr>
                <w:rFonts w:eastAsia="Calibri"/>
                <w:szCs w:val="18"/>
              </w:rPr>
              <w:t>OECD 109</w:t>
            </w:r>
          </w:p>
          <w:p w14:paraId="3AC7D3E0" w14:textId="77777777" w:rsidR="00C85279" w:rsidRPr="00C56C96" w:rsidRDefault="00C85279" w:rsidP="00342271">
            <w:pPr>
              <w:pStyle w:val="Standaard-Tabellen"/>
              <w:rPr>
                <w:rFonts w:eastAsia="Calibri"/>
                <w:szCs w:val="18"/>
              </w:rPr>
            </w:pPr>
          </w:p>
          <w:p w14:paraId="1F1803FB" w14:textId="77777777" w:rsidR="00C85279" w:rsidRPr="00C56C96" w:rsidRDefault="00C85279" w:rsidP="00342271">
            <w:pPr>
              <w:pStyle w:val="Standaard-Tabellen"/>
              <w:rPr>
                <w:rFonts w:eastAsia="Calibri"/>
                <w:szCs w:val="18"/>
              </w:rPr>
            </w:pPr>
            <w:r w:rsidRPr="00C56C96">
              <w:rPr>
                <w:rFonts w:eastAsia="Calibri"/>
                <w:szCs w:val="18"/>
              </w:rPr>
              <w:t>[using HPLC-UV, as validated]</w:t>
            </w:r>
          </w:p>
          <w:p w14:paraId="775D7239" w14:textId="77777777" w:rsidR="00C85279" w:rsidRPr="00C56C96" w:rsidRDefault="00C85279" w:rsidP="00342271">
            <w:pPr>
              <w:rPr>
                <w:rFonts w:eastAsia="Calibri"/>
                <w:i/>
                <w:sz w:val="18"/>
                <w:szCs w:val="18"/>
              </w:rPr>
            </w:pPr>
          </w:p>
        </w:tc>
        <w:tc>
          <w:tcPr>
            <w:tcW w:w="874" w:type="pct"/>
          </w:tcPr>
          <w:p w14:paraId="56F3DDD5" w14:textId="77777777" w:rsidR="00C85279" w:rsidRPr="00C85279" w:rsidRDefault="00C85279" w:rsidP="00342271">
            <w:pPr>
              <w:pStyle w:val="Standaard-Tabellen"/>
              <w:rPr>
                <w:rFonts w:eastAsia="Calibri"/>
                <w:szCs w:val="18"/>
                <w:lang w:val="en-US"/>
              </w:rPr>
            </w:pPr>
            <w:r w:rsidRPr="00C85279">
              <w:rPr>
                <w:rFonts w:eastAsia="Calibri"/>
                <w:szCs w:val="18"/>
                <w:lang w:val="en-US"/>
              </w:rPr>
              <w:t>9.7% AS</w:t>
            </w:r>
          </w:p>
          <w:p w14:paraId="64920839" w14:textId="77777777" w:rsidR="00C85279" w:rsidRPr="00C85279" w:rsidRDefault="00C85279" w:rsidP="00342271">
            <w:pPr>
              <w:pStyle w:val="Standaard-Tabellen"/>
              <w:rPr>
                <w:rFonts w:eastAsia="Calibri"/>
                <w:szCs w:val="18"/>
                <w:lang w:val="en-US"/>
              </w:rPr>
            </w:pPr>
          </w:p>
          <w:p w14:paraId="5152565C" w14:textId="77777777" w:rsidR="00C85279" w:rsidRPr="00C85279" w:rsidRDefault="00C85279" w:rsidP="00342271">
            <w:pPr>
              <w:rPr>
                <w:rFonts w:eastAsia="Calibri"/>
                <w:sz w:val="18"/>
                <w:szCs w:val="18"/>
                <w:lang w:val="en-US"/>
              </w:rPr>
            </w:pPr>
            <w:r w:rsidRPr="00C85279">
              <w:rPr>
                <w:rFonts w:eastAsia="Calibri"/>
                <w:sz w:val="18"/>
                <w:szCs w:val="18"/>
                <w:lang w:val="en-US"/>
              </w:rPr>
              <w:t>Insect Repellent Lotion IR3535® 10%</w:t>
            </w:r>
          </w:p>
          <w:p w14:paraId="5EC7F797" w14:textId="77777777" w:rsidR="00C85279" w:rsidRPr="00C56C96" w:rsidRDefault="00C85279" w:rsidP="00342271">
            <w:pPr>
              <w:rPr>
                <w:rFonts w:eastAsia="Calibri"/>
                <w:sz w:val="18"/>
                <w:szCs w:val="18"/>
              </w:rPr>
            </w:pPr>
            <w:r w:rsidRPr="00C85279">
              <w:rPr>
                <w:rFonts w:eastAsia="Calibri"/>
                <w:sz w:val="18"/>
                <w:szCs w:val="18"/>
                <w:lang w:val="en-US"/>
              </w:rPr>
              <w:t>Batch 38421_SM2020_02</w:t>
            </w:r>
          </w:p>
        </w:tc>
        <w:tc>
          <w:tcPr>
            <w:tcW w:w="1017" w:type="pct"/>
          </w:tcPr>
          <w:p w14:paraId="38723279" w14:textId="77777777" w:rsidR="00C85279" w:rsidRPr="00C56C96" w:rsidRDefault="00C85279" w:rsidP="00342271">
            <w:pPr>
              <w:pStyle w:val="Standaard-Tabellen"/>
              <w:rPr>
                <w:rFonts w:eastAsia="Calibri"/>
                <w:szCs w:val="18"/>
              </w:rPr>
            </w:pPr>
            <w:r w:rsidRPr="00C56C96">
              <w:rPr>
                <w:rFonts w:eastAsia="Calibri"/>
                <w:szCs w:val="18"/>
              </w:rPr>
              <w:t>- No change in overall appearance of the test item</w:t>
            </w:r>
            <w:r>
              <w:rPr>
                <w:rFonts w:eastAsia="Calibri"/>
                <w:szCs w:val="18"/>
              </w:rPr>
              <w:t xml:space="preserve"> (up to 30 months)</w:t>
            </w:r>
            <w:r w:rsidRPr="00C56C96">
              <w:rPr>
                <w:rFonts w:eastAsia="Calibri"/>
                <w:szCs w:val="18"/>
              </w:rPr>
              <w:t>: white liquid with characteristic odour.</w:t>
            </w:r>
          </w:p>
          <w:p w14:paraId="100724E6" w14:textId="77777777" w:rsidR="00C85279" w:rsidRPr="00C56C96" w:rsidRDefault="00C85279" w:rsidP="00342271">
            <w:pPr>
              <w:pStyle w:val="Standaard-Tabellen"/>
              <w:rPr>
                <w:rFonts w:eastAsia="Calibri"/>
                <w:szCs w:val="18"/>
              </w:rPr>
            </w:pPr>
          </w:p>
          <w:p w14:paraId="7D1F5654" w14:textId="77777777" w:rsidR="00C85279" w:rsidRPr="00C56C96" w:rsidRDefault="00C85279" w:rsidP="00342271">
            <w:pPr>
              <w:pStyle w:val="Standaard-Tabellen"/>
              <w:rPr>
                <w:rFonts w:eastAsia="Calibri"/>
                <w:szCs w:val="18"/>
              </w:rPr>
            </w:pPr>
            <w:r w:rsidRPr="00C56C96">
              <w:rPr>
                <w:rFonts w:eastAsia="Calibri"/>
                <w:szCs w:val="18"/>
              </w:rPr>
              <w:t>- No change observed regarding the packaging</w:t>
            </w:r>
            <w:r>
              <w:rPr>
                <w:rFonts w:eastAsia="Calibri"/>
                <w:szCs w:val="18"/>
              </w:rPr>
              <w:t xml:space="preserve"> (up to 30 months)</w:t>
            </w:r>
            <w:r w:rsidRPr="00C56C96">
              <w:rPr>
                <w:rFonts w:eastAsia="Calibri"/>
                <w:szCs w:val="18"/>
              </w:rPr>
              <w:t>. No significant weight loss either.</w:t>
            </w:r>
          </w:p>
          <w:p w14:paraId="363FDF5C" w14:textId="77777777" w:rsidR="00C85279" w:rsidRPr="00C56C96" w:rsidRDefault="00C85279" w:rsidP="00342271">
            <w:pPr>
              <w:pStyle w:val="Standaard-Tabellen"/>
              <w:rPr>
                <w:rFonts w:eastAsia="Calibri"/>
                <w:szCs w:val="18"/>
              </w:rPr>
            </w:pPr>
          </w:p>
          <w:p w14:paraId="4B68963A" w14:textId="77777777" w:rsidR="00C85279" w:rsidRPr="00C56C96" w:rsidRDefault="00C85279" w:rsidP="00342271">
            <w:pPr>
              <w:pStyle w:val="Standaard-Tabellen"/>
              <w:rPr>
                <w:rFonts w:eastAsia="Calibri"/>
                <w:szCs w:val="18"/>
                <w:lang w:val="en-US"/>
              </w:rPr>
            </w:pPr>
            <w:r w:rsidRPr="00C56C96">
              <w:rPr>
                <w:rFonts w:eastAsia="Calibri"/>
                <w:szCs w:val="18"/>
                <w:lang w:val="en-US"/>
              </w:rPr>
              <w:t>- Change in pH (at 20 ± 1 °C):</w:t>
            </w:r>
          </w:p>
          <w:p w14:paraId="065805B1" w14:textId="77777777" w:rsidR="00C85279" w:rsidRPr="00C56C96" w:rsidRDefault="00C85279" w:rsidP="00342271">
            <w:pPr>
              <w:pStyle w:val="Standaard-Tabellen"/>
              <w:rPr>
                <w:rFonts w:eastAsia="Calibri"/>
                <w:szCs w:val="18"/>
                <w:lang w:val="en-US"/>
              </w:rPr>
            </w:pPr>
            <w:r w:rsidRPr="00C56C96">
              <w:rPr>
                <w:rFonts w:eastAsia="Calibri"/>
                <w:szCs w:val="18"/>
                <w:lang w:val="en-US"/>
              </w:rPr>
              <w:t xml:space="preserve">T0: 7.0 (1% dilution) – 6.4 undiluted </w:t>
            </w:r>
          </w:p>
          <w:p w14:paraId="79DF09E0" w14:textId="77777777" w:rsidR="00C85279" w:rsidRPr="00C56C96" w:rsidRDefault="00C85279" w:rsidP="00342271">
            <w:pPr>
              <w:pStyle w:val="Standaard-Tabellen"/>
              <w:rPr>
                <w:rFonts w:eastAsia="Calibri"/>
                <w:szCs w:val="18"/>
                <w:lang w:val="en-US"/>
              </w:rPr>
            </w:pPr>
            <w:r w:rsidRPr="00C56C96">
              <w:rPr>
                <w:rFonts w:eastAsia="Calibri"/>
                <w:szCs w:val="18"/>
                <w:lang w:val="en-US"/>
              </w:rPr>
              <w:t xml:space="preserve">T6m: 6.4 (1% dilution) – 5.9 undiluted </w:t>
            </w:r>
          </w:p>
          <w:p w14:paraId="7C8AC783" w14:textId="77777777" w:rsidR="00C85279" w:rsidRPr="00C56C96" w:rsidRDefault="00C85279" w:rsidP="00342271">
            <w:pPr>
              <w:pStyle w:val="Standaard-Tabellen"/>
              <w:rPr>
                <w:rFonts w:eastAsia="Calibri"/>
                <w:szCs w:val="18"/>
                <w:lang w:val="en-US"/>
              </w:rPr>
            </w:pPr>
            <w:r w:rsidRPr="00C56C96">
              <w:rPr>
                <w:rFonts w:eastAsia="Calibri"/>
                <w:szCs w:val="18"/>
                <w:lang w:val="en-US"/>
              </w:rPr>
              <w:t xml:space="preserve">T12m: 6.3 (1% dilution) – 5.7 undiluted </w:t>
            </w:r>
          </w:p>
          <w:p w14:paraId="7314F794" w14:textId="77777777" w:rsidR="00C85279" w:rsidRPr="00C56C96" w:rsidRDefault="00C85279" w:rsidP="00342271">
            <w:pPr>
              <w:pStyle w:val="Standaard-Tabellen"/>
              <w:rPr>
                <w:rFonts w:eastAsia="Calibri"/>
                <w:szCs w:val="18"/>
                <w:lang w:val="en-US"/>
              </w:rPr>
            </w:pPr>
            <w:r w:rsidRPr="00C56C96">
              <w:rPr>
                <w:rFonts w:eastAsia="Calibri"/>
                <w:szCs w:val="18"/>
                <w:lang w:val="en-US"/>
              </w:rPr>
              <w:t xml:space="preserve">T18m: 5.6 (1% dilution) – 5.4 undiluted </w:t>
            </w:r>
          </w:p>
          <w:p w14:paraId="066AE6E0" w14:textId="77777777" w:rsidR="00C85279" w:rsidRDefault="00C85279" w:rsidP="00342271">
            <w:pPr>
              <w:pStyle w:val="Standaard-Tabellen"/>
              <w:rPr>
                <w:rFonts w:eastAsia="Calibri"/>
                <w:szCs w:val="18"/>
                <w:lang w:val="en-US"/>
              </w:rPr>
            </w:pPr>
            <w:r w:rsidRPr="00C56C96">
              <w:rPr>
                <w:rFonts w:eastAsia="Calibri"/>
                <w:szCs w:val="18"/>
                <w:lang w:val="en-US"/>
              </w:rPr>
              <w:t xml:space="preserve">T24m: 5.3 (1% dilution) – 5.2 undiluted </w:t>
            </w:r>
          </w:p>
          <w:p w14:paraId="4E27C776" w14:textId="77777777" w:rsidR="00C85279" w:rsidRPr="00C56C96" w:rsidRDefault="00C85279" w:rsidP="00342271">
            <w:pPr>
              <w:pStyle w:val="Standaard-Tabellen"/>
              <w:rPr>
                <w:rFonts w:eastAsia="Calibri"/>
                <w:szCs w:val="18"/>
                <w:lang w:val="en-US"/>
              </w:rPr>
            </w:pPr>
            <w:r w:rsidRPr="00C56C96">
              <w:rPr>
                <w:rFonts w:eastAsia="Calibri"/>
                <w:szCs w:val="18"/>
                <w:lang w:val="en-US"/>
              </w:rPr>
              <w:t>T</w:t>
            </w:r>
            <w:r>
              <w:rPr>
                <w:rFonts w:eastAsia="Calibri"/>
                <w:szCs w:val="18"/>
                <w:lang w:val="en-US"/>
              </w:rPr>
              <w:t>30</w:t>
            </w:r>
            <w:r w:rsidRPr="00C56C96">
              <w:rPr>
                <w:rFonts w:eastAsia="Calibri"/>
                <w:szCs w:val="18"/>
                <w:lang w:val="en-US"/>
              </w:rPr>
              <w:t xml:space="preserve">m: </w:t>
            </w:r>
            <w:r>
              <w:rPr>
                <w:rFonts w:eastAsia="Calibri"/>
                <w:szCs w:val="18"/>
                <w:lang w:val="en-US"/>
              </w:rPr>
              <w:t>4</w:t>
            </w:r>
            <w:r w:rsidRPr="00C56C96">
              <w:rPr>
                <w:rFonts w:eastAsia="Calibri"/>
                <w:szCs w:val="18"/>
                <w:lang w:val="en-US"/>
              </w:rPr>
              <w:t>.</w:t>
            </w:r>
            <w:r>
              <w:rPr>
                <w:rFonts w:eastAsia="Calibri"/>
                <w:szCs w:val="18"/>
                <w:lang w:val="en-US"/>
              </w:rPr>
              <w:t>9</w:t>
            </w:r>
            <w:r w:rsidRPr="00C56C96">
              <w:rPr>
                <w:rFonts w:eastAsia="Calibri"/>
                <w:szCs w:val="18"/>
                <w:lang w:val="en-US"/>
              </w:rPr>
              <w:t xml:space="preserve"> (1% dilution) – </w:t>
            </w:r>
            <w:r>
              <w:rPr>
                <w:rFonts w:eastAsia="Calibri"/>
                <w:szCs w:val="18"/>
                <w:lang w:val="en-US"/>
              </w:rPr>
              <w:t>4</w:t>
            </w:r>
            <w:r w:rsidRPr="00C56C96">
              <w:rPr>
                <w:rFonts w:eastAsia="Calibri"/>
                <w:szCs w:val="18"/>
                <w:lang w:val="en-US"/>
              </w:rPr>
              <w:t>.</w:t>
            </w:r>
            <w:r>
              <w:rPr>
                <w:rFonts w:eastAsia="Calibri"/>
                <w:szCs w:val="18"/>
                <w:lang w:val="en-US"/>
              </w:rPr>
              <w:t>8</w:t>
            </w:r>
            <w:r w:rsidRPr="00C56C96">
              <w:rPr>
                <w:rFonts w:eastAsia="Calibri"/>
                <w:szCs w:val="18"/>
                <w:lang w:val="en-US"/>
              </w:rPr>
              <w:t xml:space="preserve"> undiluted </w:t>
            </w:r>
          </w:p>
          <w:p w14:paraId="671BDA86" w14:textId="77777777" w:rsidR="00C85279" w:rsidRPr="00C56C96" w:rsidRDefault="00C85279" w:rsidP="00342271">
            <w:pPr>
              <w:pStyle w:val="Standaard-Tabellen"/>
              <w:rPr>
                <w:rFonts w:eastAsia="Calibri"/>
                <w:szCs w:val="18"/>
              </w:rPr>
            </w:pPr>
          </w:p>
          <w:p w14:paraId="329B2CA9" w14:textId="77777777" w:rsidR="00C85279" w:rsidRPr="007747D8" w:rsidRDefault="00C85279" w:rsidP="00342271">
            <w:pPr>
              <w:pStyle w:val="Standaard-Tabellen"/>
              <w:rPr>
                <w:rFonts w:eastAsia="Calibri"/>
                <w:szCs w:val="18"/>
                <w:lang w:val="de-DE"/>
              </w:rPr>
            </w:pPr>
            <w:r w:rsidRPr="007747D8">
              <w:rPr>
                <w:rFonts w:eastAsia="Calibri"/>
                <w:szCs w:val="18"/>
                <w:lang w:val="de-DE"/>
              </w:rPr>
              <w:t>- Change in</w:t>
            </w:r>
            <w:r w:rsidRPr="007747D8">
              <w:rPr>
                <w:bCs w:val="0"/>
                <w:szCs w:val="18"/>
                <w:lang w:val="de-DE" w:eastAsia="de-DE"/>
              </w:rPr>
              <w:t xml:space="preserve"> </w:t>
            </w:r>
            <w:r w:rsidRPr="007747D8">
              <w:rPr>
                <w:rFonts w:eastAsia="Calibri"/>
                <w:szCs w:val="18"/>
                <w:lang w:val="de-DE"/>
              </w:rPr>
              <w:t>IR3535</w:t>
            </w:r>
            <w:r w:rsidRPr="007747D8">
              <w:rPr>
                <w:rFonts w:eastAsia="Calibri"/>
                <w:szCs w:val="18"/>
                <w:vertAlign w:val="superscript"/>
                <w:lang w:val="de-DE"/>
              </w:rPr>
              <w:t xml:space="preserve">® </w:t>
            </w:r>
            <w:r w:rsidRPr="007747D8">
              <w:rPr>
                <w:rFonts w:eastAsia="Calibri"/>
                <w:szCs w:val="18"/>
                <w:lang w:val="de-DE"/>
              </w:rPr>
              <w:t>(w/w %):</w:t>
            </w:r>
          </w:p>
          <w:p w14:paraId="060D0B0B" w14:textId="77777777" w:rsidR="00C85279" w:rsidRPr="00C56C96" w:rsidRDefault="00C85279" w:rsidP="00342271">
            <w:pPr>
              <w:pStyle w:val="Standaard-Tabellen"/>
              <w:rPr>
                <w:rFonts w:eastAsia="Calibri"/>
                <w:szCs w:val="18"/>
                <w:lang w:val="de-DE"/>
              </w:rPr>
            </w:pPr>
            <w:r w:rsidRPr="00C56C96">
              <w:rPr>
                <w:rFonts w:eastAsia="Calibri"/>
                <w:szCs w:val="18"/>
                <w:lang w:val="de-DE"/>
              </w:rPr>
              <w:t>T0: 9.7</w:t>
            </w:r>
          </w:p>
          <w:p w14:paraId="3D6D4896" w14:textId="77777777" w:rsidR="00C85279" w:rsidRPr="00C56C96" w:rsidRDefault="00C85279" w:rsidP="00342271">
            <w:pPr>
              <w:pStyle w:val="Standaard-Tabellen"/>
              <w:rPr>
                <w:rFonts w:eastAsia="Calibri"/>
                <w:szCs w:val="18"/>
                <w:lang w:val="de-DE"/>
              </w:rPr>
            </w:pPr>
            <w:r w:rsidRPr="00C56C96">
              <w:rPr>
                <w:rFonts w:eastAsia="Calibri"/>
                <w:szCs w:val="18"/>
                <w:lang w:val="de-DE"/>
              </w:rPr>
              <w:t>T6m: 9.6 (-1.03%)</w:t>
            </w:r>
          </w:p>
          <w:p w14:paraId="2486870C" w14:textId="77777777" w:rsidR="00C85279" w:rsidRPr="00C56C96" w:rsidRDefault="00C85279" w:rsidP="00342271">
            <w:pPr>
              <w:pStyle w:val="Standaard-Tabellen"/>
              <w:rPr>
                <w:rFonts w:eastAsia="Calibri"/>
                <w:szCs w:val="18"/>
                <w:lang w:val="de-DE"/>
              </w:rPr>
            </w:pPr>
            <w:r w:rsidRPr="00C56C96">
              <w:rPr>
                <w:rFonts w:eastAsia="Calibri"/>
                <w:szCs w:val="18"/>
                <w:lang w:val="de-DE"/>
              </w:rPr>
              <w:t>T12m: 9.4 (-3.1%)</w:t>
            </w:r>
          </w:p>
          <w:p w14:paraId="57F7A80E" w14:textId="77777777" w:rsidR="00C85279" w:rsidRPr="00C56C96" w:rsidRDefault="00C85279" w:rsidP="00342271">
            <w:pPr>
              <w:pStyle w:val="Standaard-Tabellen"/>
              <w:rPr>
                <w:rFonts w:eastAsia="Calibri"/>
                <w:szCs w:val="18"/>
                <w:lang w:val="de-DE"/>
              </w:rPr>
            </w:pPr>
            <w:r w:rsidRPr="00C56C96">
              <w:rPr>
                <w:rFonts w:eastAsia="Calibri"/>
                <w:szCs w:val="18"/>
                <w:lang w:val="de-DE"/>
              </w:rPr>
              <w:t>T18m: 9.2 (-5.15%)</w:t>
            </w:r>
          </w:p>
          <w:p w14:paraId="52F712FA" w14:textId="77777777" w:rsidR="00C85279" w:rsidRDefault="00C85279" w:rsidP="00342271">
            <w:pPr>
              <w:pStyle w:val="Standaard-Tabellen"/>
              <w:rPr>
                <w:rFonts w:eastAsia="Calibri"/>
                <w:szCs w:val="18"/>
                <w:lang w:val="de-DE"/>
              </w:rPr>
            </w:pPr>
            <w:r w:rsidRPr="00C56C96">
              <w:rPr>
                <w:rFonts w:eastAsia="Calibri"/>
                <w:szCs w:val="18"/>
                <w:lang w:val="de-DE"/>
              </w:rPr>
              <w:t>T24m: 8.9 (-8.2%)</w:t>
            </w:r>
          </w:p>
          <w:p w14:paraId="6B9FDE41" w14:textId="77777777" w:rsidR="00C85279" w:rsidRPr="00C56C96" w:rsidRDefault="00C85279" w:rsidP="00342271">
            <w:pPr>
              <w:pStyle w:val="Standaard-Tabellen"/>
              <w:rPr>
                <w:rFonts w:eastAsia="Calibri"/>
                <w:szCs w:val="18"/>
                <w:lang w:val="de-DE"/>
              </w:rPr>
            </w:pPr>
            <w:r w:rsidRPr="00C56C96">
              <w:rPr>
                <w:rFonts w:eastAsia="Calibri"/>
                <w:szCs w:val="18"/>
                <w:lang w:val="de-DE"/>
              </w:rPr>
              <w:lastRenderedPageBreak/>
              <w:t>T</w:t>
            </w:r>
            <w:r>
              <w:rPr>
                <w:rFonts w:eastAsia="Calibri"/>
                <w:szCs w:val="18"/>
                <w:lang w:val="de-DE"/>
              </w:rPr>
              <w:t>30</w:t>
            </w:r>
            <w:r w:rsidRPr="00C56C96">
              <w:rPr>
                <w:rFonts w:eastAsia="Calibri"/>
                <w:szCs w:val="18"/>
                <w:lang w:val="de-DE"/>
              </w:rPr>
              <w:t>m: 8.</w:t>
            </w:r>
            <w:r>
              <w:rPr>
                <w:rFonts w:eastAsia="Calibri"/>
                <w:szCs w:val="18"/>
                <w:lang w:val="de-DE"/>
              </w:rPr>
              <w:t>7</w:t>
            </w:r>
            <w:r w:rsidRPr="00C56C96">
              <w:rPr>
                <w:rFonts w:eastAsia="Calibri"/>
                <w:szCs w:val="18"/>
                <w:lang w:val="de-DE"/>
              </w:rPr>
              <w:t xml:space="preserve"> </w:t>
            </w:r>
            <w:r w:rsidRPr="007747D8">
              <w:rPr>
                <w:rFonts w:eastAsia="Calibri"/>
                <w:b/>
                <w:bCs w:val="0"/>
                <w:szCs w:val="18"/>
                <w:lang w:val="de-DE"/>
              </w:rPr>
              <w:t>(-10.3%</w:t>
            </w:r>
            <w:r w:rsidRPr="00C56C96">
              <w:rPr>
                <w:rFonts w:eastAsia="Calibri"/>
                <w:szCs w:val="18"/>
                <w:lang w:val="de-DE"/>
              </w:rPr>
              <w:t>)</w:t>
            </w:r>
          </w:p>
          <w:p w14:paraId="6F1E50DB" w14:textId="77777777" w:rsidR="00C85279" w:rsidRPr="00C56C96" w:rsidRDefault="00C85279" w:rsidP="00342271">
            <w:pPr>
              <w:pStyle w:val="Standaard-Tabellen"/>
              <w:rPr>
                <w:rFonts w:eastAsia="Calibri"/>
                <w:szCs w:val="18"/>
                <w:lang w:val="de-DE"/>
              </w:rPr>
            </w:pPr>
          </w:p>
          <w:p w14:paraId="7910DB77" w14:textId="77777777" w:rsidR="00C85279" w:rsidRPr="007747D8" w:rsidRDefault="00C85279" w:rsidP="00342271">
            <w:pPr>
              <w:pStyle w:val="Standaard-Tabellen"/>
              <w:rPr>
                <w:rFonts w:eastAsia="Calibri"/>
                <w:szCs w:val="18"/>
                <w:lang w:val="en-US"/>
              </w:rPr>
            </w:pPr>
            <w:r w:rsidRPr="007747D8">
              <w:rPr>
                <w:rFonts w:eastAsia="Calibri"/>
                <w:szCs w:val="18"/>
                <w:lang w:val="en-US"/>
              </w:rPr>
              <w:t xml:space="preserve">- Change in </w:t>
            </w:r>
            <w:r w:rsidRPr="007747D8">
              <w:rPr>
                <w:szCs w:val="18"/>
                <w:lang w:val="en-US"/>
              </w:rPr>
              <w:t>IR3535</w:t>
            </w:r>
            <w:r w:rsidRPr="007747D8">
              <w:rPr>
                <w:szCs w:val="18"/>
                <w:vertAlign w:val="superscript"/>
                <w:lang w:val="en-US"/>
              </w:rPr>
              <w:t>®</w:t>
            </w:r>
            <w:r w:rsidRPr="007747D8">
              <w:rPr>
                <w:szCs w:val="18"/>
                <w:lang w:val="en-US"/>
              </w:rPr>
              <w:t xml:space="preserve"> free acid</w:t>
            </w:r>
            <w:r w:rsidRPr="007747D8">
              <w:rPr>
                <w:rFonts w:eastAsia="Calibri"/>
                <w:szCs w:val="18"/>
                <w:lang w:val="en-US"/>
              </w:rPr>
              <w:t xml:space="preserve"> (w/w %):</w:t>
            </w:r>
          </w:p>
          <w:p w14:paraId="16C05274" w14:textId="77777777" w:rsidR="00C85279" w:rsidRPr="00C56C96" w:rsidRDefault="00C85279" w:rsidP="00342271">
            <w:pPr>
              <w:pStyle w:val="Standaard-Tabellen"/>
              <w:rPr>
                <w:rFonts w:eastAsia="Calibri"/>
                <w:szCs w:val="18"/>
                <w:lang w:val="en-US"/>
              </w:rPr>
            </w:pPr>
            <w:r w:rsidRPr="00C56C96">
              <w:rPr>
                <w:rFonts w:eastAsia="Calibri"/>
                <w:szCs w:val="18"/>
                <w:lang w:val="en-US"/>
              </w:rPr>
              <w:t>T0: 0.5</w:t>
            </w:r>
          </w:p>
          <w:p w14:paraId="6B27E71B" w14:textId="77777777" w:rsidR="00C85279" w:rsidRPr="00C56C96" w:rsidRDefault="00C85279" w:rsidP="00342271">
            <w:pPr>
              <w:pStyle w:val="Standaard-Tabellen"/>
              <w:rPr>
                <w:rFonts w:eastAsia="Calibri"/>
                <w:szCs w:val="18"/>
                <w:lang w:val="en-US"/>
              </w:rPr>
            </w:pPr>
            <w:r w:rsidRPr="00C56C96">
              <w:rPr>
                <w:rFonts w:eastAsia="Calibri"/>
                <w:szCs w:val="18"/>
                <w:lang w:val="en-US"/>
              </w:rPr>
              <w:t>T6m: no data reported</w:t>
            </w:r>
          </w:p>
          <w:p w14:paraId="74D9F523" w14:textId="77777777" w:rsidR="00C85279" w:rsidRPr="00C56C96" w:rsidRDefault="00C85279" w:rsidP="00342271">
            <w:pPr>
              <w:pStyle w:val="Standaard-Tabellen"/>
              <w:rPr>
                <w:rFonts w:eastAsia="Calibri"/>
                <w:szCs w:val="18"/>
                <w:lang w:val="en-US"/>
              </w:rPr>
            </w:pPr>
            <w:r w:rsidRPr="00C56C96">
              <w:rPr>
                <w:rFonts w:eastAsia="Calibri"/>
                <w:szCs w:val="18"/>
                <w:lang w:val="en-US"/>
              </w:rPr>
              <w:t>T12m: 0.8</w:t>
            </w:r>
          </w:p>
          <w:p w14:paraId="689E2324" w14:textId="77777777" w:rsidR="00C85279" w:rsidRPr="00C56C96" w:rsidRDefault="00C85279" w:rsidP="00342271">
            <w:pPr>
              <w:pStyle w:val="Standaard-Tabellen"/>
              <w:rPr>
                <w:rFonts w:eastAsia="Calibri"/>
                <w:szCs w:val="18"/>
                <w:lang w:val="en-US"/>
              </w:rPr>
            </w:pPr>
            <w:r w:rsidRPr="00C56C96">
              <w:rPr>
                <w:rFonts w:eastAsia="Calibri"/>
                <w:szCs w:val="18"/>
                <w:lang w:val="en-US"/>
              </w:rPr>
              <w:t>T18m: no data reported</w:t>
            </w:r>
          </w:p>
          <w:p w14:paraId="15B71DC8" w14:textId="77777777" w:rsidR="00C85279" w:rsidRDefault="00C85279" w:rsidP="00342271">
            <w:pPr>
              <w:pStyle w:val="Standaard-Tabellen"/>
              <w:rPr>
                <w:rFonts w:eastAsia="Calibri"/>
                <w:szCs w:val="18"/>
                <w:lang w:val="en-US"/>
              </w:rPr>
            </w:pPr>
            <w:r w:rsidRPr="00C56C96">
              <w:rPr>
                <w:rFonts w:eastAsia="Calibri"/>
                <w:szCs w:val="18"/>
                <w:lang w:val="en-US"/>
              </w:rPr>
              <w:t>T24m: 1.2</w:t>
            </w:r>
          </w:p>
          <w:p w14:paraId="2CFE453E" w14:textId="77777777" w:rsidR="00C85279" w:rsidRPr="00C85279" w:rsidRDefault="00C85279" w:rsidP="00342271">
            <w:pPr>
              <w:pStyle w:val="Standaard-Tabellen"/>
              <w:rPr>
                <w:rFonts w:eastAsia="Calibri"/>
                <w:szCs w:val="18"/>
                <w:lang w:val="fr-BE"/>
              </w:rPr>
            </w:pPr>
            <w:r w:rsidRPr="00C85279">
              <w:rPr>
                <w:rFonts w:eastAsia="Calibri"/>
                <w:szCs w:val="18"/>
                <w:lang w:val="fr-BE"/>
              </w:rPr>
              <w:t>T30m: 1.4</w:t>
            </w:r>
          </w:p>
          <w:p w14:paraId="31B32F38" w14:textId="77777777" w:rsidR="00C85279" w:rsidRPr="00C85279" w:rsidRDefault="00C85279" w:rsidP="00342271">
            <w:pPr>
              <w:pStyle w:val="Standaard-Tabellen"/>
              <w:rPr>
                <w:rFonts w:eastAsia="Calibri"/>
                <w:szCs w:val="18"/>
                <w:lang w:val="fr-BE"/>
              </w:rPr>
            </w:pPr>
          </w:p>
          <w:p w14:paraId="42274D10" w14:textId="77777777" w:rsidR="00C85279" w:rsidRPr="00C85279" w:rsidRDefault="00C85279" w:rsidP="00342271">
            <w:pPr>
              <w:pStyle w:val="Standaard-Tabellen"/>
              <w:rPr>
                <w:rFonts w:eastAsia="Calibri"/>
                <w:szCs w:val="18"/>
                <w:lang w:val="fr-BE"/>
              </w:rPr>
            </w:pPr>
            <w:r w:rsidRPr="00C85279">
              <w:rPr>
                <w:rFonts w:eastAsia="Calibri"/>
                <w:szCs w:val="18"/>
                <w:lang w:val="fr-BE"/>
              </w:rPr>
              <w:t xml:space="preserve">- </w:t>
            </w:r>
            <w:proofErr w:type="spellStart"/>
            <w:r w:rsidRPr="00C85279">
              <w:rPr>
                <w:rFonts w:eastAsia="Calibri"/>
                <w:szCs w:val="18"/>
                <w:lang w:val="fr-BE"/>
              </w:rPr>
              <w:t>Viscosity</w:t>
            </w:r>
            <w:proofErr w:type="spellEnd"/>
            <w:r w:rsidRPr="00C85279">
              <w:rPr>
                <w:rFonts w:eastAsia="Calibri"/>
                <w:szCs w:val="18"/>
                <w:lang w:val="fr-BE"/>
              </w:rPr>
              <w:t xml:space="preserve"> (</w:t>
            </w:r>
            <w:proofErr w:type="spellStart"/>
            <w:r w:rsidRPr="00C85279">
              <w:rPr>
                <w:rFonts w:eastAsia="Calibri"/>
                <w:szCs w:val="18"/>
                <w:lang w:val="fr-BE"/>
              </w:rPr>
              <w:t>mPa</w:t>
            </w:r>
            <w:proofErr w:type="spellEnd"/>
            <w:r w:rsidRPr="00C85279">
              <w:rPr>
                <w:rFonts w:eastAsia="Calibri"/>
                <w:szCs w:val="18"/>
                <w:lang w:val="fr-BE"/>
              </w:rPr>
              <w:t xml:space="preserve"> s]:</w:t>
            </w:r>
          </w:p>
          <w:p w14:paraId="78C430DB" w14:textId="77777777" w:rsidR="00C85279" w:rsidRPr="00C85279" w:rsidRDefault="00C85279" w:rsidP="00342271">
            <w:pPr>
              <w:pStyle w:val="Standaard-Tabellen"/>
              <w:rPr>
                <w:rFonts w:eastAsia="Calibri"/>
                <w:szCs w:val="18"/>
                <w:lang w:val="fr-BE"/>
              </w:rPr>
            </w:pPr>
            <w:r w:rsidRPr="00C85279">
              <w:rPr>
                <w:rFonts w:eastAsia="Calibri"/>
                <w:szCs w:val="18"/>
                <w:lang w:val="fr-BE"/>
              </w:rPr>
              <w:t>T0, 20°C: min. 500, max. 1256</w:t>
            </w:r>
          </w:p>
          <w:p w14:paraId="19933DCB" w14:textId="77777777" w:rsidR="00C85279" w:rsidRPr="00C85279" w:rsidRDefault="00C85279" w:rsidP="00342271">
            <w:pPr>
              <w:pStyle w:val="Standaard-Tabellen"/>
              <w:rPr>
                <w:rFonts w:eastAsia="Calibri"/>
                <w:szCs w:val="18"/>
                <w:lang w:val="fr-BE"/>
              </w:rPr>
            </w:pPr>
            <w:r w:rsidRPr="00C85279">
              <w:rPr>
                <w:rFonts w:eastAsia="Calibri"/>
                <w:szCs w:val="18"/>
                <w:lang w:val="fr-BE"/>
              </w:rPr>
              <w:t>T0, 40°C: min. 261, max. 608</w:t>
            </w:r>
          </w:p>
          <w:p w14:paraId="40B64E84" w14:textId="77777777" w:rsidR="00C85279" w:rsidRPr="00C85279" w:rsidRDefault="00C85279" w:rsidP="00342271">
            <w:pPr>
              <w:pStyle w:val="Standaard-Tabellen"/>
              <w:rPr>
                <w:rFonts w:eastAsia="Calibri"/>
                <w:szCs w:val="18"/>
                <w:lang w:val="fr-BE"/>
              </w:rPr>
            </w:pPr>
            <w:r w:rsidRPr="00C85279">
              <w:rPr>
                <w:rFonts w:eastAsia="Calibri"/>
                <w:szCs w:val="18"/>
                <w:lang w:val="fr-BE"/>
              </w:rPr>
              <w:t>T30m, 20°C: min. 466, max. 1304</w:t>
            </w:r>
          </w:p>
          <w:p w14:paraId="2CEEF984" w14:textId="77777777" w:rsidR="00C85279" w:rsidRPr="00C85279" w:rsidRDefault="00C85279" w:rsidP="00342271">
            <w:pPr>
              <w:pStyle w:val="Standaard-Tabellen"/>
              <w:rPr>
                <w:rFonts w:eastAsia="Calibri"/>
                <w:szCs w:val="18"/>
                <w:lang w:val="fr-BE"/>
              </w:rPr>
            </w:pPr>
            <w:r w:rsidRPr="00C85279">
              <w:rPr>
                <w:rFonts w:eastAsia="Calibri"/>
                <w:szCs w:val="18"/>
                <w:lang w:val="fr-BE"/>
              </w:rPr>
              <w:t>T30m, 40°C: min. 190, max. 399</w:t>
            </w:r>
          </w:p>
          <w:p w14:paraId="66E71571" w14:textId="77777777" w:rsidR="00C85279" w:rsidRPr="00C85279" w:rsidRDefault="00C85279" w:rsidP="00342271">
            <w:pPr>
              <w:pStyle w:val="Standaard-Tabellen"/>
              <w:rPr>
                <w:rFonts w:eastAsia="Calibri"/>
                <w:szCs w:val="18"/>
                <w:lang w:val="fr-BE"/>
              </w:rPr>
            </w:pPr>
          </w:p>
          <w:p w14:paraId="4A2E7DBF" w14:textId="77777777" w:rsidR="00C85279" w:rsidRPr="00E74FA8" w:rsidRDefault="00C85279" w:rsidP="00342271">
            <w:pPr>
              <w:pStyle w:val="Standaard-Tabellen"/>
              <w:rPr>
                <w:rFonts w:eastAsia="Calibri"/>
                <w:szCs w:val="18"/>
                <w:lang w:val="de-DE"/>
              </w:rPr>
            </w:pPr>
            <w:r w:rsidRPr="00E74FA8">
              <w:rPr>
                <w:rFonts w:eastAsia="Calibri"/>
                <w:szCs w:val="18"/>
                <w:lang w:val="de-DE"/>
              </w:rPr>
              <w:t>- Density (g/cm3):</w:t>
            </w:r>
          </w:p>
          <w:p w14:paraId="749ADF3A" w14:textId="77777777" w:rsidR="00C85279" w:rsidRPr="00E74FA8" w:rsidRDefault="00C85279" w:rsidP="00342271">
            <w:pPr>
              <w:pStyle w:val="Standaard-Tabellen"/>
              <w:rPr>
                <w:rFonts w:eastAsia="Calibri"/>
                <w:szCs w:val="18"/>
                <w:lang w:val="de-DE"/>
              </w:rPr>
            </w:pPr>
            <w:r w:rsidRPr="00E74FA8">
              <w:rPr>
                <w:rFonts w:eastAsia="Calibri"/>
                <w:szCs w:val="18"/>
                <w:lang w:val="de-DE"/>
              </w:rPr>
              <w:t>T0: 0.9995</w:t>
            </w:r>
          </w:p>
          <w:p w14:paraId="7472A1EA" w14:textId="77777777" w:rsidR="00C85279" w:rsidRPr="00E74FA8" w:rsidRDefault="00C85279" w:rsidP="00342271">
            <w:pPr>
              <w:pStyle w:val="Standaard-Tabellen"/>
              <w:rPr>
                <w:rFonts w:eastAsia="Calibri"/>
                <w:szCs w:val="18"/>
                <w:lang w:val="de-DE"/>
              </w:rPr>
            </w:pPr>
            <w:r w:rsidRPr="00E74FA8">
              <w:rPr>
                <w:rFonts w:eastAsia="Calibri"/>
                <w:szCs w:val="18"/>
                <w:lang w:val="de-DE"/>
              </w:rPr>
              <w:t xml:space="preserve">T30m: 0.9995 </w:t>
            </w:r>
          </w:p>
          <w:p w14:paraId="6CBA72EF" w14:textId="77777777" w:rsidR="00C85279" w:rsidRPr="00E74FA8" w:rsidRDefault="00C85279" w:rsidP="00342271">
            <w:pPr>
              <w:pStyle w:val="Standaard-Tabellen"/>
              <w:rPr>
                <w:rFonts w:eastAsia="Calibri"/>
                <w:szCs w:val="18"/>
                <w:lang w:val="de-DE"/>
              </w:rPr>
            </w:pPr>
          </w:p>
          <w:p w14:paraId="47D82E70" w14:textId="77777777" w:rsidR="00C85279" w:rsidRPr="00C56C96" w:rsidRDefault="00C85279" w:rsidP="00342271">
            <w:pPr>
              <w:jc w:val="both"/>
              <w:rPr>
                <w:rFonts w:eastAsia="Calibri"/>
                <w:sz w:val="18"/>
                <w:szCs w:val="18"/>
              </w:rPr>
            </w:pPr>
            <w:r w:rsidRPr="00C56C96">
              <w:rPr>
                <w:rFonts w:eastAsia="Calibri"/>
                <w:sz w:val="18"/>
                <w:szCs w:val="18"/>
                <w:lang w:val="en-US"/>
              </w:rPr>
              <w:t xml:space="preserve">[Storage: 20 ± 2°C, 50ml </w:t>
            </w:r>
            <w:r>
              <w:rPr>
                <w:rFonts w:eastAsia="Calibri"/>
                <w:sz w:val="18"/>
                <w:szCs w:val="18"/>
                <w:lang w:val="en-US"/>
              </w:rPr>
              <w:t xml:space="preserve">HDPE bottle with </w:t>
            </w:r>
            <w:r w:rsidRPr="00C56C96">
              <w:rPr>
                <w:rFonts w:eastAsia="Calibri"/>
                <w:sz w:val="18"/>
                <w:szCs w:val="18"/>
                <w:lang w:val="en-US"/>
              </w:rPr>
              <w:t xml:space="preserve">PP </w:t>
            </w:r>
            <w:r>
              <w:rPr>
                <w:rFonts w:eastAsia="Calibri"/>
                <w:sz w:val="18"/>
                <w:szCs w:val="18"/>
                <w:lang w:val="en-US"/>
              </w:rPr>
              <w:t>cap</w:t>
            </w:r>
            <w:r w:rsidRPr="00C56C96">
              <w:rPr>
                <w:rFonts w:eastAsia="Calibri"/>
                <w:sz w:val="18"/>
                <w:szCs w:val="18"/>
                <w:lang w:val="en-US"/>
              </w:rPr>
              <w:t>]</w:t>
            </w:r>
          </w:p>
        </w:tc>
        <w:tc>
          <w:tcPr>
            <w:tcW w:w="630" w:type="pct"/>
          </w:tcPr>
          <w:p w14:paraId="4B7A6304" w14:textId="77777777" w:rsidR="00C85279" w:rsidRDefault="00C85279" w:rsidP="00342271">
            <w:pPr>
              <w:rPr>
                <w:rFonts w:eastAsia="Calibri"/>
                <w:sz w:val="18"/>
                <w:szCs w:val="18"/>
              </w:rPr>
            </w:pPr>
            <w:r w:rsidRPr="00E74FA8">
              <w:rPr>
                <w:rFonts w:eastAsia="Calibri"/>
                <w:sz w:val="18"/>
                <w:szCs w:val="18"/>
              </w:rPr>
              <w:lastRenderedPageBreak/>
              <w:t xml:space="preserve">Report no. 152061228, </w:t>
            </w:r>
            <w:proofErr w:type="spellStart"/>
            <w:r w:rsidRPr="00E74FA8">
              <w:rPr>
                <w:rFonts w:eastAsia="Calibri"/>
                <w:sz w:val="18"/>
                <w:szCs w:val="18"/>
              </w:rPr>
              <w:t>Fieseler</w:t>
            </w:r>
            <w:proofErr w:type="spellEnd"/>
            <w:r w:rsidRPr="00E74FA8">
              <w:rPr>
                <w:rFonts w:eastAsia="Calibri"/>
                <w:sz w:val="18"/>
                <w:szCs w:val="18"/>
              </w:rPr>
              <w:t>, A. 2023</w:t>
            </w:r>
          </w:p>
          <w:p w14:paraId="3135729C" w14:textId="77777777" w:rsidR="00C85279" w:rsidRDefault="00C85279" w:rsidP="00342271">
            <w:pPr>
              <w:rPr>
                <w:rFonts w:eastAsia="Calibri"/>
                <w:sz w:val="18"/>
                <w:szCs w:val="18"/>
              </w:rPr>
            </w:pPr>
          </w:p>
          <w:p w14:paraId="6A7AA28F" w14:textId="77777777" w:rsidR="00C85279" w:rsidRPr="00E74FA8" w:rsidRDefault="00C85279" w:rsidP="00342271">
            <w:pPr>
              <w:rPr>
                <w:rFonts w:eastAsia="Calibri"/>
                <w:sz w:val="18"/>
                <w:szCs w:val="18"/>
              </w:rPr>
            </w:pPr>
            <w:r w:rsidRPr="00E74FA8">
              <w:rPr>
                <w:rFonts w:eastAsia="Calibri"/>
                <w:sz w:val="18"/>
                <w:szCs w:val="18"/>
              </w:rPr>
              <w:t xml:space="preserve">Report no. </w:t>
            </w:r>
            <w:r>
              <w:rPr>
                <w:rFonts w:eastAsia="Calibri"/>
                <w:sz w:val="18"/>
                <w:szCs w:val="18"/>
              </w:rPr>
              <w:t>2023-0052</w:t>
            </w:r>
            <w:r w:rsidRPr="00E74FA8">
              <w:rPr>
                <w:rFonts w:eastAsia="Calibri"/>
                <w:sz w:val="18"/>
                <w:szCs w:val="18"/>
              </w:rPr>
              <w:t xml:space="preserve">, </w:t>
            </w:r>
            <w:proofErr w:type="spellStart"/>
            <w:r w:rsidRPr="00E74FA8">
              <w:rPr>
                <w:rFonts w:eastAsia="Calibri"/>
                <w:sz w:val="18"/>
                <w:szCs w:val="18"/>
              </w:rPr>
              <w:t>Schuchmann</w:t>
            </w:r>
            <w:proofErr w:type="spellEnd"/>
            <w:r w:rsidRPr="00E74FA8">
              <w:rPr>
                <w:rFonts w:eastAsia="Calibri"/>
                <w:sz w:val="18"/>
                <w:szCs w:val="18"/>
              </w:rPr>
              <w:t>, H.</w:t>
            </w:r>
            <w:r>
              <w:rPr>
                <w:rFonts w:eastAsia="Calibri"/>
                <w:sz w:val="18"/>
                <w:szCs w:val="18"/>
              </w:rPr>
              <w:t xml:space="preserve"> </w:t>
            </w:r>
            <w:r w:rsidRPr="00E74FA8">
              <w:rPr>
                <w:rFonts w:eastAsia="Calibri"/>
                <w:sz w:val="18"/>
                <w:szCs w:val="18"/>
              </w:rPr>
              <w:t>2023</w:t>
            </w:r>
          </w:p>
        </w:tc>
      </w:tr>
    </w:tbl>
    <w:p w14:paraId="152AAD93" w14:textId="77777777" w:rsidR="00C85279" w:rsidRDefault="00C85279" w:rsidP="00C85279">
      <w:pPr>
        <w:pStyle w:val="Lgende"/>
        <w:keepNext/>
      </w:pPr>
      <w:r>
        <w:lastRenderedPageBreak/>
        <w:t xml:space="preserve">Table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Table \* ARABIC \s 1 </w:instrText>
      </w:r>
      <w:r>
        <w:fldChar w:fldCharType="separate"/>
      </w:r>
      <w:r>
        <w:rPr>
          <w:noProof/>
        </w:rPr>
        <w:t>3</w:t>
      </w:r>
      <w:r>
        <w:rPr>
          <w:noProof/>
        </w:rPr>
        <w:fldChar w:fldCharType="end"/>
      </w:r>
      <w:r w:rsidRPr="006420E5">
        <w:t xml:space="preserve"> </w:t>
      </w:r>
      <w:r w:rsidRPr="00555435">
        <w:t>Conclusion on 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C85279" w:rsidRPr="00B06767" w14:paraId="543252EC" w14:textId="77777777" w:rsidTr="00342271">
        <w:tc>
          <w:tcPr>
            <w:tcW w:w="5000" w:type="pct"/>
            <w:tcBorders>
              <w:top w:val="single" w:sz="4" w:space="0" w:color="auto"/>
              <w:left w:val="single" w:sz="4" w:space="0" w:color="auto"/>
              <w:bottom w:val="single" w:sz="6" w:space="0" w:color="auto"/>
              <w:right w:val="single" w:sz="6" w:space="0" w:color="auto"/>
            </w:tcBorders>
            <w:shd w:val="clear" w:color="auto" w:fill="CCFFCC"/>
          </w:tcPr>
          <w:p w14:paraId="2151A4F7" w14:textId="77777777" w:rsidR="00C85279" w:rsidRPr="00B06767" w:rsidRDefault="00C85279" w:rsidP="00342271">
            <w:pPr>
              <w:rPr>
                <w:rFonts w:eastAsia="Calibri"/>
                <w:b/>
                <w:bCs/>
                <w:sz w:val="18"/>
                <w:szCs w:val="16"/>
                <w:lang w:eastAsia="en-US"/>
              </w:rPr>
            </w:pPr>
            <w:r w:rsidRPr="00B06767">
              <w:rPr>
                <w:rFonts w:eastAsia="Calibri"/>
                <w:b/>
                <w:bCs/>
                <w:sz w:val="18"/>
                <w:szCs w:val="16"/>
                <w:lang w:eastAsia="en-US"/>
              </w:rPr>
              <w:t>Conclusion on p</w:t>
            </w:r>
            <w:r w:rsidRPr="00B06767">
              <w:rPr>
                <w:rFonts w:eastAsia="Calibri"/>
                <w:b/>
                <w:sz w:val="18"/>
                <w:szCs w:val="16"/>
              </w:rPr>
              <w:t>hysical, chemical</w:t>
            </w:r>
            <w:r>
              <w:rPr>
                <w:rFonts w:eastAsia="Calibri"/>
                <w:b/>
                <w:sz w:val="18"/>
                <w:szCs w:val="16"/>
              </w:rPr>
              <w:t>,</w:t>
            </w:r>
            <w:r w:rsidRPr="00B06767">
              <w:rPr>
                <w:rFonts w:eastAsia="Calibri"/>
                <w:b/>
                <w:sz w:val="18"/>
                <w:szCs w:val="16"/>
              </w:rPr>
              <w:t xml:space="preserve"> and technical properties</w:t>
            </w:r>
          </w:p>
        </w:tc>
      </w:tr>
      <w:tr w:rsidR="00C85279" w:rsidRPr="00B06767" w14:paraId="73516C6E" w14:textId="77777777" w:rsidTr="00342271">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9A4149B" w14:textId="77777777" w:rsidR="00C85279" w:rsidRDefault="00C85279" w:rsidP="00342271">
            <w:pPr>
              <w:spacing w:before="120" w:after="120"/>
              <w:jc w:val="both"/>
              <w:rPr>
                <w:rFonts w:eastAsia="Calibri" w:cs="Arial"/>
                <w:sz w:val="18"/>
                <w:szCs w:val="16"/>
                <w:lang w:eastAsia="en-US"/>
              </w:rPr>
            </w:pPr>
            <w:r>
              <w:rPr>
                <w:rFonts w:eastAsia="Calibri" w:cs="Arial"/>
                <w:sz w:val="18"/>
                <w:szCs w:val="16"/>
                <w:lang w:eastAsia="en-US"/>
              </w:rPr>
              <w:t>Considering that:</w:t>
            </w:r>
          </w:p>
          <w:p w14:paraId="16B7553A" w14:textId="77777777" w:rsidR="00C85279" w:rsidRDefault="00C85279" w:rsidP="00342271">
            <w:pPr>
              <w:spacing w:before="120" w:after="120"/>
              <w:jc w:val="both"/>
              <w:rPr>
                <w:rFonts w:eastAsia="Calibri" w:cs="Arial"/>
                <w:sz w:val="18"/>
                <w:szCs w:val="16"/>
                <w:lang w:eastAsia="en-US"/>
              </w:rPr>
            </w:pPr>
            <w:r>
              <w:rPr>
                <w:rFonts w:eastAsia="Calibri" w:cs="Arial"/>
                <w:sz w:val="18"/>
                <w:szCs w:val="16"/>
                <w:lang w:eastAsia="en-US"/>
              </w:rPr>
              <w:t xml:space="preserve">- </w:t>
            </w:r>
            <w:r w:rsidRPr="00C56C96">
              <w:rPr>
                <w:rFonts w:eastAsia="Calibri" w:cs="Arial"/>
                <w:sz w:val="18"/>
                <w:szCs w:val="16"/>
                <w:lang w:eastAsia="en-US"/>
              </w:rPr>
              <w:t xml:space="preserve">long term stability test </w:t>
            </w:r>
            <w:r>
              <w:rPr>
                <w:rFonts w:eastAsia="Calibri" w:cs="Arial"/>
                <w:sz w:val="18"/>
                <w:szCs w:val="16"/>
                <w:lang w:eastAsia="en-US"/>
              </w:rPr>
              <w:t xml:space="preserve">data, for 30 months </w:t>
            </w:r>
            <w:r w:rsidRPr="00C56C96">
              <w:rPr>
                <w:rFonts w:eastAsia="Calibri" w:cs="Arial"/>
                <w:sz w:val="18"/>
                <w:szCs w:val="16"/>
                <w:lang w:eastAsia="en-US"/>
              </w:rPr>
              <w:t xml:space="preserve">at ambient temperature, </w:t>
            </w:r>
            <w:r w:rsidRPr="00E74FA8">
              <w:rPr>
                <w:rFonts w:eastAsia="Calibri" w:cs="Arial"/>
                <w:sz w:val="18"/>
                <w:szCs w:val="16"/>
                <w:lang w:eastAsia="en-US"/>
              </w:rPr>
              <w:t>have been provided</w:t>
            </w:r>
            <w:r>
              <w:rPr>
                <w:rFonts w:eastAsia="Calibri" w:cs="Arial"/>
                <w:sz w:val="18"/>
                <w:szCs w:val="16"/>
                <w:lang w:eastAsia="en-US"/>
              </w:rPr>
              <w:t>;</w:t>
            </w:r>
          </w:p>
          <w:p w14:paraId="124D6086" w14:textId="77777777" w:rsidR="00C85279" w:rsidRDefault="00C85279" w:rsidP="00342271">
            <w:pPr>
              <w:spacing w:before="120" w:after="120"/>
              <w:jc w:val="both"/>
              <w:rPr>
                <w:rFonts w:eastAsia="Calibri" w:cs="Arial"/>
                <w:sz w:val="18"/>
                <w:szCs w:val="16"/>
                <w:lang w:eastAsia="en-US"/>
              </w:rPr>
            </w:pPr>
            <w:r>
              <w:rPr>
                <w:rFonts w:eastAsia="Calibri" w:cs="Arial"/>
                <w:sz w:val="18"/>
                <w:szCs w:val="16"/>
                <w:lang w:eastAsia="en-US"/>
              </w:rPr>
              <w:t>- d</w:t>
            </w:r>
            <w:r w:rsidRPr="00E74FA8">
              <w:rPr>
                <w:rFonts w:eastAsia="Calibri" w:cs="Arial"/>
                <w:sz w:val="18"/>
                <w:szCs w:val="16"/>
                <w:lang w:eastAsia="en-US"/>
              </w:rPr>
              <w:t xml:space="preserve">ata up to </w:t>
            </w:r>
            <w:r>
              <w:rPr>
                <w:rFonts w:eastAsia="Calibri" w:cs="Arial"/>
                <w:sz w:val="18"/>
                <w:szCs w:val="16"/>
                <w:lang w:eastAsia="en-US"/>
              </w:rPr>
              <w:t xml:space="preserve">only </w:t>
            </w:r>
            <w:r w:rsidRPr="00E74FA8">
              <w:rPr>
                <w:rFonts w:eastAsia="Calibri" w:cs="Arial"/>
                <w:sz w:val="18"/>
                <w:szCs w:val="16"/>
                <w:lang w:eastAsia="en-US"/>
              </w:rPr>
              <w:t xml:space="preserve">24 months are considered </w:t>
            </w:r>
            <w:r>
              <w:rPr>
                <w:rFonts w:eastAsia="Calibri" w:cs="Arial"/>
                <w:sz w:val="18"/>
                <w:szCs w:val="16"/>
                <w:lang w:eastAsia="en-US"/>
              </w:rPr>
              <w:t>acceptable;</w:t>
            </w:r>
          </w:p>
          <w:p w14:paraId="3D7CAEF9" w14:textId="77777777" w:rsidR="00C85279" w:rsidRPr="00E74FA8" w:rsidRDefault="00C85279" w:rsidP="00342271">
            <w:pPr>
              <w:spacing w:before="120" w:after="120"/>
              <w:jc w:val="both"/>
              <w:rPr>
                <w:rFonts w:eastAsia="Calibri" w:cs="Arial"/>
                <w:sz w:val="18"/>
                <w:szCs w:val="16"/>
                <w:lang w:eastAsia="en-US"/>
              </w:rPr>
            </w:pPr>
            <w:r w:rsidRPr="00C85279">
              <w:rPr>
                <w:rFonts w:eastAsia="Calibri" w:cs="Arial"/>
                <w:sz w:val="18"/>
                <w:szCs w:val="16"/>
                <w:highlight w:val="green"/>
                <w:lang w:eastAsia="en-US"/>
              </w:rPr>
              <w:t>the requested shelf-life extension to 24 months can be granted</w:t>
            </w:r>
            <w:r w:rsidRPr="00E74FA8">
              <w:rPr>
                <w:rFonts w:eastAsia="Calibri" w:cs="Arial"/>
                <w:sz w:val="18"/>
                <w:szCs w:val="16"/>
                <w:lang w:eastAsia="en-US"/>
              </w:rPr>
              <w:t>.</w:t>
            </w:r>
            <w:r>
              <w:rPr>
                <w:rFonts w:eastAsia="Calibri" w:cs="Arial"/>
                <w:sz w:val="18"/>
                <w:szCs w:val="16"/>
                <w:lang w:eastAsia="en-US"/>
              </w:rPr>
              <w:t xml:space="preserve"> All other elements from the previously formulated conclusion on this section remain valid</w:t>
            </w:r>
          </w:p>
        </w:tc>
      </w:tr>
    </w:tbl>
    <w:p w14:paraId="15B9C055" w14:textId="77777777" w:rsidR="00C85279" w:rsidRPr="00B06767" w:rsidRDefault="00C85279" w:rsidP="00C85279">
      <w:pPr>
        <w:jc w:val="both"/>
        <w:rPr>
          <w:rFonts w:eastAsia="Calibri"/>
          <w:lang w:eastAsia="en-US"/>
        </w:rPr>
        <w:sectPr w:rsidR="00C85279" w:rsidRPr="00B06767" w:rsidSect="00674CD5">
          <w:headerReference w:type="default" r:id="rId16"/>
          <w:pgSz w:w="11907" w:h="16840" w:code="9"/>
          <w:pgMar w:top="1474" w:right="1247" w:bottom="2013" w:left="1446" w:header="851" w:footer="851" w:gutter="0"/>
          <w:cols w:space="720"/>
          <w:docGrid w:linePitch="272"/>
        </w:sectPr>
      </w:pPr>
      <w:bookmarkStart w:id="67" w:name="_Toc26187723"/>
      <w:bookmarkStart w:id="68" w:name="_Toc26189387"/>
      <w:bookmarkStart w:id="69" w:name="_Toc26191051"/>
      <w:bookmarkStart w:id="70" w:name="_Toc26192721"/>
      <w:bookmarkStart w:id="71" w:name="_Toc26194387"/>
      <w:bookmarkEnd w:id="67"/>
      <w:bookmarkEnd w:id="68"/>
      <w:bookmarkEnd w:id="69"/>
      <w:bookmarkEnd w:id="70"/>
      <w:bookmarkEnd w:id="71"/>
    </w:p>
    <w:p w14:paraId="387048E8" w14:textId="6B20EB96" w:rsidR="00C85279" w:rsidRDefault="00C85279" w:rsidP="0028480A">
      <w:pPr>
        <w:rPr>
          <w:lang w:eastAsia="en-US"/>
        </w:rPr>
      </w:pPr>
    </w:p>
    <w:p w14:paraId="68FAD725" w14:textId="21004F13" w:rsidR="00C85279" w:rsidRDefault="00C85279" w:rsidP="0028480A">
      <w:pPr>
        <w:rPr>
          <w:lang w:eastAsia="en-US"/>
        </w:rPr>
      </w:pPr>
    </w:p>
    <w:p w14:paraId="23E65CAD" w14:textId="77777777" w:rsidR="00C85279" w:rsidRPr="00BD2EF1" w:rsidRDefault="00C85279" w:rsidP="0028480A">
      <w:pPr>
        <w:rPr>
          <w:lang w:eastAsia="en-US"/>
        </w:rPr>
      </w:pPr>
    </w:p>
    <w:p w14:paraId="1DEFF59F" w14:textId="77777777" w:rsidR="00AD0B64" w:rsidRDefault="00AD0B64" w:rsidP="00AD0B64">
      <w:pPr>
        <w:pStyle w:val="Titre3"/>
        <w:rPr>
          <w:lang w:eastAsia="en-US"/>
        </w:rPr>
      </w:pPr>
      <w:bookmarkStart w:id="72" w:name="_Toc12967136"/>
      <w:r w:rsidRPr="00BD2EF1">
        <w:rPr>
          <w:lang w:eastAsia="en-US"/>
        </w:rPr>
        <w:t>Physical hazards and respective characteristics</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6"/>
        <w:gridCol w:w="2203"/>
        <w:gridCol w:w="3217"/>
        <w:gridCol w:w="2709"/>
        <w:gridCol w:w="2709"/>
      </w:tblGrid>
      <w:tr w:rsidR="00EB316C" w:rsidRPr="00BD2EF1" w14:paraId="45695A93" w14:textId="77777777" w:rsidTr="002E0A8E">
        <w:trPr>
          <w:tblHeader/>
        </w:trPr>
        <w:tc>
          <w:tcPr>
            <w:tcW w:w="1219" w:type="pct"/>
            <w:shd w:val="clear" w:color="auto" w:fill="BFBFBF" w:themeFill="background1" w:themeFillShade="BF"/>
            <w:vAlign w:val="center"/>
          </w:tcPr>
          <w:p w14:paraId="19AEA90F" w14:textId="77777777" w:rsidR="00EB316C" w:rsidRPr="00BD2EF1" w:rsidRDefault="00EB316C" w:rsidP="002E0A8E">
            <w:pPr>
              <w:pStyle w:val="Standaard-Tabellen"/>
              <w:rPr>
                <w:rFonts w:eastAsia="Calibri"/>
                <w:b/>
              </w:rPr>
            </w:pPr>
            <w:r w:rsidRPr="00BD2EF1">
              <w:rPr>
                <w:rFonts w:eastAsia="Calibri"/>
                <w:b/>
              </w:rPr>
              <w:t>Property</w:t>
            </w:r>
          </w:p>
        </w:tc>
        <w:tc>
          <w:tcPr>
            <w:tcW w:w="768" w:type="pct"/>
            <w:shd w:val="clear" w:color="auto" w:fill="BFBFBF" w:themeFill="background1" w:themeFillShade="BF"/>
            <w:vAlign w:val="center"/>
          </w:tcPr>
          <w:p w14:paraId="5C986530" w14:textId="77777777" w:rsidR="00EB316C" w:rsidRPr="00BD2EF1" w:rsidRDefault="00EB316C" w:rsidP="002E0A8E">
            <w:pPr>
              <w:pStyle w:val="Standaard-Tabellen"/>
              <w:rPr>
                <w:rFonts w:eastAsia="Calibri"/>
                <w:b/>
              </w:rPr>
            </w:pPr>
            <w:r w:rsidRPr="00BD2EF1">
              <w:rPr>
                <w:rFonts w:eastAsia="Calibri"/>
                <w:b/>
              </w:rPr>
              <w:t>Guideline  and Method</w:t>
            </w:r>
          </w:p>
        </w:tc>
        <w:tc>
          <w:tcPr>
            <w:tcW w:w="1122" w:type="pct"/>
            <w:shd w:val="clear" w:color="auto" w:fill="BFBFBF" w:themeFill="background1" w:themeFillShade="BF"/>
            <w:vAlign w:val="center"/>
          </w:tcPr>
          <w:p w14:paraId="5D6EB9E1" w14:textId="77777777" w:rsidR="00EB316C" w:rsidRPr="00BD2EF1" w:rsidRDefault="00EB316C" w:rsidP="002E0A8E">
            <w:pPr>
              <w:pStyle w:val="Standaard-Tabellen"/>
              <w:rPr>
                <w:rFonts w:eastAsia="Calibri"/>
                <w:b/>
              </w:rPr>
            </w:pPr>
            <w:r w:rsidRPr="00BD2EF1">
              <w:rPr>
                <w:rFonts w:eastAsia="Calibri"/>
                <w:b/>
              </w:rPr>
              <w:t>Purity of the test substance (% (w/w)</w:t>
            </w:r>
          </w:p>
        </w:tc>
        <w:tc>
          <w:tcPr>
            <w:tcW w:w="945" w:type="pct"/>
            <w:shd w:val="clear" w:color="auto" w:fill="BFBFBF" w:themeFill="background1" w:themeFillShade="BF"/>
            <w:vAlign w:val="center"/>
          </w:tcPr>
          <w:p w14:paraId="7BDDC59A" w14:textId="77777777" w:rsidR="00EB316C" w:rsidRPr="00BD2EF1" w:rsidRDefault="00EB316C" w:rsidP="002E0A8E">
            <w:pPr>
              <w:pStyle w:val="Standaard-Tabellen"/>
              <w:rPr>
                <w:rFonts w:eastAsia="Calibri"/>
                <w:b/>
              </w:rPr>
            </w:pPr>
            <w:r w:rsidRPr="00BD2EF1">
              <w:rPr>
                <w:rFonts w:eastAsia="Calibri"/>
                <w:b/>
              </w:rPr>
              <w:t>Results</w:t>
            </w:r>
          </w:p>
        </w:tc>
        <w:tc>
          <w:tcPr>
            <w:tcW w:w="945" w:type="pct"/>
            <w:shd w:val="clear" w:color="auto" w:fill="BFBFBF" w:themeFill="background1" w:themeFillShade="BF"/>
            <w:vAlign w:val="center"/>
          </w:tcPr>
          <w:p w14:paraId="05F28F1F" w14:textId="77777777" w:rsidR="00EB316C" w:rsidRPr="00BD2EF1" w:rsidRDefault="00EB316C" w:rsidP="002E0A8E">
            <w:pPr>
              <w:pStyle w:val="Standaard-Tabellen"/>
              <w:rPr>
                <w:rFonts w:eastAsia="Calibri"/>
                <w:b/>
              </w:rPr>
            </w:pPr>
            <w:r w:rsidRPr="00BD2EF1">
              <w:rPr>
                <w:rFonts w:eastAsia="Calibri"/>
                <w:b/>
              </w:rPr>
              <w:t>Reference</w:t>
            </w:r>
          </w:p>
        </w:tc>
      </w:tr>
      <w:tr w:rsidR="00EB316C" w:rsidRPr="00BD2EF1" w14:paraId="2B2EEC7D" w14:textId="77777777" w:rsidTr="002E0A8E">
        <w:tc>
          <w:tcPr>
            <w:tcW w:w="1219" w:type="pct"/>
          </w:tcPr>
          <w:p w14:paraId="75C489B9" w14:textId="77777777" w:rsidR="00EB316C" w:rsidRPr="00BD2EF1" w:rsidRDefault="00EB316C" w:rsidP="002E0A8E">
            <w:pPr>
              <w:pStyle w:val="Standaard-Tabellen"/>
              <w:rPr>
                <w:rFonts w:eastAsia="Calibri"/>
              </w:rPr>
            </w:pPr>
            <w:r w:rsidRPr="00BD2EF1">
              <w:rPr>
                <w:rFonts w:eastAsia="Calibri"/>
              </w:rPr>
              <w:t>Explosives</w:t>
            </w:r>
          </w:p>
        </w:tc>
        <w:tc>
          <w:tcPr>
            <w:tcW w:w="768" w:type="pct"/>
          </w:tcPr>
          <w:p w14:paraId="0FE4739F" w14:textId="77777777" w:rsidR="00EB316C" w:rsidRPr="00BD2EF1" w:rsidRDefault="00EB316C" w:rsidP="002E0A8E">
            <w:pPr>
              <w:pStyle w:val="Standaard-Tabellen"/>
              <w:rPr>
                <w:rFonts w:eastAsia="Calibri"/>
              </w:rPr>
            </w:pPr>
            <w:r>
              <w:rPr>
                <w:rFonts w:eastAsia="Calibri"/>
              </w:rPr>
              <w:t>Waived</w:t>
            </w:r>
          </w:p>
        </w:tc>
        <w:tc>
          <w:tcPr>
            <w:tcW w:w="1122" w:type="pct"/>
          </w:tcPr>
          <w:p w14:paraId="4A346684" w14:textId="77777777" w:rsidR="00EB316C" w:rsidRPr="00BD2EF1" w:rsidRDefault="00EB316C" w:rsidP="002E0A8E">
            <w:pPr>
              <w:pStyle w:val="Standaard-Tabellen"/>
              <w:rPr>
                <w:rFonts w:eastAsia="Calibri"/>
              </w:rPr>
            </w:pPr>
            <w:r>
              <w:rPr>
                <w:rFonts w:eastAsia="Calibri"/>
              </w:rPr>
              <w:t>/</w:t>
            </w:r>
          </w:p>
        </w:tc>
        <w:tc>
          <w:tcPr>
            <w:tcW w:w="945" w:type="pct"/>
          </w:tcPr>
          <w:p w14:paraId="574DA1EE" w14:textId="77777777" w:rsidR="00EB316C" w:rsidRPr="00BD2EF1" w:rsidRDefault="00EB316C" w:rsidP="002E0A8E">
            <w:pPr>
              <w:pStyle w:val="Standaard-Tabellen"/>
              <w:rPr>
                <w:rFonts w:eastAsia="Calibri"/>
              </w:rPr>
            </w:pPr>
            <w:r w:rsidRPr="00B6244A">
              <w:rPr>
                <w:rFonts w:eastAsia="Calibri"/>
              </w:rPr>
              <w:t>Based on the properties of the ingredients the product is not considered to be explosive</w:t>
            </w:r>
            <w:r>
              <w:rPr>
                <w:rFonts w:eastAsia="Calibri"/>
              </w:rPr>
              <w:t>.</w:t>
            </w:r>
          </w:p>
        </w:tc>
        <w:tc>
          <w:tcPr>
            <w:tcW w:w="945" w:type="pct"/>
          </w:tcPr>
          <w:p w14:paraId="584A0858" w14:textId="77777777" w:rsidR="00EB316C" w:rsidRPr="00BD2EF1" w:rsidRDefault="00EB316C" w:rsidP="002E0A8E">
            <w:pPr>
              <w:pStyle w:val="Standaard-Tabellen"/>
              <w:rPr>
                <w:rFonts w:eastAsia="Calibri"/>
              </w:rPr>
            </w:pPr>
            <w:r>
              <w:rPr>
                <w:rFonts w:eastAsia="Calibri"/>
              </w:rPr>
              <w:t>/</w:t>
            </w:r>
          </w:p>
        </w:tc>
      </w:tr>
      <w:tr w:rsidR="00EB316C" w:rsidRPr="00BD2EF1" w14:paraId="79AA8A91" w14:textId="77777777" w:rsidTr="002E0A8E">
        <w:tc>
          <w:tcPr>
            <w:tcW w:w="1219" w:type="pct"/>
          </w:tcPr>
          <w:p w14:paraId="42334D0E" w14:textId="77777777" w:rsidR="00EB316C" w:rsidRPr="00BD2EF1" w:rsidRDefault="00EB316C" w:rsidP="002E0A8E">
            <w:pPr>
              <w:pStyle w:val="Standaard-Tabellen"/>
              <w:rPr>
                <w:rFonts w:eastAsia="Calibri"/>
              </w:rPr>
            </w:pPr>
            <w:r w:rsidRPr="00BD2EF1">
              <w:rPr>
                <w:rFonts w:eastAsia="Calibri"/>
              </w:rPr>
              <w:t>Flammable gases</w:t>
            </w:r>
          </w:p>
        </w:tc>
        <w:tc>
          <w:tcPr>
            <w:tcW w:w="768" w:type="pct"/>
          </w:tcPr>
          <w:p w14:paraId="451FDD2A" w14:textId="77777777" w:rsidR="00EB316C" w:rsidRPr="00BD2EF1" w:rsidRDefault="00EB316C" w:rsidP="002E0A8E">
            <w:pPr>
              <w:pStyle w:val="Standaard-Tabellen"/>
              <w:rPr>
                <w:rFonts w:eastAsia="Calibri"/>
              </w:rPr>
            </w:pPr>
            <w:r>
              <w:rPr>
                <w:rFonts w:eastAsia="Calibri"/>
              </w:rPr>
              <w:t>/</w:t>
            </w:r>
          </w:p>
        </w:tc>
        <w:tc>
          <w:tcPr>
            <w:tcW w:w="1122" w:type="pct"/>
          </w:tcPr>
          <w:p w14:paraId="72746E3E" w14:textId="77777777" w:rsidR="00EB316C" w:rsidRPr="00BD2EF1" w:rsidRDefault="00EB316C" w:rsidP="002E0A8E">
            <w:pPr>
              <w:pStyle w:val="Standaard-Tabellen"/>
              <w:rPr>
                <w:rFonts w:eastAsia="Calibri"/>
              </w:rPr>
            </w:pPr>
            <w:r>
              <w:rPr>
                <w:rFonts w:eastAsia="Calibri"/>
              </w:rPr>
              <w:t>/</w:t>
            </w:r>
          </w:p>
        </w:tc>
        <w:tc>
          <w:tcPr>
            <w:tcW w:w="945" w:type="pct"/>
          </w:tcPr>
          <w:p w14:paraId="77B6467E" w14:textId="77777777" w:rsidR="00EB316C" w:rsidRPr="00BD2EF1" w:rsidRDefault="00EB316C" w:rsidP="002E0A8E">
            <w:pPr>
              <w:pStyle w:val="Standaard-Tabellen"/>
              <w:rPr>
                <w:rFonts w:eastAsia="Calibri"/>
              </w:rPr>
            </w:pPr>
            <w:r>
              <w:rPr>
                <w:rFonts w:eastAsia="Calibri"/>
              </w:rPr>
              <w:t>/</w:t>
            </w:r>
          </w:p>
        </w:tc>
        <w:tc>
          <w:tcPr>
            <w:tcW w:w="945" w:type="pct"/>
          </w:tcPr>
          <w:p w14:paraId="26BB4749" w14:textId="77777777" w:rsidR="00EB316C" w:rsidRPr="00BD2EF1" w:rsidRDefault="00EB316C" w:rsidP="002E0A8E">
            <w:pPr>
              <w:pStyle w:val="Standaard-Tabellen"/>
              <w:rPr>
                <w:rFonts w:eastAsia="Calibri"/>
              </w:rPr>
            </w:pPr>
            <w:r>
              <w:rPr>
                <w:rFonts w:eastAsia="Calibri"/>
              </w:rPr>
              <w:t>/</w:t>
            </w:r>
          </w:p>
        </w:tc>
      </w:tr>
      <w:tr w:rsidR="00EB316C" w:rsidRPr="00BD2EF1" w14:paraId="62F132DF" w14:textId="77777777" w:rsidTr="002E0A8E">
        <w:tc>
          <w:tcPr>
            <w:tcW w:w="1219" w:type="pct"/>
          </w:tcPr>
          <w:p w14:paraId="1E92CEB8" w14:textId="77777777" w:rsidR="00EB316C" w:rsidRPr="00BD2EF1" w:rsidRDefault="00EB316C" w:rsidP="002E0A8E">
            <w:pPr>
              <w:pStyle w:val="Standaard-Tabellen"/>
              <w:rPr>
                <w:rFonts w:eastAsia="Calibri"/>
              </w:rPr>
            </w:pPr>
            <w:r w:rsidRPr="00BD2EF1">
              <w:rPr>
                <w:rFonts w:eastAsia="Calibri"/>
              </w:rPr>
              <w:t>Flammable aerosols</w:t>
            </w:r>
          </w:p>
        </w:tc>
        <w:tc>
          <w:tcPr>
            <w:tcW w:w="768" w:type="pct"/>
          </w:tcPr>
          <w:p w14:paraId="01112E02" w14:textId="77777777" w:rsidR="00EB316C" w:rsidRPr="00BD2EF1" w:rsidRDefault="00EB316C" w:rsidP="002E0A8E">
            <w:pPr>
              <w:pStyle w:val="Standaard-Tabellen"/>
              <w:rPr>
                <w:rFonts w:eastAsia="Calibri"/>
              </w:rPr>
            </w:pPr>
            <w:r>
              <w:rPr>
                <w:rFonts w:eastAsia="Calibri"/>
              </w:rPr>
              <w:t>/</w:t>
            </w:r>
          </w:p>
        </w:tc>
        <w:tc>
          <w:tcPr>
            <w:tcW w:w="1122" w:type="pct"/>
          </w:tcPr>
          <w:p w14:paraId="0B1EA8F2" w14:textId="77777777" w:rsidR="00EB316C" w:rsidRPr="00BD2EF1" w:rsidRDefault="00EB316C" w:rsidP="002E0A8E">
            <w:pPr>
              <w:pStyle w:val="Standaard-Tabellen"/>
              <w:rPr>
                <w:rFonts w:eastAsia="Calibri"/>
              </w:rPr>
            </w:pPr>
            <w:r>
              <w:rPr>
                <w:rFonts w:eastAsia="Calibri"/>
              </w:rPr>
              <w:t>/</w:t>
            </w:r>
          </w:p>
        </w:tc>
        <w:tc>
          <w:tcPr>
            <w:tcW w:w="945" w:type="pct"/>
          </w:tcPr>
          <w:p w14:paraId="3243F175" w14:textId="77777777" w:rsidR="00EB316C" w:rsidRPr="00BD2EF1" w:rsidRDefault="00EB316C" w:rsidP="002E0A8E">
            <w:pPr>
              <w:pStyle w:val="Standaard-Tabellen"/>
              <w:rPr>
                <w:rFonts w:eastAsia="Calibri"/>
              </w:rPr>
            </w:pPr>
            <w:r>
              <w:rPr>
                <w:rFonts w:eastAsia="Calibri"/>
              </w:rPr>
              <w:t>/</w:t>
            </w:r>
          </w:p>
        </w:tc>
        <w:tc>
          <w:tcPr>
            <w:tcW w:w="945" w:type="pct"/>
          </w:tcPr>
          <w:p w14:paraId="7392D48E" w14:textId="77777777" w:rsidR="00EB316C" w:rsidRPr="00BD2EF1" w:rsidRDefault="00EB316C" w:rsidP="002E0A8E">
            <w:pPr>
              <w:pStyle w:val="Standaard-Tabellen"/>
              <w:rPr>
                <w:rFonts w:eastAsia="Calibri"/>
              </w:rPr>
            </w:pPr>
            <w:r>
              <w:rPr>
                <w:rFonts w:eastAsia="Calibri"/>
              </w:rPr>
              <w:t>/</w:t>
            </w:r>
          </w:p>
        </w:tc>
      </w:tr>
      <w:tr w:rsidR="00EB316C" w:rsidRPr="00BD2EF1" w14:paraId="3955CA04" w14:textId="77777777" w:rsidTr="002E0A8E">
        <w:tc>
          <w:tcPr>
            <w:tcW w:w="1219" w:type="pct"/>
          </w:tcPr>
          <w:p w14:paraId="5A39912B" w14:textId="77777777" w:rsidR="00EB316C" w:rsidRPr="00BD2EF1" w:rsidRDefault="00EB316C" w:rsidP="002E0A8E">
            <w:pPr>
              <w:pStyle w:val="Standaard-Tabellen"/>
              <w:rPr>
                <w:rFonts w:eastAsia="Calibri"/>
              </w:rPr>
            </w:pPr>
            <w:r w:rsidRPr="00BD2EF1">
              <w:rPr>
                <w:rFonts w:eastAsia="Calibri"/>
              </w:rPr>
              <w:t>Oxidising gases</w:t>
            </w:r>
          </w:p>
        </w:tc>
        <w:tc>
          <w:tcPr>
            <w:tcW w:w="768" w:type="pct"/>
          </w:tcPr>
          <w:p w14:paraId="6D82F7A2" w14:textId="77777777" w:rsidR="00EB316C" w:rsidRPr="00BD2EF1" w:rsidRDefault="00EB316C" w:rsidP="002E0A8E">
            <w:pPr>
              <w:pStyle w:val="Standaard-Tabellen"/>
              <w:rPr>
                <w:rFonts w:eastAsia="Calibri"/>
              </w:rPr>
            </w:pPr>
            <w:r>
              <w:rPr>
                <w:rFonts w:eastAsia="Calibri"/>
              </w:rPr>
              <w:t>/</w:t>
            </w:r>
          </w:p>
        </w:tc>
        <w:tc>
          <w:tcPr>
            <w:tcW w:w="1122" w:type="pct"/>
          </w:tcPr>
          <w:p w14:paraId="5462F9F6" w14:textId="77777777" w:rsidR="00EB316C" w:rsidRPr="00BD2EF1" w:rsidRDefault="00EB316C" w:rsidP="002E0A8E">
            <w:pPr>
              <w:pStyle w:val="Standaard-Tabellen"/>
              <w:rPr>
                <w:rFonts w:eastAsia="Calibri"/>
              </w:rPr>
            </w:pPr>
            <w:r>
              <w:rPr>
                <w:rFonts w:eastAsia="Calibri"/>
              </w:rPr>
              <w:t>/</w:t>
            </w:r>
          </w:p>
        </w:tc>
        <w:tc>
          <w:tcPr>
            <w:tcW w:w="945" w:type="pct"/>
          </w:tcPr>
          <w:p w14:paraId="741C32CC" w14:textId="77777777" w:rsidR="00EB316C" w:rsidRPr="00BD2EF1" w:rsidRDefault="00EB316C" w:rsidP="002E0A8E">
            <w:pPr>
              <w:pStyle w:val="Standaard-Tabellen"/>
              <w:rPr>
                <w:rFonts w:eastAsia="Calibri"/>
              </w:rPr>
            </w:pPr>
            <w:r>
              <w:rPr>
                <w:rFonts w:eastAsia="Calibri"/>
              </w:rPr>
              <w:t>/</w:t>
            </w:r>
          </w:p>
        </w:tc>
        <w:tc>
          <w:tcPr>
            <w:tcW w:w="945" w:type="pct"/>
          </w:tcPr>
          <w:p w14:paraId="78D5B38B" w14:textId="77777777" w:rsidR="00EB316C" w:rsidRPr="00BD2EF1" w:rsidRDefault="00EB316C" w:rsidP="002E0A8E">
            <w:pPr>
              <w:pStyle w:val="Standaard-Tabellen"/>
              <w:rPr>
                <w:rFonts w:eastAsia="Calibri"/>
              </w:rPr>
            </w:pPr>
            <w:r>
              <w:rPr>
                <w:rFonts w:eastAsia="Calibri"/>
              </w:rPr>
              <w:t>/</w:t>
            </w:r>
          </w:p>
        </w:tc>
      </w:tr>
      <w:tr w:rsidR="00EB316C" w:rsidRPr="00BD2EF1" w14:paraId="0F417513" w14:textId="77777777" w:rsidTr="002E0A8E">
        <w:tc>
          <w:tcPr>
            <w:tcW w:w="1219" w:type="pct"/>
          </w:tcPr>
          <w:p w14:paraId="2B33D24C" w14:textId="77777777" w:rsidR="00EB316C" w:rsidRPr="00BD2EF1" w:rsidRDefault="00EB316C" w:rsidP="002E0A8E">
            <w:pPr>
              <w:pStyle w:val="Standaard-Tabellen"/>
              <w:rPr>
                <w:rFonts w:eastAsia="Calibri"/>
              </w:rPr>
            </w:pPr>
            <w:r w:rsidRPr="00BD2EF1">
              <w:rPr>
                <w:rFonts w:eastAsia="Calibri"/>
              </w:rPr>
              <w:t>Gases under pressure</w:t>
            </w:r>
          </w:p>
        </w:tc>
        <w:tc>
          <w:tcPr>
            <w:tcW w:w="768" w:type="pct"/>
          </w:tcPr>
          <w:p w14:paraId="7E177516" w14:textId="77777777" w:rsidR="00EB316C" w:rsidRPr="00BD2EF1" w:rsidRDefault="00EB316C" w:rsidP="002E0A8E">
            <w:pPr>
              <w:pStyle w:val="Standaard-Tabellen"/>
              <w:rPr>
                <w:rFonts w:eastAsia="Calibri"/>
              </w:rPr>
            </w:pPr>
            <w:r>
              <w:rPr>
                <w:rFonts w:eastAsia="Calibri"/>
              </w:rPr>
              <w:t>/</w:t>
            </w:r>
          </w:p>
        </w:tc>
        <w:tc>
          <w:tcPr>
            <w:tcW w:w="1122" w:type="pct"/>
          </w:tcPr>
          <w:p w14:paraId="64F3D822" w14:textId="77777777" w:rsidR="00EB316C" w:rsidRPr="00BD2EF1" w:rsidRDefault="00EB316C" w:rsidP="002E0A8E">
            <w:pPr>
              <w:pStyle w:val="Standaard-Tabellen"/>
              <w:rPr>
                <w:rFonts w:eastAsia="Calibri"/>
              </w:rPr>
            </w:pPr>
            <w:r>
              <w:rPr>
                <w:rFonts w:eastAsia="Calibri"/>
              </w:rPr>
              <w:t>/</w:t>
            </w:r>
          </w:p>
        </w:tc>
        <w:tc>
          <w:tcPr>
            <w:tcW w:w="945" w:type="pct"/>
          </w:tcPr>
          <w:p w14:paraId="79B77607" w14:textId="77777777" w:rsidR="00EB316C" w:rsidRPr="00BD2EF1" w:rsidRDefault="00EB316C" w:rsidP="002E0A8E">
            <w:pPr>
              <w:pStyle w:val="Standaard-Tabellen"/>
              <w:rPr>
                <w:rFonts w:eastAsia="Calibri"/>
              </w:rPr>
            </w:pPr>
            <w:r>
              <w:rPr>
                <w:rFonts w:eastAsia="Calibri"/>
              </w:rPr>
              <w:t>/</w:t>
            </w:r>
          </w:p>
        </w:tc>
        <w:tc>
          <w:tcPr>
            <w:tcW w:w="945" w:type="pct"/>
          </w:tcPr>
          <w:p w14:paraId="0E37D70B" w14:textId="77777777" w:rsidR="00EB316C" w:rsidRPr="00BD2EF1" w:rsidRDefault="00EB316C" w:rsidP="002E0A8E">
            <w:pPr>
              <w:pStyle w:val="Standaard-Tabellen"/>
              <w:rPr>
                <w:rFonts w:eastAsia="Calibri"/>
              </w:rPr>
            </w:pPr>
            <w:r>
              <w:rPr>
                <w:rFonts w:eastAsia="Calibri"/>
              </w:rPr>
              <w:t>/</w:t>
            </w:r>
          </w:p>
        </w:tc>
      </w:tr>
      <w:tr w:rsidR="00EB316C" w:rsidRPr="00BD2EF1" w14:paraId="6A0D6F8F" w14:textId="77777777" w:rsidTr="002E0A8E">
        <w:tc>
          <w:tcPr>
            <w:tcW w:w="1219" w:type="pct"/>
          </w:tcPr>
          <w:p w14:paraId="5D351698" w14:textId="77777777" w:rsidR="00EB316C" w:rsidRPr="00BD2EF1" w:rsidRDefault="00EB316C" w:rsidP="002E0A8E">
            <w:pPr>
              <w:pStyle w:val="Standaard-Tabellen"/>
              <w:rPr>
                <w:rFonts w:eastAsia="Calibri"/>
              </w:rPr>
            </w:pPr>
            <w:r w:rsidRPr="00BD2EF1">
              <w:rPr>
                <w:rFonts w:eastAsia="Calibri"/>
              </w:rPr>
              <w:t>Flammable liquids</w:t>
            </w:r>
          </w:p>
        </w:tc>
        <w:tc>
          <w:tcPr>
            <w:tcW w:w="768" w:type="pct"/>
          </w:tcPr>
          <w:p w14:paraId="58B0A400" w14:textId="77777777" w:rsidR="00EB316C" w:rsidRDefault="00EB316C" w:rsidP="002E0A8E">
            <w:pPr>
              <w:pStyle w:val="Standaard-Tabellen"/>
              <w:rPr>
                <w:rFonts w:eastAsia="Calibri"/>
              </w:rPr>
            </w:pPr>
            <w:r>
              <w:rPr>
                <w:rFonts w:eastAsia="Calibri"/>
              </w:rPr>
              <w:t>EU A9</w:t>
            </w:r>
          </w:p>
          <w:p w14:paraId="0B908B97" w14:textId="77777777" w:rsidR="00EB316C" w:rsidRDefault="00EB316C" w:rsidP="002E0A8E">
            <w:pPr>
              <w:pStyle w:val="Standaard-Tabellen"/>
              <w:rPr>
                <w:rFonts w:eastAsia="Calibri"/>
              </w:rPr>
            </w:pPr>
            <w:r w:rsidRPr="006238CD">
              <w:rPr>
                <w:rFonts w:eastAsia="Calibri"/>
              </w:rPr>
              <w:t>OPPTS 830.6315</w:t>
            </w:r>
          </w:p>
          <w:p w14:paraId="4347CF6F" w14:textId="77777777" w:rsidR="00EB316C" w:rsidRPr="00BD2EF1" w:rsidRDefault="00EB316C" w:rsidP="002E0A8E">
            <w:pPr>
              <w:pStyle w:val="Standaard-Tabellen"/>
              <w:rPr>
                <w:rFonts w:eastAsia="Calibri"/>
              </w:rPr>
            </w:pPr>
            <w:r>
              <w:rPr>
                <w:rFonts w:eastAsia="Calibri"/>
              </w:rPr>
              <w:t>ISO 2719</w:t>
            </w:r>
          </w:p>
        </w:tc>
        <w:tc>
          <w:tcPr>
            <w:tcW w:w="1122" w:type="pct"/>
          </w:tcPr>
          <w:p w14:paraId="34EDBC47" w14:textId="77777777" w:rsidR="00EB316C" w:rsidRDefault="00EB316C" w:rsidP="002E0A8E">
            <w:pPr>
              <w:pStyle w:val="Standaard-Tabellen"/>
              <w:rPr>
                <w:rFonts w:eastAsia="Calibri"/>
              </w:rPr>
            </w:pPr>
            <w:r>
              <w:rPr>
                <w:rFonts w:eastAsia="Calibri"/>
              </w:rPr>
              <w:t>10</w:t>
            </w:r>
          </w:p>
          <w:p w14:paraId="1F5CB94D" w14:textId="77777777" w:rsidR="003B7B32" w:rsidRPr="00BD2EF1" w:rsidRDefault="003B7B32" w:rsidP="002E0A8E">
            <w:pPr>
              <w:pStyle w:val="Standaard-Tabellen"/>
              <w:rPr>
                <w:rFonts w:eastAsia="Calibri"/>
              </w:rPr>
            </w:pPr>
            <w:r>
              <w:rPr>
                <w:rFonts w:eastAsia="Calibri"/>
              </w:rPr>
              <w:t>EU Lotion Formulation</w:t>
            </w:r>
          </w:p>
        </w:tc>
        <w:tc>
          <w:tcPr>
            <w:tcW w:w="945" w:type="pct"/>
          </w:tcPr>
          <w:p w14:paraId="433D79B7" w14:textId="01243695" w:rsidR="00EB316C" w:rsidRPr="00BD2EF1" w:rsidRDefault="00EB316C" w:rsidP="002E0A8E">
            <w:pPr>
              <w:pStyle w:val="Standaard-Tabellen"/>
              <w:rPr>
                <w:rFonts w:eastAsia="Calibri"/>
              </w:rPr>
            </w:pPr>
            <w:r>
              <w:rPr>
                <w:rFonts w:eastAsia="Calibri"/>
              </w:rPr>
              <w:t xml:space="preserve">No flash point could be determined up to 200 °C using a sample with slightly </w:t>
            </w:r>
            <w:r w:rsidRPr="000D1DFB">
              <w:rPr>
                <w:rFonts w:eastAsia="Calibri"/>
              </w:rPr>
              <w:t>deviating composition</w:t>
            </w:r>
            <w:r>
              <w:rPr>
                <w:rFonts w:eastAsia="Calibri"/>
              </w:rPr>
              <w:t xml:space="preserve"> (no buffer </w:t>
            </w:r>
            <w:r w:rsidR="00261684">
              <w:rPr>
                <w:rFonts w:eastAsia="Calibri"/>
              </w:rPr>
              <w:t>but</w:t>
            </w:r>
            <w:r w:rsidR="00E12E4A">
              <w:rPr>
                <w:rFonts w:eastAsia="Calibri"/>
              </w:rPr>
              <w:t xml:space="preserve"> </w:t>
            </w:r>
            <w:r w:rsidR="00261684">
              <w:rPr>
                <w:rFonts w:eastAsia="Calibri"/>
              </w:rPr>
              <w:t xml:space="preserve">containing </w:t>
            </w:r>
            <w:r>
              <w:rPr>
                <w:rFonts w:eastAsia="Calibri"/>
              </w:rPr>
              <w:t>preservatives (1 % w/w in total)).</w:t>
            </w:r>
          </w:p>
        </w:tc>
        <w:tc>
          <w:tcPr>
            <w:tcW w:w="945" w:type="pct"/>
          </w:tcPr>
          <w:p w14:paraId="28734AE8" w14:textId="77777777" w:rsidR="00EB316C" w:rsidRPr="00BD2EF1" w:rsidRDefault="00EB316C" w:rsidP="002E0A8E">
            <w:pPr>
              <w:pStyle w:val="Standaard-Tabellen"/>
              <w:rPr>
                <w:rFonts w:eastAsia="Calibri"/>
              </w:rPr>
            </w:pPr>
            <w:r>
              <w:rPr>
                <w:rFonts w:eastAsia="Calibri"/>
              </w:rPr>
              <w:t xml:space="preserve">Report no. 242-007, </w:t>
            </w:r>
            <w:proofErr w:type="spellStart"/>
            <w:r>
              <w:rPr>
                <w:rFonts w:eastAsia="Calibri"/>
              </w:rPr>
              <w:t>Fieseler</w:t>
            </w:r>
            <w:proofErr w:type="spellEnd"/>
            <w:r>
              <w:rPr>
                <w:rFonts w:eastAsia="Calibri"/>
              </w:rPr>
              <w:t>, A. 2011</w:t>
            </w:r>
          </w:p>
        </w:tc>
      </w:tr>
      <w:tr w:rsidR="00EB316C" w:rsidRPr="00BD2EF1" w14:paraId="026ED924" w14:textId="77777777" w:rsidTr="002E0A8E">
        <w:tc>
          <w:tcPr>
            <w:tcW w:w="1219" w:type="pct"/>
          </w:tcPr>
          <w:p w14:paraId="207DB384" w14:textId="77777777" w:rsidR="00EB316C" w:rsidRPr="00BD2EF1" w:rsidRDefault="00EB316C" w:rsidP="002E0A8E">
            <w:pPr>
              <w:pStyle w:val="Standaard-Tabellen"/>
              <w:rPr>
                <w:rFonts w:eastAsia="Calibri"/>
              </w:rPr>
            </w:pPr>
            <w:r w:rsidRPr="00BD2EF1">
              <w:rPr>
                <w:rFonts w:eastAsia="Calibri"/>
              </w:rPr>
              <w:t>Flammable solids</w:t>
            </w:r>
          </w:p>
        </w:tc>
        <w:tc>
          <w:tcPr>
            <w:tcW w:w="768" w:type="pct"/>
          </w:tcPr>
          <w:p w14:paraId="115C9E61" w14:textId="77777777" w:rsidR="00EB316C" w:rsidRPr="00BD2EF1" w:rsidRDefault="00EB316C" w:rsidP="002E0A8E">
            <w:pPr>
              <w:pStyle w:val="Standaard-Tabellen"/>
              <w:rPr>
                <w:rFonts w:eastAsia="Calibri"/>
              </w:rPr>
            </w:pPr>
            <w:r>
              <w:rPr>
                <w:rFonts w:eastAsia="Calibri"/>
              </w:rPr>
              <w:t>/</w:t>
            </w:r>
          </w:p>
        </w:tc>
        <w:tc>
          <w:tcPr>
            <w:tcW w:w="1122" w:type="pct"/>
          </w:tcPr>
          <w:p w14:paraId="2934B765" w14:textId="77777777" w:rsidR="00EB316C" w:rsidRPr="00BD2EF1" w:rsidRDefault="00EB316C" w:rsidP="002E0A8E">
            <w:pPr>
              <w:pStyle w:val="Standaard-Tabellen"/>
              <w:rPr>
                <w:rFonts w:eastAsia="Calibri"/>
              </w:rPr>
            </w:pPr>
            <w:r>
              <w:rPr>
                <w:rFonts w:eastAsia="Calibri"/>
              </w:rPr>
              <w:t>/</w:t>
            </w:r>
          </w:p>
        </w:tc>
        <w:tc>
          <w:tcPr>
            <w:tcW w:w="945" w:type="pct"/>
          </w:tcPr>
          <w:p w14:paraId="666C7475" w14:textId="77777777" w:rsidR="00EB316C" w:rsidRPr="00BD2EF1" w:rsidRDefault="00EB316C" w:rsidP="002E0A8E">
            <w:pPr>
              <w:pStyle w:val="Standaard-Tabellen"/>
              <w:rPr>
                <w:rFonts w:eastAsia="Calibri"/>
              </w:rPr>
            </w:pPr>
            <w:r>
              <w:rPr>
                <w:rFonts w:eastAsia="Calibri"/>
              </w:rPr>
              <w:t>/</w:t>
            </w:r>
          </w:p>
        </w:tc>
        <w:tc>
          <w:tcPr>
            <w:tcW w:w="945" w:type="pct"/>
          </w:tcPr>
          <w:p w14:paraId="69BC9361" w14:textId="77777777" w:rsidR="00EB316C" w:rsidRPr="00BD2EF1" w:rsidRDefault="00EB316C" w:rsidP="002E0A8E">
            <w:pPr>
              <w:pStyle w:val="Standaard-Tabellen"/>
              <w:rPr>
                <w:rFonts w:eastAsia="Calibri"/>
              </w:rPr>
            </w:pPr>
            <w:r>
              <w:rPr>
                <w:rFonts w:eastAsia="Calibri"/>
              </w:rPr>
              <w:t>/</w:t>
            </w:r>
          </w:p>
        </w:tc>
      </w:tr>
      <w:tr w:rsidR="00EB316C" w:rsidRPr="00BD2EF1" w14:paraId="745461B2" w14:textId="77777777" w:rsidTr="002E0A8E">
        <w:tc>
          <w:tcPr>
            <w:tcW w:w="1219" w:type="pct"/>
          </w:tcPr>
          <w:p w14:paraId="718CF8F1" w14:textId="77777777" w:rsidR="00EB316C" w:rsidRPr="00BD2EF1" w:rsidRDefault="00EB316C" w:rsidP="002E0A8E">
            <w:pPr>
              <w:pStyle w:val="Standaard-Tabellen"/>
              <w:rPr>
                <w:rFonts w:eastAsia="Calibri"/>
              </w:rPr>
            </w:pPr>
            <w:r w:rsidRPr="00BD2EF1">
              <w:rPr>
                <w:rFonts w:eastAsia="Calibri"/>
              </w:rPr>
              <w:t>Self-reactive substances and mixtures</w:t>
            </w:r>
          </w:p>
        </w:tc>
        <w:tc>
          <w:tcPr>
            <w:tcW w:w="768" w:type="pct"/>
          </w:tcPr>
          <w:p w14:paraId="48371E9A" w14:textId="77777777" w:rsidR="00EB316C" w:rsidRPr="00BD2EF1" w:rsidRDefault="00EB316C" w:rsidP="002E0A8E">
            <w:pPr>
              <w:pStyle w:val="Standaard-Tabellen"/>
              <w:rPr>
                <w:rFonts w:eastAsia="Calibri"/>
              </w:rPr>
            </w:pPr>
            <w:r>
              <w:rPr>
                <w:rFonts w:eastAsia="Calibri"/>
              </w:rPr>
              <w:t>Waived</w:t>
            </w:r>
          </w:p>
        </w:tc>
        <w:tc>
          <w:tcPr>
            <w:tcW w:w="1122" w:type="pct"/>
          </w:tcPr>
          <w:p w14:paraId="059DDDD4" w14:textId="77777777" w:rsidR="00EB316C" w:rsidRPr="00BD2EF1" w:rsidRDefault="00EB316C" w:rsidP="002E0A8E">
            <w:pPr>
              <w:pStyle w:val="Standaard-Tabellen"/>
              <w:rPr>
                <w:rFonts w:eastAsia="Calibri"/>
              </w:rPr>
            </w:pPr>
            <w:r>
              <w:rPr>
                <w:rFonts w:eastAsia="Calibri"/>
              </w:rPr>
              <w:t>/</w:t>
            </w:r>
          </w:p>
        </w:tc>
        <w:tc>
          <w:tcPr>
            <w:tcW w:w="945" w:type="pct"/>
          </w:tcPr>
          <w:p w14:paraId="1453C65D" w14:textId="77777777" w:rsidR="00EB316C" w:rsidRPr="00BD2EF1" w:rsidRDefault="00EB316C" w:rsidP="002E0A8E">
            <w:pPr>
              <w:pStyle w:val="Standaard-Tabellen"/>
              <w:rPr>
                <w:rFonts w:eastAsia="Calibri"/>
              </w:rPr>
            </w:pPr>
            <w:r w:rsidRPr="009E6B34">
              <w:rPr>
                <w:rFonts w:eastAsia="Calibri"/>
              </w:rPr>
              <w:t>The mixture does not contain any substances known to self-react or with chemical groups present in their molecules that are associated with explosive or self-reactive properties. So for the mixture no self reaction must be expected either</w:t>
            </w:r>
            <w:r>
              <w:rPr>
                <w:rFonts w:eastAsia="Calibri"/>
              </w:rPr>
              <w:t>.</w:t>
            </w:r>
          </w:p>
        </w:tc>
        <w:tc>
          <w:tcPr>
            <w:tcW w:w="945" w:type="pct"/>
          </w:tcPr>
          <w:p w14:paraId="6CEDA809" w14:textId="77777777" w:rsidR="00EB316C" w:rsidRPr="00BD2EF1" w:rsidRDefault="00EB316C" w:rsidP="002E0A8E">
            <w:pPr>
              <w:pStyle w:val="Standaard-Tabellen"/>
              <w:rPr>
                <w:rFonts w:eastAsia="Calibri"/>
              </w:rPr>
            </w:pPr>
            <w:r w:rsidRPr="009E6B34">
              <w:rPr>
                <w:rFonts w:eastAsia="Calibri"/>
              </w:rPr>
              <w:t>Long-year experience with this and similar mixtures.</w:t>
            </w:r>
          </w:p>
        </w:tc>
      </w:tr>
      <w:tr w:rsidR="00EB316C" w:rsidRPr="00BD2EF1" w14:paraId="2FCE5A94" w14:textId="77777777" w:rsidTr="002E0A8E">
        <w:tc>
          <w:tcPr>
            <w:tcW w:w="1219" w:type="pct"/>
          </w:tcPr>
          <w:p w14:paraId="6434D064" w14:textId="77777777" w:rsidR="00EB316C" w:rsidRPr="00BD2EF1" w:rsidRDefault="00EB316C" w:rsidP="002E0A8E">
            <w:pPr>
              <w:pStyle w:val="Standaard-Tabellen"/>
              <w:rPr>
                <w:rFonts w:eastAsia="Calibri"/>
              </w:rPr>
            </w:pPr>
            <w:r w:rsidRPr="00BD2EF1">
              <w:rPr>
                <w:rFonts w:eastAsia="Calibri"/>
              </w:rPr>
              <w:t>Pyrophoric liquids</w:t>
            </w:r>
          </w:p>
        </w:tc>
        <w:tc>
          <w:tcPr>
            <w:tcW w:w="768" w:type="pct"/>
          </w:tcPr>
          <w:p w14:paraId="592B675D" w14:textId="77777777" w:rsidR="00EB316C" w:rsidRPr="00BD2EF1" w:rsidRDefault="00EB316C" w:rsidP="002E0A8E">
            <w:pPr>
              <w:pStyle w:val="Standaard-Tabellen"/>
              <w:rPr>
                <w:rFonts w:eastAsia="Calibri"/>
              </w:rPr>
            </w:pPr>
            <w:r>
              <w:rPr>
                <w:rFonts w:eastAsia="Calibri"/>
              </w:rPr>
              <w:t>Waived</w:t>
            </w:r>
          </w:p>
        </w:tc>
        <w:tc>
          <w:tcPr>
            <w:tcW w:w="1122" w:type="pct"/>
          </w:tcPr>
          <w:p w14:paraId="71294F39" w14:textId="77777777" w:rsidR="00EB316C" w:rsidRPr="00BD2EF1" w:rsidRDefault="00EB316C" w:rsidP="002E0A8E">
            <w:pPr>
              <w:pStyle w:val="Standaard-Tabellen"/>
              <w:rPr>
                <w:rFonts w:eastAsia="Calibri"/>
              </w:rPr>
            </w:pPr>
            <w:r>
              <w:rPr>
                <w:rFonts w:eastAsia="Calibri"/>
              </w:rPr>
              <w:t>/</w:t>
            </w:r>
          </w:p>
        </w:tc>
        <w:tc>
          <w:tcPr>
            <w:tcW w:w="945" w:type="pct"/>
          </w:tcPr>
          <w:p w14:paraId="58D121E3" w14:textId="77777777" w:rsidR="00EB316C" w:rsidRPr="00BD2EF1" w:rsidRDefault="00EB316C" w:rsidP="002E0A8E">
            <w:pPr>
              <w:pStyle w:val="Standaard-Tabellen"/>
              <w:rPr>
                <w:rFonts w:eastAsia="Calibri"/>
              </w:rPr>
            </w:pPr>
            <w:r w:rsidRPr="009E6B34">
              <w:rPr>
                <w:rFonts w:eastAsia="Calibri"/>
              </w:rPr>
              <w:t>The mixture does not contain any substances known to react with air so the mixture is no pyrophoric liquid.</w:t>
            </w:r>
          </w:p>
        </w:tc>
        <w:tc>
          <w:tcPr>
            <w:tcW w:w="945" w:type="pct"/>
          </w:tcPr>
          <w:p w14:paraId="6A0DD5C2" w14:textId="77777777" w:rsidR="00EB316C" w:rsidRPr="00BD2EF1" w:rsidRDefault="00EB316C" w:rsidP="002E0A8E">
            <w:pPr>
              <w:pStyle w:val="Standaard-Tabellen"/>
              <w:rPr>
                <w:rFonts w:eastAsia="Calibri"/>
              </w:rPr>
            </w:pPr>
            <w:r w:rsidRPr="009E6B34">
              <w:rPr>
                <w:rFonts w:eastAsia="Calibri"/>
              </w:rPr>
              <w:t>Long-year experience with this and similar mixtures.</w:t>
            </w:r>
          </w:p>
        </w:tc>
      </w:tr>
      <w:tr w:rsidR="00EB316C" w:rsidRPr="00BD2EF1" w14:paraId="4638407F" w14:textId="77777777" w:rsidTr="002E0A8E">
        <w:tc>
          <w:tcPr>
            <w:tcW w:w="1219" w:type="pct"/>
          </w:tcPr>
          <w:p w14:paraId="1A75B736" w14:textId="77777777" w:rsidR="00EB316C" w:rsidRPr="00BD2EF1" w:rsidRDefault="00EB316C" w:rsidP="002E0A8E">
            <w:pPr>
              <w:pStyle w:val="Standaard-Tabellen"/>
              <w:rPr>
                <w:rFonts w:eastAsia="Calibri"/>
              </w:rPr>
            </w:pPr>
            <w:r w:rsidRPr="00BD2EF1">
              <w:rPr>
                <w:rFonts w:eastAsia="Calibri"/>
              </w:rPr>
              <w:t>Pyrophoric solids</w:t>
            </w:r>
          </w:p>
        </w:tc>
        <w:tc>
          <w:tcPr>
            <w:tcW w:w="768" w:type="pct"/>
          </w:tcPr>
          <w:p w14:paraId="3102451F" w14:textId="77777777" w:rsidR="00EB316C" w:rsidRPr="00BD2EF1" w:rsidRDefault="00EB316C" w:rsidP="002E0A8E">
            <w:pPr>
              <w:pStyle w:val="Standaard-Tabellen"/>
              <w:rPr>
                <w:rFonts w:eastAsia="Calibri"/>
              </w:rPr>
            </w:pPr>
            <w:r>
              <w:rPr>
                <w:rFonts w:eastAsia="Calibri"/>
              </w:rPr>
              <w:t>/</w:t>
            </w:r>
          </w:p>
        </w:tc>
        <w:tc>
          <w:tcPr>
            <w:tcW w:w="1122" w:type="pct"/>
          </w:tcPr>
          <w:p w14:paraId="3F227A12" w14:textId="77777777" w:rsidR="00EB316C" w:rsidRPr="00BD2EF1" w:rsidRDefault="00EB316C" w:rsidP="002E0A8E">
            <w:pPr>
              <w:pStyle w:val="Standaard-Tabellen"/>
              <w:rPr>
                <w:rFonts w:eastAsia="Calibri"/>
              </w:rPr>
            </w:pPr>
            <w:r>
              <w:rPr>
                <w:rFonts w:eastAsia="Calibri"/>
              </w:rPr>
              <w:t>/</w:t>
            </w:r>
          </w:p>
        </w:tc>
        <w:tc>
          <w:tcPr>
            <w:tcW w:w="945" w:type="pct"/>
          </w:tcPr>
          <w:p w14:paraId="28B1ED24" w14:textId="77777777" w:rsidR="00EB316C" w:rsidRPr="00BD2EF1" w:rsidRDefault="00EB316C" w:rsidP="002E0A8E">
            <w:pPr>
              <w:pStyle w:val="Standaard-Tabellen"/>
              <w:rPr>
                <w:rFonts w:eastAsia="Calibri"/>
              </w:rPr>
            </w:pPr>
            <w:r>
              <w:rPr>
                <w:rFonts w:eastAsia="Calibri"/>
              </w:rPr>
              <w:t>/</w:t>
            </w:r>
          </w:p>
        </w:tc>
        <w:tc>
          <w:tcPr>
            <w:tcW w:w="945" w:type="pct"/>
          </w:tcPr>
          <w:p w14:paraId="4CE3476F" w14:textId="77777777" w:rsidR="00EB316C" w:rsidRPr="00BD2EF1" w:rsidRDefault="00EB316C" w:rsidP="002E0A8E">
            <w:pPr>
              <w:pStyle w:val="Standaard-Tabellen"/>
              <w:rPr>
                <w:rFonts w:eastAsia="Calibri"/>
              </w:rPr>
            </w:pPr>
            <w:r>
              <w:rPr>
                <w:rFonts w:eastAsia="Calibri"/>
              </w:rPr>
              <w:t>/</w:t>
            </w:r>
          </w:p>
        </w:tc>
      </w:tr>
      <w:tr w:rsidR="00EB316C" w:rsidRPr="00BD2EF1" w14:paraId="67BF4D99" w14:textId="77777777" w:rsidTr="002E0A8E">
        <w:tc>
          <w:tcPr>
            <w:tcW w:w="1219" w:type="pct"/>
          </w:tcPr>
          <w:p w14:paraId="770F1370" w14:textId="77777777" w:rsidR="00EB316C" w:rsidRPr="00BD2EF1" w:rsidRDefault="00EB316C" w:rsidP="002E0A8E">
            <w:pPr>
              <w:pStyle w:val="Standaard-Tabellen"/>
              <w:rPr>
                <w:rFonts w:eastAsia="Calibri"/>
              </w:rPr>
            </w:pPr>
            <w:r w:rsidRPr="00BD2EF1">
              <w:rPr>
                <w:rFonts w:eastAsia="Calibri"/>
              </w:rPr>
              <w:lastRenderedPageBreak/>
              <w:t>Self-heating substances and mixtures</w:t>
            </w:r>
          </w:p>
        </w:tc>
        <w:tc>
          <w:tcPr>
            <w:tcW w:w="768" w:type="pct"/>
          </w:tcPr>
          <w:p w14:paraId="18699E96" w14:textId="77777777" w:rsidR="00EB316C" w:rsidRPr="00BD2EF1" w:rsidRDefault="00EB316C" w:rsidP="002E0A8E">
            <w:pPr>
              <w:pStyle w:val="Standaard-Tabellen"/>
              <w:rPr>
                <w:rFonts w:eastAsia="Calibri"/>
              </w:rPr>
            </w:pPr>
            <w:r>
              <w:rPr>
                <w:rFonts w:eastAsia="Calibri"/>
              </w:rPr>
              <w:t>Waived</w:t>
            </w:r>
          </w:p>
        </w:tc>
        <w:tc>
          <w:tcPr>
            <w:tcW w:w="1122" w:type="pct"/>
          </w:tcPr>
          <w:p w14:paraId="26F58D60" w14:textId="77777777" w:rsidR="00EB316C" w:rsidRPr="00BD2EF1" w:rsidRDefault="00EB316C" w:rsidP="002E0A8E">
            <w:pPr>
              <w:pStyle w:val="Standaard-Tabellen"/>
              <w:rPr>
                <w:rFonts w:eastAsia="Calibri"/>
              </w:rPr>
            </w:pPr>
            <w:r>
              <w:rPr>
                <w:rFonts w:eastAsia="Calibri"/>
              </w:rPr>
              <w:t>/</w:t>
            </w:r>
          </w:p>
        </w:tc>
        <w:tc>
          <w:tcPr>
            <w:tcW w:w="945" w:type="pct"/>
          </w:tcPr>
          <w:p w14:paraId="353D6E26" w14:textId="77777777" w:rsidR="00EB316C" w:rsidRPr="00BD2EF1" w:rsidRDefault="00EB316C" w:rsidP="002E0A8E">
            <w:pPr>
              <w:pStyle w:val="Standaard-Tabellen"/>
              <w:rPr>
                <w:rFonts w:eastAsia="Calibri"/>
              </w:rPr>
            </w:pPr>
            <w:r w:rsidRPr="009E6B34">
              <w:rPr>
                <w:rFonts w:eastAsia="Calibri"/>
              </w:rPr>
              <w:t>The mixture is not self-heating since it is a liquid at room temperature. Since the liquid will also not be absorbed onto powder particles thus generating a large surface, no self-heating must be considered.</w:t>
            </w:r>
          </w:p>
        </w:tc>
        <w:tc>
          <w:tcPr>
            <w:tcW w:w="945" w:type="pct"/>
          </w:tcPr>
          <w:p w14:paraId="10B76C38" w14:textId="77777777" w:rsidR="00EB316C" w:rsidRPr="00BD2EF1" w:rsidRDefault="00EB316C" w:rsidP="002E0A8E">
            <w:pPr>
              <w:pStyle w:val="Standaard-Tabellen"/>
              <w:rPr>
                <w:rFonts w:eastAsia="Calibri"/>
              </w:rPr>
            </w:pPr>
            <w:r>
              <w:rPr>
                <w:rFonts w:eastAsia="Calibri"/>
              </w:rPr>
              <w:t>/</w:t>
            </w:r>
          </w:p>
        </w:tc>
      </w:tr>
      <w:tr w:rsidR="00EB316C" w:rsidRPr="00BD2EF1" w14:paraId="2C42F4D3" w14:textId="77777777" w:rsidTr="002E0A8E">
        <w:tc>
          <w:tcPr>
            <w:tcW w:w="1219" w:type="pct"/>
          </w:tcPr>
          <w:p w14:paraId="3110DBB2" w14:textId="77777777" w:rsidR="00EB316C" w:rsidRPr="00BD2EF1" w:rsidRDefault="00EB316C" w:rsidP="002E0A8E">
            <w:pPr>
              <w:pStyle w:val="Standaard-Tabellen"/>
              <w:rPr>
                <w:rFonts w:eastAsia="Calibri"/>
              </w:rPr>
            </w:pPr>
            <w:r w:rsidRPr="00BD2EF1">
              <w:rPr>
                <w:rFonts w:eastAsia="Calibri"/>
              </w:rPr>
              <w:t>Substances and mixtures which in contact with water emit flammable gases</w:t>
            </w:r>
          </w:p>
        </w:tc>
        <w:tc>
          <w:tcPr>
            <w:tcW w:w="768" w:type="pct"/>
          </w:tcPr>
          <w:p w14:paraId="6EC911D4" w14:textId="77777777" w:rsidR="00EB316C" w:rsidRPr="00BD2EF1" w:rsidRDefault="00EB316C" w:rsidP="002E0A8E">
            <w:pPr>
              <w:pStyle w:val="Standaard-Tabellen"/>
              <w:rPr>
                <w:rFonts w:eastAsia="Calibri"/>
              </w:rPr>
            </w:pPr>
            <w:r>
              <w:rPr>
                <w:rFonts w:eastAsia="Calibri"/>
              </w:rPr>
              <w:t>/</w:t>
            </w:r>
          </w:p>
        </w:tc>
        <w:tc>
          <w:tcPr>
            <w:tcW w:w="1122" w:type="pct"/>
          </w:tcPr>
          <w:p w14:paraId="32BDEDE0" w14:textId="77777777" w:rsidR="00EB316C" w:rsidRPr="00BD2EF1" w:rsidRDefault="00EB316C" w:rsidP="002E0A8E">
            <w:pPr>
              <w:pStyle w:val="Standaard-Tabellen"/>
              <w:rPr>
                <w:rFonts w:eastAsia="Calibri"/>
              </w:rPr>
            </w:pPr>
            <w:r>
              <w:rPr>
                <w:rFonts w:eastAsia="Calibri"/>
              </w:rPr>
              <w:t>/</w:t>
            </w:r>
          </w:p>
        </w:tc>
        <w:tc>
          <w:tcPr>
            <w:tcW w:w="945" w:type="pct"/>
          </w:tcPr>
          <w:p w14:paraId="3B5B6798" w14:textId="77777777" w:rsidR="00EB316C" w:rsidRPr="00BD2EF1" w:rsidRDefault="00EB316C" w:rsidP="002E0A8E">
            <w:pPr>
              <w:pStyle w:val="Standaard-Tabellen"/>
              <w:rPr>
                <w:rFonts w:eastAsia="Calibri"/>
              </w:rPr>
            </w:pPr>
            <w:r>
              <w:rPr>
                <w:rFonts w:eastAsia="Calibri"/>
              </w:rPr>
              <w:t>/</w:t>
            </w:r>
          </w:p>
        </w:tc>
        <w:tc>
          <w:tcPr>
            <w:tcW w:w="945" w:type="pct"/>
          </w:tcPr>
          <w:p w14:paraId="3CA1F50E" w14:textId="77777777" w:rsidR="00EB316C" w:rsidRPr="00BD2EF1" w:rsidRDefault="00EB316C" w:rsidP="002E0A8E">
            <w:pPr>
              <w:pStyle w:val="Standaard-Tabellen"/>
              <w:rPr>
                <w:rFonts w:eastAsia="Calibri"/>
              </w:rPr>
            </w:pPr>
            <w:r>
              <w:rPr>
                <w:rFonts w:eastAsia="Calibri"/>
              </w:rPr>
              <w:t>/</w:t>
            </w:r>
          </w:p>
        </w:tc>
      </w:tr>
      <w:tr w:rsidR="00EB316C" w:rsidRPr="00BD2EF1" w14:paraId="3FA76C3E" w14:textId="77777777" w:rsidTr="002E0A8E">
        <w:tc>
          <w:tcPr>
            <w:tcW w:w="1219" w:type="pct"/>
          </w:tcPr>
          <w:p w14:paraId="1FB71B38" w14:textId="77777777" w:rsidR="00EB316C" w:rsidRPr="00BD2EF1" w:rsidRDefault="00EB316C" w:rsidP="002E0A8E">
            <w:pPr>
              <w:pStyle w:val="Standaard-Tabellen"/>
              <w:rPr>
                <w:rFonts w:eastAsia="Calibri"/>
              </w:rPr>
            </w:pPr>
            <w:r w:rsidRPr="00BD2EF1">
              <w:rPr>
                <w:rFonts w:eastAsia="Calibri"/>
              </w:rPr>
              <w:t>Oxidising liquids</w:t>
            </w:r>
          </w:p>
        </w:tc>
        <w:tc>
          <w:tcPr>
            <w:tcW w:w="768" w:type="pct"/>
          </w:tcPr>
          <w:p w14:paraId="4E9C01A5" w14:textId="77777777" w:rsidR="00EB316C" w:rsidRPr="00BD2EF1" w:rsidRDefault="00EB316C" w:rsidP="002E0A8E">
            <w:pPr>
              <w:pStyle w:val="Standaard-Tabellen"/>
              <w:rPr>
                <w:rFonts w:eastAsia="Calibri"/>
              </w:rPr>
            </w:pPr>
            <w:r>
              <w:rPr>
                <w:rFonts w:eastAsia="Calibri"/>
              </w:rPr>
              <w:t>Waived</w:t>
            </w:r>
          </w:p>
        </w:tc>
        <w:tc>
          <w:tcPr>
            <w:tcW w:w="1122" w:type="pct"/>
          </w:tcPr>
          <w:p w14:paraId="51F7E9A9" w14:textId="77777777" w:rsidR="00EB316C" w:rsidRPr="00BD2EF1" w:rsidRDefault="00EB316C" w:rsidP="002E0A8E">
            <w:pPr>
              <w:pStyle w:val="Standaard-Tabellen"/>
              <w:rPr>
                <w:rFonts w:eastAsia="Calibri"/>
              </w:rPr>
            </w:pPr>
            <w:r>
              <w:rPr>
                <w:rFonts w:eastAsia="Calibri"/>
              </w:rPr>
              <w:t>/</w:t>
            </w:r>
          </w:p>
        </w:tc>
        <w:tc>
          <w:tcPr>
            <w:tcW w:w="945" w:type="pct"/>
          </w:tcPr>
          <w:p w14:paraId="2ECBE69E" w14:textId="77777777" w:rsidR="00EB316C" w:rsidRPr="00BD2EF1" w:rsidRDefault="00EB316C" w:rsidP="002E0A8E">
            <w:pPr>
              <w:pStyle w:val="Standaard-Tabellen"/>
              <w:rPr>
                <w:rFonts w:eastAsia="Calibri"/>
              </w:rPr>
            </w:pPr>
            <w:r w:rsidRPr="00B6244A">
              <w:rPr>
                <w:rFonts w:eastAsia="Calibri"/>
              </w:rPr>
              <w:t>Based on the properties of the ingredients the product is not considered to be oxidising.</w:t>
            </w:r>
          </w:p>
        </w:tc>
        <w:tc>
          <w:tcPr>
            <w:tcW w:w="945" w:type="pct"/>
          </w:tcPr>
          <w:p w14:paraId="5F5AF64A" w14:textId="77777777" w:rsidR="00EB316C" w:rsidRPr="00BD2EF1" w:rsidRDefault="00EB316C" w:rsidP="002E0A8E">
            <w:pPr>
              <w:pStyle w:val="Standaard-Tabellen"/>
              <w:rPr>
                <w:rFonts w:eastAsia="Calibri"/>
              </w:rPr>
            </w:pPr>
            <w:r>
              <w:rPr>
                <w:rFonts w:eastAsia="Calibri"/>
              </w:rPr>
              <w:t>/</w:t>
            </w:r>
          </w:p>
        </w:tc>
      </w:tr>
      <w:tr w:rsidR="00EB316C" w:rsidRPr="00BD2EF1" w14:paraId="132FA50B" w14:textId="77777777" w:rsidTr="002E0A8E">
        <w:tc>
          <w:tcPr>
            <w:tcW w:w="1219" w:type="pct"/>
          </w:tcPr>
          <w:p w14:paraId="14F06DED" w14:textId="77777777" w:rsidR="00EB316C" w:rsidRPr="00BD2EF1" w:rsidRDefault="00EB316C" w:rsidP="002E0A8E">
            <w:pPr>
              <w:pStyle w:val="Standaard-Tabellen"/>
              <w:rPr>
                <w:rFonts w:eastAsia="Calibri"/>
              </w:rPr>
            </w:pPr>
            <w:r w:rsidRPr="00BD2EF1">
              <w:rPr>
                <w:rFonts w:eastAsia="Calibri"/>
              </w:rPr>
              <w:t>Oxidising solids</w:t>
            </w:r>
          </w:p>
        </w:tc>
        <w:tc>
          <w:tcPr>
            <w:tcW w:w="768" w:type="pct"/>
          </w:tcPr>
          <w:p w14:paraId="66B5EA0C" w14:textId="77777777" w:rsidR="00EB316C" w:rsidRPr="00BD2EF1" w:rsidRDefault="00EB316C" w:rsidP="002E0A8E">
            <w:pPr>
              <w:pStyle w:val="Standaard-Tabellen"/>
              <w:rPr>
                <w:rFonts w:eastAsia="Calibri"/>
              </w:rPr>
            </w:pPr>
            <w:r>
              <w:rPr>
                <w:rFonts w:eastAsia="Calibri"/>
              </w:rPr>
              <w:t>/</w:t>
            </w:r>
          </w:p>
        </w:tc>
        <w:tc>
          <w:tcPr>
            <w:tcW w:w="1122" w:type="pct"/>
          </w:tcPr>
          <w:p w14:paraId="6BE0BD1A" w14:textId="77777777" w:rsidR="00EB316C" w:rsidRPr="00BD2EF1" w:rsidRDefault="00EB316C" w:rsidP="002E0A8E">
            <w:pPr>
              <w:pStyle w:val="Standaard-Tabellen"/>
              <w:rPr>
                <w:rFonts w:eastAsia="Calibri"/>
              </w:rPr>
            </w:pPr>
            <w:r>
              <w:rPr>
                <w:rFonts w:eastAsia="Calibri"/>
              </w:rPr>
              <w:t>/</w:t>
            </w:r>
          </w:p>
        </w:tc>
        <w:tc>
          <w:tcPr>
            <w:tcW w:w="945" w:type="pct"/>
          </w:tcPr>
          <w:p w14:paraId="27C37A1E" w14:textId="77777777" w:rsidR="00EB316C" w:rsidRPr="00BD2EF1" w:rsidRDefault="00EB316C" w:rsidP="002E0A8E">
            <w:pPr>
              <w:pStyle w:val="Standaard-Tabellen"/>
              <w:rPr>
                <w:rFonts w:eastAsia="Calibri"/>
              </w:rPr>
            </w:pPr>
            <w:r>
              <w:rPr>
                <w:rFonts w:eastAsia="Calibri"/>
              </w:rPr>
              <w:t>/</w:t>
            </w:r>
          </w:p>
        </w:tc>
        <w:tc>
          <w:tcPr>
            <w:tcW w:w="945" w:type="pct"/>
          </w:tcPr>
          <w:p w14:paraId="1130AB7D" w14:textId="77777777" w:rsidR="00EB316C" w:rsidRPr="00BD2EF1" w:rsidRDefault="00EB316C" w:rsidP="002E0A8E">
            <w:pPr>
              <w:pStyle w:val="Standaard-Tabellen"/>
              <w:rPr>
                <w:rFonts w:eastAsia="Calibri"/>
              </w:rPr>
            </w:pPr>
            <w:r>
              <w:rPr>
                <w:rFonts w:eastAsia="Calibri"/>
              </w:rPr>
              <w:t>/</w:t>
            </w:r>
          </w:p>
        </w:tc>
      </w:tr>
      <w:tr w:rsidR="00EB316C" w:rsidRPr="00BD2EF1" w14:paraId="59BB4324" w14:textId="77777777" w:rsidTr="002E0A8E">
        <w:tc>
          <w:tcPr>
            <w:tcW w:w="1219" w:type="pct"/>
          </w:tcPr>
          <w:p w14:paraId="25DB472D" w14:textId="77777777" w:rsidR="00EB316C" w:rsidRPr="00BD2EF1" w:rsidRDefault="00EB316C" w:rsidP="002E0A8E">
            <w:pPr>
              <w:pStyle w:val="Standaard-Tabellen"/>
              <w:rPr>
                <w:rFonts w:eastAsia="Calibri"/>
              </w:rPr>
            </w:pPr>
            <w:r w:rsidRPr="00BD2EF1">
              <w:rPr>
                <w:rFonts w:eastAsia="Calibri"/>
              </w:rPr>
              <w:t>Organic peroxides</w:t>
            </w:r>
          </w:p>
        </w:tc>
        <w:tc>
          <w:tcPr>
            <w:tcW w:w="768" w:type="pct"/>
          </w:tcPr>
          <w:p w14:paraId="68465B51" w14:textId="77777777" w:rsidR="00EB316C" w:rsidRPr="00BD2EF1" w:rsidRDefault="00EB316C" w:rsidP="002E0A8E">
            <w:pPr>
              <w:pStyle w:val="Standaard-Tabellen"/>
              <w:rPr>
                <w:rFonts w:eastAsia="Calibri"/>
              </w:rPr>
            </w:pPr>
            <w:r>
              <w:rPr>
                <w:rFonts w:eastAsia="Calibri"/>
              </w:rPr>
              <w:t>/</w:t>
            </w:r>
          </w:p>
        </w:tc>
        <w:tc>
          <w:tcPr>
            <w:tcW w:w="1122" w:type="pct"/>
          </w:tcPr>
          <w:p w14:paraId="6E2A27B0" w14:textId="77777777" w:rsidR="00EB316C" w:rsidRPr="00BD2EF1" w:rsidRDefault="00EB316C" w:rsidP="002E0A8E">
            <w:pPr>
              <w:pStyle w:val="Standaard-Tabellen"/>
              <w:rPr>
                <w:rFonts w:eastAsia="Calibri"/>
              </w:rPr>
            </w:pPr>
            <w:r>
              <w:rPr>
                <w:rFonts w:eastAsia="Calibri"/>
              </w:rPr>
              <w:t>/</w:t>
            </w:r>
          </w:p>
        </w:tc>
        <w:tc>
          <w:tcPr>
            <w:tcW w:w="945" w:type="pct"/>
          </w:tcPr>
          <w:p w14:paraId="62416F0A" w14:textId="77777777" w:rsidR="00EB316C" w:rsidRPr="00BD2EF1" w:rsidRDefault="00EB316C" w:rsidP="002E0A8E">
            <w:pPr>
              <w:pStyle w:val="Standaard-Tabellen"/>
              <w:rPr>
                <w:rFonts w:eastAsia="Calibri"/>
              </w:rPr>
            </w:pPr>
            <w:r>
              <w:rPr>
                <w:rFonts w:eastAsia="Calibri"/>
              </w:rPr>
              <w:t>/</w:t>
            </w:r>
          </w:p>
        </w:tc>
        <w:tc>
          <w:tcPr>
            <w:tcW w:w="945" w:type="pct"/>
          </w:tcPr>
          <w:p w14:paraId="034DC640" w14:textId="77777777" w:rsidR="00EB316C" w:rsidRPr="00BD2EF1" w:rsidRDefault="00EB316C" w:rsidP="002E0A8E">
            <w:pPr>
              <w:pStyle w:val="Standaard-Tabellen"/>
              <w:rPr>
                <w:rFonts w:eastAsia="Calibri"/>
              </w:rPr>
            </w:pPr>
            <w:r>
              <w:rPr>
                <w:rFonts w:eastAsia="Calibri"/>
              </w:rPr>
              <w:t>/</w:t>
            </w:r>
          </w:p>
        </w:tc>
      </w:tr>
      <w:tr w:rsidR="00EB316C" w:rsidRPr="00BD2EF1" w14:paraId="6B0A9669" w14:textId="77777777" w:rsidTr="002E0A8E">
        <w:tc>
          <w:tcPr>
            <w:tcW w:w="1219" w:type="pct"/>
          </w:tcPr>
          <w:p w14:paraId="000B9746" w14:textId="77777777" w:rsidR="00EB316C" w:rsidRPr="00BD2EF1" w:rsidRDefault="00EB316C" w:rsidP="002E0A8E">
            <w:pPr>
              <w:pStyle w:val="Standaard-Tabellen"/>
              <w:rPr>
                <w:rFonts w:eastAsia="Calibri"/>
              </w:rPr>
            </w:pPr>
            <w:r w:rsidRPr="00BD2EF1">
              <w:rPr>
                <w:rFonts w:eastAsia="Calibri"/>
              </w:rPr>
              <w:t>Corrosive to metals</w:t>
            </w:r>
          </w:p>
        </w:tc>
        <w:tc>
          <w:tcPr>
            <w:tcW w:w="768" w:type="pct"/>
          </w:tcPr>
          <w:p w14:paraId="57B6FEB8" w14:textId="77777777" w:rsidR="00EB316C" w:rsidRPr="00BD2EF1" w:rsidRDefault="00EB316C" w:rsidP="002E0A8E">
            <w:pPr>
              <w:pStyle w:val="Standaard-Tabellen"/>
              <w:rPr>
                <w:rFonts w:eastAsia="Calibri"/>
              </w:rPr>
            </w:pPr>
          </w:p>
        </w:tc>
        <w:tc>
          <w:tcPr>
            <w:tcW w:w="1122" w:type="pct"/>
          </w:tcPr>
          <w:p w14:paraId="2256ABB8" w14:textId="77777777" w:rsidR="00EB316C" w:rsidRPr="00BD2EF1" w:rsidRDefault="00EB316C" w:rsidP="002E0A8E">
            <w:pPr>
              <w:pStyle w:val="Standaard-Tabellen"/>
              <w:rPr>
                <w:rFonts w:eastAsia="Calibri"/>
              </w:rPr>
            </w:pPr>
          </w:p>
        </w:tc>
        <w:tc>
          <w:tcPr>
            <w:tcW w:w="945" w:type="pct"/>
          </w:tcPr>
          <w:p w14:paraId="72066EE8" w14:textId="77777777" w:rsidR="00EB316C" w:rsidRPr="00BD2EF1" w:rsidRDefault="00EB316C" w:rsidP="002E0A8E">
            <w:pPr>
              <w:pStyle w:val="Standaard-Tabellen"/>
              <w:rPr>
                <w:rFonts w:eastAsia="Calibri"/>
              </w:rPr>
            </w:pPr>
            <w:r w:rsidRPr="003E166C">
              <w:rPr>
                <w:rFonts w:eastAsia="Calibri"/>
              </w:rPr>
              <w:t>None of the ingredients in the mixture is classified as corrosive or suspected from a chemical point of view to be able to react with metals and thus the mixture is also not corrosive to metal.</w:t>
            </w:r>
          </w:p>
        </w:tc>
        <w:tc>
          <w:tcPr>
            <w:tcW w:w="945" w:type="pct"/>
          </w:tcPr>
          <w:p w14:paraId="7BD9BBE7" w14:textId="77777777" w:rsidR="00EB316C" w:rsidRPr="00BD2EF1" w:rsidRDefault="00EB316C" w:rsidP="002E0A8E">
            <w:pPr>
              <w:pStyle w:val="Standaard-Tabellen"/>
              <w:rPr>
                <w:rFonts w:eastAsia="Calibri"/>
              </w:rPr>
            </w:pPr>
            <w:r w:rsidRPr="009E6B34">
              <w:rPr>
                <w:rFonts w:eastAsia="Calibri"/>
              </w:rPr>
              <w:t>Long-year experience with this and similar mixtures.</w:t>
            </w:r>
          </w:p>
        </w:tc>
      </w:tr>
      <w:tr w:rsidR="00EB316C" w:rsidRPr="00BD2EF1" w14:paraId="7DCC21C4" w14:textId="77777777" w:rsidTr="002E0A8E">
        <w:tc>
          <w:tcPr>
            <w:tcW w:w="1219" w:type="pct"/>
          </w:tcPr>
          <w:p w14:paraId="10391FFA" w14:textId="77777777" w:rsidR="00EB316C" w:rsidRPr="00BD2EF1" w:rsidRDefault="00EB316C" w:rsidP="002E0A8E">
            <w:pPr>
              <w:pStyle w:val="Standaard-Tabellen"/>
              <w:rPr>
                <w:rFonts w:eastAsia="Calibri"/>
              </w:rPr>
            </w:pPr>
            <w:r w:rsidRPr="00BD2EF1">
              <w:rPr>
                <w:rFonts w:eastAsia="Calibri"/>
              </w:rPr>
              <w:t>Auto-ignition temperatures of products (liquids and gases)</w:t>
            </w:r>
          </w:p>
        </w:tc>
        <w:tc>
          <w:tcPr>
            <w:tcW w:w="768" w:type="pct"/>
          </w:tcPr>
          <w:p w14:paraId="7A8C6799" w14:textId="77777777" w:rsidR="00EB316C" w:rsidRPr="00BD2EF1" w:rsidRDefault="00EB316C" w:rsidP="002E0A8E">
            <w:pPr>
              <w:pStyle w:val="Standaard-Tabellen"/>
              <w:rPr>
                <w:rFonts w:eastAsia="Calibri"/>
              </w:rPr>
            </w:pPr>
            <w:r>
              <w:rPr>
                <w:rFonts w:eastAsia="Calibri"/>
              </w:rPr>
              <w:t>EU A15</w:t>
            </w:r>
          </w:p>
        </w:tc>
        <w:tc>
          <w:tcPr>
            <w:tcW w:w="1122" w:type="pct"/>
          </w:tcPr>
          <w:p w14:paraId="776F581B" w14:textId="77777777" w:rsidR="00EB316C" w:rsidRDefault="00EB316C" w:rsidP="002E0A8E">
            <w:pPr>
              <w:pStyle w:val="Standaard-Tabellen"/>
              <w:rPr>
                <w:rFonts w:eastAsia="Calibri"/>
              </w:rPr>
            </w:pPr>
            <w:r>
              <w:rPr>
                <w:rFonts w:eastAsia="Calibri"/>
              </w:rPr>
              <w:t>10.4</w:t>
            </w:r>
          </w:p>
          <w:p w14:paraId="05940A02" w14:textId="77777777" w:rsidR="003B7B32" w:rsidRPr="00BD2EF1" w:rsidRDefault="003B7B32" w:rsidP="002E0A8E">
            <w:pPr>
              <w:pStyle w:val="Standaard-Tabellen"/>
              <w:rPr>
                <w:rFonts w:eastAsia="Calibri"/>
              </w:rPr>
            </w:pPr>
            <w:r>
              <w:rPr>
                <w:rFonts w:eastAsia="Calibri"/>
              </w:rPr>
              <w:t>EU Lotion Formulation</w:t>
            </w:r>
          </w:p>
        </w:tc>
        <w:tc>
          <w:tcPr>
            <w:tcW w:w="945" w:type="pct"/>
          </w:tcPr>
          <w:p w14:paraId="1B50AE7E" w14:textId="3C601F0D" w:rsidR="00EB316C" w:rsidRPr="00BD2EF1" w:rsidRDefault="00EB316C" w:rsidP="002E0A8E">
            <w:pPr>
              <w:pStyle w:val="Standaard-Tabellen"/>
              <w:rPr>
                <w:rFonts w:eastAsia="Calibri"/>
              </w:rPr>
            </w:pPr>
            <w:r>
              <w:rPr>
                <w:rFonts w:eastAsia="Calibri"/>
              </w:rPr>
              <w:t xml:space="preserve">The auto-ignition temperature was determined to be 480 °C using a sample with slightly </w:t>
            </w:r>
            <w:r w:rsidRPr="000D1DFB">
              <w:rPr>
                <w:rFonts w:eastAsia="Calibri"/>
              </w:rPr>
              <w:t>deviating composition</w:t>
            </w:r>
            <w:r>
              <w:rPr>
                <w:rFonts w:eastAsia="Calibri"/>
              </w:rPr>
              <w:t xml:space="preserve"> (no buffer </w:t>
            </w:r>
            <w:r w:rsidR="00261684">
              <w:rPr>
                <w:rFonts w:eastAsia="Calibri"/>
              </w:rPr>
              <w:t>but</w:t>
            </w:r>
            <w:r>
              <w:rPr>
                <w:rFonts w:eastAsia="Calibri"/>
              </w:rPr>
              <w:t xml:space="preserve"> </w:t>
            </w:r>
            <w:r w:rsidR="00261684">
              <w:rPr>
                <w:rFonts w:eastAsia="Calibri"/>
              </w:rPr>
              <w:t xml:space="preserve">containing </w:t>
            </w:r>
            <w:r>
              <w:rPr>
                <w:rFonts w:eastAsia="Calibri"/>
              </w:rPr>
              <w:t>preservatives (1 % w/w in total)).</w:t>
            </w:r>
          </w:p>
        </w:tc>
        <w:tc>
          <w:tcPr>
            <w:tcW w:w="945" w:type="pct"/>
          </w:tcPr>
          <w:p w14:paraId="0142E15B" w14:textId="77777777" w:rsidR="00EB316C" w:rsidRPr="00BD2EF1" w:rsidRDefault="00EB316C" w:rsidP="003A654A">
            <w:pPr>
              <w:pStyle w:val="Standaard-Tabellen"/>
              <w:rPr>
                <w:rFonts w:eastAsia="Calibri"/>
              </w:rPr>
            </w:pPr>
            <w:r>
              <w:rPr>
                <w:rFonts w:eastAsia="Calibri"/>
              </w:rPr>
              <w:t xml:space="preserve">Report no. </w:t>
            </w:r>
            <w:r w:rsidR="003A654A">
              <w:rPr>
                <w:rFonts w:eastAsia="Calibri"/>
              </w:rPr>
              <w:t>20110105.01</w:t>
            </w:r>
            <w:r>
              <w:rPr>
                <w:rFonts w:eastAsia="Calibri"/>
              </w:rPr>
              <w:t xml:space="preserve">, </w:t>
            </w:r>
            <w:proofErr w:type="spellStart"/>
            <w:r>
              <w:rPr>
                <w:rFonts w:eastAsia="Calibri"/>
              </w:rPr>
              <w:t>Dornhagen</w:t>
            </w:r>
            <w:proofErr w:type="spellEnd"/>
            <w:r>
              <w:rPr>
                <w:rFonts w:eastAsia="Calibri"/>
              </w:rPr>
              <w:t>, J. 2011</w:t>
            </w:r>
          </w:p>
        </w:tc>
      </w:tr>
      <w:tr w:rsidR="00EB316C" w:rsidRPr="00BD2EF1" w14:paraId="6CF56CCB" w14:textId="77777777" w:rsidTr="002E0A8E">
        <w:tc>
          <w:tcPr>
            <w:tcW w:w="1219" w:type="pct"/>
          </w:tcPr>
          <w:p w14:paraId="1B3867E0" w14:textId="77777777" w:rsidR="00EB316C" w:rsidRPr="00BD2EF1" w:rsidRDefault="00EB316C" w:rsidP="002E0A8E">
            <w:pPr>
              <w:pStyle w:val="Standaard-Tabellen"/>
              <w:rPr>
                <w:rFonts w:eastAsia="Calibri"/>
              </w:rPr>
            </w:pPr>
            <w:r w:rsidRPr="00BD2EF1">
              <w:rPr>
                <w:rFonts w:eastAsia="Calibri"/>
              </w:rPr>
              <w:t>Relative self-ignition temperature for solids</w:t>
            </w:r>
          </w:p>
        </w:tc>
        <w:tc>
          <w:tcPr>
            <w:tcW w:w="768" w:type="pct"/>
          </w:tcPr>
          <w:p w14:paraId="5DF5AB34" w14:textId="77777777" w:rsidR="00EB316C" w:rsidRPr="00BD2EF1" w:rsidRDefault="00EB316C" w:rsidP="002E0A8E">
            <w:pPr>
              <w:pStyle w:val="Standaard-Tabellen"/>
              <w:rPr>
                <w:rFonts w:eastAsia="Calibri"/>
              </w:rPr>
            </w:pPr>
            <w:r>
              <w:rPr>
                <w:rFonts w:eastAsia="Calibri"/>
              </w:rPr>
              <w:t>/</w:t>
            </w:r>
          </w:p>
        </w:tc>
        <w:tc>
          <w:tcPr>
            <w:tcW w:w="1122" w:type="pct"/>
          </w:tcPr>
          <w:p w14:paraId="34B5D7E3" w14:textId="77777777" w:rsidR="00EB316C" w:rsidRPr="00BD2EF1" w:rsidRDefault="00EB316C" w:rsidP="002E0A8E">
            <w:pPr>
              <w:pStyle w:val="Standaard-Tabellen"/>
              <w:rPr>
                <w:rFonts w:eastAsia="Calibri"/>
              </w:rPr>
            </w:pPr>
            <w:r>
              <w:rPr>
                <w:rFonts w:eastAsia="Calibri"/>
              </w:rPr>
              <w:t>/</w:t>
            </w:r>
          </w:p>
        </w:tc>
        <w:tc>
          <w:tcPr>
            <w:tcW w:w="945" w:type="pct"/>
          </w:tcPr>
          <w:p w14:paraId="3F27EBD1" w14:textId="77777777" w:rsidR="00EB316C" w:rsidRPr="00BD2EF1" w:rsidRDefault="00EB316C" w:rsidP="002E0A8E">
            <w:pPr>
              <w:pStyle w:val="Standaard-Tabellen"/>
              <w:rPr>
                <w:rFonts w:eastAsia="Calibri"/>
              </w:rPr>
            </w:pPr>
            <w:r>
              <w:rPr>
                <w:rFonts w:eastAsia="Calibri"/>
              </w:rPr>
              <w:t>/</w:t>
            </w:r>
          </w:p>
        </w:tc>
        <w:tc>
          <w:tcPr>
            <w:tcW w:w="945" w:type="pct"/>
          </w:tcPr>
          <w:p w14:paraId="798E8E49" w14:textId="77777777" w:rsidR="00EB316C" w:rsidRPr="00BD2EF1" w:rsidRDefault="00EB316C" w:rsidP="002E0A8E">
            <w:pPr>
              <w:pStyle w:val="Standaard-Tabellen"/>
              <w:rPr>
                <w:rFonts w:eastAsia="Calibri"/>
              </w:rPr>
            </w:pPr>
            <w:r>
              <w:rPr>
                <w:rFonts w:eastAsia="Calibri"/>
              </w:rPr>
              <w:t>/</w:t>
            </w:r>
          </w:p>
        </w:tc>
      </w:tr>
      <w:tr w:rsidR="00EB316C" w:rsidRPr="00BD2EF1" w14:paraId="2C5EC504" w14:textId="77777777" w:rsidTr="002E0A8E">
        <w:tc>
          <w:tcPr>
            <w:tcW w:w="1219" w:type="pct"/>
          </w:tcPr>
          <w:p w14:paraId="1E5BA5B4" w14:textId="77777777" w:rsidR="00EB316C" w:rsidRPr="00BD2EF1" w:rsidRDefault="00EB316C" w:rsidP="002E0A8E">
            <w:pPr>
              <w:pStyle w:val="Standaard-Tabellen"/>
              <w:rPr>
                <w:rFonts w:eastAsia="Calibri"/>
              </w:rPr>
            </w:pPr>
            <w:r w:rsidRPr="00BD2EF1">
              <w:rPr>
                <w:rFonts w:eastAsia="Calibri"/>
              </w:rPr>
              <w:t>Dust explosion hazard</w:t>
            </w:r>
          </w:p>
        </w:tc>
        <w:tc>
          <w:tcPr>
            <w:tcW w:w="768" w:type="pct"/>
          </w:tcPr>
          <w:p w14:paraId="3CF0AAE8" w14:textId="77777777" w:rsidR="00EB316C" w:rsidRPr="00BD2EF1" w:rsidRDefault="00EB316C" w:rsidP="002E0A8E">
            <w:pPr>
              <w:pStyle w:val="Standaard-Tabellen"/>
              <w:rPr>
                <w:rFonts w:eastAsia="Calibri"/>
              </w:rPr>
            </w:pPr>
            <w:r>
              <w:rPr>
                <w:rFonts w:eastAsia="Calibri"/>
              </w:rPr>
              <w:t>/</w:t>
            </w:r>
          </w:p>
        </w:tc>
        <w:tc>
          <w:tcPr>
            <w:tcW w:w="1122" w:type="pct"/>
          </w:tcPr>
          <w:p w14:paraId="77D948D1" w14:textId="77777777" w:rsidR="00EB316C" w:rsidRPr="00BD2EF1" w:rsidRDefault="00EB316C" w:rsidP="002E0A8E">
            <w:pPr>
              <w:pStyle w:val="Standaard-Tabellen"/>
              <w:rPr>
                <w:rFonts w:eastAsia="Calibri"/>
              </w:rPr>
            </w:pPr>
            <w:r>
              <w:rPr>
                <w:rFonts w:eastAsia="Calibri"/>
              </w:rPr>
              <w:t>/</w:t>
            </w:r>
          </w:p>
        </w:tc>
        <w:tc>
          <w:tcPr>
            <w:tcW w:w="945" w:type="pct"/>
          </w:tcPr>
          <w:p w14:paraId="65CB5F27" w14:textId="77777777" w:rsidR="00EB316C" w:rsidRPr="00BD2EF1" w:rsidRDefault="00EB316C" w:rsidP="002E0A8E">
            <w:pPr>
              <w:pStyle w:val="Standaard-Tabellen"/>
              <w:rPr>
                <w:rFonts w:eastAsia="Calibri"/>
              </w:rPr>
            </w:pPr>
            <w:r>
              <w:rPr>
                <w:rFonts w:eastAsia="Calibri"/>
              </w:rPr>
              <w:t>/</w:t>
            </w:r>
          </w:p>
        </w:tc>
        <w:tc>
          <w:tcPr>
            <w:tcW w:w="945" w:type="pct"/>
          </w:tcPr>
          <w:p w14:paraId="460E444B" w14:textId="77777777" w:rsidR="00EB316C" w:rsidRPr="00BD2EF1" w:rsidRDefault="00EB316C" w:rsidP="002E0A8E">
            <w:pPr>
              <w:pStyle w:val="Standaard-Tabellen"/>
              <w:rPr>
                <w:rFonts w:eastAsia="Calibri"/>
              </w:rPr>
            </w:pPr>
            <w:r>
              <w:rPr>
                <w:rFonts w:eastAsia="Calibri"/>
              </w:rPr>
              <w:t>/</w:t>
            </w:r>
          </w:p>
        </w:tc>
      </w:tr>
    </w:tbl>
    <w:p w14:paraId="4AB90724" w14:textId="77777777" w:rsidR="00EB316C" w:rsidRDefault="00EB316C" w:rsidP="00EB316C">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331"/>
      </w:tblGrid>
      <w:tr w:rsidR="005A5761" w:rsidRPr="007C0BA5" w14:paraId="22AD029C" w14:textId="77777777" w:rsidTr="003E39B1">
        <w:tc>
          <w:tcPr>
            <w:tcW w:w="5000" w:type="pct"/>
            <w:tcBorders>
              <w:top w:val="single" w:sz="4" w:space="0" w:color="auto"/>
              <w:left w:val="single" w:sz="4" w:space="0" w:color="auto"/>
              <w:bottom w:val="single" w:sz="6" w:space="0" w:color="auto"/>
              <w:right w:val="single" w:sz="6" w:space="0" w:color="auto"/>
            </w:tcBorders>
            <w:shd w:val="clear" w:color="auto" w:fill="CCFFCC"/>
          </w:tcPr>
          <w:p w14:paraId="3753BE01" w14:textId="77777777" w:rsidR="005A5761" w:rsidRPr="007C0BA5" w:rsidRDefault="005A5761" w:rsidP="00FF76D2">
            <w:pPr>
              <w:rPr>
                <w:rFonts w:eastAsia="Calibri"/>
                <w:b/>
              </w:rPr>
            </w:pPr>
            <w:r w:rsidRPr="007C0BA5">
              <w:rPr>
                <w:rFonts w:eastAsia="Calibri"/>
                <w:b/>
              </w:rPr>
              <w:t>Conclusion on the physical hazards and respective characteristics of the product</w:t>
            </w:r>
          </w:p>
        </w:tc>
      </w:tr>
      <w:tr w:rsidR="005A5761" w:rsidRPr="00BD2EF1" w14:paraId="1EF3F0E3" w14:textId="77777777" w:rsidTr="003E39B1">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249D0C5" w14:textId="77777777" w:rsidR="00EB316C" w:rsidRPr="000B1CB4" w:rsidRDefault="00EB316C" w:rsidP="00EB316C">
            <w:pPr>
              <w:jc w:val="both"/>
              <w:rPr>
                <w:rFonts w:eastAsia="Calibri"/>
              </w:rPr>
            </w:pPr>
            <w:r w:rsidRPr="000B1CB4">
              <w:rPr>
                <w:rFonts w:eastAsia="Calibri"/>
              </w:rPr>
              <w:lastRenderedPageBreak/>
              <w:t>The auto-ignition temperature of the solution is 4</w:t>
            </w:r>
            <w:r>
              <w:rPr>
                <w:rFonts w:eastAsia="Calibri"/>
              </w:rPr>
              <w:t xml:space="preserve">80 </w:t>
            </w:r>
            <w:r w:rsidRPr="000B1CB4">
              <w:rPr>
                <w:rFonts w:eastAsia="Calibri"/>
              </w:rPr>
              <w:t xml:space="preserve">°C and the flashpoint of the solution </w:t>
            </w:r>
            <w:r>
              <w:rPr>
                <w:rFonts w:eastAsia="Calibri"/>
              </w:rPr>
              <w:t xml:space="preserve">is higher than 200 </w:t>
            </w:r>
            <w:r w:rsidRPr="000B1CB4">
              <w:rPr>
                <w:rFonts w:eastAsia="Calibri"/>
              </w:rPr>
              <w:t>°C. The product has no self</w:t>
            </w:r>
            <w:r w:rsidR="007B48F1">
              <w:rPr>
                <w:rFonts w:eastAsia="Calibri"/>
              </w:rPr>
              <w:t>-</w:t>
            </w:r>
            <w:r w:rsidRPr="000B1CB4">
              <w:rPr>
                <w:rFonts w:eastAsia="Calibri"/>
              </w:rPr>
              <w:t>reacting properties</w:t>
            </w:r>
            <w:r>
              <w:rPr>
                <w:rFonts w:eastAsia="Calibri"/>
              </w:rPr>
              <w:t>,</w:t>
            </w:r>
            <w:r w:rsidRPr="000B1CB4">
              <w:rPr>
                <w:rFonts w:eastAsia="Calibri"/>
              </w:rPr>
              <w:t xml:space="preserve"> does not react with air and is not self-heating since it is a liquid at room temperature. It is not able to react with metals and is not corrosive. </w:t>
            </w:r>
          </w:p>
          <w:p w14:paraId="44DAF4F3" w14:textId="77777777" w:rsidR="005A5761" w:rsidRPr="00BD2EF1" w:rsidRDefault="00EB316C" w:rsidP="00EB316C">
            <w:pPr>
              <w:rPr>
                <w:rFonts w:eastAsia="Calibri"/>
              </w:rPr>
            </w:pPr>
            <w:r w:rsidRPr="000B1CB4">
              <w:rPr>
                <w:rFonts w:eastAsia="Calibri"/>
              </w:rPr>
              <w:t>The product is not oxidizing nor explosive.</w:t>
            </w:r>
          </w:p>
        </w:tc>
      </w:tr>
    </w:tbl>
    <w:p w14:paraId="0F6CE971" w14:textId="6B0C2F5C" w:rsidR="005A5761" w:rsidRDefault="005A5761" w:rsidP="00FF76D2">
      <w:pPr>
        <w:rPr>
          <w:lang w:eastAsia="en-US"/>
        </w:rPr>
      </w:pPr>
    </w:p>
    <w:p w14:paraId="4D81C180" w14:textId="7E69B143" w:rsidR="0065791B" w:rsidRDefault="0065791B" w:rsidP="00FF76D2">
      <w:pPr>
        <w:rPr>
          <w:lang w:eastAsia="en-US"/>
        </w:rPr>
      </w:pPr>
    </w:p>
    <w:p w14:paraId="37C261BC" w14:textId="77777777" w:rsidR="0065791B" w:rsidRPr="00BD2EF1" w:rsidRDefault="0065791B" w:rsidP="00FF76D2">
      <w:pPr>
        <w:rPr>
          <w:lang w:eastAsia="en-US"/>
        </w:rPr>
      </w:pPr>
    </w:p>
    <w:p w14:paraId="604457A2" w14:textId="77777777" w:rsidR="009823CF" w:rsidRDefault="009823CF" w:rsidP="007809D8">
      <w:pPr>
        <w:pStyle w:val="Titre3"/>
      </w:pPr>
      <w:bookmarkStart w:id="73" w:name="_Toc12967137"/>
      <w:r w:rsidRPr="00BD2EF1">
        <w:t>Methods for detection and identification</w:t>
      </w:r>
      <w:bookmarkEnd w:id="73"/>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69"/>
        <w:gridCol w:w="1562"/>
        <w:gridCol w:w="2551"/>
        <w:gridCol w:w="1560"/>
        <w:gridCol w:w="2124"/>
        <w:gridCol w:w="568"/>
        <w:gridCol w:w="992"/>
        <w:gridCol w:w="568"/>
        <w:gridCol w:w="708"/>
        <w:gridCol w:w="1130"/>
        <w:gridCol w:w="1302"/>
      </w:tblGrid>
      <w:tr w:rsidR="00E12E4A" w:rsidRPr="00BD2EF1" w14:paraId="0B956F40" w14:textId="77777777" w:rsidTr="00E12E4A">
        <w:trPr>
          <w:cantSplit/>
          <w:trHeight w:val="439"/>
        </w:trPr>
        <w:tc>
          <w:tcPr>
            <w:tcW w:w="5000" w:type="pct"/>
            <w:gridSpan w:val="11"/>
            <w:shd w:val="clear" w:color="auto" w:fill="FFFFCC"/>
            <w:vAlign w:val="center"/>
          </w:tcPr>
          <w:p w14:paraId="0D51862F" w14:textId="77777777" w:rsidR="00E12E4A" w:rsidRPr="00BD2EF1" w:rsidRDefault="00E12E4A" w:rsidP="00E12E4A">
            <w:pPr>
              <w:pStyle w:val="Standaard-Tabellen"/>
              <w:jc w:val="center"/>
              <w:rPr>
                <w:b/>
              </w:rPr>
            </w:pPr>
            <w:r w:rsidRPr="00BD2EF1">
              <w:rPr>
                <w:rFonts w:eastAsia="Calibri"/>
                <w:b/>
              </w:rPr>
              <w:t>Analytical methods for the analysis of the product as such including the active substance, impurities and residues</w:t>
            </w:r>
          </w:p>
        </w:tc>
      </w:tr>
      <w:tr w:rsidR="00E12E4A" w:rsidRPr="00BD2EF1" w14:paraId="7B0B98F7" w14:textId="77777777" w:rsidTr="00E12E4A">
        <w:trPr>
          <w:cantSplit/>
          <w:trHeight w:val="352"/>
        </w:trPr>
        <w:tc>
          <w:tcPr>
            <w:tcW w:w="443" w:type="pct"/>
            <w:vMerge w:val="restart"/>
            <w:shd w:val="clear" w:color="auto" w:fill="BFBFBF" w:themeFill="background1" w:themeFillShade="BF"/>
          </w:tcPr>
          <w:p w14:paraId="7ED9AA3C" w14:textId="77777777" w:rsidR="00E12E4A" w:rsidRPr="00BD2EF1" w:rsidRDefault="00E12E4A" w:rsidP="00E12E4A">
            <w:pPr>
              <w:pStyle w:val="Standaard-Tabellen"/>
              <w:rPr>
                <w:b/>
              </w:rPr>
            </w:pPr>
            <w:r w:rsidRPr="00BD2EF1">
              <w:rPr>
                <w:b/>
              </w:rPr>
              <w:t>Analyte (type of analyte e.g. active substance)</w:t>
            </w:r>
          </w:p>
        </w:tc>
        <w:tc>
          <w:tcPr>
            <w:tcW w:w="545" w:type="pct"/>
            <w:vMerge w:val="restart"/>
            <w:shd w:val="clear" w:color="auto" w:fill="BFBFBF" w:themeFill="background1" w:themeFillShade="BF"/>
          </w:tcPr>
          <w:p w14:paraId="7F64C4A4" w14:textId="77777777" w:rsidR="00E12E4A" w:rsidRPr="00BD2EF1" w:rsidRDefault="00E12E4A" w:rsidP="00E12E4A">
            <w:pPr>
              <w:pStyle w:val="Standaard-Tabellen"/>
              <w:rPr>
                <w:b/>
              </w:rPr>
            </w:pPr>
            <w:r w:rsidRPr="00BD2EF1">
              <w:rPr>
                <w:b/>
              </w:rPr>
              <w:t>Analytical method</w:t>
            </w:r>
          </w:p>
        </w:tc>
        <w:tc>
          <w:tcPr>
            <w:tcW w:w="890" w:type="pct"/>
            <w:vMerge w:val="restart"/>
            <w:shd w:val="clear" w:color="auto" w:fill="BFBFBF" w:themeFill="background1" w:themeFillShade="BF"/>
          </w:tcPr>
          <w:p w14:paraId="57D8C9BA" w14:textId="77777777" w:rsidR="00E12E4A" w:rsidRPr="00BD2EF1" w:rsidRDefault="00E12E4A" w:rsidP="00E12E4A">
            <w:pPr>
              <w:pStyle w:val="Standaard-Tabellen"/>
              <w:rPr>
                <w:b/>
              </w:rPr>
            </w:pPr>
            <w:r w:rsidRPr="00BD2EF1">
              <w:rPr>
                <w:b/>
              </w:rPr>
              <w:t>Fortification range / Number of measurements</w:t>
            </w:r>
          </w:p>
        </w:tc>
        <w:tc>
          <w:tcPr>
            <w:tcW w:w="544" w:type="pct"/>
            <w:vMerge w:val="restart"/>
            <w:shd w:val="clear" w:color="auto" w:fill="BFBFBF" w:themeFill="background1" w:themeFillShade="BF"/>
          </w:tcPr>
          <w:p w14:paraId="32BFD20B" w14:textId="77777777" w:rsidR="00E12E4A" w:rsidRPr="00BD2EF1" w:rsidRDefault="00E12E4A" w:rsidP="00E12E4A">
            <w:pPr>
              <w:pStyle w:val="Standaard-Tabellen"/>
              <w:rPr>
                <w:b/>
              </w:rPr>
            </w:pPr>
            <w:r w:rsidRPr="00BD2EF1">
              <w:rPr>
                <w:b/>
              </w:rPr>
              <w:t>Linearity</w:t>
            </w:r>
          </w:p>
        </w:tc>
        <w:tc>
          <w:tcPr>
            <w:tcW w:w="741" w:type="pct"/>
            <w:vMerge w:val="restart"/>
            <w:shd w:val="clear" w:color="auto" w:fill="BFBFBF" w:themeFill="background1" w:themeFillShade="BF"/>
          </w:tcPr>
          <w:p w14:paraId="03E9B1F0" w14:textId="77777777" w:rsidR="00E12E4A" w:rsidRPr="00BD2EF1" w:rsidRDefault="00E12E4A" w:rsidP="00E12E4A">
            <w:pPr>
              <w:pStyle w:val="Standaard-Tabellen"/>
              <w:rPr>
                <w:b/>
              </w:rPr>
            </w:pPr>
            <w:r w:rsidRPr="00BD2EF1">
              <w:rPr>
                <w:b/>
              </w:rPr>
              <w:t>Specificity</w:t>
            </w:r>
          </w:p>
        </w:tc>
        <w:tc>
          <w:tcPr>
            <w:tcW w:w="198" w:type="pct"/>
            <w:shd w:val="clear" w:color="auto" w:fill="BFBFBF" w:themeFill="background1" w:themeFillShade="BF"/>
          </w:tcPr>
          <w:p w14:paraId="375BF1AB" w14:textId="77777777" w:rsidR="00E12E4A" w:rsidRPr="00BD2EF1" w:rsidRDefault="00E12E4A" w:rsidP="00E12E4A">
            <w:pPr>
              <w:pStyle w:val="Standaard-Tabellen"/>
              <w:rPr>
                <w:b/>
              </w:rPr>
            </w:pPr>
          </w:p>
        </w:tc>
        <w:tc>
          <w:tcPr>
            <w:tcW w:w="791" w:type="pct"/>
            <w:gridSpan w:val="3"/>
            <w:shd w:val="clear" w:color="auto" w:fill="BFBFBF" w:themeFill="background1" w:themeFillShade="BF"/>
          </w:tcPr>
          <w:p w14:paraId="5D5310C6" w14:textId="77777777" w:rsidR="00E12E4A" w:rsidRPr="00BD2EF1" w:rsidRDefault="00E12E4A" w:rsidP="00E12E4A">
            <w:pPr>
              <w:pStyle w:val="Standaard-Tabellen"/>
              <w:jc w:val="center"/>
              <w:rPr>
                <w:b/>
              </w:rPr>
            </w:pPr>
            <w:r w:rsidRPr="00BD2EF1">
              <w:rPr>
                <w:b/>
              </w:rPr>
              <w:t>Recovery rate (%)</w:t>
            </w:r>
          </w:p>
        </w:tc>
        <w:tc>
          <w:tcPr>
            <w:tcW w:w="394" w:type="pct"/>
            <w:vMerge w:val="restart"/>
            <w:shd w:val="clear" w:color="auto" w:fill="BFBFBF" w:themeFill="background1" w:themeFillShade="BF"/>
          </w:tcPr>
          <w:p w14:paraId="56B76C19" w14:textId="77777777" w:rsidR="00E12E4A" w:rsidRPr="00BD2EF1" w:rsidRDefault="00E12E4A" w:rsidP="00E12E4A">
            <w:pPr>
              <w:pStyle w:val="Standaard-Tabellen"/>
              <w:rPr>
                <w:b/>
              </w:rPr>
            </w:pPr>
            <w:r w:rsidRPr="00BD2EF1">
              <w:rPr>
                <w:b/>
              </w:rPr>
              <w:t>Limit of quantification (LOQ) or other limits</w:t>
            </w:r>
          </w:p>
        </w:tc>
        <w:tc>
          <w:tcPr>
            <w:tcW w:w="454" w:type="pct"/>
            <w:vMerge w:val="restart"/>
            <w:shd w:val="clear" w:color="auto" w:fill="BFBFBF" w:themeFill="background1" w:themeFillShade="BF"/>
          </w:tcPr>
          <w:p w14:paraId="55BAD1B3" w14:textId="77777777" w:rsidR="00E12E4A" w:rsidRPr="00BD2EF1" w:rsidRDefault="00E12E4A" w:rsidP="00E12E4A">
            <w:pPr>
              <w:pStyle w:val="Standaard-Tabellen"/>
              <w:rPr>
                <w:b/>
              </w:rPr>
            </w:pPr>
            <w:r w:rsidRPr="00BD2EF1">
              <w:rPr>
                <w:b/>
              </w:rPr>
              <w:t>Reference</w:t>
            </w:r>
          </w:p>
        </w:tc>
      </w:tr>
      <w:tr w:rsidR="00E12E4A" w:rsidRPr="00BD2EF1" w14:paraId="6566AEBB" w14:textId="77777777" w:rsidTr="00E12E4A">
        <w:tc>
          <w:tcPr>
            <w:tcW w:w="443" w:type="pct"/>
            <w:vMerge/>
            <w:shd w:val="clear" w:color="auto" w:fill="BFBFBF" w:themeFill="background1" w:themeFillShade="BF"/>
          </w:tcPr>
          <w:p w14:paraId="06F82CE0" w14:textId="77777777" w:rsidR="00E12E4A" w:rsidRPr="00BD2EF1" w:rsidRDefault="00E12E4A" w:rsidP="00E12E4A">
            <w:pPr>
              <w:pStyle w:val="Standaard-Tabellen"/>
            </w:pPr>
          </w:p>
        </w:tc>
        <w:tc>
          <w:tcPr>
            <w:tcW w:w="545" w:type="pct"/>
            <w:vMerge/>
            <w:shd w:val="clear" w:color="auto" w:fill="BFBFBF" w:themeFill="background1" w:themeFillShade="BF"/>
          </w:tcPr>
          <w:p w14:paraId="79DE4BA3" w14:textId="77777777" w:rsidR="00E12E4A" w:rsidRPr="00BD2EF1" w:rsidRDefault="00E12E4A" w:rsidP="00E12E4A">
            <w:pPr>
              <w:pStyle w:val="Standaard-Tabellen"/>
            </w:pPr>
          </w:p>
        </w:tc>
        <w:tc>
          <w:tcPr>
            <w:tcW w:w="890" w:type="pct"/>
            <w:vMerge/>
            <w:shd w:val="clear" w:color="auto" w:fill="BFBFBF" w:themeFill="background1" w:themeFillShade="BF"/>
          </w:tcPr>
          <w:p w14:paraId="6008AA3E" w14:textId="77777777" w:rsidR="00E12E4A" w:rsidRPr="00BD2EF1" w:rsidRDefault="00E12E4A" w:rsidP="00E12E4A">
            <w:pPr>
              <w:pStyle w:val="Standaard-Tabellen"/>
            </w:pPr>
          </w:p>
        </w:tc>
        <w:tc>
          <w:tcPr>
            <w:tcW w:w="544" w:type="pct"/>
            <w:vMerge/>
            <w:shd w:val="clear" w:color="auto" w:fill="BFBFBF" w:themeFill="background1" w:themeFillShade="BF"/>
          </w:tcPr>
          <w:p w14:paraId="4777FA71" w14:textId="77777777" w:rsidR="00E12E4A" w:rsidRPr="00BD2EF1" w:rsidRDefault="00E12E4A" w:rsidP="00E12E4A">
            <w:pPr>
              <w:pStyle w:val="Standaard-Tabellen"/>
            </w:pPr>
          </w:p>
        </w:tc>
        <w:tc>
          <w:tcPr>
            <w:tcW w:w="741" w:type="pct"/>
            <w:vMerge/>
            <w:shd w:val="clear" w:color="auto" w:fill="BFBFBF" w:themeFill="background1" w:themeFillShade="BF"/>
          </w:tcPr>
          <w:p w14:paraId="60CFACCC" w14:textId="77777777" w:rsidR="00E12E4A" w:rsidRPr="00BD2EF1" w:rsidRDefault="00E12E4A" w:rsidP="00E12E4A">
            <w:pPr>
              <w:pStyle w:val="Standaard-Tabellen"/>
            </w:pPr>
          </w:p>
        </w:tc>
        <w:tc>
          <w:tcPr>
            <w:tcW w:w="198" w:type="pct"/>
            <w:shd w:val="clear" w:color="auto" w:fill="BFBFBF" w:themeFill="background1" w:themeFillShade="BF"/>
          </w:tcPr>
          <w:p w14:paraId="1A24EF98" w14:textId="77777777" w:rsidR="00E12E4A" w:rsidRPr="00BD2EF1" w:rsidRDefault="00E12E4A" w:rsidP="00E12E4A">
            <w:pPr>
              <w:pStyle w:val="Standaard-Tabellen"/>
            </w:pPr>
          </w:p>
        </w:tc>
        <w:tc>
          <w:tcPr>
            <w:tcW w:w="346" w:type="pct"/>
            <w:shd w:val="clear" w:color="auto" w:fill="BFBFBF" w:themeFill="background1" w:themeFillShade="BF"/>
          </w:tcPr>
          <w:p w14:paraId="160859C3" w14:textId="77777777" w:rsidR="00E12E4A" w:rsidRPr="00BD2EF1" w:rsidRDefault="00E12E4A" w:rsidP="00E12E4A">
            <w:pPr>
              <w:pStyle w:val="Standaard-Tabellen"/>
            </w:pPr>
            <w:r w:rsidRPr="00BD2EF1">
              <w:t>Range</w:t>
            </w:r>
          </w:p>
        </w:tc>
        <w:tc>
          <w:tcPr>
            <w:tcW w:w="198" w:type="pct"/>
            <w:shd w:val="clear" w:color="auto" w:fill="BFBFBF" w:themeFill="background1" w:themeFillShade="BF"/>
          </w:tcPr>
          <w:p w14:paraId="59684283" w14:textId="77777777" w:rsidR="00E12E4A" w:rsidRPr="00BD2EF1" w:rsidRDefault="00E12E4A" w:rsidP="00E12E4A">
            <w:pPr>
              <w:pStyle w:val="Standaard-Tabellen"/>
            </w:pPr>
            <w:r w:rsidRPr="00BD2EF1">
              <w:t>Mean</w:t>
            </w:r>
          </w:p>
        </w:tc>
        <w:tc>
          <w:tcPr>
            <w:tcW w:w="247" w:type="pct"/>
            <w:shd w:val="clear" w:color="auto" w:fill="BFBFBF" w:themeFill="background1" w:themeFillShade="BF"/>
          </w:tcPr>
          <w:p w14:paraId="0FCC9008" w14:textId="77777777" w:rsidR="00E12E4A" w:rsidRPr="00BD2EF1" w:rsidRDefault="00E12E4A" w:rsidP="00E12E4A">
            <w:pPr>
              <w:pStyle w:val="Standaard-Tabellen"/>
            </w:pPr>
            <w:r w:rsidRPr="00BD2EF1">
              <w:t>RSD</w:t>
            </w:r>
          </w:p>
        </w:tc>
        <w:tc>
          <w:tcPr>
            <w:tcW w:w="394" w:type="pct"/>
            <w:vMerge/>
            <w:shd w:val="clear" w:color="auto" w:fill="BFBFBF" w:themeFill="background1" w:themeFillShade="BF"/>
          </w:tcPr>
          <w:p w14:paraId="35BE40B9" w14:textId="77777777" w:rsidR="00E12E4A" w:rsidRPr="00BD2EF1" w:rsidRDefault="00E12E4A" w:rsidP="00E12E4A">
            <w:pPr>
              <w:pStyle w:val="Standaard-Tabellen"/>
            </w:pPr>
          </w:p>
        </w:tc>
        <w:tc>
          <w:tcPr>
            <w:tcW w:w="454" w:type="pct"/>
            <w:vMerge/>
            <w:shd w:val="clear" w:color="auto" w:fill="BFBFBF" w:themeFill="background1" w:themeFillShade="BF"/>
          </w:tcPr>
          <w:p w14:paraId="5EC5CD6D" w14:textId="77777777" w:rsidR="00E12E4A" w:rsidRPr="00BD2EF1" w:rsidRDefault="00E12E4A" w:rsidP="00E12E4A">
            <w:pPr>
              <w:pStyle w:val="Standaard-Tabellen"/>
            </w:pPr>
          </w:p>
        </w:tc>
      </w:tr>
      <w:tr w:rsidR="00E12E4A" w:rsidRPr="00BD2EF1" w14:paraId="716D0257" w14:textId="77777777" w:rsidTr="00E12E4A">
        <w:trPr>
          <w:trHeight w:val="575"/>
        </w:trPr>
        <w:tc>
          <w:tcPr>
            <w:tcW w:w="443" w:type="pct"/>
            <w:vMerge w:val="restart"/>
            <w:shd w:val="clear" w:color="auto" w:fill="auto"/>
          </w:tcPr>
          <w:p w14:paraId="2F4A177F" w14:textId="77777777" w:rsidR="00E12E4A" w:rsidRPr="00166994" w:rsidRDefault="00E12E4A" w:rsidP="00E12E4A">
            <w:pPr>
              <w:pStyle w:val="Standaard-Tabellen"/>
              <w:rPr>
                <w:vertAlign w:val="superscript"/>
              </w:rPr>
            </w:pPr>
            <w:r>
              <w:t>IR3535</w:t>
            </w:r>
            <w:r>
              <w:rPr>
                <w:vertAlign w:val="superscript"/>
              </w:rPr>
              <w:t>®</w:t>
            </w:r>
          </w:p>
        </w:tc>
        <w:tc>
          <w:tcPr>
            <w:tcW w:w="545" w:type="pct"/>
            <w:vMerge w:val="restart"/>
          </w:tcPr>
          <w:p w14:paraId="48743BA0" w14:textId="77777777" w:rsidR="00E12E4A" w:rsidRDefault="00E12E4A" w:rsidP="00E12E4A">
            <w:pPr>
              <w:rPr>
                <w:color w:val="000000"/>
                <w:sz w:val="18"/>
                <w:szCs w:val="18"/>
              </w:rPr>
            </w:pPr>
            <w:r>
              <w:rPr>
                <w:color w:val="000000"/>
                <w:sz w:val="18"/>
                <w:szCs w:val="18"/>
              </w:rPr>
              <w:t>HPLC-UV</w:t>
            </w:r>
          </w:p>
          <w:p w14:paraId="2E2056D2" w14:textId="77777777" w:rsidR="00E12E4A" w:rsidRDefault="00E12E4A" w:rsidP="00E12E4A">
            <w:pPr>
              <w:rPr>
                <w:color w:val="000000"/>
                <w:sz w:val="18"/>
                <w:szCs w:val="18"/>
              </w:rPr>
            </w:pPr>
            <w:r>
              <w:rPr>
                <w:color w:val="000000"/>
                <w:sz w:val="18"/>
                <w:szCs w:val="18"/>
              </w:rPr>
              <w:t xml:space="preserve">- No extraction </w:t>
            </w:r>
          </w:p>
          <w:p w14:paraId="29AF8D22" w14:textId="77777777" w:rsidR="00E12E4A" w:rsidRDefault="00E12E4A" w:rsidP="00E12E4A">
            <w:pPr>
              <w:rPr>
                <w:color w:val="000000"/>
                <w:sz w:val="18"/>
                <w:szCs w:val="18"/>
              </w:rPr>
            </w:pPr>
            <w:r>
              <w:rPr>
                <w:color w:val="000000"/>
                <w:sz w:val="18"/>
                <w:szCs w:val="18"/>
              </w:rPr>
              <w:t>- No clean up</w:t>
            </w:r>
          </w:p>
          <w:p w14:paraId="4EC618D5" w14:textId="77777777" w:rsidR="00E12E4A" w:rsidRDefault="00E12E4A" w:rsidP="00E12E4A">
            <w:pPr>
              <w:rPr>
                <w:color w:val="000000"/>
                <w:sz w:val="18"/>
                <w:szCs w:val="18"/>
              </w:rPr>
            </w:pPr>
            <w:r>
              <w:rPr>
                <w:color w:val="000000"/>
                <w:sz w:val="18"/>
                <w:szCs w:val="18"/>
              </w:rPr>
              <w:t xml:space="preserve">- </w:t>
            </w:r>
            <w:proofErr w:type="spellStart"/>
            <w:r w:rsidRPr="00E45D1D">
              <w:rPr>
                <w:color w:val="000000"/>
                <w:sz w:val="18"/>
                <w:szCs w:val="18"/>
              </w:rPr>
              <w:t>LiChropher</w:t>
            </w:r>
            <w:proofErr w:type="spellEnd"/>
            <w:r w:rsidRPr="00E45D1D">
              <w:rPr>
                <w:color w:val="000000"/>
                <w:sz w:val="18"/>
                <w:szCs w:val="18"/>
              </w:rPr>
              <w:t xml:space="preserve"> RP18 (250*4 mm) column</w:t>
            </w:r>
          </w:p>
          <w:p w14:paraId="20B38829" w14:textId="77777777" w:rsidR="00E12E4A" w:rsidRPr="00BD2EF1" w:rsidRDefault="00E12E4A" w:rsidP="00E12E4A">
            <w:pPr>
              <w:pStyle w:val="Standaard-Tabellen"/>
            </w:pPr>
            <w:r>
              <w:rPr>
                <w:color w:val="000000"/>
                <w:szCs w:val="18"/>
              </w:rPr>
              <w:t>- UV-Vis/DAD at 220 nm</w:t>
            </w:r>
          </w:p>
        </w:tc>
        <w:tc>
          <w:tcPr>
            <w:tcW w:w="890" w:type="pct"/>
            <w:vMerge w:val="restart"/>
          </w:tcPr>
          <w:p w14:paraId="227B4C23" w14:textId="77777777" w:rsidR="00E12E4A" w:rsidRPr="00371F98" w:rsidRDefault="00E12E4A" w:rsidP="00E12E4A">
            <w:pPr>
              <w:rPr>
                <w:color w:val="000000"/>
                <w:sz w:val="18"/>
                <w:szCs w:val="18"/>
              </w:rPr>
            </w:pPr>
            <w:r>
              <w:rPr>
                <w:color w:val="000000"/>
                <w:sz w:val="18"/>
                <w:szCs w:val="18"/>
              </w:rPr>
              <w:t xml:space="preserve">  </w:t>
            </w:r>
            <w:r w:rsidRPr="00371F98">
              <w:rPr>
                <w:color w:val="000000"/>
                <w:sz w:val="18"/>
                <w:szCs w:val="18"/>
              </w:rPr>
              <w:t>1%</w:t>
            </w:r>
            <w:r>
              <w:rPr>
                <w:color w:val="000000"/>
                <w:sz w:val="18"/>
                <w:szCs w:val="18"/>
              </w:rPr>
              <w:t xml:space="preserve"> </w:t>
            </w:r>
            <w:r w:rsidRPr="00371F98">
              <w:rPr>
                <w:color w:val="000000"/>
                <w:sz w:val="18"/>
                <w:szCs w:val="18"/>
              </w:rPr>
              <w:t>/</w:t>
            </w:r>
            <w:r>
              <w:rPr>
                <w:color w:val="000000"/>
                <w:sz w:val="18"/>
                <w:szCs w:val="18"/>
              </w:rPr>
              <w:t xml:space="preserve"> </w:t>
            </w:r>
            <w:r w:rsidRPr="00371F98">
              <w:rPr>
                <w:color w:val="000000"/>
                <w:sz w:val="18"/>
                <w:szCs w:val="18"/>
              </w:rPr>
              <w:t>10</w:t>
            </w:r>
          </w:p>
          <w:p w14:paraId="6F2499E0" w14:textId="77777777" w:rsidR="00E12E4A" w:rsidRPr="00371F98" w:rsidRDefault="00E12E4A" w:rsidP="00E12E4A">
            <w:pPr>
              <w:rPr>
                <w:color w:val="000000"/>
                <w:sz w:val="18"/>
                <w:szCs w:val="18"/>
              </w:rPr>
            </w:pPr>
            <w:r>
              <w:rPr>
                <w:color w:val="000000"/>
                <w:sz w:val="18"/>
                <w:szCs w:val="18"/>
              </w:rPr>
              <w:t xml:space="preserve">  </w:t>
            </w:r>
            <w:r w:rsidRPr="00371F98">
              <w:rPr>
                <w:color w:val="000000"/>
                <w:sz w:val="18"/>
                <w:szCs w:val="18"/>
              </w:rPr>
              <w:t>5%</w:t>
            </w:r>
            <w:r>
              <w:rPr>
                <w:color w:val="000000"/>
                <w:sz w:val="18"/>
                <w:szCs w:val="18"/>
              </w:rPr>
              <w:t xml:space="preserve"> </w:t>
            </w:r>
            <w:r w:rsidRPr="00371F98">
              <w:rPr>
                <w:color w:val="000000"/>
                <w:sz w:val="18"/>
                <w:szCs w:val="18"/>
              </w:rPr>
              <w:t>/</w:t>
            </w:r>
            <w:r>
              <w:rPr>
                <w:color w:val="000000"/>
                <w:sz w:val="18"/>
                <w:szCs w:val="18"/>
              </w:rPr>
              <w:t xml:space="preserve"> 5</w:t>
            </w:r>
          </w:p>
          <w:p w14:paraId="6A302B4C" w14:textId="77777777" w:rsidR="00E12E4A" w:rsidRPr="00371F98" w:rsidRDefault="00E12E4A" w:rsidP="00E12E4A">
            <w:pPr>
              <w:rPr>
                <w:color w:val="000000"/>
                <w:sz w:val="18"/>
                <w:szCs w:val="18"/>
              </w:rPr>
            </w:pPr>
            <w:r w:rsidRPr="00371F98">
              <w:rPr>
                <w:color w:val="000000"/>
                <w:sz w:val="18"/>
                <w:szCs w:val="18"/>
              </w:rPr>
              <w:t>10%</w:t>
            </w:r>
            <w:r>
              <w:rPr>
                <w:color w:val="000000"/>
                <w:sz w:val="18"/>
                <w:szCs w:val="18"/>
              </w:rPr>
              <w:t xml:space="preserve"> </w:t>
            </w:r>
            <w:r w:rsidRPr="00371F98">
              <w:rPr>
                <w:color w:val="000000"/>
                <w:sz w:val="18"/>
                <w:szCs w:val="18"/>
              </w:rPr>
              <w:t>/</w:t>
            </w:r>
            <w:r>
              <w:rPr>
                <w:color w:val="000000"/>
                <w:sz w:val="18"/>
                <w:szCs w:val="18"/>
              </w:rPr>
              <w:t xml:space="preserve"> 5</w:t>
            </w:r>
          </w:p>
          <w:p w14:paraId="54F9E570" w14:textId="77777777" w:rsidR="00E12E4A" w:rsidRPr="00BD2EF1" w:rsidRDefault="00E12E4A" w:rsidP="00E12E4A">
            <w:pPr>
              <w:pStyle w:val="Standaard-Tabellen"/>
            </w:pPr>
            <w:r w:rsidRPr="00371F98">
              <w:rPr>
                <w:color w:val="000000"/>
                <w:szCs w:val="18"/>
              </w:rPr>
              <w:t>30%</w:t>
            </w:r>
            <w:r>
              <w:rPr>
                <w:color w:val="000000"/>
                <w:szCs w:val="18"/>
              </w:rPr>
              <w:t xml:space="preserve"> </w:t>
            </w:r>
            <w:r w:rsidRPr="00371F98">
              <w:rPr>
                <w:color w:val="000000"/>
                <w:szCs w:val="18"/>
              </w:rPr>
              <w:t>/</w:t>
            </w:r>
            <w:r>
              <w:rPr>
                <w:color w:val="000000"/>
                <w:szCs w:val="18"/>
              </w:rPr>
              <w:t xml:space="preserve"> </w:t>
            </w:r>
            <w:r w:rsidRPr="00371F98">
              <w:rPr>
                <w:color w:val="000000"/>
                <w:szCs w:val="18"/>
              </w:rPr>
              <w:t>5</w:t>
            </w:r>
          </w:p>
        </w:tc>
        <w:tc>
          <w:tcPr>
            <w:tcW w:w="544" w:type="pct"/>
            <w:vMerge w:val="restart"/>
          </w:tcPr>
          <w:p w14:paraId="11E3E9EF" w14:textId="77777777" w:rsidR="00E12E4A" w:rsidRDefault="00E12E4A" w:rsidP="00E12E4A">
            <w:pPr>
              <w:pStyle w:val="Standaard-Tabellen"/>
              <w:rPr>
                <w:color w:val="000000"/>
                <w:szCs w:val="18"/>
                <w:lang w:val="fr-BE"/>
              </w:rPr>
            </w:pPr>
            <w:proofErr w:type="spellStart"/>
            <w:r w:rsidRPr="00B45F6B">
              <w:rPr>
                <w:color w:val="000000"/>
                <w:szCs w:val="18"/>
                <w:lang w:val="fr-BE"/>
              </w:rPr>
              <w:t>Regression</w:t>
            </w:r>
            <w:proofErr w:type="spellEnd"/>
            <w:r w:rsidRPr="00B45F6B">
              <w:rPr>
                <w:color w:val="000000"/>
                <w:szCs w:val="18"/>
                <w:lang w:val="fr-BE"/>
              </w:rPr>
              <w:t xml:space="preserve"> Coefficient (r2): </w:t>
            </w:r>
          </w:p>
          <w:p w14:paraId="6F922D0B" w14:textId="77777777" w:rsidR="00E12E4A" w:rsidRDefault="00E12E4A" w:rsidP="00E12E4A">
            <w:pPr>
              <w:pStyle w:val="Standaard-Tabellen"/>
              <w:rPr>
                <w:color w:val="000000"/>
                <w:szCs w:val="18"/>
                <w:lang w:val="fr-BE"/>
              </w:rPr>
            </w:pPr>
            <w:r w:rsidRPr="00B45F6B">
              <w:rPr>
                <w:color w:val="000000"/>
                <w:szCs w:val="18"/>
                <w:lang w:val="fr-BE"/>
              </w:rPr>
              <w:t>&gt;</w:t>
            </w:r>
            <w:r>
              <w:rPr>
                <w:color w:val="000000"/>
                <w:szCs w:val="18"/>
                <w:lang w:val="fr-BE"/>
              </w:rPr>
              <w:t xml:space="preserve"> 0.9992</w:t>
            </w:r>
          </w:p>
          <w:p w14:paraId="55D6FA2D" w14:textId="77777777" w:rsidR="00E12E4A" w:rsidRDefault="00E12E4A" w:rsidP="00E12E4A">
            <w:pPr>
              <w:pStyle w:val="Standaard-Tabellen"/>
              <w:rPr>
                <w:color w:val="000000"/>
                <w:szCs w:val="18"/>
                <w:lang w:val="fr-BE"/>
              </w:rPr>
            </w:pPr>
          </w:p>
          <w:p w14:paraId="0097B28E" w14:textId="5AB73871" w:rsidR="00E12E4A" w:rsidRDefault="00E12E4A" w:rsidP="00E12E4A">
            <w:pPr>
              <w:pStyle w:val="Standaard-Tabellen"/>
              <w:rPr>
                <w:color w:val="000000"/>
                <w:szCs w:val="18"/>
                <w:lang w:val="fr-BE"/>
              </w:rPr>
            </w:pPr>
            <w:r w:rsidRPr="00B45F6B">
              <w:rPr>
                <w:color w:val="000000"/>
                <w:szCs w:val="18"/>
                <w:lang w:val="fr-BE"/>
              </w:rPr>
              <w:t xml:space="preserve">y = 21706x </w:t>
            </w:r>
            <w:r w:rsidR="00ED53D0">
              <w:rPr>
                <w:color w:val="000000"/>
                <w:szCs w:val="18"/>
                <w:lang w:val="fr-BE"/>
              </w:rPr>
              <w:t>–</w:t>
            </w:r>
            <w:r w:rsidRPr="00B45F6B">
              <w:rPr>
                <w:color w:val="000000"/>
                <w:szCs w:val="18"/>
                <w:lang w:val="fr-BE"/>
              </w:rPr>
              <w:t xml:space="preserve"> 141584</w:t>
            </w:r>
          </w:p>
          <w:p w14:paraId="70E33286" w14:textId="77777777" w:rsidR="00ED53D0" w:rsidRDefault="00ED53D0" w:rsidP="00E12E4A">
            <w:pPr>
              <w:pStyle w:val="Standaard-Tabellen"/>
              <w:rPr>
                <w:color w:val="000000"/>
                <w:szCs w:val="18"/>
                <w:lang w:val="fr-BE"/>
              </w:rPr>
            </w:pPr>
          </w:p>
          <w:p w14:paraId="334881DD" w14:textId="64482064" w:rsidR="00ED53D0" w:rsidRPr="000913F7" w:rsidRDefault="00AD1758" w:rsidP="00E12E4A">
            <w:pPr>
              <w:pStyle w:val="Standaard-Tabellen"/>
              <w:rPr>
                <w:lang w:val="fr-BE"/>
              </w:rPr>
            </w:pPr>
            <w:r>
              <w:rPr>
                <w:color w:val="000000"/>
                <w:szCs w:val="18"/>
                <w:lang w:val="fr-BE"/>
              </w:rPr>
              <w:t xml:space="preserve">Range (n=9): </w:t>
            </w:r>
            <w:r w:rsidR="00ED53D0">
              <w:rPr>
                <w:color w:val="000000"/>
                <w:szCs w:val="18"/>
                <w:lang w:val="fr-BE"/>
              </w:rPr>
              <w:t>25 – 1750 mg/l</w:t>
            </w:r>
          </w:p>
        </w:tc>
        <w:tc>
          <w:tcPr>
            <w:tcW w:w="741" w:type="pct"/>
            <w:vMerge w:val="restart"/>
          </w:tcPr>
          <w:p w14:paraId="7FAADC3D" w14:textId="77777777" w:rsidR="00E12E4A" w:rsidRPr="00BD2EF1" w:rsidRDefault="00E12E4A" w:rsidP="00E12E4A">
            <w:pPr>
              <w:pStyle w:val="Standaard-Tabellen"/>
            </w:pPr>
            <w:r>
              <w:rPr>
                <w:color w:val="000000"/>
                <w:szCs w:val="18"/>
              </w:rPr>
              <w:t>No interference substances observed.</w:t>
            </w:r>
            <w:r w:rsidRPr="00371F98">
              <w:rPr>
                <w:color w:val="000000"/>
                <w:szCs w:val="18"/>
              </w:rPr>
              <w:t xml:space="preserve"> The retention time of the analyte IR3535 in the sample solutions did not differ by more than 1 % from that for the standard solution.</w:t>
            </w:r>
          </w:p>
        </w:tc>
        <w:tc>
          <w:tcPr>
            <w:tcW w:w="198" w:type="pct"/>
          </w:tcPr>
          <w:p w14:paraId="58D01202" w14:textId="5C03D7D2" w:rsidR="00E12E4A" w:rsidRPr="00BD2EF1" w:rsidRDefault="00E12E4A" w:rsidP="00E12E4A">
            <w:pPr>
              <w:pStyle w:val="Standaard-Tabellen"/>
            </w:pPr>
            <w:r>
              <w:t>1</w:t>
            </w:r>
          </w:p>
        </w:tc>
        <w:tc>
          <w:tcPr>
            <w:tcW w:w="346" w:type="pct"/>
          </w:tcPr>
          <w:p w14:paraId="414FCEB0" w14:textId="77777777" w:rsidR="00E12E4A" w:rsidRPr="00BD2EF1" w:rsidRDefault="00E12E4A" w:rsidP="00E12E4A">
            <w:pPr>
              <w:pStyle w:val="Standaard-Tabellen"/>
              <w:jc w:val="center"/>
            </w:pPr>
            <w:r>
              <w:t>88-114</w:t>
            </w:r>
          </w:p>
        </w:tc>
        <w:tc>
          <w:tcPr>
            <w:tcW w:w="198" w:type="pct"/>
          </w:tcPr>
          <w:p w14:paraId="2DB9085C" w14:textId="77777777" w:rsidR="00E12E4A" w:rsidRPr="00BD2EF1" w:rsidRDefault="00E12E4A" w:rsidP="00E12E4A">
            <w:pPr>
              <w:pStyle w:val="Standaard-Tabellen"/>
              <w:jc w:val="center"/>
            </w:pPr>
            <w:r>
              <w:t>101</w:t>
            </w:r>
          </w:p>
        </w:tc>
        <w:tc>
          <w:tcPr>
            <w:tcW w:w="247" w:type="pct"/>
          </w:tcPr>
          <w:p w14:paraId="2E8283C5" w14:textId="77777777" w:rsidR="00E12E4A" w:rsidRPr="00BD2EF1" w:rsidRDefault="00E12E4A" w:rsidP="00E12E4A">
            <w:pPr>
              <w:pStyle w:val="Standaard-Tabellen"/>
              <w:jc w:val="center"/>
            </w:pPr>
            <w:r>
              <w:t>12.5</w:t>
            </w:r>
          </w:p>
        </w:tc>
        <w:tc>
          <w:tcPr>
            <w:tcW w:w="394" w:type="pct"/>
            <w:vMerge w:val="restart"/>
          </w:tcPr>
          <w:p w14:paraId="7C7E2A6F" w14:textId="68A4D73E" w:rsidR="00CA23D2" w:rsidRPr="002D398C" w:rsidRDefault="00CA23D2" w:rsidP="00CA23D2">
            <w:pPr>
              <w:rPr>
                <w:color w:val="000000"/>
                <w:sz w:val="18"/>
                <w:szCs w:val="18"/>
              </w:rPr>
            </w:pPr>
            <w:r>
              <w:rPr>
                <w:color w:val="000000"/>
                <w:sz w:val="18"/>
                <w:szCs w:val="18"/>
              </w:rPr>
              <w:t xml:space="preserve">LOQ: 5 </w:t>
            </w:r>
            <w:r w:rsidRPr="002D398C">
              <w:rPr>
                <w:color w:val="000000"/>
                <w:sz w:val="18"/>
                <w:szCs w:val="18"/>
              </w:rPr>
              <w:t>% w/w (=</w:t>
            </w:r>
            <w:r>
              <w:rPr>
                <w:color w:val="000000"/>
                <w:sz w:val="18"/>
                <w:szCs w:val="18"/>
              </w:rPr>
              <w:t>2</w:t>
            </w:r>
            <w:r w:rsidRPr="002D398C">
              <w:rPr>
                <w:color w:val="000000"/>
                <w:sz w:val="18"/>
                <w:szCs w:val="18"/>
              </w:rPr>
              <w:t>5</w:t>
            </w:r>
            <w:r>
              <w:rPr>
                <w:color w:val="000000"/>
                <w:sz w:val="18"/>
                <w:szCs w:val="18"/>
              </w:rPr>
              <w:t>0</w:t>
            </w:r>
          </w:p>
          <w:p w14:paraId="0F2EF10B" w14:textId="77777777" w:rsidR="00CA23D2" w:rsidRDefault="00CA23D2" w:rsidP="00CA23D2">
            <w:pPr>
              <w:rPr>
                <w:color w:val="000000"/>
                <w:sz w:val="18"/>
                <w:szCs w:val="18"/>
              </w:rPr>
            </w:pPr>
            <w:r w:rsidRPr="002D398C">
              <w:rPr>
                <w:color w:val="000000"/>
                <w:sz w:val="18"/>
                <w:szCs w:val="18"/>
              </w:rPr>
              <w:t>mg/L)</w:t>
            </w:r>
          </w:p>
          <w:p w14:paraId="16E1EB45" w14:textId="77777777" w:rsidR="00CA23D2" w:rsidRPr="002D398C" w:rsidRDefault="00CA23D2" w:rsidP="00CA23D2">
            <w:pPr>
              <w:rPr>
                <w:color w:val="000000"/>
                <w:sz w:val="18"/>
                <w:szCs w:val="18"/>
              </w:rPr>
            </w:pPr>
          </w:p>
          <w:p w14:paraId="59FBD47F" w14:textId="03A278D6" w:rsidR="00E12E4A" w:rsidRPr="00BD2EF1" w:rsidRDefault="00CA23D2" w:rsidP="00E12E4A">
            <w:pPr>
              <w:pStyle w:val="Standaard-Tabellen"/>
            </w:pPr>
            <w:r>
              <w:rPr>
                <w:color w:val="000000"/>
                <w:szCs w:val="18"/>
              </w:rPr>
              <w:t>LOD: 7 mg/L</w:t>
            </w:r>
          </w:p>
        </w:tc>
        <w:tc>
          <w:tcPr>
            <w:tcW w:w="454" w:type="pct"/>
            <w:vMerge w:val="restart"/>
          </w:tcPr>
          <w:p w14:paraId="2D13F364" w14:textId="77777777" w:rsidR="00E12E4A" w:rsidRPr="00BD2EF1" w:rsidRDefault="00E12E4A" w:rsidP="00E12E4A">
            <w:pPr>
              <w:pStyle w:val="Standaard-Tabellen"/>
            </w:pPr>
            <w:r>
              <w:t xml:space="preserve">Report no. </w:t>
            </w:r>
            <w:r w:rsidRPr="00D37F7C">
              <w:rPr>
                <w:rFonts w:cs="Calibri"/>
                <w:bCs w:val="0"/>
                <w:color w:val="000000"/>
                <w:szCs w:val="18"/>
                <w:lang w:eastAsia="de-DE"/>
              </w:rPr>
              <w:t>31211101</w:t>
            </w:r>
            <w:r>
              <w:t xml:space="preserve">, </w:t>
            </w:r>
            <w:proofErr w:type="spellStart"/>
            <w:r>
              <w:t>Meinerling</w:t>
            </w:r>
            <w:proofErr w:type="spellEnd"/>
            <w:r>
              <w:t>, M. 2007</w:t>
            </w:r>
          </w:p>
        </w:tc>
      </w:tr>
      <w:tr w:rsidR="00E12E4A" w:rsidRPr="00BD2EF1" w14:paraId="5A1287CB" w14:textId="77777777" w:rsidTr="00E12E4A">
        <w:trPr>
          <w:trHeight w:val="573"/>
        </w:trPr>
        <w:tc>
          <w:tcPr>
            <w:tcW w:w="443" w:type="pct"/>
            <w:vMerge/>
            <w:shd w:val="clear" w:color="auto" w:fill="auto"/>
          </w:tcPr>
          <w:p w14:paraId="7DFFBA97" w14:textId="77777777" w:rsidR="00E12E4A" w:rsidRDefault="00E12E4A" w:rsidP="00E12E4A">
            <w:pPr>
              <w:pStyle w:val="Standaard-Tabellen"/>
            </w:pPr>
          </w:p>
        </w:tc>
        <w:tc>
          <w:tcPr>
            <w:tcW w:w="545" w:type="pct"/>
            <w:vMerge/>
          </w:tcPr>
          <w:p w14:paraId="56A61DC7" w14:textId="77777777" w:rsidR="00E12E4A" w:rsidRDefault="00E12E4A" w:rsidP="00E12E4A">
            <w:pPr>
              <w:rPr>
                <w:color w:val="000000"/>
                <w:sz w:val="18"/>
                <w:szCs w:val="18"/>
              </w:rPr>
            </w:pPr>
          </w:p>
        </w:tc>
        <w:tc>
          <w:tcPr>
            <w:tcW w:w="890" w:type="pct"/>
            <w:vMerge/>
          </w:tcPr>
          <w:p w14:paraId="3DD13CED" w14:textId="77777777" w:rsidR="00E12E4A" w:rsidRDefault="00E12E4A" w:rsidP="00E12E4A">
            <w:pPr>
              <w:rPr>
                <w:color w:val="000000"/>
                <w:sz w:val="18"/>
                <w:szCs w:val="18"/>
              </w:rPr>
            </w:pPr>
          </w:p>
        </w:tc>
        <w:tc>
          <w:tcPr>
            <w:tcW w:w="544" w:type="pct"/>
            <w:vMerge/>
          </w:tcPr>
          <w:p w14:paraId="1F1B1D93" w14:textId="77777777" w:rsidR="00E12E4A" w:rsidRPr="00BD2EF1" w:rsidRDefault="00E12E4A" w:rsidP="00E12E4A">
            <w:pPr>
              <w:pStyle w:val="Standaard-Tabellen"/>
            </w:pPr>
          </w:p>
        </w:tc>
        <w:tc>
          <w:tcPr>
            <w:tcW w:w="741" w:type="pct"/>
            <w:vMerge/>
          </w:tcPr>
          <w:p w14:paraId="6E4A6332" w14:textId="77777777" w:rsidR="00E12E4A" w:rsidRDefault="00E12E4A" w:rsidP="00E12E4A">
            <w:pPr>
              <w:pStyle w:val="Standaard-Tabellen"/>
              <w:rPr>
                <w:color w:val="000000"/>
                <w:szCs w:val="18"/>
              </w:rPr>
            </w:pPr>
          </w:p>
        </w:tc>
        <w:tc>
          <w:tcPr>
            <w:tcW w:w="198" w:type="pct"/>
          </w:tcPr>
          <w:p w14:paraId="36CC6A5A" w14:textId="2CAC3B97" w:rsidR="00E12E4A" w:rsidRPr="00BD2EF1" w:rsidRDefault="00E12E4A" w:rsidP="00E12E4A">
            <w:pPr>
              <w:pStyle w:val="Standaard-Tabellen"/>
            </w:pPr>
            <w:r>
              <w:t>5</w:t>
            </w:r>
          </w:p>
        </w:tc>
        <w:tc>
          <w:tcPr>
            <w:tcW w:w="346" w:type="pct"/>
          </w:tcPr>
          <w:p w14:paraId="5B18DBD4" w14:textId="77777777" w:rsidR="00E12E4A" w:rsidRPr="00BD2EF1" w:rsidRDefault="00E12E4A" w:rsidP="00E12E4A">
            <w:pPr>
              <w:pStyle w:val="Standaard-Tabellen"/>
              <w:jc w:val="center"/>
            </w:pPr>
            <w:r>
              <w:t>98-101</w:t>
            </w:r>
          </w:p>
        </w:tc>
        <w:tc>
          <w:tcPr>
            <w:tcW w:w="198" w:type="pct"/>
          </w:tcPr>
          <w:p w14:paraId="63B64BC0" w14:textId="77777777" w:rsidR="00E12E4A" w:rsidRPr="00BD2EF1" w:rsidRDefault="00E12E4A" w:rsidP="00E12E4A">
            <w:pPr>
              <w:pStyle w:val="Standaard-Tabellen"/>
              <w:jc w:val="center"/>
            </w:pPr>
            <w:r>
              <w:t>99</w:t>
            </w:r>
          </w:p>
        </w:tc>
        <w:tc>
          <w:tcPr>
            <w:tcW w:w="247" w:type="pct"/>
          </w:tcPr>
          <w:p w14:paraId="6384E8A1" w14:textId="77777777" w:rsidR="00E12E4A" w:rsidRPr="00BD2EF1" w:rsidRDefault="00E12E4A" w:rsidP="00E12E4A">
            <w:pPr>
              <w:pStyle w:val="Standaard-Tabellen"/>
              <w:jc w:val="center"/>
            </w:pPr>
            <w:r>
              <w:t>1.3</w:t>
            </w:r>
          </w:p>
        </w:tc>
        <w:tc>
          <w:tcPr>
            <w:tcW w:w="394" w:type="pct"/>
            <w:vMerge/>
          </w:tcPr>
          <w:p w14:paraId="7CDD4732" w14:textId="77777777" w:rsidR="00E12E4A" w:rsidRDefault="00E12E4A" w:rsidP="00E12E4A">
            <w:pPr>
              <w:rPr>
                <w:color w:val="000000"/>
                <w:sz w:val="18"/>
                <w:szCs w:val="18"/>
              </w:rPr>
            </w:pPr>
          </w:p>
        </w:tc>
        <w:tc>
          <w:tcPr>
            <w:tcW w:w="454" w:type="pct"/>
            <w:vMerge/>
          </w:tcPr>
          <w:p w14:paraId="500139C8" w14:textId="77777777" w:rsidR="00E12E4A" w:rsidRDefault="00E12E4A" w:rsidP="00E12E4A">
            <w:pPr>
              <w:pStyle w:val="Standaard-Tabellen"/>
            </w:pPr>
          </w:p>
        </w:tc>
      </w:tr>
      <w:tr w:rsidR="00E12E4A" w:rsidRPr="00BD2EF1" w14:paraId="66176557" w14:textId="77777777" w:rsidTr="00E12E4A">
        <w:trPr>
          <w:trHeight w:val="573"/>
        </w:trPr>
        <w:tc>
          <w:tcPr>
            <w:tcW w:w="443" w:type="pct"/>
            <w:vMerge/>
            <w:shd w:val="clear" w:color="auto" w:fill="auto"/>
          </w:tcPr>
          <w:p w14:paraId="13F0644B" w14:textId="77777777" w:rsidR="00E12E4A" w:rsidRDefault="00E12E4A" w:rsidP="00E12E4A">
            <w:pPr>
              <w:pStyle w:val="Standaard-Tabellen"/>
            </w:pPr>
          </w:p>
        </w:tc>
        <w:tc>
          <w:tcPr>
            <w:tcW w:w="545" w:type="pct"/>
            <w:vMerge/>
          </w:tcPr>
          <w:p w14:paraId="08445A28" w14:textId="77777777" w:rsidR="00E12E4A" w:rsidRDefault="00E12E4A" w:rsidP="00E12E4A">
            <w:pPr>
              <w:rPr>
                <w:color w:val="000000"/>
                <w:sz w:val="18"/>
                <w:szCs w:val="18"/>
              </w:rPr>
            </w:pPr>
          </w:p>
        </w:tc>
        <w:tc>
          <w:tcPr>
            <w:tcW w:w="890" w:type="pct"/>
            <w:vMerge/>
          </w:tcPr>
          <w:p w14:paraId="414359E4" w14:textId="77777777" w:rsidR="00E12E4A" w:rsidRDefault="00E12E4A" w:rsidP="00E12E4A">
            <w:pPr>
              <w:rPr>
                <w:color w:val="000000"/>
                <w:sz w:val="18"/>
                <w:szCs w:val="18"/>
              </w:rPr>
            </w:pPr>
          </w:p>
        </w:tc>
        <w:tc>
          <w:tcPr>
            <w:tcW w:w="544" w:type="pct"/>
            <w:vMerge/>
          </w:tcPr>
          <w:p w14:paraId="4FDC63DB" w14:textId="77777777" w:rsidR="00E12E4A" w:rsidRPr="00BD2EF1" w:rsidRDefault="00E12E4A" w:rsidP="00E12E4A">
            <w:pPr>
              <w:pStyle w:val="Standaard-Tabellen"/>
            </w:pPr>
          </w:p>
        </w:tc>
        <w:tc>
          <w:tcPr>
            <w:tcW w:w="741" w:type="pct"/>
            <w:vMerge/>
          </w:tcPr>
          <w:p w14:paraId="54EFB534" w14:textId="77777777" w:rsidR="00E12E4A" w:rsidRDefault="00E12E4A" w:rsidP="00E12E4A">
            <w:pPr>
              <w:pStyle w:val="Standaard-Tabellen"/>
              <w:rPr>
                <w:color w:val="000000"/>
                <w:szCs w:val="18"/>
              </w:rPr>
            </w:pPr>
          </w:p>
        </w:tc>
        <w:tc>
          <w:tcPr>
            <w:tcW w:w="198" w:type="pct"/>
          </w:tcPr>
          <w:p w14:paraId="0B077445" w14:textId="4355C0E9" w:rsidR="00E12E4A" w:rsidRPr="00BD2EF1" w:rsidRDefault="00E12E4A" w:rsidP="00E12E4A">
            <w:pPr>
              <w:pStyle w:val="Standaard-Tabellen"/>
            </w:pPr>
            <w:r>
              <w:t>10</w:t>
            </w:r>
          </w:p>
        </w:tc>
        <w:tc>
          <w:tcPr>
            <w:tcW w:w="346" w:type="pct"/>
          </w:tcPr>
          <w:p w14:paraId="38042F84" w14:textId="77777777" w:rsidR="00E12E4A" w:rsidRPr="00BD2EF1" w:rsidRDefault="00E12E4A" w:rsidP="00E12E4A">
            <w:pPr>
              <w:pStyle w:val="Standaard-Tabellen"/>
              <w:jc w:val="center"/>
            </w:pPr>
            <w:r>
              <w:t>96-100</w:t>
            </w:r>
          </w:p>
        </w:tc>
        <w:tc>
          <w:tcPr>
            <w:tcW w:w="198" w:type="pct"/>
          </w:tcPr>
          <w:p w14:paraId="139FBA7D" w14:textId="77777777" w:rsidR="00E12E4A" w:rsidRPr="00BD2EF1" w:rsidRDefault="00E12E4A" w:rsidP="00E12E4A">
            <w:pPr>
              <w:pStyle w:val="Standaard-Tabellen"/>
              <w:jc w:val="center"/>
            </w:pPr>
            <w:r>
              <w:t>99</w:t>
            </w:r>
          </w:p>
        </w:tc>
        <w:tc>
          <w:tcPr>
            <w:tcW w:w="247" w:type="pct"/>
          </w:tcPr>
          <w:p w14:paraId="71C21796" w14:textId="77777777" w:rsidR="00E12E4A" w:rsidRPr="00BD2EF1" w:rsidRDefault="00E12E4A" w:rsidP="00E12E4A">
            <w:pPr>
              <w:pStyle w:val="Standaard-Tabellen"/>
              <w:jc w:val="center"/>
            </w:pPr>
            <w:r>
              <w:t>1.8</w:t>
            </w:r>
          </w:p>
        </w:tc>
        <w:tc>
          <w:tcPr>
            <w:tcW w:w="394" w:type="pct"/>
            <w:vMerge/>
          </w:tcPr>
          <w:p w14:paraId="3E0FCEF4" w14:textId="77777777" w:rsidR="00E12E4A" w:rsidRDefault="00E12E4A" w:rsidP="00E12E4A">
            <w:pPr>
              <w:rPr>
                <w:color w:val="000000"/>
                <w:sz w:val="18"/>
                <w:szCs w:val="18"/>
              </w:rPr>
            </w:pPr>
          </w:p>
        </w:tc>
        <w:tc>
          <w:tcPr>
            <w:tcW w:w="454" w:type="pct"/>
            <w:vMerge/>
          </w:tcPr>
          <w:p w14:paraId="7F832B0C" w14:textId="77777777" w:rsidR="00E12E4A" w:rsidRDefault="00E12E4A" w:rsidP="00E12E4A">
            <w:pPr>
              <w:pStyle w:val="Standaard-Tabellen"/>
            </w:pPr>
          </w:p>
        </w:tc>
      </w:tr>
      <w:tr w:rsidR="00E12E4A" w:rsidRPr="00BD2EF1" w14:paraId="1AD04DAC" w14:textId="77777777" w:rsidTr="00E12E4A">
        <w:trPr>
          <w:trHeight w:val="573"/>
        </w:trPr>
        <w:tc>
          <w:tcPr>
            <w:tcW w:w="443" w:type="pct"/>
            <w:vMerge/>
            <w:shd w:val="clear" w:color="auto" w:fill="auto"/>
          </w:tcPr>
          <w:p w14:paraId="2A97AFB8" w14:textId="77777777" w:rsidR="00E12E4A" w:rsidRDefault="00E12E4A" w:rsidP="00E12E4A">
            <w:pPr>
              <w:pStyle w:val="Standaard-Tabellen"/>
            </w:pPr>
          </w:p>
        </w:tc>
        <w:tc>
          <w:tcPr>
            <w:tcW w:w="545" w:type="pct"/>
            <w:vMerge/>
          </w:tcPr>
          <w:p w14:paraId="183CFC04" w14:textId="77777777" w:rsidR="00E12E4A" w:rsidRDefault="00E12E4A" w:rsidP="00E12E4A">
            <w:pPr>
              <w:rPr>
                <w:color w:val="000000"/>
                <w:sz w:val="18"/>
                <w:szCs w:val="18"/>
              </w:rPr>
            </w:pPr>
          </w:p>
        </w:tc>
        <w:tc>
          <w:tcPr>
            <w:tcW w:w="890" w:type="pct"/>
            <w:vMerge/>
          </w:tcPr>
          <w:p w14:paraId="769CD494" w14:textId="77777777" w:rsidR="00E12E4A" w:rsidRDefault="00E12E4A" w:rsidP="00E12E4A">
            <w:pPr>
              <w:rPr>
                <w:color w:val="000000"/>
                <w:sz w:val="18"/>
                <w:szCs w:val="18"/>
              </w:rPr>
            </w:pPr>
          </w:p>
        </w:tc>
        <w:tc>
          <w:tcPr>
            <w:tcW w:w="544" w:type="pct"/>
            <w:vMerge/>
          </w:tcPr>
          <w:p w14:paraId="79943BA1" w14:textId="77777777" w:rsidR="00E12E4A" w:rsidRPr="00BD2EF1" w:rsidRDefault="00E12E4A" w:rsidP="00E12E4A">
            <w:pPr>
              <w:pStyle w:val="Standaard-Tabellen"/>
            </w:pPr>
          </w:p>
        </w:tc>
        <w:tc>
          <w:tcPr>
            <w:tcW w:w="741" w:type="pct"/>
            <w:vMerge/>
          </w:tcPr>
          <w:p w14:paraId="46C09815" w14:textId="77777777" w:rsidR="00E12E4A" w:rsidRDefault="00E12E4A" w:rsidP="00E12E4A">
            <w:pPr>
              <w:pStyle w:val="Standaard-Tabellen"/>
              <w:rPr>
                <w:color w:val="000000"/>
                <w:szCs w:val="18"/>
              </w:rPr>
            </w:pPr>
          </w:p>
        </w:tc>
        <w:tc>
          <w:tcPr>
            <w:tcW w:w="198" w:type="pct"/>
          </w:tcPr>
          <w:p w14:paraId="65973C90" w14:textId="5BA4FBFB" w:rsidR="00E12E4A" w:rsidRPr="00BD2EF1" w:rsidRDefault="00E12E4A" w:rsidP="00E12E4A">
            <w:pPr>
              <w:pStyle w:val="Standaard-Tabellen"/>
            </w:pPr>
            <w:r>
              <w:t>30</w:t>
            </w:r>
          </w:p>
        </w:tc>
        <w:tc>
          <w:tcPr>
            <w:tcW w:w="346" w:type="pct"/>
          </w:tcPr>
          <w:p w14:paraId="75FB3F78" w14:textId="77777777" w:rsidR="00E12E4A" w:rsidRPr="00BD2EF1" w:rsidRDefault="00E12E4A" w:rsidP="00E12E4A">
            <w:pPr>
              <w:pStyle w:val="Standaard-Tabellen"/>
              <w:jc w:val="center"/>
            </w:pPr>
            <w:r>
              <w:t>96-98</w:t>
            </w:r>
          </w:p>
        </w:tc>
        <w:tc>
          <w:tcPr>
            <w:tcW w:w="198" w:type="pct"/>
          </w:tcPr>
          <w:p w14:paraId="42BED2A8" w14:textId="77777777" w:rsidR="00E12E4A" w:rsidRPr="00BD2EF1" w:rsidRDefault="00E12E4A" w:rsidP="00E12E4A">
            <w:pPr>
              <w:pStyle w:val="Standaard-Tabellen"/>
              <w:jc w:val="center"/>
            </w:pPr>
            <w:r>
              <w:t>98</w:t>
            </w:r>
          </w:p>
        </w:tc>
        <w:tc>
          <w:tcPr>
            <w:tcW w:w="247" w:type="pct"/>
          </w:tcPr>
          <w:p w14:paraId="2DA45ECF" w14:textId="77777777" w:rsidR="00E12E4A" w:rsidRPr="00BD2EF1" w:rsidRDefault="00E12E4A" w:rsidP="00E12E4A">
            <w:pPr>
              <w:pStyle w:val="Standaard-Tabellen"/>
              <w:jc w:val="center"/>
            </w:pPr>
            <w:r>
              <w:t>0.9</w:t>
            </w:r>
          </w:p>
        </w:tc>
        <w:tc>
          <w:tcPr>
            <w:tcW w:w="394" w:type="pct"/>
            <w:vMerge/>
          </w:tcPr>
          <w:p w14:paraId="15D5F4A2" w14:textId="77777777" w:rsidR="00E12E4A" w:rsidRDefault="00E12E4A" w:rsidP="00E12E4A">
            <w:pPr>
              <w:rPr>
                <w:color w:val="000000"/>
                <w:sz w:val="18"/>
                <w:szCs w:val="18"/>
              </w:rPr>
            </w:pPr>
          </w:p>
        </w:tc>
        <w:tc>
          <w:tcPr>
            <w:tcW w:w="454" w:type="pct"/>
            <w:vMerge/>
          </w:tcPr>
          <w:p w14:paraId="4C169EA0" w14:textId="77777777" w:rsidR="00E12E4A" w:rsidRDefault="00E12E4A" w:rsidP="00E12E4A">
            <w:pPr>
              <w:pStyle w:val="Standaard-Tabellen"/>
            </w:pPr>
          </w:p>
        </w:tc>
      </w:tr>
      <w:tr w:rsidR="00E12E4A" w:rsidRPr="00BD2EF1" w14:paraId="5FF359E3" w14:textId="77777777" w:rsidTr="00E12E4A">
        <w:trPr>
          <w:trHeight w:val="612"/>
        </w:trPr>
        <w:tc>
          <w:tcPr>
            <w:tcW w:w="443" w:type="pct"/>
            <w:vMerge w:val="restart"/>
            <w:shd w:val="clear" w:color="auto" w:fill="auto"/>
          </w:tcPr>
          <w:p w14:paraId="44408864" w14:textId="77777777" w:rsidR="00E12E4A" w:rsidRPr="00BD2EF1" w:rsidRDefault="00E12E4A" w:rsidP="00E12E4A">
            <w:pPr>
              <w:pStyle w:val="Standaard-Tabellen"/>
            </w:pPr>
            <w:r>
              <w:t>IR3535</w:t>
            </w:r>
            <w:r>
              <w:rPr>
                <w:vertAlign w:val="superscript"/>
              </w:rPr>
              <w:t>®</w:t>
            </w:r>
            <w:r>
              <w:t xml:space="preserve"> free acid - hydrolysis product</w:t>
            </w:r>
          </w:p>
        </w:tc>
        <w:tc>
          <w:tcPr>
            <w:tcW w:w="545" w:type="pct"/>
            <w:vMerge w:val="restart"/>
          </w:tcPr>
          <w:p w14:paraId="7ABD340C" w14:textId="77777777" w:rsidR="00E12E4A" w:rsidRDefault="00E12E4A" w:rsidP="00E12E4A">
            <w:pPr>
              <w:rPr>
                <w:color w:val="000000"/>
                <w:sz w:val="18"/>
                <w:szCs w:val="18"/>
              </w:rPr>
            </w:pPr>
            <w:r>
              <w:rPr>
                <w:color w:val="000000"/>
                <w:sz w:val="18"/>
                <w:szCs w:val="18"/>
              </w:rPr>
              <w:t>HPLC-UV</w:t>
            </w:r>
          </w:p>
          <w:p w14:paraId="4782BAC0" w14:textId="77777777" w:rsidR="00E12E4A" w:rsidRDefault="00E12E4A" w:rsidP="00E12E4A">
            <w:pPr>
              <w:rPr>
                <w:color w:val="000000"/>
                <w:sz w:val="18"/>
                <w:szCs w:val="18"/>
              </w:rPr>
            </w:pPr>
            <w:r>
              <w:rPr>
                <w:color w:val="000000"/>
                <w:sz w:val="18"/>
                <w:szCs w:val="18"/>
              </w:rPr>
              <w:t xml:space="preserve">- No extraction </w:t>
            </w:r>
          </w:p>
          <w:p w14:paraId="7D434478" w14:textId="77777777" w:rsidR="00E12E4A" w:rsidRDefault="00E12E4A" w:rsidP="00E12E4A">
            <w:pPr>
              <w:rPr>
                <w:color w:val="000000"/>
                <w:sz w:val="18"/>
                <w:szCs w:val="18"/>
              </w:rPr>
            </w:pPr>
            <w:r>
              <w:rPr>
                <w:color w:val="000000"/>
                <w:sz w:val="18"/>
                <w:szCs w:val="18"/>
              </w:rPr>
              <w:t>- No clean up</w:t>
            </w:r>
          </w:p>
          <w:p w14:paraId="18A69EF1" w14:textId="77777777" w:rsidR="00E12E4A" w:rsidRDefault="00E12E4A" w:rsidP="00E12E4A">
            <w:pPr>
              <w:rPr>
                <w:color w:val="000000"/>
                <w:sz w:val="18"/>
                <w:szCs w:val="18"/>
              </w:rPr>
            </w:pPr>
            <w:r>
              <w:rPr>
                <w:color w:val="000000"/>
                <w:sz w:val="18"/>
                <w:szCs w:val="18"/>
              </w:rPr>
              <w:t xml:space="preserve">- </w:t>
            </w:r>
            <w:proofErr w:type="spellStart"/>
            <w:r w:rsidRPr="00E45D1D">
              <w:rPr>
                <w:color w:val="000000"/>
                <w:sz w:val="18"/>
                <w:szCs w:val="18"/>
              </w:rPr>
              <w:t>LiChropher</w:t>
            </w:r>
            <w:proofErr w:type="spellEnd"/>
            <w:r w:rsidRPr="00E45D1D">
              <w:rPr>
                <w:color w:val="000000"/>
                <w:sz w:val="18"/>
                <w:szCs w:val="18"/>
              </w:rPr>
              <w:t xml:space="preserve"> RP18 (250*4 mm) column</w:t>
            </w:r>
          </w:p>
          <w:p w14:paraId="4B2C3407" w14:textId="77777777" w:rsidR="00E12E4A" w:rsidRPr="00BD2EF1" w:rsidRDefault="00E12E4A" w:rsidP="00E12E4A">
            <w:pPr>
              <w:pStyle w:val="Standaard-Tabellen"/>
            </w:pPr>
            <w:r>
              <w:rPr>
                <w:color w:val="000000"/>
                <w:szCs w:val="18"/>
              </w:rPr>
              <w:lastRenderedPageBreak/>
              <w:t>- UV-Vis/DAD at 220 nm</w:t>
            </w:r>
          </w:p>
        </w:tc>
        <w:tc>
          <w:tcPr>
            <w:tcW w:w="890" w:type="pct"/>
            <w:vMerge w:val="restart"/>
          </w:tcPr>
          <w:p w14:paraId="79D4DE62" w14:textId="77777777" w:rsidR="00E12E4A" w:rsidRPr="00371F98" w:rsidRDefault="00E12E4A" w:rsidP="00E12E4A">
            <w:pPr>
              <w:rPr>
                <w:color w:val="000000"/>
                <w:sz w:val="18"/>
                <w:szCs w:val="18"/>
              </w:rPr>
            </w:pPr>
            <w:r>
              <w:rPr>
                <w:color w:val="000000"/>
                <w:sz w:val="18"/>
                <w:szCs w:val="18"/>
              </w:rPr>
              <w:lastRenderedPageBreak/>
              <w:t>5</w:t>
            </w:r>
            <w:r w:rsidRPr="00371F98">
              <w:rPr>
                <w:color w:val="000000"/>
                <w:sz w:val="18"/>
                <w:szCs w:val="18"/>
              </w:rPr>
              <w:t>%</w:t>
            </w:r>
            <w:r>
              <w:rPr>
                <w:color w:val="000000"/>
                <w:sz w:val="18"/>
                <w:szCs w:val="18"/>
              </w:rPr>
              <w:t xml:space="preserve"> </w:t>
            </w:r>
            <w:r w:rsidRPr="00371F98">
              <w:rPr>
                <w:color w:val="000000"/>
                <w:sz w:val="18"/>
                <w:szCs w:val="18"/>
              </w:rPr>
              <w:t>/</w:t>
            </w:r>
            <w:r>
              <w:rPr>
                <w:color w:val="000000"/>
                <w:sz w:val="18"/>
                <w:szCs w:val="18"/>
              </w:rPr>
              <w:t xml:space="preserve"> </w:t>
            </w:r>
            <w:r w:rsidRPr="00371F98">
              <w:rPr>
                <w:color w:val="000000"/>
                <w:sz w:val="18"/>
                <w:szCs w:val="18"/>
              </w:rPr>
              <w:t>10</w:t>
            </w:r>
            <w:r>
              <w:rPr>
                <w:color w:val="000000"/>
                <w:sz w:val="18"/>
                <w:szCs w:val="18"/>
              </w:rPr>
              <w:t xml:space="preserve">  (for 1% IR3535)</w:t>
            </w:r>
          </w:p>
          <w:p w14:paraId="766460BE" w14:textId="77777777" w:rsidR="00E12E4A" w:rsidRPr="00371F98" w:rsidRDefault="00E12E4A" w:rsidP="00E12E4A">
            <w:pPr>
              <w:rPr>
                <w:color w:val="000000"/>
                <w:sz w:val="18"/>
                <w:szCs w:val="18"/>
              </w:rPr>
            </w:pPr>
            <w:r w:rsidRPr="00371F98">
              <w:rPr>
                <w:color w:val="000000"/>
                <w:sz w:val="18"/>
                <w:szCs w:val="18"/>
              </w:rPr>
              <w:t>5%</w:t>
            </w:r>
            <w:r>
              <w:rPr>
                <w:color w:val="000000"/>
                <w:sz w:val="18"/>
                <w:szCs w:val="18"/>
              </w:rPr>
              <w:t xml:space="preserve"> </w:t>
            </w:r>
            <w:r w:rsidRPr="00371F98">
              <w:rPr>
                <w:color w:val="000000"/>
                <w:sz w:val="18"/>
                <w:szCs w:val="18"/>
              </w:rPr>
              <w:t>/</w:t>
            </w:r>
            <w:r>
              <w:rPr>
                <w:color w:val="000000"/>
                <w:sz w:val="18"/>
                <w:szCs w:val="18"/>
              </w:rPr>
              <w:t xml:space="preserve"> 5    (for 5% IR3535)</w:t>
            </w:r>
          </w:p>
          <w:p w14:paraId="03E03EB5" w14:textId="77777777" w:rsidR="00E12E4A" w:rsidRPr="00371F98" w:rsidRDefault="00E12E4A" w:rsidP="00E12E4A">
            <w:pPr>
              <w:rPr>
                <w:color w:val="000000"/>
                <w:sz w:val="18"/>
                <w:szCs w:val="18"/>
              </w:rPr>
            </w:pPr>
            <w:r>
              <w:rPr>
                <w:color w:val="000000"/>
                <w:sz w:val="18"/>
                <w:szCs w:val="18"/>
              </w:rPr>
              <w:t>1</w:t>
            </w:r>
            <w:r w:rsidRPr="00371F98">
              <w:rPr>
                <w:color w:val="000000"/>
                <w:sz w:val="18"/>
                <w:szCs w:val="18"/>
              </w:rPr>
              <w:t>%</w:t>
            </w:r>
            <w:r>
              <w:rPr>
                <w:color w:val="000000"/>
                <w:sz w:val="18"/>
                <w:szCs w:val="18"/>
              </w:rPr>
              <w:t xml:space="preserve"> </w:t>
            </w:r>
            <w:r w:rsidRPr="00371F98">
              <w:rPr>
                <w:color w:val="000000"/>
                <w:sz w:val="18"/>
                <w:szCs w:val="18"/>
              </w:rPr>
              <w:t>/</w:t>
            </w:r>
            <w:r>
              <w:rPr>
                <w:color w:val="000000"/>
                <w:sz w:val="18"/>
                <w:szCs w:val="18"/>
              </w:rPr>
              <w:t xml:space="preserve"> 5  (for 10% IR3535)</w:t>
            </w:r>
          </w:p>
          <w:p w14:paraId="4CD24599" w14:textId="77777777" w:rsidR="00E12E4A" w:rsidRPr="00BD2EF1" w:rsidRDefault="00E12E4A" w:rsidP="00E12E4A">
            <w:pPr>
              <w:pStyle w:val="Standaard-Tabellen"/>
            </w:pPr>
            <w:r>
              <w:rPr>
                <w:color w:val="000000"/>
                <w:szCs w:val="18"/>
              </w:rPr>
              <w:t>5</w:t>
            </w:r>
            <w:r w:rsidRPr="00371F98">
              <w:rPr>
                <w:color w:val="000000"/>
                <w:szCs w:val="18"/>
              </w:rPr>
              <w:t>%</w:t>
            </w:r>
            <w:r>
              <w:rPr>
                <w:color w:val="000000"/>
                <w:szCs w:val="18"/>
              </w:rPr>
              <w:t xml:space="preserve"> </w:t>
            </w:r>
            <w:r w:rsidRPr="00371F98">
              <w:rPr>
                <w:color w:val="000000"/>
                <w:szCs w:val="18"/>
              </w:rPr>
              <w:t>/</w:t>
            </w:r>
            <w:r>
              <w:rPr>
                <w:color w:val="000000"/>
                <w:szCs w:val="18"/>
              </w:rPr>
              <w:t xml:space="preserve"> </w:t>
            </w:r>
            <w:r w:rsidRPr="00371F98">
              <w:rPr>
                <w:color w:val="000000"/>
                <w:szCs w:val="18"/>
              </w:rPr>
              <w:t>5</w:t>
            </w:r>
            <w:r>
              <w:rPr>
                <w:color w:val="000000"/>
                <w:szCs w:val="18"/>
              </w:rPr>
              <w:t xml:space="preserve">  (for 30% IR3535)</w:t>
            </w:r>
          </w:p>
        </w:tc>
        <w:tc>
          <w:tcPr>
            <w:tcW w:w="544" w:type="pct"/>
            <w:vMerge w:val="restart"/>
          </w:tcPr>
          <w:p w14:paraId="39C4DFFD" w14:textId="77777777" w:rsidR="00E12E4A" w:rsidRDefault="00E12E4A" w:rsidP="00E12E4A">
            <w:pPr>
              <w:pStyle w:val="Standaard-Tabellen"/>
              <w:rPr>
                <w:color w:val="000000"/>
                <w:szCs w:val="18"/>
                <w:lang w:val="fr-BE"/>
              </w:rPr>
            </w:pPr>
            <w:proofErr w:type="spellStart"/>
            <w:r w:rsidRPr="00B45F6B">
              <w:rPr>
                <w:color w:val="000000"/>
                <w:szCs w:val="18"/>
                <w:lang w:val="fr-BE"/>
              </w:rPr>
              <w:t>Regression</w:t>
            </w:r>
            <w:proofErr w:type="spellEnd"/>
            <w:r w:rsidRPr="00B45F6B">
              <w:rPr>
                <w:color w:val="000000"/>
                <w:szCs w:val="18"/>
                <w:lang w:val="fr-BE"/>
              </w:rPr>
              <w:t xml:space="preserve"> Coefficient (r2): </w:t>
            </w:r>
          </w:p>
          <w:p w14:paraId="50D1CBD8" w14:textId="77777777" w:rsidR="00E12E4A" w:rsidRDefault="00E12E4A" w:rsidP="00E12E4A">
            <w:pPr>
              <w:pStyle w:val="Standaard-Tabellen"/>
              <w:rPr>
                <w:color w:val="000000"/>
                <w:szCs w:val="18"/>
                <w:lang w:val="fr-BE"/>
              </w:rPr>
            </w:pPr>
            <w:r>
              <w:rPr>
                <w:color w:val="000000"/>
                <w:szCs w:val="18"/>
                <w:lang w:val="fr-BE"/>
              </w:rPr>
              <w:t>&gt; 0.9991</w:t>
            </w:r>
          </w:p>
          <w:p w14:paraId="1B85FCA1" w14:textId="77777777" w:rsidR="00E12E4A" w:rsidRDefault="00E12E4A" w:rsidP="00E12E4A">
            <w:pPr>
              <w:pStyle w:val="Standaard-Tabellen"/>
              <w:rPr>
                <w:color w:val="000000"/>
                <w:szCs w:val="18"/>
                <w:lang w:val="fr-BE"/>
              </w:rPr>
            </w:pPr>
          </w:p>
          <w:p w14:paraId="56879B5D" w14:textId="499DC862" w:rsidR="00E12E4A" w:rsidRDefault="00E12E4A" w:rsidP="00E12E4A">
            <w:pPr>
              <w:pStyle w:val="Standaard-Tabellen"/>
              <w:rPr>
                <w:color w:val="000000"/>
                <w:szCs w:val="18"/>
                <w:lang w:val="fr-BE"/>
              </w:rPr>
            </w:pPr>
            <w:r w:rsidRPr="00B45F6B">
              <w:rPr>
                <w:color w:val="000000"/>
                <w:szCs w:val="18"/>
                <w:lang w:val="fr-BE"/>
              </w:rPr>
              <w:t xml:space="preserve">y = 23988x </w:t>
            </w:r>
            <w:r w:rsidR="00ED53D0">
              <w:rPr>
                <w:color w:val="000000"/>
                <w:szCs w:val="18"/>
                <w:lang w:val="fr-BE"/>
              </w:rPr>
              <w:t>–</w:t>
            </w:r>
            <w:r w:rsidRPr="00B45F6B">
              <w:rPr>
                <w:color w:val="000000"/>
                <w:szCs w:val="18"/>
                <w:lang w:val="fr-BE"/>
              </w:rPr>
              <w:t xml:space="preserve"> 67471</w:t>
            </w:r>
          </w:p>
          <w:p w14:paraId="6D045C08" w14:textId="77777777" w:rsidR="00ED53D0" w:rsidRDefault="00ED53D0" w:rsidP="00E12E4A">
            <w:pPr>
              <w:pStyle w:val="Standaard-Tabellen"/>
              <w:rPr>
                <w:color w:val="000000"/>
                <w:szCs w:val="18"/>
                <w:lang w:val="fr-BE"/>
              </w:rPr>
            </w:pPr>
          </w:p>
          <w:p w14:paraId="7E397A2F" w14:textId="3DA8F54E" w:rsidR="00ED53D0" w:rsidRPr="000913F7" w:rsidRDefault="00AD1758" w:rsidP="00E12E4A">
            <w:pPr>
              <w:pStyle w:val="Standaard-Tabellen"/>
              <w:rPr>
                <w:lang w:val="fr-BE"/>
              </w:rPr>
            </w:pPr>
            <w:r>
              <w:rPr>
                <w:color w:val="000000"/>
                <w:szCs w:val="18"/>
                <w:lang w:val="fr-BE"/>
              </w:rPr>
              <w:lastRenderedPageBreak/>
              <w:t xml:space="preserve">Range (n=9): </w:t>
            </w:r>
            <w:r w:rsidR="00ED53D0">
              <w:rPr>
                <w:color w:val="000000"/>
                <w:szCs w:val="18"/>
                <w:lang w:val="fr-BE"/>
              </w:rPr>
              <w:t>25 – 300 mg/l</w:t>
            </w:r>
          </w:p>
        </w:tc>
        <w:tc>
          <w:tcPr>
            <w:tcW w:w="741" w:type="pct"/>
            <w:vMerge w:val="restart"/>
          </w:tcPr>
          <w:p w14:paraId="7E116B23" w14:textId="77777777" w:rsidR="00E12E4A" w:rsidRPr="00BD2EF1" w:rsidRDefault="00E12E4A" w:rsidP="00E12E4A">
            <w:pPr>
              <w:pStyle w:val="Standaard-Tabellen"/>
            </w:pPr>
            <w:r>
              <w:rPr>
                <w:color w:val="000000"/>
                <w:szCs w:val="18"/>
              </w:rPr>
              <w:lastRenderedPageBreak/>
              <w:t>No interference substances observed.</w:t>
            </w:r>
            <w:r w:rsidRPr="00371F98">
              <w:rPr>
                <w:color w:val="000000"/>
                <w:szCs w:val="18"/>
              </w:rPr>
              <w:t xml:space="preserve"> The retention time of the analytes IR3535 and its hydrolysis product in the sample solutions did not differ by more than 1 </w:t>
            </w:r>
            <w:r w:rsidRPr="00371F98">
              <w:rPr>
                <w:color w:val="000000"/>
                <w:szCs w:val="18"/>
              </w:rPr>
              <w:lastRenderedPageBreak/>
              <w:t>% from that for the standard solution.</w:t>
            </w:r>
          </w:p>
        </w:tc>
        <w:tc>
          <w:tcPr>
            <w:tcW w:w="198" w:type="pct"/>
          </w:tcPr>
          <w:p w14:paraId="7D480689" w14:textId="7D645FA0" w:rsidR="00E12E4A" w:rsidRPr="00BD2EF1" w:rsidRDefault="00E12E4A" w:rsidP="00E12E4A">
            <w:pPr>
              <w:pStyle w:val="Standaard-Tabellen"/>
            </w:pPr>
            <w:r>
              <w:lastRenderedPageBreak/>
              <w:t>5</w:t>
            </w:r>
          </w:p>
        </w:tc>
        <w:tc>
          <w:tcPr>
            <w:tcW w:w="346" w:type="pct"/>
          </w:tcPr>
          <w:p w14:paraId="4F2FBA78" w14:textId="77777777" w:rsidR="00E12E4A" w:rsidRPr="00BD2EF1" w:rsidRDefault="00E12E4A" w:rsidP="00E12E4A">
            <w:pPr>
              <w:pStyle w:val="Standaard-Tabellen"/>
              <w:jc w:val="center"/>
            </w:pPr>
            <w:r>
              <w:t>97-105</w:t>
            </w:r>
          </w:p>
        </w:tc>
        <w:tc>
          <w:tcPr>
            <w:tcW w:w="198" w:type="pct"/>
          </w:tcPr>
          <w:p w14:paraId="75115B71" w14:textId="77777777" w:rsidR="00E12E4A" w:rsidRPr="00BD2EF1" w:rsidRDefault="00E12E4A" w:rsidP="00E12E4A">
            <w:pPr>
              <w:pStyle w:val="Standaard-Tabellen"/>
              <w:jc w:val="center"/>
            </w:pPr>
            <w:r>
              <w:t>101</w:t>
            </w:r>
          </w:p>
        </w:tc>
        <w:tc>
          <w:tcPr>
            <w:tcW w:w="247" w:type="pct"/>
          </w:tcPr>
          <w:p w14:paraId="35EDF3B0" w14:textId="77777777" w:rsidR="00E12E4A" w:rsidRPr="00BD2EF1" w:rsidRDefault="00E12E4A" w:rsidP="00E12E4A">
            <w:pPr>
              <w:pStyle w:val="Standaard-Tabellen"/>
              <w:jc w:val="center"/>
            </w:pPr>
            <w:r>
              <w:t>2.8</w:t>
            </w:r>
          </w:p>
        </w:tc>
        <w:tc>
          <w:tcPr>
            <w:tcW w:w="394" w:type="pct"/>
            <w:vMerge w:val="restart"/>
          </w:tcPr>
          <w:p w14:paraId="1D41030C" w14:textId="435249B8" w:rsidR="002D398C" w:rsidRPr="002D398C" w:rsidRDefault="00CA23D2" w:rsidP="002D398C">
            <w:pPr>
              <w:rPr>
                <w:color w:val="000000"/>
                <w:sz w:val="18"/>
                <w:szCs w:val="18"/>
              </w:rPr>
            </w:pPr>
            <w:r>
              <w:rPr>
                <w:color w:val="000000"/>
                <w:sz w:val="18"/>
                <w:szCs w:val="18"/>
              </w:rPr>
              <w:t xml:space="preserve">LOQ: </w:t>
            </w:r>
            <w:r w:rsidR="002D398C" w:rsidRPr="002D398C">
              <w:rPr>
                <w:color w:val="000000"/>
                <w:sz w:val="18"/>
                <w:szCs w:val="18"/>
              </w:rPr>
              <w:t>0.1% w/w (=5</w:t>
            </w:r>
          </w:p>
          <w:p w14:paraId="621EAB97" w14:textId="5E6F71EE" w:rsidR="002D398C" w:rsidRDefault="002D398C" w:rsidP="002D398C">
            <w:pPr>
              <w:rPr>
                <w:color w:val="000000"/>
                <w:sz w:val="18"/>
                <w:szCs w:val="18"/>
              </w:rPr>
            </w:pPr>
            <w:r w:rsidRPr="002D398C">
              <w:rPr>
                <w:color w:val="000000"/>
                <w:sz w:val="18"/>
                <w:szCs w:val="18"/>
              </w:rPr>
              <w:t>mg/L)</w:t>
            </w:r>
          </w:p>
          <w:p w14:paraId="7472932C" w14:textId="77777777" w:rsidR="00CA23D2" w:rsidRPr="002D398C" w:rsidRDefault="00CA23D2" w:rsidP="002D398C">
            <w:pPr>
              <w:rPr>
                <w:color w:val="000000"/>
                <w:sz w:val="18"/>
                <w:szCs w:val="18"/>
              </w:rPr>
            </w:pPr>
          </w:p>
          <w:p w14:paraId="0F84E81D" w14:textId="56099F31" w:rsidR="00E12E4A" w:rsidRPr="00BD2EF1" w:rsidRDefault="00CA23D2" w:rsidP="00E12E4A">
            <w:pPr>
              <w:pStyle w:val="Standaard-Tabellen"/>
            </w:pPr>
            <w:r>
              <w:rPr>
                <w:color w:val="000000"/>
                <w:szCs w:val="18"/>
              </w:rPr>
              <w:t>LOD: 3 mg/L</w:t>
            </w:r>
          </w:p>
        </w:tc>
        <w:tc>
          <w:tcPr>
            <w:tcW w:w="454" w:type="pct"/>
            <w:vMerge w:val="restart"/>
          </w:tcPr>
          <w:p w14:paraId="78C95CA0" w14:textId="77777777" w:rsidR="00E12E4A" w:rsidRPr="00BD2EF1" w:rsidRDefault="00E12E4A" w:rsidP="00E12E4A">
            <w:pPr>
              <w:pStyle w:val="Standaard-Tabellen"/>
            </w:pPr>
            <w:r>
              <w:t xml:space="preserve">Report no. </w:t>
            </w:r>
            <w:r w:rsidRPr="00D37F7C">
              <w:rPr>
                <w:rFonts w:cs="Calibri"/>
                <w:bCs w:val="0"/>
                <w:color w:val="000000"/>
                <w:szCs w:val="18"/>
                <w:lang w:eastAsia="de-DE"/>
              </w:rPr>
              <w:t>31211101</w:t>
            </w:r>
            <w:r>
              <w:t xml:space="preserve">, </w:t>
            </w:r>
            <w:proofErr w:type="spellStart"/>
            <w:r>
              <w:t>Meinerling</w:t>
            </w:r>
            <w:proofErr w:type="spellEnd"/>
            <w:r>
              <w:t>, M. 2007</w:t>
            </w:r>
          </w:p>
        </w:tc>
      </w:tr>
      <w:tr w:rsidR="00E12E4A" w:rsidRPr="00BD2EF1" w14:paraId="1E2F4F0F" w14:textId="77777777" w:rsidTr="00E12E4A">
        <w:trPr>
          <w:trHeight w:val="611"/>
        </w:trPr>
        <w:tc>
          <w:tcPr>
            <w:tcW w:w="443" w:type="pct"/>
            <w:vMerge/>
            <w:shd w:val="clear" w:color="auto" w:fill="auto"/>
          </w:tcPr>
          <w:p w14:paraId="15CC4BBC" w14:textId="77777777" w:rsidR="00E12E4A" w:rsidRPr="00BD2EF1" w:rsidRDefault="00E12E4A" w:rsidP="00E12E4A">
            <w:pPr>
              <w:pStyle w:val="Standaard-Tabellen"/>
            </w:pPr>
          </w:p>
        </w:tc>
        <w:tc>
          <w:tcPr>
            <w:tcW w:w="545" w:type="pct"/>
            <w:vMerge/>
          </w:tcPr>
          <w:p w14:paraId="59821ED9" w14:textId="77777777" w:rsidR="00E12E4A" w:rsidRPr="00BD2EF1" w:rsidRDefault="00E12E4A" w:rsidP="00E12E4A">
            <w:pPr>
              <w:pStyle w:val="Standaard-Tabellen"/>
            </w:pPr>
          </w:p>
        </w:tc>
        <w:tc>
          <w:tcPr>
            <w:tcW w:w="890" w:type="pct"/>
            <w:vMerge/>
          </w:tcPr>
          <w:p w14:paraId="6FE64378" w14:textId="77777777" w:rsidR="00E12E4A" w:rsidRPr="00BD2EF1" w:rsidRDefault="00E12E4A" w:rsidP="00E12E4A">
            <w:pPr>
              <w:pStyle w:val="Standaard-Tabellen"/>
            </w:pPr>
          </w:p>
        </w:tc>
        <w:tc>
          <w:tcPr>
            <w:tcW w:w="544" w:type="pct"/>
            <w:vMerge/>
          </w:tcPr>
          <w:p w14:paraId="6FB74E39" w14:textId="77777777" w:rsidR="00E12E4A" w:rsidRPr="00BD2EF1" w:rsidRDefault="00E12E4A" w:rsidP="00E12E4A">
            <w:pPr>
              <w:pStyle w:val="Standaard-Tabellen"/>
            </w:pPr>
          </w:p>
        </w:tc>
        <w:tc>
          <w:tcPr>
            <w:tcW w:w="741" w:type="pct"/>
            <w:vMerge/>
          </w:tcPr>
          <w:p w14:paraId="6640D5D1" w14:textId="77777777" w:rsidR="00E12E4A" w:rsidRDefault="00E12E4A" w:rsidP="00E12E4A">
            <w:pPr>
              <w:pStyle w:val="Standaard-Tabellen"/>
              <w:rPr>
                <w:color w:val="000000"/>
                <w:szCs w:val="18"/>
              </w:rPr>
            </w:pPr>
          </w:p>
        </w:tc>
        <w:tc>
          <w:tcPr>
            <w:tcW w:w="198" w:type="pct"/>
          </w:tcPr>
          <w:p w14:paraId="6057AF88" w14:textId="7C94C07E" w:rsidR="00E12E4A" w:rsidRPr="00BD2EF1" w:rsidRDefault="00E12E4A" w:rsidP="00E12E4A">
            <w:pPr>
              <w:pStyle w:val="Standaard-Tabellen"/>
            </w:pPr>
            <w:r>
              <w:t>5</w:t>
            </w:r>
          </w:p>
        </w:tc>
        <w:tc>
          <w:tcPr>
            <w:tcW w:w="346" w:type="pct"/>
          </w:tcPr>
          <w:p w14:paraId="1EF5D0DF" w14:textId="77777777" w:rsidR="00E12E4A" w:rsidRPr="00BD2EF1" w:rsidRDefault="00E12E4A" w:rsidP="00E12E4A">
            <w:pPr>
              <w:pStyle w:val="Standaard-Tabellen"/>
              <w:jc w:val="center"/>
            </w:pPr>
            <w:r>
              <w:t>98-100</w:t>
            </w:r>
          </w:p>
        </w:tc>
        <w:tc>
          <w:tcPr>
            <w:tcW w:w="198" w:type="pct"/>
          </w:tcPr>
          <w:p w14:paraId="575AB408" w14:textId="77777777" w:rsidR="00E12E4A" w:rsidRPr="00BD2EF1" w:rsidRDefault="00E12E4A" w:rsidP="00E12E4A">
            <w:pPr>
              <w:pStyle w:val="Standaard-Tabellen"/>
              <w:jc w:val="center"/>
            </w:pPr>
            <w:r>
              <w:t>99</w:t>
            </w:r>
          </w:p>
        </w:tc>
        <w:tc>
          <w:tcPr>
            <w:tcW w:w="247" w:type="pct"/>
          </w:tcPr>
          <w:p w14:paraId="4DB97983" w14:textId="77777777" w:rsidR="00E12E4A" w:rsidRPr="00BD2EF1" w:rsidRDefault="00E12E4A" w:rsidP="00E12E4A">
            <w:pPr>
              <w:pStyle w:val="Standaard-Tabellen"/>
              <w:jc w:val="center"/>
            </w:pPr>
            <w:r>
              <w:t>0.9</w:t>
            </w:r>
          </w:p>
        </w:tc>
        <w:tc>
          <w:tcPr>
            <w:tcW w:w="394" w:type="pct"/>
            <w:vMerge/>
          </w:tcPr>
          <w:p w14:paraId="5F7771ED" w14:textId="77777777" w:rsidR="00E12E4A" w:rsidRPr="00BD2EF1" w:rsidRDefault="00E12E4A" w:rsidP="00E12E4A">
            <w:pPr>
              <w:pStyle w:val="Standaard-Tabellen"/>
            </w:pPr>
          </w:p>
        </w:tc>
        <w:tc>
          <w:tcPr>
            <w:tcW w:w="454" w:type="pct"/>
            <w:vMerge/>
          </w:tcPr>
          <w:p w14:paraId="045A7B0D" w14:textId="77777777" w:rsidR="00E12E4A" w:rsidRPr="00BD2EF1" w:rsidRDefault="00E12E4A" w:rsidP="00E12E4A">
            <w:pPr>
              <w:pStyle w:val="Standaard-Tabellen"/>
            </w:pPr>
          </w:p>
        </w:tc>
      </w:tr>
      <w:tr w:rsidR="00E12E4A" w:rsidRPr="00BD2EF1" w14:paraId="049C0A28" w14:textId="77777777" w:rsidTr="00E12E4A">
        <w:trPr>
          <w:trHeight w:val="611"/>
        </w:trPr>
        <w:tc>
          <w:tcPr>
            <w:tcW w:w="443" w:type="pct"/>
            <w:vMerge/>
            <w:shd w:val="clear" w:color="auto" w:fill="auto"/>
          </w:tcPr>
          <w:p w14:paraId="17F8A1CF" w14:textId="77777777" w:rsidR="00E12E4A" w:rsidRPr="00BD2EF1" w:rsidRDefault="00E12E4A" w:rsidP="00E12E4A">
            <w:pPr>
              <w:pStyle w:val="Standaard-Tabellen"/>
            </w:pPr>
          </w:p>
        </w:tc>
        <w:tc>
          <w:tcPr>
            <w:tcW w:w="545" w:type="pct"/>
            <w:vMerge/>
          </w:tcPr>
          <w:p w14:paraId="38642DE2" w14:textId="77777777" w:rsidR="00E12E4A" w:rsidRPr="00BD2EF1" w:rsidRDefault="00E12E4A" w:rsidP="00E12E4A">
            <w:pPr>
              <w:pStyle w:val="Standaard-Tabellen"/>
            </w:pPr>
          </w:p>
        </w:tc>
        <w:tc>
          <w:tcPr>
            <w:tcW w:w="890" w:type="pct"/>
            <w:vMerge/>
          </w:tcPr>
          <w:p w14:paraId="76410CF7" w14:textId="77777777" w:rsidR="00E12E4A" w:rsidRPr="00BD2EF1" w:rsidRDefault="00E12E4A" w:rsidP="00E12E4A">
            <w:pPr>
              <w:pStyle w:val="Standaard-Tabellen"/>
            </w:pPr>
          </w:p>
        </w:tc>
        <w:tc>
          <w:tcPr>
            <w:tcW w:w="544" w:type="pct"/>
            <w:vMerge/>
          </w:tcPr>
          <w:p w14:paraId="389B6614" w14:textId="77777777" w:rsidR="00E12E4A" w:rsidRPr="00BD2EF1" w:rsidRDefault="00E12E4A" w:rsidP="00E12E4A">
            <w:pPr>
              <w:pStyle w:val="Standaard-Tabellen"/>
            </w:pPr>
          </w:p>
        </w:tc>
        <w:tc>
          <w:tcPr>
            <w:tcW w:w="741" w:type="pct"/>
            <w:vMerge/>
          </w:tcPr>
          <w:p w14:paraId="3CA7DAF7" w14:textId="77777777" w:rsidR="00E12E4A" w:rsidRDefault="00E12E4A" w:rsidP="00E12E4A">
            <w:pPr>
              <w:pStyle w:val="Standaard-Tabellen"/>
              <w:rPr>
                <w:color w:val="000000"/>
                <w:szCs w:val="18"/>
              </w:rPr>
            </w:pPr>
          </w:p>
        </w:tc>
        <w:tc>
          <w:tcPr>
            <w:tcW w:w="198" w:type="pct"/>
          </w:tcPr>
          <w:p w14:paraId="0E881D6F" w14:textId="6425039D" w:rsidR="00E12E4A" w:rsidRPr="00BD2EF1" w:rsidRDefault="00E12E4A" w:rsidP="00E12E4A">
            <w:pPr>
              <w:pStyle w:val="Standaard-Tabellen"/>
            </w:pPr>
            <w:r>
              <w:t>1</w:t>
            </w:r>
          </w:p>
        </w:tc>
        <w:tc>
          <w:tcPr>
            <w:tcW w:w="346" w:type="pct"/>
          </w:tcPr>
          <w:p w14:paraId="16DDEDCA" w14:textId="77777777" w:rsidR="00E12E4A" w:rsidRPr="00BD2EF1" w:rsidRDefault="00E12E4A" w:rsidP="00E12E4A">
            <w:pPr>
              <w:pStyle w:val="Standaard-Tabellen"/>
              <w:jc w:val="center"/>
            </w:pPr>
            <w:r>
              <w:t>100-103</w:t>
            </w:r>
          </w:p>
        </w:tc>
        <w:tc>
          <w:tcPr>
            <w:tcW w:w="198" w:type="pct"/>
          </w:tcPr>
          <w:p w14:paraId="5AF81647" w14:textId="77777777" w:rsidR="00E12E4A" w:rsidRPr="00BD2EF1" w:rsidRDefault="00E12E4A" w:rsidP="00E12E4A">
            <w:pPr>
              <w:pStyle w:val="Standaard-Tabellen"/>
              <w:jc w:val="center"/>
            </w:pPr>
            <w:r>
              <w:t>102</w:t>
            </w:r>
          </w:p>
        </w:tc>
        <w:tc>
          <w:tcPr>
            <w:tcW w:w="247" w:type="pct"/>
          </w:tcPr>
          <w:p w14:paraId="7A7B8EF6" w14:textId="77777777" w:rsidR="00E12E4A" w:rsidRPr="00BD2EF1" w:rsidRDefault="00E12E4A" w:rsidP="00E12E4A">
            <w:pPr>
              <w:pStyle w:val="Standaard-Tabellen"/>
              <w:jc w:val="center"/>
            </w:pPr>
            <w:r>
              <w:t>1.7</w:t>
            </w:r>
          </w:p>
        </w:tc>
        <w:tc>
          <w:tcPr>
            <w:tcW w:w="394" w:type="pct"/>
            <w:vMerge/>
          </w:tcPr>
          <w:p w14:paraId="71286628" w14:textId="77777777" w:rsidR="00E12E4A" w:rsidRPr="00BD2EF1" w:rsidRDefault="00E12E4A" w:rsidP="00E12E4A">
            <w:pPr>
              <w:pStyle w:val="Standaard-Tabellen"/>
            </w:pPr>
          </w:p>
        </w:tc>
        <w:tc>
          <w:tcPr>
            <w:tcW w:w="454" w:type="pct"/>
            <w:vMerge/>
          </w:tcPr>
          <w:p w14:paraId="35E3F0DC" w14:textId="77777777" w:rsidR="00E12E4A" w:rsidRPr="00BD2EF1" w:rsidRDefault="00E12E4A" w:rsidP="00E12E4A">
            <w:pPr>
              <w:pStyle w:val="Standaard-Tabellen"/>
            </w:pPr>
          </w:p>
        </w:tc>
      </w:tr>
      <w:tr w:rsidR="00E12E4A" w:rsidRPr="00BD2EF1" w14:paraId="655466E8" w14:textId="77777777" w:rsidTr="00E12E4A">
        <w:trPr>
          <w:trHeight w:val="611"/>
        </w:trPr>
        <w:tc>
          <w:tcPr>
            <w:tcW w:w="443" w:type="pct"/>
            <w:vMerge/>
            <w:shd w:val="clear" w:color="auto" w:fill="auto"/>
          </w:tcPr>
          <w:p w14:paraId="713E5906" w14:textId="77777777" w:rsidR="00E12E4A" w:rsidRPr="00BD2EF1" w:rsidRDefault="00E12E4A" w:rsidP="00E12E4A">
            <w:pPr>
              <w:pStyle w:val="Standaard-Tabellen"/>
            </w:pPr>
          </w:p>
        </w:tc>
        <w:tc>
          <w:tcPr>
            <w:tcW w:w="545" w:type="pct"/>
            <w:vMerge/>
          </w:tcPr>
          <w:p w14:paraId="7FEA39BB" w14:textId="77777777" w:rsidR="00E12E4A" w:rsidRPr="00BD2EF1" w:rsidRDefault="00E12E4A" w:rsidP="00E12E4A">
            <w:pPr>
              <w:pStyle w:val="Standaard-Tabellen"/>
            </w:pPr>
          </w:p>
        </w:tc>
        <w:tc>
          <w:tcPr>
            <w:tcW w:w="890" w:type="pct"/>
            <w:vMerge/>
          </w:tcPr>
          <w:p w14:paraId="57B5B331" w14:textId="77777777" w:rsidR="00E12E4A" w:rsidRPr="00BD2EF1" w:rsidRDefault="00E12E4A" w:rsidP="00E12E4A">
            <w:pPr>
              <w:pStyle w:val="Standaard-Tabellen"/>
            </w:pPr>
          </w:p>
        </w:tc>
        <w:tc>
          <w:tcPr>
            <w:tcW w:w="544" w:type="pct"/>
            <w:vMerge/>
          </w:tcPr>
          <w:p w14:paraId="70A84D2B" w14:textId="77777777" w:rsidR="00E12E4A" w:rsidRPr="00BD2EF1" w:rsidRDefault="00E12E4A" w:rsidP="00E12E4A">
            <w:pPr>
              <w:pStyle w:val="Standaard-Tabellen"/>
            </w:pPr>
          </w:p>
        </w:tc>
        <w:tc>
          <w:tcPr>
            <w:tcW w:w="741" w:type="pct"/>
            <w:vMerge/>
          </w:tcPr>
          <w:p w14:paraId="03A559D2" w14:textId="77777777" w:rsidR="00E12E4A" w:rsidRDefault="00E12E4A" w:rsidP="00E12E4A">
            <w:pPr>
              <w:pStyle w:val="Standaard-Tabellen"/>
              <w:rPr>
                <w:color w:val="000000"/>
                <w:szCs w:val="18"/>
              </w:rPr>
            </w:pPr>
          </w:p>
        </w:tc>
        <w:tc>
          <w:tcPr>
            <w:tcW w:w="198" w:type="pct"/>
          </w:tcPr>
          <w:p w14:paraId="79736FAE" w14:textId="3D785AAF" w:rsidR="00E12E4A" w:rsidRPr="00BD2EF1" w:rsidRDefault="00E12E4A" w:rsidP="00E12E4A">
            <w:pPr>
              <w:pStyle w:val="Standaard-Tabellen"/>
            </w:pPr>
            <w:r>
              <w:t>5</w:t>
            </w:r>
          </w:p>
        </w:tc>
        <w:tc>
          <w:tcPr>
            <w:tcW w:w="346" w:type="pct"/>
          </w:tcPr>
          <w:p w14:paraId="5C904E5C" w14:textId="77777777" w:rsidR="00E12E4A" w:rsidRPr="00BD2EF1" w:rsidRDefault="00E12E4A" w:rsidP="00E12E4A">
            <w:pPr>
              <w:pStyle w:val="Standaard-Tabellen"/>
              <w:jc w:val="center"/>
            </w:pPr>
            <w:r>
              <w:t>102-108</w:t>
            </w:r>
          </w:p>
        </w:tc>
        <w:tc>
          <w:tcPr>
            <w:tcW w:w="198" w:type="pct"/>
          </w:tcPr>
          <w:p w14:paraId="271B0BD8" w14:textId="77777777" w:rsidR="00E12E4A" w:rsidRPr="00BD2EF1" w:rsidRDefault="00E12E4A" w:rsidP="00E12E4A">
            <w:pPr>
              <w:pStyle w:val="Standaard-Tabellen"/>
              <w:jc w:val="center"/>
            </w:pPr>
            <w:r>
              <w:t>104</w:t>
            </w:r>
          </w:p>
        </w:tc>
        <w:tc>
          <w:tcPr>
            <w:tcW w:w="247" w:type="pct"/>
          </w:tcPr>
          <w:p w14:paraId="53A230F0" w14:textId="77777777" w:rsidR="00E12E4A" w:rsidRPr="00BD2EF1" w:rsidRDefault="00E12E4A" w:rsidP="00E12E4A">
            <w:pPr>
              <w:pStyle w:val="Standaard-Tabellen"/>
              <w:jc w:val="center"/>
            </w:pPr>
            <w:r>
              <w:t>2.0</w:t>
            </w:r>
          </w:p>
        </w:tc>
        <w:tc>
          <w:tcPr>
            <w:tcW w:w="394" w:type="pct"/>
            <w:vMerge/>
          </w:tcPr>
          <w:p w14:paraId="103C4E5E" w14:textId="77777777" w:rsidR="00E12E4A" w:rsidRPr="00BD2EF1" w:rsidRDefault="00E12E4A" w:rsidP="00E12E4A">
            <w:pPr>
              <w:pStyle w:val="Standaard-Tabellen"/>
            </w:pPr>
          </w:p>
        </w:tc>
        <w:tc>
          <w:tcPr>
            <w:tcW w:w="454" w:type="pct"/>
            <w:vMerge/>
          </w:tcPr>
          <w:p w14:paraId="74972431" w14:textId="77777777" w:rsidR="00E12E4A" w:rsidRPr="00BD2EF1" w:rsidRDefault="00E12E4A" w:rsidP="00E12E4A">
            <w:pPr>
              <w:pStyle w:val="Standaard-Tabellen"/>
            </w:pPr>
          </w:p>
        </w:tc>
      </w:tr>
      <w:tr w:rsidR="00E12E4A" w:rsidRPr="00BD2EF1" w14:paraId="3B0C44B4" w14:textId="77777777" w:rsidTr="00E12E4A">
        <w:trPr>
          <w:trHeight w:val="612"/>
        </w:trPr>
        <w:tc>
          <w:tcPr>
            <w:tcW w:w="443" w:type="pct"/>
            <w:vMerge/>
            <w:shd w:val="clear" w:color="auto" w:fill="auto"/>
          </w:tcPr>
          <w:p w14:paraId="71FCBCE7" w14:textId="77777777" w:rsidR="00E12E4A" w:rsidRPr="00BD2EF1" w:rsidRDefault="00E12E4A" w:rsidP="00E12E4A">
            <w:pPr>
              <w:pStyle w:val="Standaard-Tabellen"/>
            </w:pPr>
          </w:p>
        </w:tc>
        <w:tc>
          <w:tcPr>
            <w:tcW w:w="545" w:type="pct"/>
            <w:vMerge/>
          </w:tcPr>
          <w:p w14:paraId="07E7D5F8" w14:textId="77777777" w:rsidR="00E12E4A" w:rsidRPr="00BD2EF1" w:rsidRDefault="00E12E4A" w:rsidP="00E12E4A">
            <w:pPr>
              <w:pStyle w:val="Standaard-Tabellen"/>
            </w:pPr>
          </w:p>
        </w:tc>
        <w:tc>
          <w:tcPr>
            <w:tcW w:w="890" w:type="pct"/>
          </w:tcPr>
          <w:p w14:paraId="2E66BF18" w14:textId="3DD6C22B" w:rsidR="00E12E4A" w:rsidRPr="00C07E47" w:rsidRDefault="00933ABE" w:rsidP="00C07E47">
            <w:pPr>
              <w:rPr>
                <w:color w:val="000000"/>
                <w:szCs w:val="18"/>
              </w:rPr>
            </w:pPr>
            <w:r>
              <w:rPr>
                <w:color w:val="000000"/>
                <w:sz w:val="18"/>
                <w:szCs w:val="18"/>
              </w:rPr>
              <w:t xml:space="preserve">2 </w:t>
            </w:r>
            <w:r w:rsidRPr="00C07E47">
              <w:rPr>
                <w:color w:val="000000"/>
                <w:sz w:val="18"/>
                <w:szCs w:val="18"/>
              </w:rPr>
              <w:t>levels (80 &amp; 120%)</w:t>
            </w:r>
          </w:p>
          <w:p w14:paraId="5C6FE39B" w14:textId="329CC4F5" w:rsidR="00933ABE" w:rsidRPr="00C07E47" w:rsidRDefault="00933ABE" w:rsidP="00C07E47">
            <w:pPr>
              <w:rPr>
                <w:color w:val="000000"/>
                <w:szCs w:val="18"/>
              </w:rPr>
            </w:pPr>
            <w:r>
              <w:rPr>
                <w:color w:val="000000"/>
                <w:sz w:val="18"/>
                <w:szCs w:val="18"/>
              </w:rPr>
              <w:t>5</w:t>
            </w:r>
            <w:r w:rsidRPr="00C07E47">
              <w:rPr>
                <w:color w:val="000000"/>
                <w:sz w:val="18"/>
                <w:szCs w:val="18"/>
              </w:rPr>
              <w:t xml:space="preserve"> replicates</w:t>
            </w:r>
          </w:p>
          <w:p w14:paraId="36BDCBF8" w14:textId="77777777" w:rsidR="00E12E4A" w:rsidRPr="00BD2EF1" w:rsidRDefault="00E12E4A" w:rsidP="00E12E4A">
            <w:pPr>
              <w:pStyle w:val="Standaard-Tabellen"/>
            </w:pPr>
          </w:p>
        </w:tc>
        <w:tc>
          <w:tcPr>
            <w:tcW w:w="544" w:type="pct"/>
          </w:tcPr>
          <w:p w14:paraId="2A46B12D" w14:textId="77777777" w:rsidR="00E12E4A" w:rsidRDefault="00E12E4A" w:rsidP="00E12E4A">
            <w:pPr>
              <w:pStyle w:val="Standaard-Tabellen"/>
              <w:rPr>
                <w:color w:val="000000"/>
                <w:szCs w:val="18"/>
                <w:lang w:val="fr-BE"/>
              </w:rPr>
            </w:pPr>
            <w:proofErr w:type="spellStart"/>
            <w:r w:rsidRPr="00B45F6B">
              <w:rPr>
                <w:color w:val="000000"/>
                <w:szCs w:val="18"/>
                <w:lang w:val="fr-BE"/>
              </w:rPr>
              <w:t>Regression</w:t>
            </w:r>
            <w:proofErr w:type="spellEnd"/>
            <w:r w:rsidRPr="00B45F6B">
              <w:rPr>
                <w:color w:val="000000"/>
                <w:szCs w:val="18"/>
                <w:lang w:val="fr-BE"/>
              </w:rPr>
              <w:t xml:space="preserve"> Coefficient (r2): </w:t>
            </w:r>
          </w:p>
          <w:p w14:paraId="7507DB25" w14:textId="77777777" w:rsidR="00E12E4A" w:rsidRDefault="00E12E4A" w:rsidP="00E12E4A">
            <w:pPr>
              <w:pStyle w:val="Standaard-Tabellen"/>
              <w:rPr>
                <w:color w:val="000000"/>
                <w:szCs w:val="18"/>
                <w:lang w:val="fr-BE"/>
              </w:rPr>
            </w:pPr>
            <w:r>
              <w:rPr>
                <w:color w:val="000000"/>
                <w:szCs w:val="18"/>
                <w:lang w:val="fr-BE"/>
              </w:rPr>
              <w:t>&gt; 0.9999</w:t>
            </w:r>
          </w:p>
          <w:p w14:paraId="496F0570" w14:textId="77777777" w:rsidR="00E12E4A" w:rsidRDefault="00E12E4A" w:rsidP="00E12E4A">
            <w:pPr>
              <w:pStyle w:val="Standaard-Tabellen"/>
              <w:rPr>
                <w:color w:val="000000"/>
                <w:szCs w:val="18"/>
                <w:lang w:val="fr-BE"/>
              </w:rPr>
            </w:pPr>
          </w:p>
          <w:p w14:paraId="2AD725A8" w14:textId="5FE15F8D" w:rsidR="00E12E4A" w:rsidRDefault="00E12E4A" w:rsidP="00E12E4A">
            <w:pPr>
              <w:pStyle w:val="Standaard-Tabellen"/>
              <w:rPr>
                <w:color w:val="000000"/>
                <w:szCs w:val="18"/>
                <w:lang w:val="fr-BE"/>
              </w:rPr>
            </w:pPr>
            <w:r w:rsidRPr="00B45F6B">
              <w:rPr>
                <w:color w:val="000000"/>
                <w:szCs w:val="18"/>
                <w:lang w:val="fr-BE"/>
              </w:rPr>
              <w:t>y = 239</w:t>
            </w:r>
            <w:r>
              <w:rPr>
                <w:color w:val="000000"/>
                <w:szCs w:val="18"/>
                <w:lang w:val="fr-BE"/>
              </w:rPr>
              <w:t>95</w:t>
            </w:r>
            <w:r w:rsidRPr="00B45F6B">
              <w:rPr>
                <w:color w:val="000000"/>
                <w:szCs w:val="18"/>
                <w:lang w:val="fr-BE"/>
              </w:rPr>
              <w:t xml:space="preserve">x </w:t>
            </w:r>
            <w:r w:rsidR="005C010D">
              <w:rPr>
                <w:color w:val="000000"/>
                <w:szCs w:val="18"/>
                <w:lang w:val="fr-BE"/>
              </w:rPr>
              <w:t>–</w:t>
            </w:r>
            <w:r w:rsidRPr="00B45F6B">
              <w:rPr>
                <w:color w:val="000000"/>
                <w:szCs w:val="18"/>
                <w:lang w:val="fr-BE"/>
              </w:rPr>
              <w:t xml:space="preserve"> </w:t>
            </w:r>
            <w:r>
              <w:rPr>
                <w:color w:val="000000"/>
                <w:szCs w:val="18"/>
                <w:lang w:val="fr-BE"/>
              </w:rPr>
              <w:t>280</w:t>
            </w:r>
          </w:p>
          <w:p w14:paraId="5044DB1A" w14:textId="77777777" w:rsidR="005C010D" w:rsidRDefault="005C010D" w:rsidP="00E12E4A">
            <w:pPr>
              <w:pStyle w:val="Standaard-Tabellen"/>
              <w:rPr>
                <w:color w:val="000000"/>
                <w:szCs w:val="18"/>
                <w:lang w:val="fr-BE"/>
              </w:rPr>
            </w:pPr>
          </w:p>
          <w:p w14:paraId="43308236" w14:textId="5FD0C19E" w:rsidR="005C010D" w:rsidRPr="000913F7" w:rsidRDefault="005C010D" w:rsidP="00E12E4A">
            <w:pPr>
              <w:pStyle w:val="Standaard-Tabellen"/>
              <w:rPr>
                <w:lang w:val="fr-BE"/>
              </w:rPr>
            </w:pPr>
            <w:r>
              <w:rPr>
                <w:color w:val="000000"/>
                <w:szCs w:val="18"/>
                <w:lang w:val="fr-BE"/>
              </w:rPr>
              <w:t>Range </w:t>
            </w:r>
            <w:r w:rsidR="00AD1758">
              <w:rPr>
                <w:color w:val="000000"/>
                <w:szCs w:val="18"/>
                <w:lang w:val="fr-BE"/>
              </w:rPr>
              <w:t>(n=7)</w:t>
            </w:r>
            <w:r>
              <w:rPr>
                <w:color w:val="000000"/>
                <w:szCs w:val="18"/>
                <w:lang w:val="fr-BE"/>
              </w:rPr>
              <w:t>: 1 – 50 mg/l</w:t>
            </w:r>
          </w:p>
        </w:tc>
        <w:tc>
          <w:tcPr>
            <w:tcW w:w="741" w:type="pct"/>
            <w:vMerge/>
          </w:tcPr>
          <w:p w14:paraId="37003A5E" w14:textId="77777777" w:rsidR="00E12E4A" w:rsidRPr="00E12E4A" w:rsidRDefault="00E12E4A" w:rsidP="00E12E4A">
            <w:pPr>
              <w:pStyle w:val="Standaard-Tabellen"/>
              <w:rPr>
                <w:lang w:val="fr-BE"/>
              </w:rPr>
            </w:pPr>
          </w:p>
        </w:tc>
        <w:tc>
          <w:tcPr>
            <w:tcW w:w="198" w:type="pct"/>
          </w:tcPr>
          <w:p w14:paraId="325A471F" w14:textId="78D13937" w:rsidR="00E12E4A" w:rsidRDefault="00BD5429" w:rsidP="00E12E4A">
            <w:pPr>
              <w:pStyle w:val="Standaard-Tabellen"/>
              <w:rPr>
                <w:lang w:val="fr-BE"/>
              </w:rPr>
            </w:pPr>
            <w:r>
              <w:rPr>
                <w:lang w:val="fr-BE"/>
              </w:rPr>
              <w:t>80</w:t>
            </w:r>
          </w:p>
          <w:p w14:paraId="08CC4406" w14:textId="0D8CD969" w:rsidR="00933ABE" w:rsidRDefault="00BD5429" w:rsidP="00E12E4A">
            <w:pPr>
              <w:pStyle w:val="Standaard-Tabellen"/>
              <w:pBdr>
                <w:top w:val="single" w:sz="6" w:space="1" w:color="auto"/>
                <w:bottom w:val="single" w:sz="6" w:space="1" w:color="auto"/>
              </w:pBdr>
              <w:rPr>
                <w:lang w:val="fr-BE"/>
              </w:rPr>
            </w:pPr>
            <w:r>
              <w:rPr>
                <w:lang w:val="fr-BE"/>
              </w:rPr>
              <w:t>80</w:t>
            </w:r>
          </w:p>
          <w:p w14:paraId="5340877E" w14:textId="357EC542" w:rsidR="00BD5429" w:rsidRDefault="00BD5429" w:rsidP="00E12E4A">
            <w:pPr>
              <w:pStyle w:val="Standaard-Tabellen"/>
              <w:pBdr>
                <w:bottom w:val="single" w:sz="6" w:space="1" w:color="auto"/>
                <w:between w:val="single" w:sz="6" w:space="1" w:color="auto"/>
              </w:pBdr>
              <w:rPr>
                <w:lang w:val="fr-BE"/>
              </w:rPr>
            </w:pPr>
            <w:r>
              <w:rPr>
                <w:lang w:val="fr-BE"/>
              </w:rPr>
              <w:t>120</w:t>
            </w:r>
          </w:p>
          <w:p w14:paraId="1ECBFF71" w14:textId="66CF6A14" w:rsidR="00933ABE" w:rsidRPr="00E12E4A" w:rsidRDefault="00933ABE" w:rsidP="00E12E4A">
            <w:pPr>
              <w:pStyle w:val="Standaard-Tabellen"/>
              <w:rPr>
                <w:lang w:val="fr-BE"/>
              </w:rPr>
            </w:pPr>
            <w:r>
              <w:rPr>
                <w:lang w:val="fr-BE"/>
              </w:rPr>
              <w:t>120</w:t>
            </w:r>
          </w:p>
        </w:tc>
        <w:tc>
          <w:tcPr>
            <w:tcW w:w="346" w:type="pct"/>
          </w:tcPr>
          <w:p w14:paraId="7EFB5A26" w14:textId="75B4467A" w:rsidR="00933ABE" w:rsidRDefault="00BD5429" w:rsidP="00BD5429">
            <w:pPr>
              <w:pStyle w:val="Standaard-Tabellen"/>
              <w:jc w:val="center"/>
            </w:pPr>
            <w:r>
              <w:t>95-108</w:t>
            </w:r>
          </w:p>
          <w:p w14:paraId="325F76E2" w14:textId="3B4792FD" w:rsidR="00BD5429" w:rsidRDefault="00BD5429" w:rsidP="00C07E47">
            <w:pPr>
              <w:pStyle w:val="Standaard-Tabellen"/>
              <w:pBdr>
                <w:top w:val="single" w:sz="6" w:space="1" w:color="auto"/>
                <w:bottom w:val="single" w:sz="6" w:space="1" w:color="auto"/>
              </w:pBdr>
              <w:jc w:val="center"/>
            </w:pPr>
            <w:r>
              <w:t>99-101</w:t>
            </w:r>
          </w:p>
          <w:p w14:paraId="0FA4ED75" w14:textId="6DE018DB" w:rsidR="00BD5429" w:rsidRDefault="00BD5429" w:rsidP="00C07E47">
            <w:pPr>
              <w:pStyle w:val="Standaard-Tabellen"/>
              <w:pBdr>
                <w:bottom w:val="single" w:sz="6" w:space="1" w:color="auto"/>
                <w:between w:val="single" w:sz="6" w:space="1" w:color="auto"/>
              </w:pBdr>
              <w:jc w:val="center"/>
            </w:pPr>
            <w:r>
              <w:t>100-101</w:t>
            </w:r>
          </w:p>
          <w:p w14:paraId="13135CFB" w14:textId="6DE018DB" w:rsidR="00933ABE" w:rsidRPr="00BD2EF1" w:rsidRDefault="00933ABE" w:rsidP="00E12E4A">
            <w:pPr>
              <w:pStyle w:val="Standaard-Tabellen"/>
              <w:jc w:val="center"/>
            </w:pPr>
            <w:r>
              <w:t>100-10</w:t>
            </w:r>
            <w:r w:rsidR="00BD5429">
              <w:t>2</w:t>
            </w:r>
          </w:p>
        </w:tc>
        <w:tc>
          <w:tcPr>
            <w:tcW w:w="198" w:type="pct"/>
          </w:tcPr>
          <w:p w14:paraId="33A06E63" w14:textId="61F78A62" w:rsidR="00933ABE" w:rsidRDefault="00E12E4A" w:rsidP="00E12E4A">
            <w:pPr>
              <w:pStyle w:val="Standaard-Tabellen"/>
              <w:jc w:val="center"/>
            </w:pPr>
            <w:r>
              <w:t>10</w:t>
            </w:r>
            <w:r w:rsidR="00BD5429">
              <w:t>1</w:t>
            </w:r>
          </w:p>
          <w:p w14:paraId="5462DD9D" w14:textId="77777777" w:rsidR="00933ABE" w:rsidRDefault="00933ABE" w:rsidP="00E12E4A">
            <w:pPr>
              <w:pStyle w:val="Standaard-Tabellen"/>
              <w:pBdr>
                <w:top w:val="single" w:sz="6" w:space="1" w:color="auto"/>
                <w:bottom w:val="single" w:sz="6" w:space="1" w:color="auto"/>
              </w:pBdr>
              <w:jc w:val="center"/>
            </w:pPr>
            <w:r>
              <w:t>100</w:t>
            </w:r>
          </w:p>
          <w:p w14:paraId="189DE57F" w14:textId="77777777" w:rsidR="00BD5429" w:rsidRDefault="00BD5429" w:rsidP="00E12E4A">
            <w:pPr>
              <w:pStyle w:val="Standaard-Tabellen"/>
              <w:pBdr>
                <w:bottom w:val="single" w:sz="6" w:space="1" w:color="auto"/>
                <w:between w:val="single" w:sz="6" w:space="1" w:color="auto"/>
              </w:pBdr>
              <w:jc w:val="center"/>
            </w:pPr>
            <w:r>
              <w:t>100</w:t>
            </w:r>
          </w:p>
          <w:p w14:paraId="68E2D53C" w14:textId="2D7DFA6C" w:rsidR="00BD5429" w:rsidRPr="00BD2EF1" w:rsidRDefault="00BD5429" w:rsidP="00E12E4A">
            <w:pPr>
              <w:pStyle w:val="Standaard-Tabellen"/>
              <w:jc w:val="center"/>
            </w:pPr>
            <w:r>
              <w:t>101</w:t>
            </w:r>
          </w:p>
        </w:tc>
        <w:tc>
          <w:tcPr>
            <w:tcW w:w="247" w:type="pct"/>
          </w:tcPr>
          <w:p w14:paraId="08C13E98" w14:textId="4AE5A1ED" w:rsidR="00BD5429" w:rsidRDefault="00BD5429" w:rsidP="00BD5429">
            <w:pPr>
              <w:pStyle w:val="Standaard-Tabellen"/>
              <w:jc w:val="center"/>
            </w:pPr>
            <w:r>
              <w:t>5.1</w:t>
            </w:r>
          </w:p>
          <w:p w14:paraId="3DBB89F1" w14:textId="0B8403BE" w:rsidR="00BD5429" w:rsidRDefault="00BD5429" w:rsidP="00C07E47">
            <w:pPr>
              <w:pStyle w:val="Standaard-Tabellen"/>
              <w:pBdr>
                <w:top w:val="single" w:sz="6" w:space="1" w:color="auto"/>
                <w:bottom w:val="single" w:sz="6" w:space="1" w:color="auto"/>
              </w:pBdr>
              <w:jc w:val="center"/>
            </w:pPr>
            <w:r>
              <w:t>0.9</w:t>
            </w:r>
          </w:p>
          <w:p w14:paraId="552B81E1" w14:textId="677414DB" w:rsidR="00BD5429" w:rsidRDefault="00BD5429" w:rsidP="00C07E47">
            <w:pPr>
              <w:pStyle w:val="Standaard-Tabellen"/>
              <w:pBdr>
                <w:bottom w:val="single" w:sz="6" w:space="1" w:color="auto"/>
                <w:between w:val="single" w:sz="6" w:space="1" w:color="auto"/>
              </w:pBdr>
              <w:jc w:val="center"/>
            </w:pPr>
            <w:r>
              <w:t>0.5</w:t>
            </w:r>
          </w:p>
          <w:p w14:paraId="537585BC" w14:textId="6CF286AD" w:rsidR="00BD5429" w:rsidRDefault="00BD5429" w:rsidP="00C07E47">
            <w:pPr>
              <w:pStyle w:val="Standaard-Tabellen"/>
              <w:jc w:val="center"/>
            </w:pPr>
            <w:r>
              <w:t>0.9</w:t>
            </w:r>
          </w:p>
          <w:p w14:paraId="611B46A5" w14:textId="0F182C05" w:rsidR="00BD5429" w:rsidRPr="00BD2EF1" w:rsidRDefault="00BD5429" w:rsidP="00E12E4A">
            <w:pPr>
              <w:pStyle w:val="Standaard-Tabellen"/>
              <w:jc w:val="center"/>
            </w:pPr>
          </w:p>
        </w:tc>
        <w:tc>
          <w:tcPr>
            <w:tcW w:w="394" w:type="pct"/>
            <w:vMerge/>
          </w:tcPr>
          <w:p w14:paraId="6E721EB3" w14:textId="77777777" w:rsidR="00E12E4A" w:rsidRPr="00BD2EF1" w:rsidRDefault="00E12E4A" w:rsidP="00E12E4A">
            <w:pPr>
              <w:pStyle w:val="Standaard-Tabellen"/>
            </w:pPr>
          </w:p>
        </w:tc>
        <w:tc>
          <w:tcPr>
            <w:tcW w:w="454" w:type="pct"/>
          </w:tcPr>
          <w:p w14:paraId="2B10B569" w14:textId="77777777" w:rsidR="00E12E4A" w:rsidRPr="00BD2EF1" w:rsidRDefault="00E12E4A" w:rsidP="00E12E4A">
            <w:pPr>
              <w:pStyle w:val="Standaard-Tabellen"/>
            </w:pPr>
            <w:r>
              <w:rPr>
                <w:rFonts w:eastAsia="Calibri"/>
              </w:rPr>
              <w:t xml:space="preserve">Report no. 98322204, </w:t>
            </w:r>
            <w:proofErr w:type="spellStart"/>
            <w:r>
              <w:rPr>
                <w:rFonts w:eastAsia="Calibri"/>
              </w:rPr>
              <w:t>Fieseler</w:t>
            </w:r>
            <w:proofErr w:type="spellEnd"/>
            <w:r>
              <w:rPr>
                <w:rFonts w:eastAsia="Calibri"/>
              </w:rPr>
              <w:t>, A. 2015</w:t>
            </w:r>
          </w:p>
        </w:tc>
      </w:tr>
    </w:tbl>
    <w:p w14:paraId="577E1E87" w14:textId="4CDB5FDE" w:rsidR="00EB316C" w:rsidRDefault="00EB316C" w:rsidP="00EB316C"/>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87"/>
        <w:gridCol w:w="1436"/>
        <w:gridCol w:w="2053"/>
        <w:gridCol w:w="1310"/>
        <w:gridCol w:w="1494"/>
        <w:gridCol w:w="1021"/>
        <w:gridCol w:w="1021"/>
        <w:gridCol w:w="1021"/>
        <w:gridCol w:w="1935"/>
        <w:gridCol w:w="1456"/>
      </w:tblGrid>
      <w:tr w:rsidR="00104B49" w14:paraId="6A0E83AB" w14:textId="77777777" w:rsidTr="00104B49">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02D96BF0" w14:textId="77777777" w:rsidR="00104B49" w:rsidRDefault="00104B49">
            <w:pPr>
              <w:keepNext/>
              <w:widowControl w:val="0"/>
              <w:autoSpaceDE w:val="0"/>
              <w:autoSpaceDN w:val="0"/>
              <w:adjustRightInd w:val="0"/>
              <w:spacing w:line="256" w:lineRule="auto"/>
              <w:jc w:val="center"/>
              <w:rPr>
                <w:b/>
                <w:bCs/>
                <w:sz w:val="18"/>
                <w:szCs w:val="18"/>
              </w:rPr>
            </w:pPr>
            <w:r>
              <w:rPr>
                <w:rFonts w:eastAsia="Calibri"/>
                <w:b/>
              </w:rPr>
              <w:t>Analytical methods for monitoring</w:t>
            </w:r>
          </w:p>
        </w:tc>
      </w:tr>
      <w:tr w:rsidR="00104B49" w14:paraId="6BDEF631" w14:textId="77777777" w:rsidTr="00104B49">
        <w:trPr>
          <w:cantSplit/>
          <w:trHeight w:val="352"/>
        </w:trPr>
        <w:tc>
          <w:tcPr>
            <w:tcW w:w="554" w:type="pct"/>
            <w:vMerge w:val="restart"/>
            <w:tcBorders>
              <w:top w:val="single" w:sz="6" w:space="0" w:color="auto"/>
              <w:left w:val="single" w:sz="4" w:space="0" w:color="auto"/>
              <w:bottom w:val="single" w:sz="6" w:space="0" w:color="auto"/>
              <w:right w:val="single" w:sz="6" w:space="0" w:color="auto"/>
            </w:tcBorders>
            <w:shd w:val="clear" w:color="auto" w:fill="FFFFFF"/>
            <w:hideMark/>
          </w:tcPr>
          <w:p w14:paraId="49DE1AC7"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Analyte (type of analyte e.g. active substance)</w:t>
            </w:r>
          </w:p>
        </w:tc>
        <w:tc>
          <w:tcPr>
            <w:tcW w:w="501"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68B62519"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Analytical method</w:t>
            </w:r>
          </w:p>
        </w:tc>
        <w:tc>
          <w:tcPr>
            <w:tcW w:w="716"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2EBA23FF" w14:textId="77777777" w:rsidR="00104B49" w:rsidRDefault="00104B49">
            <w:pPr>
              <w:keepNext/>
              <w:widowControl w:val="0"/>
              <w:autoSpaceDE w:val="0"/>
              <w:autoSpaceDN w:val="0"/>
              <w:adjustRightInd w:val="0"/>
              <w:spacing w:line="256" w:lineRule="auto"/>
              <w:rPr>
                <w:b/>
                <w:bCs/>
                <w:sz w:val="18"/>
                <w:szCs w:val="18"/>
              </w:rPr>
            </w:pPr>
            <w:r>
              <w:rPr>
                <w:b/>
                <w:bCs/>
                <w:sz w:val="18"/>
                <w:szCs w:val="18"/>
              </w:rPr>
              <w:t>Fortification range / Number of measurements</w:t>
            </w:r>
          </w:p>
        </w:tc>
        <w:tc>
          <w:tcPr>
            <w:tcW w:w="457"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3603C767" w14:textId="77777777" w:rsidR="00104B49" w:rsidRDefault="00104B49">
            <w:pPr>
              <w:keepNext/>
              <w:widowControl w:val="0"/>
              <w:autoSpaceDE w:val="0"/>
              <w:autoSpaceDN w:val="0"/>
              <w:adjustRightInd w:val="0"/>
              <w:spacing w:line="256" w:lineRule="auto"/>
              <w:rPr>
                <w:b/>
                <w:bCs/>
                <w:sz w:val="18"/>
                <w:szCs w:val="18"/>
              </w:rPr>
            </w:pPr>
            <w:r>
              <w:rPr>
                <w:b/>
                <w:bCs/>
                <w:sz w:val="18"/>
                <w:szCs w:val="18"/>
              </w:rPr>
              <w:t>Linearity</w:t>
            </w:r>
          </w:p>
        </w:tc>
        <w:tc>
          <w:tcPr>
            <w:tcW w:w="521"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4A05851F" w14:textId="77777777" w:rsidR="00104B49" w:rsidRDefault="00104B49">
            <w:pPr>
              <w:keepNext/>
              <w:widowControl w:val="0"/>
              <w:autoSpaceDE w:val="0"/>
              <w:autoSpaceDN w:val="0"/>
              <w:adjustRightInd w:val="0"/>
              <w:spacing w:line="256" w:lineRule="auto"/>
              <w:rPr>
                <w:b/>
                <w:bCs/>
                <w:sz w:val="18"/>
                <w:szCs w:val="18"/>
              </w:rPr>
            </w:pPr>
            <w:r>
              <w:rPr>
                <w:b/>
                <w:bCs/>
                <w:sz w:val="18"/>
                <w:szCs w:val="18"/>
              </w:rPr>
              <w:t>Specificity</w:t>
            </w:r>
          </w:p>
        </w:tc>
        <w:tc>
          <w:tcPr>
            <w:tcW w:w="1067" w:type="pct"/>
            <w:gridSpan w:val="3"/>
            <w:tcBorders>
              <w:top w:val="single" w:sz="6" w:space="0" w:color="auto"/>
              <w:left w:val="single" w:sz="6" w:space="0" w:color="auto"/>
              <w:bottom w:val="single" w:sz="6" w:space="0" w:color="auto"/>
              <w:right w:val="single" w:sz="6" w:space="0" w:color="auto"/>
            </w:tcBorders>
            <w:shd w:val="clear" w:color="auto" w:fill="FFFFFF"/>
            <w:hideMark/>
          </w:tcPr>
          <w:p w14:paraId="50D0D3C6" w14:textId="77777777" w:rsidR="00104B49" w:rsidRDefault="00104B49">
            <w:pPr>
              <w:keepNext/>
              <w:widowControl w:val="0"/>
              <w:autoSpaceDE w:val="0"/>
              <w:autoSpaceDN w:val="0"/>
              <w:adjustRightInd w:val="0"/>
              <w:spacing w:line="256" w:lineRule="auto"/>
              <w:rPr>
                <w:b/>
                <w:bCs/>
                <w:sz w:val="18"/>
                <w:szCs w:val="18"/>
              </w:rPr>
            </w:pPr>
            <w:r>
              <w:rPr>
                <w:b/>
                <w:bCs/>
                <w:sz w:val="18"/>
                <w:szCs w:val="18"/>
              </w:rPr>
              <w:t>Recovery rate (%)</w:t>
            </w:r>
          </w:p>
        </w:tc>
        <w:tc>
          <w:tcPr>
            <w:tcW w:w="675"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765920C7" w14:textId="77777777" w:rsidR="00104B49" w:rsidRDefault="00104B49">
            <w:pPr>
              <w:keepNext/>
              <w:widowControl w:val="0"/>
              <w:autoSpaceDE w:val="0"/>
              <w:autoSpaceDN w:val="0"/>
              <w:adjustRightInd w:val="0"/>
              <w:spacing w:line="256" w:lineRule="auto"/>
              <w:rPr>
                <w:b/>
                <w:bCs/>
                <w:sz w:val="18"/>
                <w:szCs w:val="18"/>
              </w:rPr>
            </w:pPr>
            <w:r>
              <w:rPr>
                <w:b/>
                <w:bCs/>
                <w:sz w:val="18"/>
                <w:szCs w:val="18"/>
              </w:rPr>
              <w:t>Limit of quantification (LOQ) or other limits</w:t>
            </w:r>
          </w:p>
        </w:tc>
        <w:tc>
          <w:tcPr>
            <w:tcW w:w="509" w:type="pct"/>
            <w:vMerge w:val="restart"/>
            <w:tcBorders>
              <w:top w:val="single" w:sz="6" w:space="0" w:color="auto"/>
              <w:left w:val="single" w:sz="6" w:space="0" w:color="auto"/>
              <w:bottom w:val="single" w:sz="6" w:space="0" w:color="auto"/>
              <w:right w:val="single" w:sz="4" w:space="0" w:color="auto"/>
            </w:tcBorders>
            <w:shd w:val="clear" w:color="auto" w:fill="FFFFFF"/>
            <w:hideMark/>
          </w:tcPr>
          <w:p w14:paraId="544B67EE" w14:textId="77777777" w:rsidR="00104B49" w:rsidRDefault="00104B49">
            <w:pPr>
              <w:keepNext/>
              <w:widowControl w:val="0"/>
              <w:autoSpaceDE w:val="0"/>
              <w:autoSpaceDN w:val="0"/>
              <w:adjustRightInd w:val="0"/>
              <w:spacing w:line="256" w:lineRule="auto"/>
              <w:rPr>
                <w:b/>
                <w:bCs/>
                <w:sz w:val="18"/>
                <w:szCs w:val="18"/>
              </w:rPr>
            </w:pPr>
            <w:r>
              <w:rPr>
                <w:b/>
                <w:bCs/>
                <w:sz w:val="18"/>
                <w:szCs w:val="18"/>
              </w:rPr>
              <w:t>Reference</w:t>
            </w:r>
          </w:p>
        </w:tc>
      </w:tr>
      <w:tr w:rsidR="00104B49" w14:paraId="6C63229E" w14:textId="77777777" w:rsidTr="00104B49">
        <w:tc>
          <w:tcPr>
            <w:tcW w:w="0" w:type="auto"/>
            <w:vMerge/>
            <w:tcBorders>
              <w:top w:val="single" w:sz="6" w:space="0" w:color="auto"/>
              <w:left w:val="single" w:sz="4" w:space="0" w:color="auto"/>
              <w:bottom w:val="single" w:sz="6" w:space="0" w:color="auto"/>
              <w:right w:val="single" w:sz="6" w:space="0" w:color="auto"/>
            </w:tcBorders>
            <w:vAlign w:val="center"/>
            <w:hideMark/>
          </w:tcPr>
          <w:p w14:paraId="6397A2BF"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4B576C"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65A280"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17E14A"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2AB717" w14:textId="77777777" w:rsidR="00104B49" w:rsidRDefault="00104B49">
            <w:pPr>
              <w:spacing w:before="0" w:after="0" w:line="256" w:lineRule="auto"/>
              <w:rPr>
                <w:b/>
                <w:bCs/>
                <w:sz w:val="18"/>
                <w:szCs w:val="18"/>
              </w:rPr>
            </w:pPr>
          </w:p>
        </w:tc>
        <w:tc>
          <w:tcPr>
            <w:tcW w:w="356" w:type="pct"/>
            <w:tcBorders>
              <w:top w:val="single" w:sz="6" w:space="0" w:color="auto"/>
              <w:left w:val="single" w:sz="6" w:space="0" w:color="auto"/>
              <w:bottom w:val="single" w:sz="6" w:space="0" w:color="auto"/>
              <w:right w:val="single" w:sz="6" w:space="0" w:color="auto"/>
            </w:tcBorders>
            <w:hideMark/>
          </w:tcPr>
          <w:p w14:paraId="4EBEB3B6" w14:textId="77777777" w:rsidR="00104B49" w:rsidRDefault="00104B49">
            <w:pPr>
              <w:spacing w:line="256" w:lineRule="auto"/>
              <w:rPr>
                <w:color w:val="000000"/>
                <w:sz w:val="18"/>
                <w:szCs w:val="18"/>
              </w:rPr>
            </w:pPr>
            <w:r>
              <w:rPr>
                <w:color w:val="000000"/>
                <w:sz w:val="18"/>
                <w:szCs w:val="18"/>
              </w:rPr>
              <w:t>Range</w:t>
            </w:r>
          </w:p>
        </w:tc>
        <w:tc>
          <w:tcPr>
            <w:tcW w:w="356" w:type="pct"/>
            <w:tcBorders>
              <w:top w:val="single" w:sz="6" w:space="0" w:color="auto"/>
              <w:left w:val="single" w:sz="6" w:space="0" w:color="auto"/>
              <w:bottom w:val="single" w:sz="6" w:space="0" w:color="auto"/>
              <w:right w:val="single" w:sz="6" w:space="0" w:color="auto"/>
            </w:tcBorders>
            <w:hideMark/>
          </w:tcPr>
          <w:p w14:paraId="05013C77" w14:textId="77777777" w:rsidR="00104B49" w:rsidRDefault="00104B49">
            <w:pPr>
              <w:spacing w:line="256" w:lineRule="auto"/>
              <w:rPr>
                <w:color w:val="000000"/>
                <w:sz w:val="18"/>
                <w:szCs w:val="18"/>
              </w:rPr>
            </w:pPr>
            <w:r>
              <w:rPr>
                <w:color w:val="000000"/>
                <w:sz w:val="18"/>
                <w:szCs w:val="18"/>
              </w:rPr>
              <w:t>Mean</w:t>
            </w:r>
          </w:p>
        </w:tc>
        <w:tc>
          <w:tcPr>
            <w:tcW w:w="356" w:type="pct"/>
            <w:tcBorders>
              <w:top w:val="single" w:sz="6" w:space="0" w:color="auto"/>
              <w:left w:val="single" w:sz="6" w:space="0" w:color="auto"/>
              <w:bottom w:val="single" w:sz="6" w:space="0" w:color="auto"/>
              <w:right w:val="single" w:sz="6" w:space="0" w:color="auto"/>
            </w:tcBorders>
            <w:hideMark/>
          </w:tcPr>
          <w:p w14:paraId="1B795190" w14:textId="77777777" w:rsidR="00104B49" w:rsidRDefault="00104B49">
            <w:pPr>
              <w:spacing w:line="256" w:lineRule="auto"/>
              <w:rPr>
                <w:color w:val="000000"/>
                <w:sz w:val="18"/>
                <w:szCs w:val="18"/>
              </w:rPr>
            </w:pPr>
            <w:r>
              <w:rPr>
                <w:color w:val="000000"/>
                <w:sz w:val="18"/>
                <w:szCs w:val="18"/>
              </w:rPr>
              <w:t>RSD</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3ABADC"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201F5095" w14:textId="77777777" w:rsidR="00104B49" w:rsidRDefault="00104B49">
            <w:pPr>
              <w:spacing w:before="0" w:after="0" w:line="256" w:lineRule="auto"/>
              <w:rPr>
                <w:b/>
                <w:bCs/>
                <w:sz w:val="18"/>
                <w:szCs w:val="18"/>
              </w:rPr>
            </w:pPr>
          </w:p>
        </w:tc>
      </w:tr>
      <w:tr w:rsidR="00104B49" w14:paraId="6DC69AD8" w14:textId="77777777" w:rsidTr="00104B49">
        <w:tc>
          <w:tcPr>
            <w:tcW w:w="554" w:type="pct"/>
            <w:tcBorders>
              <w:top w:val="single" w:sz="6" w:space="0" w:color="auto"/>
              <w:left w:val="single" w:sz="4" w:space="0" w:color="auto"/>
              <w:bottom w:val="single" w:sz="4" w:space="0" w:color="auto"/>
              <w:right w:val="single" w:sz="6" w:space="0" w:color="auto"/>
            </w:tcBorders>
            <w:hideMark/>
          </w:tcPr>
          <w:p w14:paraId="3233F3F9" w14:textId="77777777" w:rsidR="00104B49" w:rsidRDefault="00104B49">
            <w:pPr>
              <w:spacing w:line="256" w:lineRule="auto"/>
              <w:rPr>
                <w:color w:val="000000"/>
                <w:sz w:val="18"/>
                <w:szCs w:val="18"/>
              </w:rPr>
            </w:pPr>
            <w:r>
              <w:rPr>
                <w:color w:val="000000"/>
                <w:sz w:val="18"/>
                <w:szCs w:val="18"/>
              </w:rPr>
              <w:t>See AR IR3535</w:t>
            </w:r>
          </w:p>
        </w:tc>
        <w:tc>
          <w:tcPr>
            <w:tcW w:w="501" w:type="pct"/>
            <w:tcBorders>
              <w:top w:val="single" w:sz="6" w:space="0" w:color="auto"/>
              <w:left w:val="single" w:sz="6" w:space="0" w:color="auto"/>
              <w:bottom w:val="single" w:sz="4" w:space="0" w:color="auto"/>
              <w:right w:val="single" w:sz="6" w:space="0" w:color="auto"/>
            </w:tcBorders>
            <w:hideMark/>
          </w:tcPr>
          <w:p w14:paraId="0E235294" w14:textId="77777777" w:rsidR="00104B49" w:rsidRDefault="00104B49">
            <w:pPr>
              <w:spacing w:line="256" w:lineRule="auto"/>
              <w:rPr>
                <w:color w:val="000000"/>
                <w:sz w:val="18"/>
                <w:szCs w:val="18"/>
              </w:rPr>
            </w:pPr>
            <w:r>
              <w:rPr>
                <w:color w:val="000000"/>
                <w:sz w:val="18"/>
                <w:szCs w:val="18"/>
              </w:rPr>
              <w:t>See AR IR3535</w:t>
            </w:r>
          </w:p>
        </w:tc>
        <w:tc>
          <w:tcPr>
            <w:tcW w:w="716" w:type="pct"/>
            <w:tcBorders>
              <w:top w:val="single" w:sz="6" w:space="0" w:color="auto"/>
              <w:left w:val="single" w:sz="6" w:space="0" w:color="auto"/>
              <w:bottom w:val="single" w:sz="4" w:space="0" w:color="auto"/>
              <w:right w:val="single" w:sz="6" w:space="0" w:color="auto"/>
            </w:tcBorders>
            <w:hideMark/>
          </w:tcPr>
          <w:p w14:paraId="7C23B74D" w14:textId="77777777" w:rsidR="00104B49" w:rsidRDefault="00104B49">
            <w:pPr>
              <w:spacing w:line="256" w:lineRule="auto"/>
              <w:rPr>
                <w:color w:val="000000"/>
                <w:sz w:val="18"/>
                <w:szCs w:val="18"/>
              </w:rPr>
            </w:pPr>
            <w:r>
              <w:rPr>
                <w:color w:val="000000"/>
                <w:sz w:val="18"/>
                <w:szCs w:val="18"/>
              </w:rPr>
              <w:t>See AR IR3535</w:t>
            </w:r>
          </w:p>
        </w:tc>
        <w:tc>
          <w:tcPr>
            <w:tcW w:w="457" w:type="pct"/>
            <w:tcBorders>
              <w:top w:val="single" w:sz="6" w:space="0" w:color="auto"/>
              <w:left w:val="single" w:sz="6" w:space="0" w:color="auto"/>
              <w:bottom w:val="single" w:sz="4" w:space="0" w:color="auto"/>
              <w:right w:val="single" w:sz="6" w:space="0" w:color="auto"/>
            </w:tcBorders>
            <w:hideMark/>
          </w:tcPr>
          <w:p w14:paraId="013C0661" w14:textId="77777777" w:rsidR="00104B49" w:rsidRDefault="00104B49">
            <w:pPr>
              <w:spacing w:line="256" w:lineRule="auto"/>
              <w:rPr>
                <w:color w:val="000000"/>
                <w:sz w:val="18"/>
                <w:szCs w:val="18"/>
              </w:rPr>
            </w:pPr>
            <w:r>
              <w:rPr>
                <w:color w:val="000000"/>
                <w:sz w:val="18"/>
                <w:szCs w:val="18"/>
              </w:rPr>
              <w:t>See AR IR3535</w:t>
            </w:r>
          </w:p>
        </w:tc>
        <w:tc>
          <w:tcPr>
            <w:tcW w:w="521" w:type="pct"/>
            <w:tcBorders>
              <w:top w:val="single" w:sz="6" w:space="0" w:color="auto"/>
              <w:left w:val="single" w:sz="6" w:space="0" w:color="auto"/>
              <w:bottom w:val="single" w:sz="4" w:space="0" w:color="auto"/>
              <w:right w:val="single" w:sz="6" w:space="0" w:color="auto"/>
            </w:tcBorders>
            <w:hideMark/>
          </w:tcPr>
          <w:p w14:paraId="76CD5F06" w14:textId="77777777" w:rsidR="00104B49" w:rsidRDefault="00104B49">
            <w:pPr>
              <w:spacing w:line="256" w:lineRule="auto"/>
              <w:rPr>
                <w:color w:val="000000"/>
                <w:sz w:val="18"/>
                <w:szCs w:val="18"/>
              </w:rPr>
            </w:pPr>
            <w:r>
              <w:rPr>
                <w:color w:val="000000"/>
                <w:sz w:val="18"/>
                <w:szCs w:val="18"/>
              </w:rPr>
              <w:t>See AR IR3535</w:t>
            </w:r>
          </w:p>
        </w:tc>
        <w:tc>
          <w:tcPr>
            <w:tcW w:w="356" w:type="pct"/>
            <w:tcBorders>
              <w:top w:val="single" w:sz="6" w:space="0" w:color="auto"/>
              <w:left w:val="single" w:sz="6" w:space="0" w:color="auto"/>
              <w:bottom w:val="single" w:sz="4" w:space="0" w:color="auto"/>
              <w:right w:val="single" w:sz="6" w:space="0" w:color="auto"/>
            </w:tcBorders>
            <w:hideMark/>
          </w:tcPr>
          <w:p w14:paraId="3FC35454" w14:textId="77777777" w:rsidR="00104B49" w:rsidRDefault="00104B49">
            <w:pPr>
              <w:spacing w:line="256" w:lineRule="auto"/>
              <w:rPr>
                <w:color w:val="000000"/>
                <w:sz w:val="18"/>
                <w:szCs w:val="18"/>
              </w:rPr>
            </w:pPr>
            <w:r>
              <w:rPr>
                <w:color w:val="000000"/>
                <w:sz w:val="18"/>
                <w:szCs w:val="18"/>
              </w:rPr>
              <w:t>See AR IR3535</w:t>
            </w:r>
          </w:p>
        </w:tc>
        <w:tc>
          <w:tcPr>
            <w:tcW w:w="356" w:type="pct"/>
            <w:tcBorders>
              <w:top w:val="single" w:sz="6" w:space="0" w:color="auto"/>
              <w:left w:val="single" w:sz="6" w:space="0" w:color="auto"/>
              <w:bottom w:val="single" w:sz="4" w:space="0" w:color="auto"/>
              <w:right w:val="single" w:sz="6" w:space="0" w:color="auto"/>
            </w:tcBorders>
            <w:hideMark/>
          </w:tcPr>
          <w:p w14:paraId="4386F627" w14:textId="77777777" w:rsidR="00104B49" w:rsidRDefault="00104B49">
            <w:pPr>
              <w:spacing w:line="256" w:lineRule="auto"/>
              <w:rPr>
                <w:color w:val="000000"/>
                <w:sz w:val="18"/>
                <w:szCs w:val="18"/>
              </w:rPr>
            </w:pPr>
            <w:r>
              <w:rPr>
                <w:color w:val="000000"/>
                <w:sz w:val="18"/>
                <w:szCs w:val="18"/>
              </w:rPr>
              <w:t>See AR IR3535</w:t>
            </w:r>
          </w:p>
        </w:tc>
        <w:tc>
          <w:tcPr>
            <w:tcW w:w="356" w:type="pct"/>
            <w:tcBorders>
              <w:top w:val="single" w:sz="6" w:space="0" w:color="auto"/>
              <w:left w:val="single" w:sz="6" w:space="0" w:color="auto"/>
              <w:bottom w:val="single" w:sz="4" w:space="0" w:color="auto"/>
              <w:right w:val="single" w:sz="6" w:space="0" w:color="auto"/>
            </w:tcBorders>
            <w:hideMark/>
          </w:tcPr>
          <w:p w14:paraId="2B9E15A1" w14:textId="77777777" w:rsidR="00104B49" w:rsidRDefault="00104B49">
            <w:pPr>
              <w:spacing w:line="256" w:lineRule="auto"/>
              <w:rPr>
                <w:color w:val="000000"/>
                <w:sz w:val="18"/>
                <w:szCs w:val="18"/>
              </w:rPr>
            </w:pPr>
            <w:r>
              <w:rPr>
                <w:color w:val="000000"/>
                <w:sz w:val="18"/>
                <w:szCs w:val="18"/>
              </w:rPr>
              <w:t>See AR IR3535</w:t>
            </w:r>
          </w:p>
        </w:tc>
        <w:tc>
          <w:tcPr>
            <w:tcW w:w="675" w:type="pct"/>
            <w:tcBorders>
              <w:top w:val="single" w:sz="6" w:space="0" w:color="auto"/>
              <w:left w:val="single" w:sz="6" w:space="0" w:color="auto"/>
              <w:bottom w:val="single" w:sz="4" w:space="0" w:color="auto"/>
              <w:right w:val="single" w:sz="6" w:space="0" w:color="auto"/>
            </w:tcBorders>
            <w:hideMark/>
          </w:tcPr>
          <w:p w14:paraId="6AB084B2" w14:textId="77777777" w:rsidR="00104B49" w:rsidRDefault="00104B49">
            <w:pPr>
              <w:spacing w:line="256" w:lineRule="auto"/>
              <w:rPr>
                <w:color w:val="000000"/>
                <w:sz w:val="18"/>
                <w:szCs w:val="18"/>
              </w:rPr>
            </w:pPr>
            <w:r>
              <w:rPr>
                <w:color w:val="000000"/>
                <w:sz w:val="18"/>
                <w:szCs w:val="18"/>
              </w:rPr>
              <w:t>See AR IR3535</w:t>
            </w:r>
          </w:p>
        </w:tc>
        <w:tc>
          <w:tcPr>
            <w:tcW w:w="509" w:type="pct"/>
            <w:tcBorders>
              <w:top w:val="single" w:sz="6" w:space="0" w:color="auto"/>
              <w:left w:val="single" w:sz="6" w:space="0" w:color="auto"/>
              <w:bottom w:val="single" w:sz="4" w:space="0" w:color="auto"/>
              <w:right w:val="single" w:sz="4" w:space="0" w:color="auto"/>
            </w:tcBorders>
            <w:hideMark/>
          </w:tcPr>
          <w:p w14:paraId="10DF9E3F" w14:textId="77777777" w:rsidR="00104B49" w:rsidRDefault="00104B49">
            <w:pPr>
              <w:spacing w:line="256" w:lineRule="auto"/>
              <w:rPr>
                <w:color w:val="000000"/>
                <w:sz w:val="18"/>
                <w:szCs w:val="18"/>
              </w:rPr>
            </w:pPr>
            <w:r>
              <w:rPr>
                <w:color w:val="000000"/>
                <w:sz w:val="18"/>
                <w:szCs w:val="18"/>
              </w:rPr>
              <w:t>See AR IR3535</w:t>
            </w:r>
          </w:p>
        </w:tc>
      </w:tr>
    </w:tbl>
    <w:p w14:paraId="772F4701" w14:textId="77777777" w:rsidR="00104B49" w:rsidRDefault="00104B49" w:rsidP="00104B49">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58"/>
        <w:gridCol w:w="1499"/>
        <w:gridCol w:w="2147"/>
        <w:gridCol w:w="1364"/>
        <w:gridCol w:w="1556"/>
        <w:gridCol w:w="937"/>
        <w:gridCol w:w="825"/>
        <w:gridCol w:w="799"/>
        <w:gridCol w:w="2024"/>
        <w:gridCol w:w="1525"/>
      </w:tblGrid>
      <w:tr w:rsidR="00104B49" w14:paraId="536843D7" w14:textId="77777777" w:rsidTr="00104B49">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6BC3D8FD" w14:textId="77777777" w:rsidR="00104B49" w:rsidRDefault="00104B49">
            <w:pPr>
              <w:keepNext/>
              <w:widowControl w:val="0"/>
              <w:autoSpaceDE w:val="0"/>
              <w:autoSpaceDN w:val="0"/>
              <w:adjustRightInd w:val="0"/>
              <w:spacing w:line="256" w:lineRule="auto"/>
              <w:jc w:val="center"/>
              <w:rPr>
                <w:b/>
                <w:bCs/>
                <w:sz w:val="18"/>
                <w:szCs w:val="18"/>
              </w:rPr>
            </w:pPr>
            <w:r>
              <w:rPr>
                <w:rFonts w:eastAsia="Calibri"/>
                <w:b/>
              </w:rPr>
              <w:t>Analytical methods for soil</w:t>
            </w:r>
          </w:p>
        </w:tc>
      </w:tr>
      <w:tr w:rsidR="00104B49" w14:paraId="25D4AA92" w14:textId="77777777" w:rsidTr="00104B49">
        <w:trPr>
          <w:cantSplit/>
          <w:trHeight w:val="352"/>
        </w:trPr>
        <w:tc>
          <w:tcPr>
            <w:tcW w:w="582" w:type="pct"/>
            <w:vMerge w:val="restart"/>
            <w:tcBorders>
              <w:top w:val="single" w:sz="6" w:space="0" w:color="auto"/>
              <w:left w:val="single" w:sz="4" w:space="0" w:color="auto"/>
              <w:bottom w:val="single" w:sz="6" w:space="0" w:color="auto"/>
              <w:right w:val="single" w:sz="6" w:space="0" w:color="auto"/>
            </w:tcBorders>
            <w:shd w:val="clear" w:color="auto" w:fill="FFFFFF"/>
            <w:hideMark/>
          </w:tcPr>
          <w:p w14:paraId="61FF7887"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Analyte (type of analyte e.g. active substance)</w:t>
            </w:r>
          </w:p>
        </w:tc>
        <w:tc>
          <w:tcPr>
            <w:tcW w:w="526"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20BFC2B0"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Analytical method</w:t>
            </w:r>
          </w:p>
        </w:tc>
        <w:tc>
          <w:tcPr>
            <w:tcW w:w="752"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779CA623" w14:textId="77777777" w:rsidR="00104B49" w:rsidRDefault="00104B49">
            <w:pPr>
              <w:keepNext/>
              <w:widowControl w:val="0"/>
              <w:autoSpaceDE w:val="0"/>
              <w:autoSpaceDN w:val="0"/>
              <w:adjustRightInd w:val="0"/>
              <w:spacing w:line="256" w:lineRule="auto"/>
              <w:rPr>
                <w:b/>
                <w:bCs/>
                <w:sz w:val="18"/>
                <w:szCs w:val="18"/>
              </w:rPr>
            </w:pPr>
            <w:r>
              <w:rPr>
                <w:b/>
                <w:bCs/>
                <w:sz w:val="18"/>
                <w:szCs w:val="18"/>
              </w:rPr>
              <w:t>Fortification range / Number of measurements</w:t>
            </w:r>
          </w:p>
        </w:tc>
        <w:tc>
          <w:tcPr>
            <w:tcW w:w="479"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4F9E8280" w14:textId="77777777" w:rsidR="00104B49" w:rsidRDefault="00104B49">
            <w:pPr>
              <w:keepNext/>
              <w:widowControl w:val="0"/>
              <w:autoSpaceDE w:val="0"/>
              <w:autoSpaceDN w:val="0"/>
              <w:adjustRightInd w:val="0"/>
              <w:spacing w:line="256" w:lineRule="auto"/>
              <w:rPr>
                <w:b/>
                <w:bCs/>
                <w:sz w:val="18"/>
                <w:szCs w:val="18"/>
              </w:rPr>
            </w:pPr>
            <w:r>
              <w:rPr>
                <w:b/>
                <w:bCs/>
                <w:sz w:val="18"/>
                <w:szCs w:val="18"/>
              </w:rPr>
              <w:t>Linearity</w:t>
            </w:r>
          </w:p>
        </w:tc>
        <w:tc>
          <w:tcPr>
            <w:tcW w:w="546"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0F015706" w14:textId="77777777" w:rsidR="00104B49" w:rsidRDefault="00104B49">
            <w:pPr>
              <w:keepNext/>
              <w:widowControl w:val="0"/>
              <w:autoSpaceDE w:val="0"/>
              <w:autoSpaceDN w:val="0"/>
              <w:adjustRightInd w:val="0"/>
              <w:spacing w:line="256" w:lineRule="auto"/>
              <w:rPr>
                <w:b/>
                <w:bCs/>
                <w:sz w:val="18"/>
                <w:szCs w:val="18"/>
              </w:rPr>
            </w:pPr>
            <w:r>
              <w:rPr>
                <w:b/>
                <w:bCs/>
                <w:sz w:val="18"/>
                <w:szCs w:val="18"/>
              </w:rPr>
              <w:t>Specificity</w:t>
            </w:r>
          </w:p>
        </w:tc>
        <w:tc>
          <w:tcPr>
            <w:tcW w:w="871" w:type="pct"/>
            <w:gridSpan w:val="3"/>
            <w:tcBorders>
              <w:top w:val="single" w:sz="6" w:space="0" w:color="auto"/>
              <w:left w:val="single" w:sz="6" w:space="0" w:color="auto"/>
              <w:bottom w:val="single" w:sz="6" w:space="0" w:color="auto"/>
              <w:right w:val="single" w:sz="6" w:space="0" w:color="auto"/>
            </w:tcBorders>
            <w:shd w:val="clear" w:color="auto" w:fill="FFFFFF"/>
            <w:hideMark/>
          </w:tcPr>
          <w:p w14:paraId="41743195" w14:textId="77777777" w:rsidR="00104B49" w:rsidRDefault="00104B49">
            <w:pPr>
              <w:keepNext/>
              <w:widowControl w:val="0"/>
              <w:autoSpaceDE w:val="0"/>
              <w:autoSpaceDN w:val="0"/>
              <w:adjustRightInd w:val="0"/>
              <w:spacing w:line="256" w:lineRule="auto"/>
              <w:rPr>
                <w:b/>
                <w:bCs/>
                <w:sz w:val="18"/>
                <w:szCs w:val="18"/>
              </w:rPr>
            </w:pPr>
            <w:r>
              <w:rPr>
                <w:b/>
                <w:bCs/>
                <w:sz w:val="18"/>
                <w:szCs w:val="18"/>
              </w:rPr>
              <w:t>Recovery rate (%)</w:t>
            </w:r>
          </w:p>
        </w:tc>
        <w:tc>
          <w:tcPr>
            <w:tcW w:w="709"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219F0802" w14:textId="77777777" w:rsidR="00104B49" w:rsidRDefault="00104B49">
            <w:pPr>
              <w:keepNext/>
              <w:widowControl w:val="0"/>
              <w:autoSpaceDE w:val="0"/>
              <w:autoSpaceDN w:val="0"/>
              <w:adjustRightInd w:val="0"/>
              <w:spacing w:line="256" w:lineRule="auto"/>
              <w:rPr>
                <w:b/>
                <w:bCs/>
                <w:sz w:val="18"/>
                <w:szCs w:val="18"/>
              </w:rPr>
            </w:pPr>
            <w:r>
              <w:rPr>
                <w:b/>
                <w:bCs/>
                <w:sz w:val="18"/>
                <w:szCs w:val="18"/>
              </w:rPr>
              <w:t>Limit of quantification (LOQ) or other limits</w:t>
            </w:r>
          </w:p>
        </w:tc>
        <w:tc>
          <w:tcPr>
            <w:tcW w:w="534" w:type="pct"/>
            <w:vMerge w:val="restart"/>
            <w:tcBorders>
              <w:top w:val="single" w:sz="6" w:space="0" w:color="auto"/>
              <w:left w:val="single" w:sz="6" w:space="0" w:color="auto"/>
              <w:bottom w:val="single" w:sz="6" w:space="0" w:color="auto"/>
              <w:right w:val="single" w:sz="4" w:space="0" w:color="auto"/>
            </w:tcBorders>
            <w:shd w:val="clear" w:color="auto" w:fill="FFFFFF"/>
            <w:hideMark/>
          </w:tcPr>
          <w:p w14:paraId="6D02F743" w14:textId="77777777" w:rsidR="00104B49" w:rsidRDefault="00104B49">
            <w:pPr>
              <w:keepNext/>
              <w:widowControl w:val="0"/>
              <w:autoSpaceDE w:val="0"/>
              <w:autoSpaceDN w:val="0"/>
              <w:adjustRightInd w:val="0"/>
              <w:spacing w:line="256" w:lineRule="auto"/>
              <w:rPr>
                <w:b/>
                <w:bCs/>
                <w:sz w:val="18"/>
                <w:szCs w:val="18"/>
              </w:rPr>
            </w:pPr>
            <w:r>
              <w:rPr>
                <w:b/>
                <w:bCs/>
                <w:sz w:val="18"/>
                <w:szCs w:val="18"/>
              </w:rPr>
              <w:t>Reference</w:t>
            </w:r>
          </w:p>
        </w:tc>
      </w:tr>
      <w:tr w:rsidR="00104B49" w14:paraId="41D1003B" w14:textId="77777777" w:rsidTr="00104B49">
        <w:tc>
          <w:tcPr>
            <w:tcW w:w="0" w:type="auto"/>
            <w:vMerge/>
            <w:tcBorders>
              <w:top w:val="single" w:sz="6" w:space="0" w:color="auto"/>
              <w:left w:val="single" w:sz="4" w:space="0" w:color="auto"/>
              <w:bottom w:val="single" w:sz="6" w:space="0" w:color="auto"/>
              <w:right w:val="single" w:sz="6" w:space="0" w:color="auto"/>
            </w:tcBorders>
            <w:vAlign w:val="center"/>
            <w:hideMark/>
          </w:tcPr>
          <w:p w14:paraId="6AA065CC"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6E3D3F"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305035"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81F58B"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B5ABBC" w14:textId="77777777" w:rsidR="00104B49" w:rsidRDefault="00104B49">
            <w:pPr>
              <w:spacing w:before="0" w:after="0" w:line="256" w:lineRule="auto"/>
              <w:rPr>
                <w:b/>
                <w:bCs/>
                <w:sz w:val="18"/>
                <w:szCs w:val="18"/>
              </w:rPr>
            </w:pPr>
          </w:p>
        </w:tc>
        <w:tc>
          <w:tcPr>
            <w:tcW w:w="330" w:type="pct"/>
            <w:tcBorders>
              <w:top w:val="single" w:sz="6" w:space="0" w:color="auto"/>
              <w:left w:val="single" w:sz="6" w:space="0" w:color="auto"/>
              <w:bottom w:val="single" w:sz="6" w:space="0" w:color="auto"/>
              <w:right w:val="single" w:sz="6" w:space="0" w:color="auto"/>
            </w:tcBorders>
            <w:hideMark/>
          </w:tcPr>
          <w:p w14:paraId="568A4E1F" w14:textId="77777777" w:rsidR="00104B49" w:rsidRDefault="00104B49">
            <w:pPr>
              <w:spacing w:line="256" w:lineRule="auto"/>
              <w:rPr>
                <w:color w:val="000000"/>
                <w:sz w:val="18"/>
                <w:szCs w:val="18"/>
              </w:rPr>
            </w:pPr>
            <w:r>
              <w:rPr>
                <w:color w:val="000000"/>
                <w:sz w:val="18"/>
                <w:szCs w:val="18"/>
              </w:rPr>
              <w:t>Range</w:t>
            </w:r>
          </w:p>
        </w:tc>
        <w:tc>
          <w:tcPr>
            <w:tcW w:w="291" w:type="pct"/>
            <w:tcBorders>
              <w:top w:val="single" w:sz="6" w:space="0" w:color="auto"/>
              <w:left w:val="single" w:sz="6" w:space="0" w:color="auto"/>
              <w:bottom w:val="single" w:sz="6" w:space="0" w:color="auto"/>
              <w:right w:val="single" w:sz="6" w:space="0" w:color="auto"/>
            </w:tcBorders>
            <w:hideMark/>
          </w:tcPr>
          <w:p w14:paraId="12E3DAA6" w14:textId="77777777" w:rsidR="00104B49" w:rsidRDefault="00104B49">
            <w:pPr>
              <w:spacing w:line="256" w:lineRule="auto"/>
              <w:rPr>
                <w:color w:val="000000"/>
                <w:sz w:val="18"/>
                <w:szCs w:val="18"/>
              </w:rPr>
            </w:pPr>
            <w:r>
              <w:rPr>
                <w:color w:val="000000"/>
                <w:sz w:val="18"/>
                <w:szCs w:val="18"/>
              </w:rPr>
              <w:t>Mean</w:t>
            </w:r>
          </w:p>
        </w:tc>
        <w:tc>
          <w:tcPr>
            <w:tcW w:w="249" w:type="pct"/>
            <w:tcBorders>
              <w:top w:val="single" w:sz="6" w:space="0" w:color="auto"/>
              <w:left w:val="single" w:sz="6" w:space="0" w:color="auto"/>
              <w:bottom w:val="single" w:sz="6" w:space="0" w:color="auto"/>
              <w:right w:val="single" w:sz="6" w:space="0" w:color="auto"/>
            </w:tcBorders>
            <w:hideMark/>
          </w:tcPr>
          <w:p w14:paraId="4A47CE8C" w14:textId="77777777" w:rsidR="00104B49" w:rsidRDefault="00104B49">
            <w:pPr>
              <w:spacing w:line="256" w:lineRule="auto"/>
              <w:rPr>
                <w:color w:val="000000"/>
                <w:sz w:val="18"/>
                <w:szCs w:val="18"/>
              </w:rPr>
            </w:pPr>
            <w:r>
              <w:rPr>
                <w:color w:val="000000"/>
                <w:sz w:val="18"/>
                <w:szCs w:val="18"/>
              </w:rPr>
              <w:t>RSD</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CBAC33"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399E41E" w14:textId="77777777" w:rsidR="00104B49" w:rsidRDefault="00104B49">
            <w:pPr>
              <w:spacing w:before="0" w:after="0" w:line="256" w:lineRule="auto"/>
              <w:rPr>
                <w:b/>
                <w:bCs/>
                <w:sz w:val="18"/>
                <w:szCs w:val="18"/>
              </w:rPr>
            </w:pPr>
          </w:p>
        </w:tc>
      </w:tr>
      <w:tr w:rsidR="00104B49" w14:paraId="658B5335" w14:textId="77777777" w:rsidTr="00104B49">
        <w:tc>
          <w:tcPr>
            <w:tcW w:w="582" w:type="pct"/>
            <w:tcBorders>
              <w:top w:val="single" w:sz="6" w:space="0" w:color="auto"/>
              <w:left w:val="single" w:sz="4" w:space="0" w:color="auto"/>
              <w:bottom w:val="single" w:sz="4" w:space="0" w:color="auto"/>
              <w:right w:val="single" w:sz="6" w:space="0" w:color="auto"/>
            </w:tcBorders>
            <w:hideMark/>
          </w:tcPr>
          <w:p w14:paraId="0A02AD28" w14:textId="77777777" w:rsidR="00104B49" w:rsidRDefault="00104B49">
            <w:pPr>
              <w:spacing w:line="256" w:lineRule="auto"/>
              <w:rPr>
                <w:i/>
                <w:color w:val="000000"/>
                <w:sz w:val="18"/>
                <w:szCs w:val="18"/>
              </w:rPr>
            </w:pPr>
            <w:r>
              <w:rPr>
                <w:color w:val="000000"/>
                <w:sz w:val="18"/>
                <w:szCs w:val="18"/>
              </w:rPr>
              <w:t>See AR IR3535</w:t>
            </w:r>
          </w:p>
        </w:tc>
        <w:tc>
          <w:tcPr>
            <w:tcW w:w="526" w:type="pct"/>
            <w:tcBorders>
              <w:top w:val="single" w:sz="6" w:space="0" w:color="auto"/>
              <w:left w:val="single" w:sz="6" w:space="0" w:color="auto"/>
              <w:bottom w:val="single" w:sz="4" w:space="0" w:color="auto"/>
              <w:right w:val="single" w:sz="6" w:space="0" w:color="auto"/>
            </w:tcBorders>
            <w:hideMark/>
          </w:tcPr>
          <w:p w14:paraId="23B98337" w14:textId="77777777" w:rsidR="00104B49" w:rsidRDefault="00104B49">
            <w:pPr>
              <w:spacing w:line="256" w:lineRule="auto"/>
              <w:rPr>
                <w:color w:val="000000"/>
                <w:sz w:val="18"/>
                <w:szCs w:val="18"/>
              </w:rPr>
            </w:pPr>
            <w:r>
              <w:rPr>
                <w:color w:val="000000"/>
                <w:sz w:val="18"/>
                <w:szCs w:val="18"/>
              </w:rPr>
              <w:t>See AR IR3535</w:t>
            </w:r>
          </w:p>
        </w:tc>
        <w:tc>
          <w:tcPr>
            <w:tcW w:w="752" w:type="pct"/>
            <w:tcBorders>
              <w:top w:val="single" w:sz="6" w:space="0" w:color="auto"/>
              <w:left w:val="single" w:sz="6" w:space="0" w:color="auto"/>
              <w:bottom w:val="single" w:sz="4" w:space="0" w:color="auto"/>
              <w:right w:val="single" w:sz="6" w:space="0" w:color="auto"/>
            </w:tcBorders>
            <w:hideMark/>
          </w:tcPr>
          <w:p w14:paraId="1EEBAADA" w14:textId="77777777" w:rsidR="00104B49" w:rsidRDefault="00104B49">
            <w:pPr>
              <w:spacing w:line="256" w:lineRule="auto"/>
              <w:rPr>
                <w:color w:val="000000"/>
                <w:sz w:val="18"/>
                <w:szCs w:val="18"/>
              </w:rPr>
            </w:pPr>
            <w:r>
              <w:rPr>
                <w:color w:val="000000"/>
                <w:sz w:val="18"/>
                <w:szCs w:val="18"/>
              </w:rPr>
              <w:t>See AR IR3535</w:t>
            </w:r>
          </w:p>
        </w:tc>
        <w:tc>
          <w:tcPr>
            <w:tcW w:w="479" w:type="pct"/>
            <w:tcBorders>
              <w:top w:val="single" w:sz="6" w:space="0" w:color="auto"/>
              <w:left w:val="single" w:sz="6" w:space="0" w:color="auto"/>
              <w:bottom w:val="single" w:sz="4" w:space="0" w:color="auto"/>
              <w:right w:val="single" w:sz="6" w:space="0" w:color="auto"/>
            </w:tcBorders>
            <w:hideMark/>
          </w:tcPr>
          <w:p w14:paraId="520626D0" w14:textId="77777777" w:rsidR="00104B49" w:rsidRDefault="00104B49">
            <w:pPr>
              <w:spacing w:line="256" w:lineRule="auto"/>
              <w:rPr>
                <w:color w:val="000000"/>
                <w:sz w:val="18"/>
                <w:szCs w:val="18"/>
              </w:rPr>
            </w:pPr>
            <w:r>
              <w:rPr>
                <w:color w:val="000000"/>
                <w:sz w:val="18"/>
                <w:szCs w:val="18"/>
              </w:rPr>
              <w:t>See AR IR3535</w:t>
            </w:r>
          </w:p>
        </w:tc>
        <w:tc>
          <w:tcPr>
            <w:tcW w:w="546" w:type="pct"/>
            <w:tcBorders>
              <w:top w:val="single" w:sz="6" w:space="0" w:color="auto"/>
              <w:left w:val="single" w:sz="6" w:space="0" w:color="auto"/>
              <w:bottom w:val="single" w:sz="4" w:space="0" w:color="auto"/>
              <w:right w:val="single" w:sz="6" w:space="0" w:color="auto"/>
            </w:tcBorders>
            <w:hideMark/>
          </w:tcPr>
          <w:p w14:paraId="510BED8D" w14:textId="77777777" w:rsidR="00104B49" w:rsidRDefault="00104B49">
            <w:pPr>
              <w:spacing w:line="256" w:lineRule="auto"/>
              <w:rPr>
                <w:color w:val="000000"/>
                <w:sz w:val="18"/>
                <w:szCs w:val="18"/>
              </w:rPr>
            </w:pPr>
            <w:r>
              <w:rPr>
                <w:color w:val="000000"/>
                <w:sz w:val="18"/>
                <w:szCs w:val="18"/>
              </w:rPr>
              <w:t>See AR IR3535</w:t>
            </w:r>
          </w:p>
        </w:tc>
        <w:tc>
          <w:tcPr>
            <w:tcW w:w="330" w:type="pct"/>
            <w:tcBorders>
              <w:top w:val="single" w:sz="6" w:space="0" w:color="auto"/>
              <w:left w:val="single" w:sz="6" w:space="0" w:color="auto"/>
              <w:bottom w:val="single" w:sz="4" w:space="0" w:color="auto"/>
              <w:right w:val="single" w:sz="6" w:space="0" w:color="auto"/>
            </w:tcBorders>
            <w:hideMark/>
          </w:tcPr>
          <w:p w14:paraId="51A51AF4" w14:textId="77777777" w:rsidR="00104B49" w:rsidRDefault="00104B49">
            <w:pPr>
              <w:spacing w:line="256" w:lineRule="auto"/>
              <w:rPr>
                <w:color w:val="000000"/>
                <w:sz w:val="18"/>
                <w:szCs w:val="18"/>
              </w:rPr>
            </w:pPr>
            <w:r>
              <w:rPr>
                <w:color w:val="000000"/>
                <w:sz w:val="18"/>
                <w:szCs w:val="18"/>
              </w:rPr>
              <w:t>See AR IR3535</w:t>
            </w:r>
          </w:p>
        </w:tc>
        <w:tc>
          <w:tcPr>
            <w:tcW w:w="291" w:type="pct"/>
            <w:tcBorders>
              <w:top w:val="single" w:sz="6" w:space="0" w:color="auto"/>
              <w:left w:val="single" w:sz="6" w:space="0" w:color="auto"/>
              <w:bottom w:val="single" w:sz="4" w:space="0" w:color="auto"/>
              <w:right w:val="single" w:sz="6" w:space="0" w:color="auto"/>
            </w:tcBorders>
            <w:hideMark/>
          </w:tcPr>
          <w:p w14:paraId="4607EF96" w14:textId="77777777" w:rsidR="00104B49" w:rsidRDefault="00104B49">
            <w:pPr>
              <w:spacing w:line="256" w:lineRule="auto"/>
              <w:rPr>
                <w:color w:val="000000"/>
                <w:sz w:val="18"/>
                <w:szCs w:val="18"/>
              </w:rPr>
            </w:pPr>
            <w:r>
              <w:rPr>
                <w:color w:val="000000"/>
                <w:sz w:val="18"/>
                <w:szCs w:val="18"/>
              </w:rPr>
              <w:t>See AR IR3535</w:t>
            </w:r>
          </w:p>
        </w:tc>
        <w:tc>
          <w:tcPr>
            <w:tcW w:w="249" w:type="pct"/>
            <w:tcBorders>
              <w:top w:val="single" w:sz="6" w:space="0" w:color="auto"/>
              <w:left w:val="single" w:sz="6" w:space="0" w:color="auto"/>
              <w:bottom w:val="single" w:sz="4" w:space="0" w:color="auto"/>
              <w:right w:val="single" w:sz="6" w:space="0" w:color="auto"/>
            </w:tcBorders>
            <w:hideMark/>
          </w:tcPr>
          <w:p w14:paraId="397F2B61" w14:textId="77777777" w:rsidR="00104B49" w:rsidRDefault="00104B49">
            <w:pPr>
              <w:spacing w:line="256" w:lineRule="auto"/>
              <w:rPr>
                <w:color w:val="000000"/>
                <w:sz w:val="18"/>
                <w:szCs w:val="18"/>
              </w:rPr>
            </w:pPr>
            <w:r>
              <w:rPr>
                <w:color w:val="000000"/>
                <w:sz w:val="18"/>
                <w:szCs w:val="18"/>
              </w:rPr>
              <w:t>See AR IR3535</w:t>
            </w:r>
          </w:p>
        </w:tc>
        <w:tc>
          <w:tcPr>
            <w:tcW w:w="709" w:type="pct"/>
            <w:tcBorders>
              <w:top w:val="single" w:sz="6" w:space="0" w:color="auto"/>
              <w:left w:val="single" w:sz="6" w:space="0" w:color="auto"/>
              <w:bottom w:val="single" w:sz="4" w:space="0" w:color="auto"/>
              <w:right w:val="single" w:sz="6" w:space="0" w:color="auto"/>
            </w:tcBorders>
            <w:hideMark/>
          </w:tcPr>
          <w:p w14:paraId="5EAFF291" w14:textId="77777777" w:rsidR="00104B49" w:rsidRDefault="00104B49">
            <w:pPr>
              <w:spacing w:line="256" w:lineRule="auto"/>
              <w:rPr>
                <w:color w:val="000000"/>
                <w:sz w:val="18"/>
                <w:szCs w:val="18"/>
              </w:rPr>
            </w:pPr>
            <w:r>
              <w:rPr>
                <w:color w:val="000000"/>
                <w:sz w:val="18"/>
                <w:szCs w:val="18"/>
              </w:rPr>
              <w:t>See AR IR3535</w:t>
            </w:r>
          </w:p>
        </w:tc>
        <w:tc>
          <w:tcPr>
            <w:tcW w:w="534" w:type="pct"/>
            <w:tcBorders>
              <w:top w:val="single" w:sz="6" w:space="0" w:color="auto"/>
              <w:left w:val="single" w:sz="6" w:space="0" w:color="auto"/>
              <w:bottom w:val="single" w:sz="4" w:space="0" w:color="auto"/>
              <w:right w:val="single" w:sz="4" w:space="0" w:color="auto"/>
            </w:tcBorders>
            <w:hideMark/>
          </w:tcPr>
          <w:p w14:paraId="1EF985B6" w14:textId="77777777" w:rsidR="00104B49" w:rsidRDefault="00104B49">
            <w:pPr>
              <w:spacing w:line="256" w:lineRule="auto"/>
              <w:rPr>
                <w:color w:val="000000"/>
                <w:sz w:val="18"/>
                <w:szCs w:val="18"/>
              </w:rPr>
            </w:pPr>
            <w:r>
              <w:rPr>
                <w:color w:val="000000"/>
                <w:sz w:val="18"/>
                <w:szCs w:val="18"/>
              </w:rPr>
              <w:t>See AR IR3535</w:t>
            </w:r>
          </w:p>
        </w:tc>
      </w:tr>
    </w:tbl>
    <w:p w14:paraId="2D040C05" w14:textId="77777777" w:rsidR="00104B49" w:rsidRDefault="00104B49" w:rsidP="00104B49">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58"/>
        <w:gridCol w:w="1499"/>
        <w:gridCol w:w="2147"/>
        <w:gridCol w:w="1364"/>
        <w:gridCol w:w="1556"/>
        <w:gridCol w:w="937"/>
        <w:gridCol w:w="825"/>
        <w:gridCol w:w="799"/>
        <w:gridCol w:w="2024"/>
        <w:gridCol w:w="1525"/>
      </w:tblGrid>
      <w:tr w:rsidR="00104B49" w14:paraId="3ABC77E3" w14:textId="77777777" w:rsidTr="00104B49">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0F4DE7A6" w14:textId="77777777" w:rsidR="00104B49" w:rsidRDefault="00104B49">
            <w:pPr>
              <w:keepNext/>
              <w:widowControl w:val="0"/>
              <w:autoSpaceDE w:val="0"/>
              <w:autoSpaceDN w:val="0"/>
              <w:adjustRightInd w:val="0"/>
              <w:spacing w:line="256" w:lineRule="auto"/>
              <w:jc w:val="center"/>
              <w:rPr>
                <w:b/>
                <w:bCs/>
                <w:sz w:val="18"/>
                <w:szCs w:val="18"/>
              </w:rPr>
            </w:pPr>
            <w:r>
              <w:rPr>
                <w:rFonts w:eastAsia="Calibri"/>
                <w:b/>
              </w:rPr>
              <w:lastRenderedPageBreak/>
              <w:t>Analytical methods for air</w:t>
            </w:r>
          </w:p>
        </w:tc>
      </w:tr>
      <w:tr w:rsidR="00104B49" w14:paraId="3F257207" w14:textId="77777777" w:rsidTr="00104B49">
        <w:trPr>
          <w:cantSplit/>
          <w:trHeight w:val="352"/>
        </w:trPr>
        <w:tc>
          <w:tcPr>
            <w:tcW w:w="582" w:type="pct"/>
            <w:vMerge w:val="restart"/>
            <w:tcBorders>
              <w:top w:val="single" w:sz="6" w:space="0" w:color="auto"/>
              <w:left w:val="single" w:sz="4" w:space="0" w:color="auto"/>
              <w:bottom w:val="single" w:sz="6" w:space="0" w:color="auto"/>
              <w:right w:val="single" w:sz="6" w:space="0" w:color="auto"/>
            </w:tcBorders>
            <w:shd w:val="clear" w:color="auto" w:fill="FFFFFF"/>
            <w:hideMark/>
          </w:tcPr>
          <w:p w14:paraId="6B501C39"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Analyte (type of analyte e.g. active substance)</w:t>
            </w:r>
          </w:p>
        </w:tc>
        <w:tc>
          <w:tcPr>
            <w:tcW w:w="526"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7B57B1F6"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Analytical method</w:t>
            </w:r>
          </w:p>
        </w:tc>
        <w:tc>
          <w:tcPr>
            <w:tcW w:w="752"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6E5322ED" w14:textId="77777777" w:rsidR="00104B49" w:rsidRDefault="00104B49">
            <w:pPr>
              <w:keepNext/>
              <w:widowControl w:val="0"/>
              <w:autoSpaceDE w:val="0"/>
              <w:autoSpaceDN w:val="0"/>
              <w:adjustRightInd w:val="0"/>
              <w:spacing w:line="256" w:lineRule="auto"/>
              <w:rPr>
                <w:b/>
                <w:bCs/>
                <w:sz w:val="18"/>
                <w:szCs w:val="18"/>
              </w:rPr>
            </w:pPr>
            <w:r>
              <w:rPr>
                <w:b/>
                <w:bCs/>
                <w:sz w:val="18"/>
                <w:szCs w:val="18"/>
              </w:rPr>
              <w:t>Fortification range / Number of measurements</w:t>
            </w:r>
          </w:p>
        </w:tc>
        <w:tc>
          <w:tcPr>
            <w:tcW w:w="479"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066FC1FB" w14:textId="77777777" w:rsidR="00104B49" w:rsidRDefault="00104B49">
            <w:pPr>
              <w:keepNext/>
              <w:widowControl w:val="0"/>
              <w:autoSpaceDE w:val="0"/>
              <w:autoSpaceDN w:val="0"/>
              <w:adjustRightInd w:val="0"/>
              <w:spacing w:line="256" w:lineRule="auto"/>
              <w:rPr>
                <w:b/>
                <w:bCs/>
                <w:sz w:val="18"/>
                <w:szCs w:val="18"/>
              </w:rPr>
            </w:pPr>
            <w:r>
              <w:rPr>
                <w:b/>
                <w:bCs/>
                <w:sz w:val="18"/>
                <w:szCs w:val="18"/>
              </w:rPr>
              <w:t>Linearity</w:t>
            </w:r>
          </w:p>
        </w:tc>
        <w:tc>
          <w:tcPr>
            <w:tcW w:w="546"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0871729C" w14:textId="77777777" w:rsidR="00104B49" w:rsidRDefault="00104B49">
            <w:pPr>
              <w:keepNext/>
              <w:widowControl w:val="0"/>
              <w:autoSpaceDE w:val="0"/>
              <w:autoSpaceDN w:val="0"/>
              <w:adjustRightInd w:val="0"/>
              <w:spacing w:line="256" w:lineRule="auto"/>
              <w:rPr>
                <w:b/>
                <w:bCs/>
                <w:sz w:val="18"/>
                <w:szCs w:val="18"/>
              </w:rPr>
            </w:pPr>
            <w:r>
              <w:rPr>
                <w:b/>
                <w:bCs/>
                <w:sz w:val="18"/>
                <w:szCs w:val="18"/>
              </w:rPr>
              <w:t>Specificity</w:t>
            </w:r>
          </w:p>
        </w:tc>
        <w:tc>
          <w:tcPr>
            <w:tcW w:w="871" w:type="pct"/>
            <w:gridSpan w:val="3"/>
            <w:tcBorders>
              <w:top w:val="single" w:sz="6" w:space="0" w:color="auto"/>
              <w:left w:val="single" w:sz="6" w:space="0" w:color="auto"/>
              <w:bottom w:val="single" w:sz="6" w:space="0" w:color="auto"/>
              <w:right w:val="single" w:sz="6" w:space="0" w:color="auto"/>
            </w:tcBorders>
            <w:shd w:val="clear" w:color="auto" w:fill="FFFFFF"/>
            <w:hideMark/>
          </w:tcPr>
          <w:p w14:paraId="03467589" w14:textId="77777777" w:rsidR="00104B49" w:rsidRDefault="00104B49">
            <w:pPr>
              <w:keepNext/>
              <w:widowControl w:val="0"/>
              <w:autoSpaceDE w:val="0"/>
              <w:autoSpaceDN w:val="0"/>
              <w:adjustRightInd w:val="0"/>
              <w:spacing w:line="256" w:lineRule="auto"/>
              <w:rPr>
                <w:b/>
                <w:bCs/>
                <w:sz w:val="18"/>
                <w:szCs w:val="18"/>
              </w:rPr>
            </w:pPr>
            <w:r>
              <w:rPr>
                <w:b/>
                <w:bCs/>
                <w:sz w:val="18"/>
                <w:szCs w:val="18"/>
              </w:rPr>
              <w:t>Recovery rate (%)</w:t>
            </w:r>
          </w:p>
        </w:tc>
        <w:tc>
          <w:tcPr>
            <w:tcW w:w="709"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4117B859" w14:textId="77777777" w:rsidR="00104B49" w:rsidRDefault="00104B49">
            <w:pPr>
              <w:keepNext/>
              <w:widowControl w:val="0"/>
              <w:autoSpaceDE w:val="0"/>
              <w:autoSpaceDN w:val="0"/>
              <w:adjustRightInd w:val="0"/>
              <w:spacing w:line="256" w:lineRule="auto"/>
              <w:rPr>
                <w:b/>
                <w:bCs/>
                <w:sz w:val="18"/>
                <w:szCs w:val="18"/>
              </w:rPr>
            </w:pPr>
            <w:r>
              <w:rPr>
                <w:b/>
                <w:bCs/>
                <w:sz w:val="18"/>
                <w:szCs w:val="18"/>
              </w:rPr>
              <w:t>Limit of quantification (LOQ) or other limits</w:t>
            </w:r>
          </w:p>
        </w:tc>
        <w:tc>
          <w:tcPr>
            <w:tcW w:w="534" w:type="pct"/>
            <w:vMerge w:val="restart"/>
            <w:tcBorders>
              <w:top w:val="single" w:sz="6" w:space="0" w:color="auto"/>
              <w:left w:val="single" w:sz="6" w:space="0" w:color="auto"/>
              <w:bottom w:val="single" w:sz="6" w:space="0" w:color="auto"/>
              <w:right w:val="single" w:sz="4" w:space="0" w:color="auto"/>
            </w:tcBorders>
            <w:shd w:val="clear" w:color="auto" w:fill="FFFFFF"/>
            <w:hideMark/>
          </w:tcPr>
          <w:p w14:paraId="46081549" w14:textId="77777777" w:rsidR="00104B49" w:rsidRDefault="00104B49">
            <w:pPr>
              <w:keepNext/>
              <w:widowControl w:val="0"/>
              <w:autoSpaceDE w:val="0"/>
              <w:autoSpaceDN w:val="0"/>
              <w:adjustRightInd w:val="0"/>
              <w:spacing w:line="256" w:lineRule="auto"/>
              <w:rPr>
                <w:b/>
                <w:bCs/>
                <w:sz w:val="18"/>
                <w:szCs w:val="18"/>
              </w:rPr>
            </w:pPr>
            <w:r>
              <w:rPr>
                <w:b/>
                <w:bCs/>
                <w:sz w:val="18"/>
                <w:szCs w:val="18"/>
              </w:rPr>
              <w:t>Reference</w:t>
            </w:r>
          </w:p>
        </w:tc>
      </w:tr>
      <w:tr w:rsidR="00104B49" w14:paraId="2724F0E3" w14:textId="77777777" w:rsidTr="00104B49">
        <w:tc>
          <w:tcPr>
            <w:tcW w:w="0" w:type="auto"/>
            <w:vMerge/>
            <w:tcBorders>
              <w:top w:val="single" w:sz="6" w:space="0" w:color="auto"/>
              <w:left w:val="single" w:sz="4" w:space="0" w:color="auto"/>
              <w:bottom w:val="single" w:sz="6" w:space="0" w:color="auto"/>
              <w:right w:val="single" w:sz="6" w:space="0" w:color="auto"/>
            </w:tcBorders>
            <w:vAlign w:val="center"/>
            <w:hideMark/>
          </w:tcPr>
          <w:p w14:paraId="1A944E96"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979461"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241672"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7DD8A6"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ED2BD9" w14:textId="77777777" w:rsidR="00104B49" w:rsidRDefault="00104B49">
            <w:pPr>
              <w:spacing w:before="0" w:after="0" w:line="256" w:lineRule="auto"/>
              <w:rPr>
                <w:b/>
                <w:bCs/>
                <w:sz w:val="18"/>
                <w:szCs w:val="18"/>
              </w:rPr>
            </w:pPr>
          </w:p>
        </w:tc>
        <w:tc>
          <w:tcPr>
            <w:tcW w:w="330" w:type="pct"/>
            <w:tcBorders>
              <w:top w:val="single" w:sz="6" w:space="0" w:color="auto"/>
              <w:left w:val="single" w:sz="6" w:space="0" w:color="auto"/>
              <w:bottom w:val="single" w:sz="6" w:space="0" w:color="auto"/>
              <w:right w:val="single" w:sz="6" w:space="0" w:color="auto"/>
            </w:tcBorders>
            <w:hideMark/>
          </w:tcPr>
          <w:p w14:paraId="1EB811FB" w14:textId="77777777" w:rsidR="00104B49" w:rsidRDefault="00104B49">
            <w:pPr>
              <w:spacing w:line="256" w:lineRule="auto"/>
              <w:rPr>
                <w:color w:val="000000"/>
                <w:sz w:val="18"/>
                <w:szCs w:val="18"/>
              </w:rPr>
            </w:pPr>
            <w:r>
              <w:rPr>
                <w:color w:val="000000"/>
                <w:sz w:val="18"/>
                <w:szCs w:val="18"/>
              </w:rPr>
              <w:t>Range</w:t>
            </w:r>
          </w:p>
        </w:tc>
        <w:tc>
          <w:tcPr>
            <w:tcW w:w="291" w:type="pct"/>
            <w:tcBorders>
              <w:top w:val="single" w:sz="6" w:space="0" w:color="auto"/>
              <w:left w:val="single" w:sz="6" w:space="0" w:color="auto"/>
              <w:bottom w:val="single" w:sz="6" w:space="0" w:color="auto"/>
              <w:right w:val="single" w:sz="6" w:space="0" w:color="auto"/>
            </w:tcBorders>
            <w:hideMark/>
          </w:tcPr>
          <w:p w14:paraId="16967E1D" w14:textId="77777777" w:rsidR="00104B49" w:rsidRDefault="00104B49">
            <w:pPr>
              <w:spacing w:line="256" w:lineRule="auto"/>
              <w:rPr>
                <w:color w:val="000000"/>
                <w:sz w:val="18"/>
                <w:szCs w:val="18"/>
              </w:rPr>
            </w:pPr>
            <w:r>
              <w:rPr>
                <w:color w:val="000000"/>
                <w:sz w:val="18"/>
                <w:szCs w:val="18"/>
              </w:rPr>
              <w:t>Mean</w:t>
            </w:r>
          </w:p>
        </w:tc>
        <w:tc>
          <w:tcPr>
            <w:tcW w:w="249" w:type="pct"/>
            <w:tcBorders>
              <w:top w:val="single" w:sz="6" w:space="0" w:color="auto"/>
              <w:left w:val="single" w:sz="6" w:space="0" w:color="auto"/>
              <w:bottom w:val="single" w:sz="6" w:space="0" w:color="auto"/>
              <w:right w:val="single" w:sz="6" w:space="0" w:color="auto"/>
            </w:tcBorders>
            <w:hideMark/>
          </w:tcPr>
          <w:p w14:paraId="2670CD4B" w14:textId="77777777" w:rsidR="00104B49" w:rsidRDefault="00104B49">
            <w:pPr>
              <w:spacing w:line="256" w:lineRule="auto"/>
              <w:rPr>
                <w:color w:val="000000"/>
                <w:sz w:val="18"/>
                <w:szCs w:val="18"/>
              </w:rPr>
            </w:pPr>
            <w:r>
              <w:rPr>
                <w:color w:val="000000"/>
                <w:sz w:val="18"/>
                <w:szCs w:val="18"/>
              </w:rPr>
              <w:t>RSD</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8076E9"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6B5E991D" w14:textId="77777777" w:rsidR="00104B49" w:rsidRDefault="00104B49">
            <w:pPr>
              <w:spacing w:before="0" w:after="0" w:line="256" w:lineRule="auto"/>
              <w:rPr>
                <w:b/>
                <w:bCs/>
                <w:sz w:val="18"/>
                <w:szCs w:val="18"/>
              </w:rPr>
            </w:pPr>
          </w:p>
        </w:tc>
      </w:tr>
      <w:tr w:rsidR="00104B49" w14:paraId="60A143EC" w14:textId="77777777" w:rsidTr="00104B49">
        <w:tc>
          <w:tcPr>
            <w:tcW w:w="582" w:type="pct"/>
            <w:tcBorders>
              <w:top w:val="single" w:sz="6" w:space="0" w:color="auto"/>
              <w:left w:val="single" w:sz="4" w:space="0" w:color="auto"/>
              <w:bottom w:val="single" w:sz="4" w:space="0" w:color="auto"/>
              <w:right w:val="single" w:sz="6" w:space="0" w:color="auto"/>
            </w:tcBorders>
            <w:hideMark/>
          </w:tcPr>
          <w:p w14:paraId="4F39F7FA" w14:textId="77777777" w:rsidR="00104B49" w:rsidRDefault="00104B49">
            <w:pPr>
              <w:spacing w:line="256" w:lineRule="auto"/>
              <w:rPr>
                <w:i/>
                <w:color w:val="000000"/>
                <w:sz w:val="18"/>
                <w:szCs w:val="18"/>
              </w:rPr>
            </w:pPr>
            <w:r>
              <w:rPr>
                <w:color w:val="000000"/>
                <w:sz w:val="18"/>
                <w:szCs w:val="18"/>
              </w:rPr>
              <w:t>See AR IR3535</w:t>
            </w:r>
          </w:p>
        </w:tc>
        <w:tc>
          <w:tcPr>
            <w:tcW w:w="526" w:type="pct"/>
            <w:tcBorders>
              <w:top w:val="single" w:sz="6" w:space="0" w:color="auto"/>
              <w:left w:val="single" w:sz="6" w:space="0" w:color="auto"/>
              <w:bottom w:val="single" w:sz="4" w:space="0" w:color="auto"/>
              <w:right w:val="single" w:sz="6" w:space="0" w:color="auto"/>
            </w:tcBorders>
            <w:hideMark/>
          </w:tcPr>
          <w:p w14:paraId="7DEAFE8B" w14:textId="77777777" w:rsidR="00104B49" w:rsidRDefault="00104B49">
            <w:pPr>
              <w:spacing w:line="256" w:lineRule="auto"/>
              <w:rPr>
                <w:color w:val="000000"/>
                <w:sz w:val="18"/>
                <w:szCs w:val="18"/>
              </w:rPr>
            </w:pPr>
            <w:r>
              <w:rPr>
                <w:color w:val="000000"/>
                <w:sz w:val="18"/>
                <w:szCs w:val="18"/>
              </w:rPr>
              <w:t>See AR IR3535</w:t>
            </w:r>
          </w:p>
        </w:tc>
        <w:tc>
          <w:tcPr>
            <w:tcW w:w="752" w:type="pct"/>
            <w:tcBorders>
              <w:top w:val="single" w:sz="6" w:space="0" w:color="auto"/>
              <w:left w:val="single" w:sz="6" w:space="0" w:color="auto"/>
              <w:bottom w:val="single" w:sz="4" w:space="0" w:color="auto"/>
              <w:right w:val="single" w:sz="6" w:space="0" w:color="auto"/>
            </w:tcBorders>
            <w:hideMark/>
          </w:tcPr>
          <w:p w14:paraId="3B341AB3" w14:textId="77777777" w:rsidR="00104B49" w:rsidRDefault="00104B49">
            <w:pPr>
              <w:spacing w:line="256" w:lineRule="auto"/>
              <w:rPr>
                <w:color w:val="000000"/>
                <w:sz w:val="18"/>
                <w:szCs w:val="18"/>
              </w:rPr>
            </w:pPr>
            <w:r>
              <w:rPr>
                <w:color w:val="000000"/>
                <w:sz w:val="18"/>
                <w:szCs w:val="18"/>
              </w:rPr>
              <w:t>See AR IR3535</w:t>
            </w:r>
          </w:p>
        </w:tc>
        <w:tc>
          <w:tcPr>
            <w:tcW w:w="479" w:type="pct"/>
            <w:tcBorders>
              <w:top w:val="single" w:sz="6" w:space="0" w:color="auto"/>
              <w:left w:val="single" w:sz="6" w:space="0" w:color="auto"/>
              <w:bottom w:val="single" w:sz="4" w:space="0" w:color="auto"/>
              <w:right w:val="single" w:sz="6" w:space="0" w:color="auto"/>
            </w:tcBorders>
            <w:hideMark/>
          </w:tcPr>
          <w:p w14:paraId="58F116C6" w14:textId="77777777" w:rsidR="00104B49" w:rsidRDefault="00104B49">
            <w:pPr>
              <w:spacing w:line="256" w:lineRule="auto"/>
              <w:rPr>
                <w:color w:val="000000"/>
                <w:sz w:val="18"/>
                <w:szCs w:val="18"/>
              </w:rPr>
            </w:pPr>
            <w:r>
              <w:rPr>
                <w:color w:val="000000"/>
                <w:sz w:val="18"/>
                <w:szCs w:val="18"/>
              </w:rPr>
              <w:t>See AR IR3535</w:t>
            </w:r>
          </w:p>
        </w:tc>
        <w:tc>
          <w:tcPr>
            <w:tcW w:w="546" w:type="pct"/>
            <w:tcBorders>
              <w:top w:val="single" w:sz="6" w:space="0" w:color="auto"/>
              <w:left w:val="single" w:sz="6" w:space="0" w:color="auto"/>
              <w:bottom w:val="single" w:sz="4" w:space="0" w:color="auto"/>
              <w:right w:val="single" w:sz="6" w:space="0" w:color="auto"/>
            </w:tcBorders>
            <w:hideMark/>
          </w:tcPr>
          <w:p w14:paraId="34038A4A" w14:textId="77777777" w:rsidR="00104B49" w:rsidRDefault="00104B49">
            <w:pPr>
              <w:spacing w:line="256" w:lineRule="auto"/>
              <w:rPr>
                <w:color w:val="000000"/>
                <w:sz w:val="18"/>
                <w:szCs w:val="18"/>
              </w:rPr>
            </w:pPr>
            <w:r>
              <w:rPr>
                <w:color w:val="000000"/>
                <w:sz w:val="18"/>
                <w:szCs w:val="18"/>
              </w:rPr>
              <w:t>See AR IR3535</w:t>
            </w:r>
          </w:p>
        </w:tc>
        <w:tc>
          <w:tcPr>
            <w:tcW w:w="330" w:type="pct"/>
            <w:tcBorders>
              <w:top w:val="single" w:sz="6" w:space="0" w:color="auto"/>
              <w:left w:val="single" w:sz="6" w:space="0" w:color="auto"/>
              <w:bottom w:val="single" w:sz="4" w:space="0" w:color="auto"/>
              <w:right w:val="single" w:sz="6" w:space="0" w:color="auto"/>
            </w:tcBorders>
            <w:hideMark/>
          </w:tcPr>
          <w:p w14:paraId="06DD02FE" w14:textId="77777777" w:rsidR="00104B49" w:rsidRDefault="00104B49">
            <w:pPr>
              <w:spacing w:line="256" w:lineRule="auto"/>
              <w:rPr>
                <w:color w:val="000000"/>
                <w:sz w:val="18"/>
                <w:szCs w:val="18"/>
              </w:rPr>
            </w:pPr>
            <w:r>
              <w:rPr>
                <w:color w:val="000000"/>
                <w:sz w:val="18"/>
                <w:szCs w:val="18"/>
              </w:rPr>
              <w:t>See AR IR3535</w:t>
            </w:r>
          </w:p>
        </w:tc>
        <w:tc>
          <w:tcPr>
            <w:tcW w:w="291" w:type="pct"/>
            <w:tcBorders>
              <w:top w:val="single" w:sz="6" w:space="0" w:color="auto"/>
              <w:left w:val="single" w:sz="6" w:space="0" w:color="auto"/>
              <w:bottom w:val="single" w:sz="4" w:space="0" w:color="auto"/>
              <w:right w:val="single" w:sz="6" w:space="0" w:color="auto"/>
            </w:tcBorders>
            <w:hideMark/>
          </w:tcPr>
          <w:p w14:paraId="67C87009" w14:textId="77777777" w:rsidR="00104B49" w:rsidRDefault="00104B49">
            <w:pPr>
              <w:spacing w:line="256" w:lineRule="auto"/>
              <w:rPr>
                <w:color w:val="000000"/>
                <w:sz w:val="18"/>
                <w:szCs w:val="18"/>
              </w:rPr>
            </w:pPr>
            <w:r>
              <w:rPr>
                <w:color w:val="000000"/>
                <w:sz w:val="18"/>
                <w:szCs w:val="18"/>
              </w:rPr>
              <w:t>See AR IR3535</w:t>
            </w:r>
          </w:p>
        </w:tc>
        <w:tc>
          <w:tcPr>
            <w:tcW w:w="249" w:type="pct"/>
            <w:tcBorders>
              <w:top w:val="single" w:sz="6" w:space="0" w:color="auto"/>
              <w:left w:val="single" w:sz="6" w:space="0" w:color="auto"/>
              <w:bottom w:val="single" w:sz="4" w:space="0" w:color="auto"/>
              <w:right w:val="single" w:sz="6" w:space="0" w:color="auto"/>
            </w:tcBorders>
            <w:hideMark/>
          </w:tcPr>
          <w:p w14:paraId="0F7EF817" w14:textId="77777777" w:rsidR="00104B49" w:rsidRDefault="00104B49">
            <w:pPr>
              <w:spacing w:line="256" w:lineRule="auto"/>
              <w:rPr>
                <w:color w:val="000000"/>
                <w:sz w:val="18"/>
                <w:szCs w:val="18"/>
              </w:rPr>
            </w:pPr>
            <w:r>
              <w:rPr>
                <w:color w:val="000000"/>
                <w:sz w:val="18"/>
                <w:szCs w:val="18"/>
              </w:rPr>
              <w:t>See AR IR3535</w:t>
            </w:r>
          </w:p>
        </w:tc>
        <w:tc>
          <w:tcPr>
            <w:tcW w:w="709" w:type="pct"/>
            <w:tcBorders>
              <w:top w:val="single" w:sz="6" w:space="0" w:color="auto"/>
              <w:left w:val="single" w:sz="6" w:space="0" w:color="auto"/>
              <w:bottom w:val="single" w:sz="4" w:space="0" w:color="auto"/>
              <w:right w:val="single" w:sz="6" w:space="0" w:color="auto"/>
            </w:tcBorders>
            <w:hideMark/>
          </w:tcPr>
          <w:p w14:paraId="150056A3" w14:textId="77777777" w:rsidR="00104B49" w:rsidRDefault="00104B49">
            <w:pPr>
              <w:spacing w:line="256" w:lineRule="auto"/>
              <w:rPr>
                <w:color w:val="000000"/>
                <w:sz w:val="18"/>
                <w:szCs w:val="18"/>
              </w:rPr>
            </w:pPr>
            <w:r>
              <w:rPr>
                <w:color w:val="000000"/>
                <w:sz w:val="18"/>
                <w:szCs w:val="18"/>
              </w:rPr>
              <w:t>See AR IR3535</w:t>
            </w:r>
          </w:p>
        </w:tc>
        <w:tc>
          <w:tcPr>
            <w:tcW w:w="534" w:type="pct"/>
            <w:tcBorders>
              <w:top w:val="single" w:sz="6" w:space="0" w:color="auto"/>
              <w:left w:val="single" w:sz="6" w:space="0" w:color="auto"/>
              <w:bottom w:val="single" w:sz="4" w:space="0" w:color="auto"/>
              <w:right w:val="single" w:sz="4" w:space="0" w:color="auto"/>
            </w:tcBorders>
            <w:hideMark/>
          </w:tcPr>
          <w:p w14:paraId="49085B3E" w14:textId="77777777" w:rsidR="00104B49" w:rsidRDefault="00104B49">
            <w:pPr>
              <w:spacing w:line="256" w:lineRule="auto"/>
              <w:rPr>
                <w:color w:val="000000"/>
                <w:sz w:val="18"/>
                <w:szCs w:val="18"/>
              </w:rPr>
            </w:pPr>
            <w:r>
              <w:rPr>
                <w:color w:val="000000"/>
                <w:sz w:val="18"/>
                <w:szCs w:val="18"/>
              </w:rPr>
              <w:t>See AR IR3535</w:t>
            </w:r>
          </w:p>
        </w:tc>
      </w:tr>
    </w:tbl>
    <w:p w14:paraId="25B78BE1" w14:textId="77777777" w:rsidR="00104B49" w:rsidRDefault="00104B49" w:rsidP="00104B49">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58"/>
        <w:gridCol w:w="1499"/>
        <w:gridCol w:w="2147"/>
        <w:gridCol w:w="1364"/>
        <w:gridCol w:w="1556"/>
        <w:gridCol w:w="937"/>
        <w:gridCol w:w="825"/>
        <w:gridCol w:w="799"/>
        <w:gridCol w:w="2024"/>
        <w:gridCol w:w="1525"/>
      </w:tblGrid>
      <w:tr w:rsidR="00104B49" w14:paraId="33FC213B" w14:textId="77777777" w:rsidTr="00104B49">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0D7DF3BC" w14:textId="77777777" w:rsidR="00104B49" w:rsidRDefault="00104B49">
            <w:pPr>
              <w:keepNext/>
              <w:widowControl w:val="0"/>
              <w:autoSpaceDE w:val="0"/>
              <w:autoSpaceDN w:val="0"/>
              <w:adjustRightInd w:val="0"/>
              <w:spacing w:line="256" w:lineRule="auto"/>
              <w:jc w:val="center"/>
              <w:rPr>
                <w:b/>
                <w:bCs/>
                <w:sz w:val="18"/>
                <w:szCs w:val="18"/>
              </w:rPr>
            </w:pPr>
            <w:r>
              <w:rPr>
                <w:rFonts w:eastAsia="Calibri"/>
                <w:b/>
              </w:rPr>
              <w:t>Analytical methods for water</w:t>
            </w:r>
          </w:p>
        </w:tc>
      </w:tr>
      <w:tr w:rsidR="00104B49" w14:paraId="3EC177EB" w14:textId="77777777" w:rsidTr="00104B49">
        <w:trPr>
          <w:cantSplit/>
          <w:trHeight w:val="352"/>
        </w:trPr>
        <w:tc>
          <w:tcPr>
            <w:tcW w:w="582" w:type="pct"/>
            <w:vMerge w:val="restart"/>
            <w:tcBorders>
              <w:top w:val="single" w:sz="6" w:space="0" w:color="auto"/>
              <w:left w:val="single" w:sz="4" w:space="0" w:color="auto"/>
              <w:bottom w:val="single" w:sz="6" w:space="0" w:color="auto"/>
              <w:right w:val="single" w:sz="6" w:space="0" w:color="auto"/>
            </w:tcBorders>
            <w:shd w:val="clear" w:color="auto" w:fill="FFFFFF"/>
            <w:hideMark/>
          </w:tcPr>
          <w:p w14:paraId="6A93952B"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Analyte (type of analyte e.g. active substance)</w:t>
            </w:r>
          </w:p>
        </w:tc>
        <w:tc>
          <w:tcPr>
            <w:tcW w:w="526"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3ACE906D"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Analytical method</w:t>
            </w:r>
          </w:p>
        </w:tc>
        <w:tc>
          <w:tcPr>
            <w:tcW w:w="752"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21877E77" w14:textId="77777777" w:rsidR="00104B49" w:rsidRDefault="00104B49">
            <w:pPr>
              <w:keepNext/>
              <w:widowControl w:val="0"/>
              <w:autoSpaceDE w:val="0"/>
              <w:autoSpaceDN w:val="0"/>
              <w:adjustRightInd w:val="0"/>
              <w:spacing w:line="256" w:lineRule="auto"/>
              <w:rPr>
                <w:b/>
                <w:bCs/>
                <w:sz w:val="18"/>
                <w:szCs w:val="18"/>
              </w:rPr>
            </w:pPr>
            <w:r>
              <w:rPr>
                <w:b/>
                <w:bCs/>
                <w:sz w:val="18"/>
                <w:szCs w:val="18"/>
              </w:rPr>
              <w:t>Fortification range / Number of measurements</w:t>
            </w:r>
          </w:p>
        </w:tc>
        <w:tc>
          <w:tcPr>
            <w:tcW w:w="479"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660B5F0A" w14:textId="77777777" w:rsidR="00104B49" w:rsidRDefault="00104B49">
            <w:pPr>
              <w:keepNext/>
              <w:widowControl w:val="0"/>
              <w:autoSpaceDE w:val="0"/>
              <w:autoSpaceDN w:val="0"/>
              <w:adjustRightInd w:val="0"/>
              <w:spacing w:line="256" w:lineRule="auto"/>
              <w:rPr>
                <w:b/>
                <w:bCs/>
                <w:sz w:val="18"/>
                <w:szCs w:val="18"/>
              </w:rPr>
            </w:pPr>
            <w:r>
              <w:rPr>
                <w:b/>
                <w:bCs/>
                <w:sz w:val="18"/>
                <w:szCs w:val="18"/>
              </w:rPr>
              <w:t>Linearity</w:t>
            </w:r>
          </w:p>
        </w:tc>
        <w:tc>
          <w:tcPr>
            <w:tcW w:w="546"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5D49EB3B" w14:textId="77777777" w:rsidR="00104B49" w:rsidRDefault="00104B49">
            <w:pPr>
              <w:keepNext/>
              <w:widowControl w:val="0"/>
              <w:autoSpaceDE w:val="0"/>
              <w:autoSpaceDN w:val="0"/>
              <w:adjustRightInd w:val="0"/>
              <w:spacing w:line="256" w:lineRule="auto"/>
              <w:rPr>
                <w:b/>
                <w:bCs/>
                <w:sz w:val="18"/>
                <w:szCs w:val="18"/>
              </w:rPr>
            </w:pPr>
            <w:r>
              <w:rPr>
                <w:b/>
                <w:bCs/>
                <w:sz w:val="18"/>
                <w:szCs w:val="18"/>
              </w:rPr>
              <w:t>Specificity</w:t>
            </w:r>
          </w:p>
        </w:tc>
        <w:tc>
          <w:tcPr>
            <w:tcW w:w="871" w:type="pct"/>
            <w:gridSpan w:val="3"/>
            <w:tcBorders>
              <w:top w:val="single" w:sz="6" w:space="0" w:color="auto"/>
              <w:left w:val="single" w:sz="6" w:space="0" w:color="auto"/>
              <w:bottom w:val="single" w:sz="6" w:space="0" w:color="auto"/>
              <w:right w:val="single" w:sz="6" w:space="0" w:color="auto"/>
            </w:tcBorders>
            <w:shd w:val="clear" w:color="auto" w:fill="FFFFFF"/>
            <w:hideMark/>
          </w:tcPr>
          <w:p w14:paraId="77D22626" w14:textId="77777777" w:rsidR="00104B49" w:rsidRDefault="00104B49">
            <w:pPr>
              <w:keepNext/>
              <w:widowControl w:val="0"/>
              <w:autoSpaceDE w:val="0"/>
              <w:autoSpaceDN w:val="0"/>
              <w:adjustRightInd w:val="0"/>
              <w:spacing w:line="256" w:lineRule="auto"/>
              <w:rPr>
                <w:b/>
                <w:bCs/>
                <w:sz w:val="18"/>
                <w:szCs w:val="18"/>
              </w:rPr>
            </w:pPr>
            <w:r>
              <w:rPr>
                <w:b/>
                <w:bCs/>
                <w:sz w:val="18"/>
                <w:szCs w:val="18"/>
              </w:rPr>
              <w:t>Recovery rate (%)</w:t>
            </w:r>
          </w:p>
        </w:tc>
        <w:tc>
          <w:tcPr>
            <w:tcW w:w="709"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540E7956" w14:textId="77777777" w:rsidR="00104B49" w:rsidRDefault="00104B49">
            <w:pPr>
              <w:keepNext/>
              <w:widowControl w:val="0"/>
              <w:autoSpaceDE w:val="0"/>
              <w:autoSpaceDN w:val="0"/>
              <w:adjustRightInd w:val="0"/>
              <w:spacing w:line="256" w:lineRule="auto"/>
              <w:rPr>
                <w:b/>
                <w:bCs/>
                <w:sz w:val="18"/>
                <w:szCs w:val="18"/>
              </w:rPr>
            </w:pPr>
            <w:r>
              <w:rPr>
                <w:b/>
                <w:bCs/>
                <w:sz w:val="18"/>
                <w:szCs w:val="18"/>
              </w:rPr>
              <w:t>Limit of quantification (LOQ) or other limits</w:t>
            </w:r>
          </w:p>
        </w:tc>
        <w:tc>
          <w:tcPr>
            <w:tcW w:w="534" w:type="pct"/>
            <w:vMerge w:val="restart"/>
            <w:tcBorders>
              <w:top w:val="single" w:sz="6" w:space="0" w:color="auto"/>
              <w:left w:val="single" w:sz="6" w:space="0" w:color="auto"/>
              <w:bottom w:val="single" w:sz="6" w:space="0" w:color="auto"/>
              <w:right w:val="single" w:sz="4" w:space="0" w:color="auto"/>
            </w:tcBorders>
            <w:shd w:val="clear" w:color="auto" w:fill="FFFFFF"/>
            <w:hideMark/>
          </w:tcPr>
          <w:p w14:paraId="4A51CA0F" w14:textId="77777777" w:rsidR="00104B49" w:rsidRDefault="00104B49">
            <w:pPr>
              <w:keepNext/>
              <w:widowControl w:val="0"/>
              <w:autoSpaceDE w:val="0"/>
              <w:autoSpaceDN w:val="0"/>
              <w:adjustRightInd w:val="0"/>
              <w:spacing w:line="256" w:lineRule="auto"/>
              <w:rPr>
                <w:b/>
                <w:bCs/>
                <w:sz w:val="18"/>
                <w:szCs w:val="18"/>
              </w:rPr>
            </w:pPr>
            <w:r>
              <w:rPr>
                <w:b/>
                <w:bCs/>
                <w:sz w:val="18"/>
                <w:szCs w:val="18"/>
              </w:rPr>
              <w:t>Reference</w:t>
            </w:r>
          </w:p>
        </w:tc>
      </w:tr>
      <w:tr w:rsidR="00104B49" w14:paraId="0374A4C5" w14:textId="77777777" w:rsidTr="00104B49">
        <w:tc>
          <w:tcPr>
            <w:tcW w:w="0" w:type="auto"/>
            <w:vMerge/>
            <w:tcBorders>
              <w:top w:val="single" w:sz="6" w:space="0" w:color="auto"/>
              <w:left w:val="single" w:sz="4" w:space="0" w:color="auto"/>
              <w:bottom w:val="single" w:sz="6" w:space="0" w:color="auto"/>
              <w:right w:val="single" w:sz="6" w:space="0" w:color="auto"/>
            </w:tcBorders>
            <w:vAlign w:val="center"/>
            <w:hideMark/>
          </w:tcPr>
          <w:p w14:paraId="1F223D60"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995EE4"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DA5AEC"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DEE096"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5A8D97" w14:textId="77777777" w:rsidR="00104B49" w:rsidRDefault="00104B49">
            <w:pPr>
              <w:spacing w:before="0" w:after="0" w:line="256" w:lineRule="auto"/>
              <w:rPr>
                <w:b/>
                <w:bCs/>
                <w:sz w:val="18"/>
                <w:szCs w:val="18"/>
              </w:rPr>
            </w:pPr>
          </w:p>
        </w:tc>
        <w:tc>
          <w:tcPr>
            <w:tcW w:w="330" w:type="pct"/>
            <w:tcBorders>
              <w:top w:val="single" w:sz="6" w:space="0" w:color="auto"/>
              <w:left w:val="single" w:sz="6" w:space="0" w:color="auto"/>
              <w:bottom w:val="single" w:sz="6" w:space="0" w:color="auto"/>
              <w:right w:val="single" w:sz="6" w:space="0" w:color="auto"/>
            </w:tcBorders>
            <w:hideMark/>
          </w:tcPr>
          <w:p w14:paraId="51F6D569" w14:textId="77777777" w:rsidR="00104B49" w:rsidRDefault="00104B49">
            <w:pPr>
              <w:spacing w:line="256" w:lineRule="auto"/>
              <w:rPr>
                <w:color w:val="000000"/>
                <w:sz w:val="18"/>
                <w:szCs w:val="18"/>
              </w:rPr>
            </w:pPr>
            <w:r>
              <w:rPr>
                <w:color w:val="000000"/>
                <w:sz w:val="18"/>
                <w:szCs w:val="18"/>
              </w:rPr>
              <w:t>Range</w:t>
            </w:r>
          </w:p>
        </w:tc>
        <w:tc>
          <w:tcPr>
            <w:tcW w:w="291" w:type="pct"/>
            <w:tcBorders>
              <w:top w:val="single" w:sz="6" w:space="0" w:color="auto"/>
              <w:left w:val="single" w:sz="6" w:space="0" w:color="auto"/>
              <w:bottom w:val="single" w:sz="6" w:space="0" w:color="auto"/>
              <w:right w:val="single" w:sz="6" w:space="0" w:color="auto"/>
            </w:tcBorders>
            <w:hideMark/>
          </w:tcPr>
          <w:p w14:paraId="05660B25" w14:textId="77777777" w:rsidR="00104B49" w:rsidRDefault="00104B49">
            <w:pPr>
              <w:spacing w:line="256" w:lineRule="auto"/>
              <w:rPr>
                <w:color w:val="000000"/>
                <w:sz w:val="18"/>
                <w:szCs w:val="18"/>
              </w:rPr>
            </w:pPr>
            <w:r>
              <w:rPr>
                <w:color w:val="000000"/>
                <w:sz w:val="18"/>
                <w:szCs w:val="18"/>
              </w:rPr>
              <w:t>Mean</w:t>
            </w:r>
          </w:p>
        </w:tc>
        <w:tc>
          <w:tcPr>
            <w:tcW w:w="249" w:type="pct"/>
            <w:tcBorders>
              <w:top w:val="single" w:sz="6" w:space="0" w:color="auto"/>
              <w:left w:val="single" w:sz="6" w:space="0" w:color="auto"/>
              <w:bottom w:val="single" w:sz="6" w:space="0" w:color="auto"/>
              <w:right w:val="single" w:sz="6" w:space="0" w:color="auto"/>
            </w:tcBorders>
            <w:hideMark/>
          </w:tcPr>
          <w:p w14:paraId="36C6306E" w14:textId="77777777" w:rsidR="00104B49" w:rsidRDefault="00104B49">
            <w:pPr>
              <w:spacing w:line="256" w:lineRule="auto"/>
              <w:rPr>
                <w:color w:val="000000"/>
                <w:sz w:val="18"/>
                <w:szCs w:val="18"/>
              </w:rPr>
            </w:pPr>
            <w:r>
              <w:rPr>
                <w:color w:val="000000"/>
                <w:sz w:val="18"/>
                <w:szCs w:val="18"/>
              </w:rPr>
              <w:t>RSD</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3CC952"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73043510" w14:textId="77777777" w:rsidR="00104B49" w:rsidRDefault="00104B49">
            <w:pPr>
              <w:spacing w:before="0" w:after="0" w:line="256" w:lineRule="auto"/>
              <w:rPr>
                <w:b/>
                <w:bCs/>
                <w:sz w:val="18"/>
                <w:szCs w:val="18"/>
              </w:rPr>
            </w:pPr>
          </w:p>
        </w:tc>
      </w:tr>
      <w:tr w:rsidR="00104B49" w14:paraId="2174C17F" w14:textId="77777777" w:rsidTr="00104B49">
        <w:tc>
          <w:tcPr>
            <w:tcW w:w="582" w:type="pct"/>
            <w:tcBorders>
              <w:top w:val="single" w:sz="6" w:space="0" w:color="auto"/>
              <w:left w:val="single" w:sz="4" w:space="0" w:color="auto"/>
              <w:bottom w:val="single" w:sz="4" w:space="0" w:color="auto"/>
              <w:right w:val="single" w:sz="6" w:space="0" w:color="auto"/>
            </w:tcBorders>
            <w:hideMark/>
          </w:tcPr>
          <w:p w14:paraId="2CE1DA15" w14:textId="77777777" w:rsidR="00104B49" w:rsidRDefault="00104B49">
            <w:pPr>
              <w:spacing w:line="256" w:lineRule="auto"/>
              <w:rPr>
                <w:i/>
                <w:color w:val="000000"/>
                <w:sz w:val="18"/>
                <w:szCs w:val="18"/>
              </w:rPr>
            </w:pPr>
            <w:r>
              <w:rPr>
                <w:color w:val="000000"/>
                <w:sz w:val="18"/>
                <w:szCs w:val="18"/>
              </w:rPr>
              <w:t>See AR IR3535</w:t>
            </w:r>
          </w:p>
        </w:tc>
        <w:tc>
          <w:tcPr>
            <w:tcW w:w="526" w:type="pct"/>
            <w:tcBorders>
              <w:top w:val="single" w:sz="6" w:space="0" w:color="auto"/>
              <w:left w:val="single" w:sz="6" w:space="0" w:color="auto"/>
              <w:bottom w:val="single" w:sz="4" w:space="0" w:color="auto"/>
              <w:right w:val="single" w:sz="6" w:space="0" w:color="auto"/>
            </w:tcBorders>
            <w:hideMark/>
          </w:tcPr>
          <w:p w14:paraId="6F781A2A" w14:textId="77777777" w:rsidR="00104B49" w:rsidRDefault="00104B49">
            <w:pPr>
              <w:spacing w:line="256" w:lineRule="auto"/>
              <w:rPr>
                <w:color w:val="000000"/>
                <w:sz w:val="18"/>
                <w:szCs w:val="18"/>
              </w:rPr>
            </w:pPr>
            <w:r>
              <w:rPr>
                <w:color w:val="000000"/>
                <w:sz w:val="18"/>
                <w:szCs w:val="18"/>
              </w:rPr>
              <w:t>See AR IR3535</w:t>
            </w:r>
          </w:p>
        </w:tc>
        <w:tc>
          <w:tcPr>
            <w:tcW w:w="752" w:type="pct"/>
            <w:tcBorders>
              <w:top w:val="single" w:sz="6" w:space="0" w:color="auto"/>
              <w:left w:val="single" w:sz="6" w:space="0" w:color="auto"/>
              <w:bottom w:val="single" w:sz="4" w:space="0" w:color="auto"/>
              <w:right w:val="single" w:sz="6" w:space="0" w:color="auto"/>
            </w:tcBorders>
            <w:hideMark/>
          </w:tcPr>
          <w:p w14:paraId="6D90A27C" w14:textId="77777777" w:rsidR="00104B49" w:rsidRDefault="00104B49">
            <w:pPr>
              <w:spacing w:line="256" w:lineRule="auto"/>
              <w:rPr>
                <w:color w:val="000000"/>
                <w:sz w:val="18"/>
                <w:szCs w:val="18"/>
              </w:rPr>
            </w:pPr>
            <w:r>
              <w:rPr>
                <w:color w:val="000000"/>
                <w:sz w:val="18"/>
                <w:szCs w:val="18"/>
              </w:rPr>
              <w:t>See AR IR3535</w:t>
            </w:r>
          </w:p>
        </w:tc>
        <w:tc>
          <w:tcPr>
            <w:tcW w:w="479" w:type="pct"/>
            <w:tcBorders>
              <w:top w:val="single" w:sz="6" w:space="0" w:color="auto"/>
              <w:left w:val="single" w:sz="6" w:space="0" w:color="auto"/>
              <w:bottom w:val="single" w:sz="4" w:space="0" w:color="auto"/>
              <w:right w:val="single" w:sz="6" w:space="0" w:color="auto"/>
            </w:tcBorders>
            <w:hideMark/>
          </w:tcPr>
          <w:p w14:paraId="60B6582B" w14:textId="77777777" w:rsidR="00104B49" w:rsidRDefault="00104B49">
            <w:pPr>
              <w:spacing w:line="256" w:lineRule="auto"/>
              <w:rPr>
                <w:color w:val="000000"/>
                <w:sz w:val="18"/>
                <w:szCs w:val="18"/>
              </w:rPr>
            </w:pPr>
            <w:r>
              <w:rPr>
                <w:color w:val="000000"/>
                <w:sz w:val="18"/>
                <w:szCs w:val="18"/>
              </w:rPr>
              <w:t>See AR IR3535</w:t>
            </w:r>
          </w:p>
        </w:tc>
        <w:tc>
          <w:tcPr>
            <w:tcW w:w="546" w:type="pct"/>
            <w:tcBorders>
              <w:top w:val="single" w:sz="6" w:space="0" w:color="auto"/>
              <w:left w:val="single" w:sz="6" w:space="0" w:color="auto"/>
              <w:bottom w:val="single" w:sz="4" w:space="0" w:color="auto"/>
              <w:right w:val="single" w:sz="6" w:space="0" w:color="auto"/>
            </w:tcBorders>
            <w:hideMark/>
          </w:tcPr>
          <w:p w14:paraId="4E6163D4" w14:textId="77777777" w:rsidR="00104B49" w:rsidRDefault="00104B49">
            <w:pPr>
              <w:spacing w:line="256" w:lineRule="auto"/>
              <w:rPr>
                <w:color w:val="000000"/>
                <w:sz w:val="18"/>
                <w:szCs w:val="18"/>
              </w:rPr>
            </w:pPr>
            <w:r>
              <w:rPr>
                <w:color w:val="000000"/>
                <w:sz w:val="18"/>
                <w:szCs w:val="18"/>
              </w:rPr>
              <w:t>See AR IR3535</w:t>
            </w:r>
          </w:p>
        </w:tc>
        <w:tc>
          <w:tcPr>
            <w:tcW w:w="330" w:type="pct"/>
            <w:tcBorders>
              <w:top w:val="single" w:sz="6" w:space="0" w:color="auto"/>
              <w:left w:val="single" w:sz="6" w:space="0" w:color="auto"/>
              <w:bottom w:val="single" w:sz="4" w:space="0" w:color="auto"/>
              <w:right w:val="single" w:sz="6" w:space="0" w:color="auto"/>
            </w:tcBorders>
            <w:hideMark/>
          </w:tcPr>
          <w:p w14:paraId="093F9FAD" w14:textId="77777777" w:rsidR="00104B49" w:rsidRDefault="00104B49">
            <w:pPr>
              <w:spacing w:line="256" w:lineRule="auto"/>
              <w:rPr>
                <w:color w:val="000000"/>
                <w:sz w:val="18"/>
                <w:szCs w:val="18"/>
              </w:rPr>
            </w:pPr>
            <w:r>
              <w:rPr>
                <w:color w:val="000000"/>
                <w:sz w:val="18"/>
                <w:szCs w:val="18"/>
              </w:rPr>
              <w:t>See AR IR3535</w:t>
            </w:r>
          </w:p>
        </w:tc>
        <w:tc>
          <w:tcPr>
            <w:tcW w:w="291" w:type="pct"/>
            <w:tcBorders>
              <w:top w:val="single" w:sz="6" w:space="0" w:color="auto"/>
              <w:left w:val="single" w:sz="6" w:space="0" w:color="auto"/>
              <w:bottom w:val="single" w:sz="4" w:space="0" w:color="auto"/>
              <w:right w:val="single" w:sz="6" w:space="0" w:color="auto"/>
            </w:tcBorders>
            <w:hideMark/>
          </w:tcPr>
          <w:p w14:paraId="68DD5349" w14:textId="77777777" w:rsidR="00104B49" w:rsidRDefault="00104B49">
            <w:pPr>
              <w:spacing w:line="256" w:lineRule="auto"/>
              <w:rPr>
                <w:color w:val="000000"/>
                <w:sz w:val="18"/>
                <w:szCs w:val="18"/>
              </w:rPr>
            </w:pPr>
            <w:r>
              <w:rPr>
                <w:color w:val="000000"/>
                <w:sz w:val="18"/>
                <w:szCs w:val="18"/>
              </w:rPr>
              <w:t>See AR IR3535</w:t>
            </w:r>
          </w:p>
        </w:tc>
        <w:tc>
          <w:tcPr>
            <w:tcW w:w="249" w:type="pct"/>
            <w:tcBorders>
              <w:top w:val="single" w:sz="6" w:space="0" w:color="auto"/>
              <w:left w:val="single" w:sz="6" w:space="0" w:color="auto"/>
              <w:bottom w:val="single" w:sz="4" w:space="0" w:color="auto"/>
              <w:right w:val="single" w:sz="6" w:space="0" w:color="auto"/>
            </w:tcBorders>
            <w:hideMark/>
          </w:tcPr>
          <w:p w14:paraId="0DD11481" w14:textId="77777777" w:rsidR="00104B49" w:rsidRDefault="00104B49">
            <w:pPr>
              <w:spacing w:line="256" w:lineRule="auto"/>
              <w:rPr>
                <w:color w:val="000000"/>
                <w:sz w:val="18"/>
                <w:szCs w:val="18"/>
              </w:rPr>
            </w:pPr>
            <w:r>
              <w:rPr>
                <w:color w:val="000000"/>
                <w:sz w:val="18"/>
                <w:szCs w:val="18"/>
              </w:rPr>
              <w:t>See AR IR3535</w:t>
            </w:r>
          </w:p>
        </w:tc>
        <w:tc>
          <w:tcPr>
            <w:tcW w:w="709" w:type="pct"/>
            <w:tcBorders>
              <w:top w:val="single" w:sz="6" w:space="0" w:color="auto"/>
              <w:left w:val="single" w:sz="6" w:space="0" w:color="auto"/>
              <w:bottom w:val="single" w:sz="4" w:space="0" w:color="auto"/>
              <w:right w:val="single" w:sz="6" w:space="0" w:color="auto"/>
            </w:tcBorders>
            <w:hideMark/>
          </w:tcPr>
          <w:p w14:paraId="290C4B71" w14:textId="77777777" w:rsidR="00104B49" w:rsidRDefault="00104B49">
            <w:pPr>
              <w:spacing w:line="256" w:lineRule="auto"/>
              <w:rPr>
                <w:color w:val="000000"/>
                <w:sz w:val="18"/>
                <w:szCs w:val="18"/>
              </w:rPr>
            </w:pPr>
            <w:r>
              <w:rPr>
                <w:color w:val="000000"/>
                <w:sz w:val="18"/>
                <w:szCs w:val="18"/>
              </w:rPr>
              <w:t>See AR IR3535</w:t>
            </w:r>
          </w:p>
        </w:tc>
        <w:tc>
          <w:tcPr>
            <w:tcW w:w="534" w:type="pct"/>
            <w:tcBorders>
              <w:top w:val="single" w:sz="6" w:space="0" w:color="auto"/>
              <w:left w:val="single" w:sz="6" w:space="0" w:color="auto"/>
              <w:bottom w:val="single" w:sz="4" w:space="0" w:color="auto"/>
              <w:right w:val="single" w:sz="4" w:space="0" w:color="auto"/>
            </w:tcBorders>
            <w:hideMark/>
          </w:tcPr>
          <w:p w14:paraId="57B6F8D4" w14:textId="77777777" w:rsidR="00104B49" w:rsidRDefault="00104B49">
            <w:pPr>
              <w:spacing w:line="256" w:lineRule="auto"/>
              <w:rPr>
                <w:color w:val="000000"/>
                <w:sz w:val="18"/>
                <w:szCs w:val="18"/>
              </w:rPr>
            </w:pPr>
            <w:r>
              <w:rPr>
                <w:color w:val="000000"/>
                <w:sz w:val="18"/>
                <w:szCs w:val="18"/>
              </w:rPr>
              <w:t>See AR IR3535</w:t>
            </w:r>
          </w:p>
        </w:tc>
      </w:tr>
    </w:tbl>
    <w:p w14:paraId="172FEEDE" w14:textId="77777777" w:rsidR="00104B49" w:rsidRDefault="00104B49" w:rsidP="00104B49">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58"/>
        <w:gridCol w:w="1499"/>
        <w:gridCol w:w="2147"/>
        <w:gridCol w:w="1364"/>
        <w:gridCol w:w="1556"/>
        <w:gridCol w:w="937"/>
        <w:gridCol w:w="825"/>
        <w:gridCol w:w="799"/>
        <w:gridCol w:w="2024"/>
        <w:gridCol w:w="1525"/>
      </w:tblGrid>
      <w:tr w:rsidR="00104B49" w14:paraId="7B2562AB" w14:textId="77777777" w:rsidTr="00104B49">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24EB8A4D" w14:textId="77777777" w:rsidR="00104B49" w:rsidRDefault="00104B49">
            <w:pPr>
              <w:keepNext/>
              <w:widowControl w:val="0"/>
              <w:autoSpaceDE w:val="0"/>
              <w:autoSpaceDN w:val="0"/>
              <w:adjustRightInd w:val="0"/>
              <w:spacing w:line="256" w:lineRule="auto"/>
              <w:jc w:val="center"/>
              <w:rPr>
                <w:b/>
                <w:bCs/>
                <w:sz w:val="18"/>
                <w:szCs w:val="18"/>
              </w:rPr>
            </w:pPr>
            <w:r>
              <w:rPr>
                <w:rFonts w:eastAsia="Calibri"/>
                <w:b/>
              </w:rPr>
              <w:t>Analytical methods for animal and human body fluids and tissues</w:t>
            </w:r>
          </w:p>
        </w:tc>
      </w:tr>
      <w:tr w:rsidR="00104B49" w14:paraId="1C363D32" w14:textId="77777777" w:rsidTr="00104B49">
        <w:trPr>
          <w:cantSplit/>
          <w:trHeight w:val="352"/>
        </w:trPr>
        <w:tc>
          <w:tcPr>
            <w:tcW w:w="582" w:type="pct"/>
            <w:vMerge w:val="restart"/>
            <w:tcBorders>
              <w:top w:val="single" w:sz="6" w:space="0" w:color="auto"/>
              <w:left w:val="single" w:sz="4" w:space="0" w:color="auto"/>
              <w:bottom w:val="single" w:sz="6" w:space="0" w:color="auto"/>
              <w:right w:val="single" w:sz="6" w:space="0" w:color="auto"/>
            </w:tcBorders>
            <w:shd w:val="clear" w:color="auto" w:fill="FFFFFF"/>
            <w:hideMark/>
          </w:tcPr>
          <w:p w14:paraId="64472AE3"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Analyte (type of analyte e.g. active substance)</w:t>
            </w:r>
          </w:p>
        </w:tc>
        <w:tc>
          <w:tcPr>
            <w:tcW w:w="526"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19452E8B"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Analytical method</w:t>
            </w:r>
          </w:p>
        </w:tc>
        <w:tc>
          <w:tcPr>
            <w:tcW w:w="752"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0E174970" w14:textId="77777777" w:rsidR="00104B49" w:rsidRDefault="00104B49">
            <w:pPr>
              <w:keepNext/>
              <w:widowControl w:val="0"/>
              <w:autoSpaceDE w:val="0"/>
              <w:autoSpaceDN w:val="0"/>
              <w:adjustRightInd w:val="0"/>
              <w:spacing w:line="256" w:lineRule="auto"/>
              <w:rPr>
                <w:b/>
                <w:bCs/>
                <w:sz w:val="18"/>
                <w:szCs w:val="18"/>
              </w:rPr>
            </w:pPr>
            <w:r>
              <w:rPr>
                <w:b/>
                <w:bCs/>
                <w:sz w:val="18"/>
                <w:szCs w:val="18"/>
              </w:rPr>
              <w:t>Fortification range / Number of measurements</w:t>
            </w:r>
          </w:p>
        </w:tc>
        <w:tc>
          <w:tcPr>
            <w:tcW w:w="479"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2E691758" w14:textId="77777777" w:rsidR="00104B49" w:rsidRDefault="00104B49">
            <w:pPr>
              <w:keepNext/>
              <w:widowControl w:val="0"/>
              <w:autoSpaceDE w:val="0"/>
              <w:autoSpaceDN w:val="0"/>
              <w:adjustRightInd w:val="0"/>
              <w:spacing w:line="256" w:lineRule="auto"/>
              <w:rPr>
                <w:b/>
                <w:bCs/>
                <w:sz w:val="18"/>
                <w:szCs w:val="18"/>
              </w:rPr>
            </w:pPr>
            <w:r>
              <w:rPr>
                <w:b/>
                <w:bCs/>
                <w:sz w:val="18"/>
                <w:szCs w:val="18"/>
              </w:rPr>
              <w:t>Linearity</w:t>
            </w:r>
          </w:p>
        </w:tc>
        <w:tc>
          <w:tcPr>
            <w:tcW w:w="546"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10B153A7" w14:textId="77777777" w:rsidR="00104B49" w:rsidRDefault="00104B49">
            <w:pPr>
              <w:keepNext/>
              <w:widowControl w:val="0"/>
              <w:autoSpaceDE w:val="0"/>
              <w:autoSpaceDN w:val="0"/>
              <w:adjustRightInd w:val="0"/>
              <w:spacing w:line="256" w:lineRule="auto"/>
              <w:rPr>
                <w:b/>
                <w:bCs/>
                <w:sz w:val="18"/>
                <w:szCs w:val="18"/>
              </w:rPr>
            </w:pPr>
            <w:r>
              <w:rPr>
                <w:b/>
                <w:bCs/>
                <w:sz w:val="18"/>
                <w:szCs w:val="18"/>
              </w:rPr>
              <w:t>Specificity</w:t>
            </w:r>
          </w:p>
        </w:tc>
        <w:tc>
          <w:tcPr>
            <w:tcW w:w="871" w:type="pct"/>
            <w:gridSpan w:val="3"/>
            <w:tcBorders>
              <w:top w:val="single" w:sz="6" w:space="0" w:color="auto"/>
              <w:left w:val="single" w:sz="6" w:space="0" w:color="auto"/>
              <w:bottom w:val="single" w:sz="6" w:space="0" w:color="auto"/>
              <w:right w:val="single" w:sz="6" w:space="0" w:color="auto"/>
            </w:tcBorders>
            <w:shd w:val="clear" w:color="auto" w:fill="FFFFFF"/>
            <w:hideMark/>
          </w:tcPr>
          <w:p w14:paraId="7DE2E87C" w14:textId="77777777" w:rsidR="00104B49" w:rsidRDefault="00104B49">
            <w:pPr>
              <w:keepNext/>
              <w:widowControl w:val="0"/>
              <w:autoSpaceDE w:val="0"/>
              <w:autoSpaceDN w:val="0"/>
              <w:adjustRightInd w:val="0"/>
              <w:spacing w:line="256" w:lineRule="auto"/>
              <w:rPr>
                <w:b/>
                <w:bCs/>
                <w:sz w:val="18"/>
                <w:szCs w:val="18"/>
              </w:rPr>
            </w:pPr>
            <w:r>
              <w:rPr>
                <w:b/>
                <w:bCs/>
                <w:sz w:val="18"/>
                <w:szCs w:val="18"/>
              </w:rPr>
              <w:t>Recovery rate (%)</w:t>
            </w:r>
          </w:p>
        </w:tc>
        <w:tc>
          <w:tcPr>
            <w:tcW w:w="709"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04FDCD71" w14:textId="77777777" w:rsidR="00104B49" w:rsidRDefault="00104B49">
            <w:pPr>
              <w:keepNext/>
              <w:widowControl w:val="0"/>
              <w:autoSpaceDE w:val="0"/>
              <w:autoSpaceDN w:val="0"/>
              <w:adjustRightInd w:val="0"/>
              <w:spacing w:line="256" w:lineRule="auto"/>
              <w:rPr>
                <w:b/>
                <w:bCs/>
                <w:sz w:val="18"/>
                <w:szCs w:val="18"/>
              </w:rPr>
            </w:pPr>
            <w:r>
              <w:rPr>
                <w:b/>
                <w:bCs/>
                <w:sz w:val="18"/>
                <w:szCs w:val="18"/>
              </w:rPr>
              <w:t>Limit of quantification (LOQ) or other limits</w:t>
            </w:r>
          </w:p>
        </w:tc>
        <w:tc>
          <w:tcPr>
            <w:tcW w:w="534" w:type="pct"/>
            <w:vMerge w:val="restart"/>
            <w:tcBorders>
              <w:top w:val="single" w:sz="6" w:space="0" w:color="auto"/>
              <w:left w:val="single" w:sz="6" w:space="0" w:color="auto"/>
              <w:bottom w:val="single" w:sz="6" w:space="0" w:color="auto"/>
              <w:right w:val="single" w:sz="4" w:space="0" w:color="auto"/>
            </w:tcBorders>
            <w:shd w:val="clear" w:color="auto" w:fill="FFFFFF"/>
            <w:hideMark/>
          </w:tcPr>
          <w:p w14:paraId="17BF2D36" w14:textId="77777777" w:rsidR="00104B49" w:rsidRDefault="00104B49">
            <w:pPr>
              <w:keepNext/>
              <w:widowControl w:val="0"/>
              <w:autoSpaceDE w:val="0"/>
              <w:autoSpaceDN w:val="0"/>
              <w:adjustRightInd w:val="0"/>
              <w:spacing w:line="256" w:lineRule="auto"/>
              <w:rPr>
                <w:b/>
                <w:bCs/>
                <w:sz w:val="18"/>
                <w:szCs w:val="18"/>
              </w:rPr>
            </w:pPr>
            <w:r>
              <w:rPr>
                <w:b/>
                <w:bCs/>
                <w:sz w:val="18"/>
                <w:szCs w:val="18"/>
              </w:rPr>
              <w:t>Reference</w:t>
            </w:r>
          </w:p>
        </w:tc>
      </w:tr>
      <w:tr w:rsidR="00104B49" w14:paraId="1B0828E8" w14:textId="77777777" w:rsidTr="00104B49">
        <w:tc>
          <w:tcPr>
            <w:tcW w:w="0" w:type="auto"/>
            <w:vMerge/>
            <w:tcBorders>
              <w:top w:val="single" w:sz="6" w:space="0" w:color="auto"/>
              <w:left w:val="single" w:sz="4" w:space="0" w:color="auto"/>
              <w:bottom w:val="single" w:sz="6" w:space="0" w:color="auto"/>
              <w:right w:val="single" w:sz="6" w:space="0" w:color="auto"/>
            </w:tcBorders>
            <w:vAlign w:val="center"/>
            <w:hideMark/>
          </w:tcPr>
          <w:p w14:paraId="67D67310"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092D17"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13A3FE"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8742E7"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1E8CE2" w14:textId="77777777" w:rsidR="00104B49" w:rsidRDefault="00104B49">
            <w:pPr>
              <w:spacing w:before="0" w:after="0" w:line="256" w:lineRule="auto"/>
              <w:rPr>
                <w:b/>
                <w:bCs/>
                <w:sz w:val="18"/>
                <w:szCs w:val="18"/>
              </w:rPr>
            </w:pPr>
          </w:p>
        </w:tc>
        <w:tc>
          <w:tcPr>
            <w:tcW w:w="330" w:type="pct"/>
            <w:tcBorders>
              <w:top w:val="single" w:sz="6" w:space="0" w:color="auto"/>
              <w:left w:val="single" w:sz="6" w:space="0" w:color="auto"/>
              <w:bottom w:val="single" w:sz="6" w:space="0" w:color="auto"/>
              <w:right w:val="single" w:sz="6" w:space="0" w:color="auto"/>
            </w:tcBorders>
            <w:hideMark/>
          </w:tcPr>
          <w:p w14:paraId="5B0F8268" w14:textId="77777777" w:rsidR="00104B49" w:rsidRDefault="00104B49">
            <w:pPr>
              <w:spacing w:line="256" w:lineRule="auto"/>
              <w:rPr>
                <w:color w:val="000000"/>
                <w:sz w:val="18"/>
                <w:szCs w:val="18"/>
              </w:rPr>
            </w:pPr>
            <w:r>
              <w:rPr>
                <w:color w:val="000000"/>
                <w:sz w:val="18"/>
                <w:szCs w:val="18"/>
              </w:rPr>
              <w:t>Range</w:t>
            </w:r>
          </w:p>
        </w:tc>
        <w:tc>
          <w:tcPr>
            <w:tcW w:w="291" w:type="pct"/>
            <w:tcBorders>
              <w:top w:val="single" w:sz="6" w:space="0" w:color="auto"/>
              <w:left w:val="single" w:sz="6" w:space="0" w:color="auto"/>
              <w:bottom w:val="single" w:sz="6" w:space="0" w:color="auto"/>
              <w:right w:val="single" w:sz="6" w:space="0" w:color="auto"/>
            </w:tcBorders>
            <w:hideMark/>
          </w:tcPr>
          <w:p w14:paraId="7D0AB47B" w14:textId="77777777" w:rsidR="00104B49" w:rsidRDefault="00104B49">
            <w:pPr>
              <w:spacing w:line="256" w:lineRule="auto"/>
              <w:rPr>
                <w:color w:val="000000"/>
                <w:sz w:val="18"/>
                <w:szCs w:val="18"/>
              </w:rPr>
            </w:pPr>
            <w:r>
              <w:rPr>
                <w:color w:val="000000"/>
                <w:sz w:val="18"/>
                <w:szCs w:val="18"/>
              </w:rPr>
              <w:t>Mean</w:t>
            </w:r>
          </w:p>
        </w:tc>
        <w:tc>
          <w:tcPr>
            <w:tcW w:w="249" w:type="pct"/>
            <w:tcBorders>
              <w:top w:val="single" w:sz="6" w:space="0" w:color="auto"/>
              <w:left w:val="single" w:sz="6" w:space="0" w:color="auto"/>
              <w:bottom w:val="single" w:sz="6" w:space="0" w:color="auto"/>
              <w:right w:val="single" w:sz="6" w:space="0" w:color="auto"/>
            </w:tcBorders>
            <w:hideMark/>
          </w:tcPr>
          <w:p w14:paraId="1EBAD7AF" w14:textId="77777777" w:rsidR="00104B49" w:rsidRDefault="00104B49">
            <w:pPr>
              <w:spacing w:line="256" w:lineRule="auto"/>
              <w:rPr>
                <w:color w:val="000000"/>
                <w:sz w:val="18"/>
                <w:szCs w:val="18"/>
              </w:rPr>
            </w:pPr>
            <w:r>
              <w:rPr>
                <w:color w:val="000000"/>
                <w:sz w:val="18"/>
                <w:szCs w:val="18"/>
              </w:rPr>
              <w:t>RSD</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F117F0"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3C3010FA" w14:textId="77777777" w:rsidR="00104B49" w:rsidRDefault="00104B49">
            <w:pPr>
              <w:spacing w:before="0" w:after="0" w:line="256" w:lineRule="auto"/>
              <w:rPr>
                <w:b/>
                <w:bCs/>
                <w:sz w:val="18"/>
                <w:szCs w:val="18"/>
              </w:rPr>
            </w:pPr>
          </w:p>
        </w:tc>
      </w:tr>
      <w:tr w:rsidR="00104B49" w14:paraId="6073097C" w14:textId="77777777" w:rsidTr="00104B49">
        <w:tc>
          <w:tcPr>
            <w:tcW w:w="582" w:type="pct"/>
            <w:tcBorders>
              <w:top w:val="single" w:sz="6" w:space="0" w:color="auto"/>
              <w:left w:val="single" w:sz="4" w:space="0" w:color="auto"/>
              <w:bottom w:val="single" w:sz="4" w:space="0" w:color="auto"/>
              <w:right w:val="single" w:sz="6" w:space="0" w:color="auto"/>
            </w:tcBorders>
            <w:hideMark/>
          </w:tcPr>
          <w:p w14:paraId="2316024F" w14:textId="77777777" w:rsidR="00104B49" w:rsidRDefault="00104B49">
            <w:pPr>
              <w:spacing w:line="256" w:lineRule="auto"/>
              <w:rPr>
                <w:i/>
                <w:color w:val="000000"/>
                <w:sz w:val="18"/>
                <w:szCs w:val="18"/>
              </w:rPr>
            </w:pPr>
            <w:r>
              <w:rPr>
                <w:color w:val="000000"/>
                <w:sz w:val="18"/>
                <w:szCs w:val="18"/>
              </w:rPr>
              <w:t>See AR IR3535</w:t>
            </w:r>
          </w:p>
        </w:tc>
        <w:tc>
          <w:tcPr>
            <w:tcW w:w="526" w:type="pct"/>
            <w:tcBorders>
              <w:top w:val="single" w:sz="6" w:space="0" w:color="auto"/>
              <w:left w:val="single" w:sz="6" w:space="0" w:color="auto"/>
              <w:bottom w:val="single" w:sz="4" w:space="0" w:color="auto"/>
              <w:right w:val="single" w:sz="6" w:space="0" w:color="auto"/>
            </w:tcBorders>
            <w:hideMark/>
          </w:tcPr>
          <w:p w14:paraId="1E6342C1" w14:textId="77777777" w:rsidR="00104B49" w:rsidRDefault="00104B49">
            <w:pPr>
              <w:spacing w:line="256" w:lineRule="auto"/>
              <w:rPr>
                <w:color w:val="000000"/>
                <w:sz w:val="18"/>
                <w:szCs w:val="18"/>
              </w:rPr>
            </w:pPr>
            <w:r>
              <w:rPr>
                <w:color w:val="000000"/>
                <w:sz w:val="18"/>
                <w:szCs w:val="18"/>
              </w:rPr>
              <w:t>See AR IR3535</w:t>
            </w:r>
          </w:p>
        </w:tc>
        <w:tc>
          <w:tcPr>
            <w:tcW w:w="752" w:type="pct"/>
            <w:tcBorders>
              <w:top w:val="single" w:sz="6" w:space="0" w:color="auto"/>
              <w:left w:val="single" w:sz="6" w:space="0" w:color="auto"/>
              <w:bottom w:val="single" w:sz="4" w:space="0" w:color="auto"/>
              <w:right w:val="single" w:sz="6" w:space="0" w:color="auto"/>
            </w:tcBorders>
            <w:hideMark/>
          </w:tcPr>
          <w:p w14:paraId="6104A67A" w14:textId="77777777" w:rsidR="00104B49" w:rsidRDefault="00104B49">
            <w:pPr>
              <w:spacing w:line="256" w:lineRule="auto"/>
              <w:rPr>
                <w:color w:val="000000"/>
                <w:sz w:val="18"/>
                <w:szCs w:val="18"/>
              </w:rPr>
            </w:pPr>
            <w:r>
              <w:rPr>
                <w:color w:val="000000"/>
                <w:sz w:val="18"/>
                <w:szCs w:val="18"/>
              </w:rPr>
              <w:t>See AR IR3535</w:t>
            </w:r>
          </w:p>
        </w:tc>
        <w:tc>
          <w:tcPr>
            <w:tcW w:w="479" w:type="pct"/>
            <w:tcBorders>
              <w:top w:val="single" w:sz="6" w:space="0" w:color="auto"/>
              <w:left w:val="single" w:sz="6" w:space="0" w:color="auto"/>
              <w:bottom w:val="single" w:sz="4" w:space="0" w:color="auto"/>
              <w:right w:val="single" w:sz="6" w:space="0" w:color="auto"/>
            </w:tcBorders>
            <w:hideMark/>
          </w:tcPr>
          <w:p w14:paraId="0A737149" w14:textId="77777777" w:rsidR="00104B49" w:rsidRDefault="00104B49">
            <w:pPr>
              <w:spacing w:line="256" w:lineRule="auto"/>
              <w:rPr>
                <w:color w:val="000000"/>
                <w:sz w:val="18"/>
                <w:szCs w:val="18"/>
              </w:rPr>
            </w:pPr>
            <w:r>
              <w:rPr>
                <w:color w:val="000000"/>
                <w:sz w:val="18"/>
                <w:szCs w:val="18"/>
              </w:rPr>
              <w:t>See AR IR3535</w:t>
            </w:r>
          </w:p>
        </w:tc>
        <w:tc>
          <w:tcPr>
            <w:tcW w:w="546" w:type="pct"/>
            <w:tcBorders>
              <w:top w:val="single" w:sz="6" w:space="0" w:color="auto"/>
              <w:left w:val="single" w:sz="6" w:space="0" w:color="auto"/>
              <w:bottom w:val="single" w:sz="4" w:space="0" w:color="auto"/>
              <w:right w:val="single" w:sz="6" w:space="0" w:color="auto"/>
            </w:tcBorders>
            <w:hideMark/>
          </w:tcPr>
          <w:p w14:paraId="09CDC4A1" w14:textId="77777777" w:rsidR="00104B49" w:rsidRDefault="00104B49">
            <w:pPr>
              <w:spacing w:line="256" w:lineRule="auto"/>
              <w:rPr>
                <w:color w:val="000000"/>
                <w:sz w:val="18"/>
                <w:szCs w:val="18"/>
              </w:rPr>
            </w:pPr>
            <w:r>
              <w:rPr>
                <w:color w:val="000000"/>
                <w:sz w:val="18"/>
                <w:szCs w:val="18"/>
              </w:rPr>
              <w:t>See AR IR3535</w:t>
            </w:r>
          </w:p>
        </w:tc>
        <w:tc>
          <w:tcPr>
            <w:tcW w:w="330" w:type="pct"/>
            <w:tcBorders>
              <w:top w:val="single" w:sz="6" w:space="0" w:color="auto"/>
              <w:left w:val="single" w:sz="6" w:space="0" w:color="auto"/>
              <w:bottom w:val="single" w:sz="4" w:space="0" w:color="auto"/>
              <w:right w:val="single" w:sz="6" w:space="0" w:color="auto"/>
            </w:tcBorders>
            <w:hideMark/>
          </w:tcPr>
          <w:p w14:paraId="35FD166D" w14:textId="77777777" w:rsidR="00104B49" w:rsidRDefault="00104B49">
            <w:pPr>
              <w:spacing w:line="256" w:lineRule="auto"/>
              <w:rPr>
                <w:color w:val="000000"/>
                <w:sz w:val="18"/>
                <w:szCs w:val="18"/>
              </w:rPr>
            </w:pPr>
            <w:r>
              <w:rPr>
                <w:color w:val="000000"/>
                <w:sz w:val="18"/>
                <w:szCs w:val="18"/>
              </w:rPr>
              <w:t>See AR IR3535</w:t>
            </w:r>
          </w:p>
        </w:tc>
        <w:tc>
          <w:tcPr>
            <w:tcW w:w="291" w:type="pct"/>
            <w:tcBorders>
              <w:top w:val="single" w:sz="6" w:space="0" w:color="auto"/>
              <w:left w:val="single" w:sz="6" w:space="0" w:color="auto"/>
              <w:bottom w:val="single" w:sz="4" w:space="0" w:color="auto"/>
              <w:right w:val="single" w:sz="6" w:space="0" w:color="auto"/>
            </w:tcBorders>
            <w:hideMark/>
          </w:tcPr>
          <w:p w14:paraId="49522771" w14:textId="77777777" w:rsidR="00104B49" w:rsidRDefault="00104B49">
            <w:pPr>
              <w:spacing w:line="256" w:lineRule="auto"/>
              <w:rPr>
                <w:color w:val="000000"/>
                <w:sz w:val="18"/>
                <w:szCs w:val="18"/>
              </w:rPr>
            </w:pPr>
            <w:r>
              <w:rPr>
                <w:color w:val="000000"/>
                <w:sz w:val="18"/>
                <w:szCs w:val="18"/>
              </w:rPr>
              <w:t>See AR IR3535</w:t>
            </w:r>
          </w:p>
        </w:tc>
        <w:tc>
          <w:tcPr>
            <w:tcW w:w="249" w:type="pct"/>
            <w:tcBorders>
              <w:top w:val="single" w:sz="6" w:space="0" w:color="auto"/>
              <w:left w:val="single" w:sz="6" w:space="0" w:color="auto"/>
              <w:bottom w:val="single" w:sz="4" w:space="0" w:color="auto"/>
              <w:right w:val="single" w:sz="6" w:space="0" w:color="auto"/>
            </w:tcBorders>
            <w:hideMark/>
          </w:tcPr>
          <w:p w14:paraId="6FBFFDB4" w14:textId="77777777" w:rsidR="00104B49" w:rsidRDefault="00104B49">
            <w:pPr>
              <w:spacing w:line="256" w:lineRule="auto"/>
              <w:rPr>
                <w:color w:val="000000"/>
                <w:sz w:val="18"/>
                <w:szCs w:val="18"/>
              </w:rPr>
            </w:pPr>
            <w:r>
              <w:rPr>
                <w:color w:val="000000"/>
                <w:sz w:val="18"/>
                <w:szCs w:val="18"/>
              </w:rPr>
              <w:t>See AR IR3535</w:t>
            </w:r>
          </w:p>
        </w:tc>
        <w:tc>
          <w:tcPr>
            <w:tcW w:w="709" w:type="pct"/>
            <w:tcBorders>
              <w:top w:val="single" w:sz="6" w:space="0" w:color="auto"/>
              <w:left w:val="single" w:sz="6" w:space="0" w:color="auto"/>
              <w:bottom w:val="single" w:sz="4" w:space="0" w:color="auto"/>
              <w:right w:val="single" w:sz="6" w:space="0" w:color="auto"/>
            </w:tcBorders>
            <w:hideMark/>
          </w:tcPr>
          <w:p w14:paraId="3374D28F" w14:textId="77777777" w:rsidR="00104B49" w:rsidRDefault="00104B49">
            <w:pPr>
              <w:spacing w:line="256" w:lineRule="auto"/>
              <w:rPr>
                <w:color w:val="000000"/>
                <w:sz w:val="18"/>
                <w:szCs w:val="18"/>
              </w:rPr>
            </w:pPr>
            <w:r>
              <w:rPr>
                <w:color w:val="000000"/>
                <w:sz w:val="18"/>
                <w:szCs w:val="18"/>
              </w:rPr>
              <w:t>See AR IR3535</w:t>
            </w:r>
          </w:p>
        </w:tc>
        <w:tc>
          <w:tcPr>
            <w:tcW w:w="534" w:type="pct"/>
            <w:tcBorders>
              <w:top w:val="single" w:sz="6" w:space="0" w:color="auto"/>
              <w:left w:val="single" w:sz="6" w:space="0" w:color="auto"/>
              <w:bottom w:val="single" w:sz="4" w:space="0" w:color="auto"/>
              <w:right w:val="single" w:sz="4" w:space="0" w:color="auto"/>
            </w:tcBorders>
            <w:hideMark/>
          </w:tcPr>
          <w:p w14:paraId="23BE8EA5" w14:textId="77777777" w:rsidR="00104B49" w:rsidRDefault="00104B49">
            <w:pPr>
              <w:spacing w:line="256" w:lineRule="auto"/>
              <w:rPr>
                <w:color w:val="000000"/>
                <w:sz w:val="18"/>
                <w:szCs w:val="18"/>
              </w:rPr>
            </w:pPr>
            <w:r>
              <w:rPr>
                <w:color w:val="000000"/>
                <w:sz w:val="18"/>
                <w:szCs w:val="18"/>
              </w:rPr>
              <w:t>See AR IR3535</w:t>
            </w:r>
          </w:p>
        </w:tc>
      </w:tr>
    </w:tbl>
    <w:p w14:paraId="383FC711" w14:textId="77777777" w:rsidR="00104B49" w:rsidRDefault="00104B49" w:rsidP="00104B49">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58"/>
        <w:gridCol w:w="1499"/>
        <w:gridCol w:w="2147"/>
        <w:gridCol w:w="1364"/>
        <w:gridCol w:w="1556"/>
        <w:gridCol w:w="937"/>
        <w:gridCol w:w="825"/>
        <w:gridCol w:w="799"/>
        <w:gridCol w:w="2024"/>
        <w:gridCol w:w="1525"/>
      </w:tblGrid>
      <w:tr w:rsidR="00104B49" w14:paraId="736E451C" w14:textId="77777777" w:rsidTr="00104B49">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01C4BC09" w14:textId="77777777" w:rsidR="00104B49" w:rsidRDefault="00104B49">
            <w:pPr>
              <w:keepNext/>
              <w:widowControl w:val="0"/>
              <w:autoSpaceDE w:val="0"/>
              <w:autoSpaceDN w:val="0"/>
              <w:adjustRightInd w:val="0"/>
              <w:spacing w:line="256" w:lineRule="auto"/>
              <w:jc w:val="center"/>
              <w:rPr>
                <w:b/>
                <w:bCs/>
                <w:sz w:val="18"/>
                <w:szCs w:val="18"/>
              </w:rPr>
            </w:pPr>
            <w:r>
              <w:rPr>
                <w:rFonts w:eastAsia="Calibri"/>
                <w:b/>
              </w:rPr>
              <w:t>Analytical methods for monitoring of active substances and residues in food and feeding stuff</w:t>
            </w:r>
          </w:p>
        </w:tc>
      </w:tr>
      <w:tr w:rsidR="00104B49" w14:paraId="00582376" w14:textId="77777777" w:rsidTr="00104B49">
        <w:trPr>
          <w:cantSplit/>
          <w:trHeight w:val="352"/>
        </w:trPr>
        <w:tc>
          <w:tcPr>
            <w:tcW w:w="582" w:type="pct"/>
            <w:vMerge w:val="restart"/>
            <w:tcBorders>
              <w:top w:val="single" w:sz="6" w:space="0" w:color="auto"/>
              <w:left w:val="single" w:sz="4" w:space="0" w:color="auto"/>
              <w:bottom w:val="single" w:sz="6" w:space="0" w:color="auto"/>
              <w:right w:val="single" w:sz="6" w:space="0" w:color="auto"/>
            </w:tcBorders>
            <w:shd w:val="clear" w:color="auto" w:fill="FFFFFF"/>
            <w:hideMark/>
          </w:tcPr>
          <w:p w14:paraId="685E4AF1"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Analyte (type of analyte e.g. active substance)</w:t>
            </w:r>
          </w:p>
        </w:tc>
        <w:tc>
          <w:tcPr>
            <w:tcW w:w="526"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046DF591" w14:textId="77777777" w:rsidR="00104B49" w:rsidRDefault="00104B49">
            <w:pPr>
              <w:keepNext/>
              <w:widowControl w:val="0"/>
              <w:autoSpaceDE w:val="0"/>
              <w:autoSpaceDN w:val="0"/>
              <w:adjustRightInd w:val="0"/>
              <w:spacing w:line="256" w:lineRule="auto"/>
              <w:rPr>
                <w:b/>
                <w:bCs/>
                <w:sz w:val="18"/>
                <w:szCs w:val="18"/>
              </w:rPr>
            </w:pPr>
            <w:r>
              <w:rPr>
                <w:b/>
                <w:bCs/>
                <w:sz w:val="18"/>
                <w:szCs w:val="18"/>
              </w:rPr>
              <w:t>Analytical method</w:t>
            </w:r>
          </w:p>
        </w:tc>
        <w:tc>
          <w:tcPr>
            <w:tcW w:w="752"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09727261" w14:textId="77777777" w:rsidR="00104B49" w:rsidRDefault="00104B49">
            <w:pPr>
              <w:keepNext/>
              <w:widowControl w:val="0"/>
              <w:autoSpaceDE w:val="0"/>
              <w:autoSpaceDN w:val="0"/>
              <w:adjustRightInd w:val="0"/>
              <w:spacing w:line="256" w:lineRule="auto"/>
              <w:rPr>
                <w:b/>
                <w:bCs/>
                <w:sz w:val="18"/>
                <w:szCs w:val="18"/>
              </w:rPr>
            </w:pPr>
            <w:r>
              <w:rPr>
                <w:b/>
                <w:bCs/>
                <w:sz w:val="18"/>
                <w:szCs w:val="18"/>
              </w:rPr>
              <w:t>Fortification range / Number of measurements</w:t>
            </w:r>
          </w:p>
        </w:tc>
        <w:tc>
          <w:tcPr>
            <w:tcW w:w="479"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069A9748" w14:textId="77777777" w:rsidR="00104B49" w:rsidRDefault="00104B49">
            <w:pPr>
              <w:keepNext/>
              <w:widowControl w:val="0"/>
              <w:autoSpaceDE w:val="0"/>
              <w:autoSpaceDN w:val="0"/>
              <w:adjustRightInd w:val="0"/>
              <w:spacing w:line="256" w:lineRule="auto"/>
              <w:rPr>
                <w:b/>
                <w:bCs/>
                <w:sz w:val="18"/>
                <w:szCs w:val="18"/>
              </w:rPr>
            </w:pPr>
            <w:r>
              <w:rPr>
                <w:b/>
                <w:bCs/>
                <w:sz w:val="18"/>
                <w:szCs w:val="18"/>
              </w:rPr>
              <w:t>Linearity</w:t>
            </w:r>
          </w:p>
        </w:tc>
        <w:tc>
          <w:tcPr>
            <w:tcW w:w="546"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73AA66CA" w14:textId="77777777" w:rsidR="00104B49" w:rsidRDefault="00104B49">
            <w:pPr>
              <w:keepNext/>
              <w:widowControl w:val="0"/>
              <w:autoSpaceDE w:val="0"/>
              <w:autoSpaceDN w:val="0"/>
              <w:adjustRightInd w:val="0"/>
              <w:spacing w:line="256" w:lineRule="auto"/>
              <w:rPr>
                <w:b/>
                <w:bCs/>
                <w:sz w:val="18"/>
                <w:szCs w:val="18"/>
              </w:rPr>
            </w:pPr>
            <w:r>
              <w:rPr>
                <w:b/>
                <w:bCs/>
                <w:sz w:val="18"/>
                <w:szCs w:val="18"/>
              </w:rPr>
              <w:t>Specificity</w:t>
            </w:r>
          </w:p>
        </w:tc>
        <w:tc>
          <w:tcPr>
            <w:tcW w:w="871" w:type="pct"/>
            <w:gridSpan w:val="3"/>
            <w:tcBorders>
              <w:top w:val="single" w:sz="6" w:space="0" w:color="auto"/>
              <w:left w:val="single" w:sz="6" w:space="0" w:color="auto"/>
              <w:bottom w:val="single" w:sz="6" w:space="0" w:color="auto"/>
              <w:right w:val="single" w:sz="6" w:space="0" w:color="auto"/>
            </w:tcBorders>
            <w:shd w:val="clear" w:color="auto" w:fill="FFFFFF"/>
            <w:hideMark/>
          </w:tcPr>
          <w:p w14:paraId="6B365814" w14:textId="77777777" w:rsidR="00104B49" w:rsidRDefault="00104B49">
            <w:pPr>
              <w:keepNext/>
              <w:widowControl w:val="0"/>
              <w:autoSpaceDE w:val="0"/>
              <w:autoSpaceDN w:val="0"/>
              <w:adjustRightInd w:val="0"/>
              <w:spacing w:line="256" w:lineRule="auto"/>
              <w:rPr>
                <w:b/>
                <w:bCs/>
                <w:sz w:val="18"/>
                <w:szCs w:val="18"/>
              </w:rPr>
            </w:pPr>
            <w:r>
              <w:rPr>
                <w:b/>
                <w:bCs/>
                <w:sz w:val="18"/>
                <w:szCs w:val="18"/>
              </w:rPr>
              <w:t>Recovery rate (%)</w:t>
            </w:r>
          </w:p>
        </w:tc>
        <w:tc>
          <w:tcPr>
            <w:tcW w:w="709" w:type="pct"/>
            <w:vMerge w:val="restart"/>
            <w:tcBorders>
              <w:top w:val="single" w:sz="6" w:space="0" w:color="auto"/>
              <w:left w:val="single" w:sz="6" w:space="0" w:color="auto"/>
              <w:bottom w:val="single" w:sz="6" w:space="0" w:color="auto"/>
              <w:right w:val="single" w:sz="6" w:space="0" w:color="auto"/>
            </w:tcBorders>
            <w:shd w:val="clear" w:color="auto" w:fill="FFFFFF"/>
            <w:hideMark/>
          </w:tcPr>
          <w:p w14:paraId="1EDDEB7B" w14:textId="77777777" w:rsidR="00104B49" w:rsidRDefault="00104B49">
            <w:pPr>
              <w:keepNext/>
              <w:widowControl w:val="0"/>
              <w:autoSpaceDE w:val="0"/>
              <w:autoSpaceDN w:val="0"/>
              <w:adjustRightInd w:val="0"/>
              <w:spacing w:line="256" w:lineRule="auto"/>
              <w:rPr>
                <w:b/>
                <w:bCs/>
                <w:sz w:val="18"/>
                <w:szCs w:val="18"/>
              </w:rPr>
            </w:pPr>
            <w:r>
              <w:rPr>
                <w:b/>
                <w:bCs/>
                <w:sz w:val="18"/>
                <w:szCs w:val="18"/>
              </w:rPr>
              <w:t>Limit of quantification (LOQ) or other limits</w:t>
            </w:r>
          </w:p>
        </w:tc>
        <w:tc>
          <w:tcPr>
            <w:tcW w:w="534" w:type="pct"/>
            <w:vMerge w:val="restart"/>
            <w:tcBorders>
              <w:top w:val="single" w:sz="6" w:space="0" w:color="auto"/>
              <w:left w:val="single" w:sz="6" w:space="0" w:color="auto"/>
              <w:bottom w:val="single" w:sz="6" w:space="0" w:color="auto"/>
              <w:right w:val="single" w:sz="4" w:space="0" w:color="auto"/>
            </w:tcBorders>
            <w:shd w:val="clear" w:color="auto" w:fill="FFFFFF"/>
            <w:hideMark/>
          </w:tcPr>
          <w:p w14:paraId="429F9D08" w14:textId="77777777" w:rsidR="00104B49" w:rsidRDefault="00104B49">
            <w:pPr>
              <w:keepNext/>
              <w:widowControl w:val="0"/>
              <w:autoSpaceDE w:val="0"/>
              <w:autoSpaceDN w:val="0"/>
              <w:adjustRightInd w:val="0"/>
              <w:spacing w:line="256" w:lineRule="auto"/>
              <w:rPr>
                <w:b/>
                <w:bCs/>
                <w:sz w:val="18"/>
                <w:szCs w:val="18"/>
              </w:rPr>
            </w:pPr>
            <w:r>
              <w:rPr>
                <w:b/>
                <w:bCs/>
                <w:sz w:val="18"/>
                <w:szCs w:val="18"/>
              </w:rPr>
              <w:t>Reference</w:t>
            </w:r>
          </w:p>
        </w:tc>
      </w:tr>
      <w:tr w:rsidR="00104B49" w14:paraId="40641C1F" w14:textId="77777777" w:rsidTr="00104B49">
        <w:tc>
          <w:tcPr>
            <w:tcW w:w="0" w:type="auto"/>
            <w:vMerge/>
            <w:tcBorders>
              <w:top w:val="single" w:sz="6" w:space="0" w:color="auto"/>
              <w:left w:val="single" w:sz="4" w:space="0" w:color="auto"/>
              <w:bottom w:val="single" w:sz="6" w:space="0" w:color="auto"/>
              <w:right w:val="single" w:sz="6" w:space="0" w:color="auto"/>
            </w:tcBorders>
            <w:vAlign w:val="center"/>
            <w:hideMark/>
          </w:tcPr>
          <w:p w14:paraId="50551A64"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E254D4"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DD43D2"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7FC468"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9E7997" w14:textId="77777777" w:rsidR="00104B49" w:rsidRDefault="00104B49">
            <w:pPr>
              <w:spacing w:before="0" w:after="0" w:line="256" w:lineRule="auto"/>
              <w:rPr>
                <w:b/>
                <w:bCs/>
                <w:sz w:val="18"/>
                <w:szCs w:val="18"/>
              </w:rPr>
            </w:pPr>
          </w:p>
        </w:tc>
        <w:tc>
          <w:tcPr>
            <w:tcW w:w="330" w:type="pct"/>
            <w:tcBorders>
              <w:top w:val="single" w:sz="6" w:space="0" w:color="auto"/>
              <w:left w:val="single" w:sz="6" w:space="0" w:color="auto"/>
              <w:bottom w:val="single" w:sz="6" w:space="0" w:color="auto"/>
              <w:right w:val="single" w:sz="6" w:space="0" w:color="auto"/>
            </w:tcBorders>
            <w:hideMark/>
          </w:tcPr>
          <w:p w14:paraId="29AB44FD" w14:textId="77777777" w:rsidR="00104B49" w:rsidRDefault="00104B49">
            <w:pPr>
              <w:spacing w:line="256" w:lineRule="auto"/>
              <w:rPr>
                <w:color w:val="000000"/>
                <w:sz w:val="18"/>
                <w:szCs w:val="18"/>
              </w:rPr>
            </w:pPr>
            <w:r>
              <w:rPr>
                <w:color w:val="000000"/>
                <w:sz w:val="18"/>
                <w:szCs w:val="18"/>
              </w:rPr>
              <w:t>Range</w:t>
            </w:r>
          </w:p>
        </w:tc>
        <w:tc>
          <w:tcPr>
            <w:tcW w:w="291" w:type="pct"/>
            <w:tcBorders>
              <w:top w:val="single" w:sz="6" w:space="0" w:color="auto"/>
              <w:left w:val="single" w:sz="6" w:space="0" w:color="auto"/>
              <w:bottom w:val="single" w:sz="6" w:space="0" w:color="auto"/>
              <w:right w:val="single" w:sz="6" w:space="0" w:color="auto"/>
            </w:tcBorders>
            <w:hideMark/>
          </w:tcPr>
          <w:p w14:paraId="2A825B0E" w14:textId="77777777" w:rsidR="00104B49" w:rsidRDefault="00104B49">
            <w:pPr>
              <w:spacing w:line="256" w:lineRule="auto"/>
              <w:rPr>
                <w:color w:val="000000"/>
                <w:sz w:val="18"/>
                <w:szCs w:val="18"/>
              </w:rPr>
            </w:pPr>
            <w:r>
              <w:rPr>
                <w:color w:val="000000"/>
                <w:sz w:val="18"/>
                <w:szCs w:val="18"/>
              </w:rPr>
              <w:t>Mean</w:t>
            </w:r>
          </w:p>
        </w:tc>
        <w:tc>
          <w:tcPr>
            <w:tcW w:w="249" w:type="pct"/>
            <w:tcBorders>
              <w:top w:val="single" w:sz="6" w:space="0" w:color="auto"/>
              <w:left w:val="single" w:sz="6" w:space="0" w:color="auto"/>
              <w:bottom w:val="single" w:sz="6" w:space="0" w:color="auto"/>
              <w:right w:val="single" w:sz="6" w:space="0" w:color="auto"/>
            </w:tcBorders>
            <w:hideMark/>
          </w:tcPr>
          <w:p w14:paraId="65EBE3F4" w14:textId="77777777" w:rsidR="00104B49" w:rsidRDefault="00104B49">
            <w:pPr>
              <w:spacing w:line="256" w:lineRule="auto"/>
              <w:rPr>
                <w:color w:val="000000"/>
                <w:sz w:val="18"/>
                <w:szCs w:val="18"/>
              </w:rPr>
            </w:pPr>
            <w:r>
              <w:rPr>
                <w:color w:val="000000"/>
                <w:sz w:val="18"/>
                <w:szCs w:val="18"/>
              </w:rPr>
              <w:t>RSD</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94E680" w14:textId="77777777" w:rsidR="00104B49" w:rsidRDefault="00104B49">
            <w:pPr>
              <w:spacing w:before="0" w:after="0" w:line="256" w:lineRule="auto"/>
              <w:rPr>
                <w:b/>
                <w:bCs/>
                <w:sz w:val="18"/>
                <w:szCs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5C5B94B0" w14:textId="77777777" w:rsidR="00104B49" w:rsidRDefault="00104B49">
            <w:pPr>
              <w:spacing w:before="0" w:after="0" w:line="256" w:lineRule="auto"/>
              <w:rPr>
                <w:b/>
                <w:bCs/>
                <w:sz w:val="18"/>
                <w:szCs w:val="18"/>
              </w:rPr>
            </w:pPr>
          </w:p>
        </w:tc>
      </w:tr>
      <w:tr w:rsidR="00104B49" w14:paraId="0C9B3E21" w14:textId="77777777" w:rsidTr="00104B49">
        <w:tc>
          <w:tcPr>
            <w:tcW w:w="582" w:type="pct"/>
            <w:tcBorders>
              <w:top w:val="single" w:sz="6" w:space="0" w:color="auto"/>
              <w:left w:val="single" w:sz="4" w:space="0" w:color="auto"/>
              <w:bottom w:val="single" w:sz="4" w:space="0" w:color="auto"/>
              <w:right w:val="single" w:sz="6" w:space="0" w:color="auto"/>
            </w:tcBorders>
            <w:hideMark/>
          </w:tcPr>
          <w:p w14:paraId="5B97B896" w14:textId="77777777" w:rsidR="00104B49" w:rsidRDefault="00104B49">
            <w:pPr>
              <w:spacing w:line="256" w:lineRule="auto"/>
              <w:rPr>
                <w:i/>
                <w:color w:val="000000"/>
                <w:sz w:val="18"/>
                <w:szCs w:val="18"/>
              </w:rPr>
            </w:pPr>
            <w:r>
              <w:rPr>
                <w:color w:val="000000"/>
                <w:sz w:val="18"/>
                <w:szCs w:val="18"/>
              </w:rPr>
              <w:lastRenderedPageBreak/>
              <w:t>See AR IR3535</w:t>
            </w:r>
          </w:p>
        </w:tc>
        <w:tc>
          <w:tcPr>
            <w:tcW w:w="526" w:type="pct"/>
            <w:tcBorders>
              <w:top w:val="single" w:sz="6" w:space="0" w:color="auto"/>
              <w:left w:val="single" w:sz="6" w:space="0" w:color="auto"/>
              <w:bottom w:val="single" w:sz="4" w:space="0" w:color="auto"/>
              <w:right w:val="single" w:sz="6" w:space="0" w:color="auto"/>
            </w:tcBorders>
            <w:hideMark/>
          </w:tcPr>
          <w:p w14:paraId="66913ED6" w14:textId="77777777" w:rsidR="00104B49" w:rsidRDefault="00104B49">
            <w:pPr>
              <w:spacing w:line="256" w:lineRule="auto"/>
              <w:rPr>
                <w:color w:val="000000"/>
                <w:sz w:val="18"/>
                <w:szCs w:val="18"/>
              </w:rPr>
            </w:pPr>
            <w:r>
              <w:rPr>
                <w:color w:val="000000"/>
                <w:sz w:val="18"/>
                <w:szCs w:val="18"/>
              </w:rPr>
              <w:t>See AR IR3535</w:t>
            </w:r>
          </w:p>
        </w:tc>
        <w:tc>
          <w:tcPr>
            <w:tcW w:w="752" w:type="pct"/>
            <w:tcBorders>
              <w:top w:val="single" w:sz="6" w:space="0" w:color="auto"/>
              <w:left w:val="single" w:sz="6" w:space="0" w:color="auto"/>
              <w:bottom w:val="single" w:sz="4" w:space="0" w:color="auto"/>
              <w:right w:val="single" w:sz="6" w:space="0" w:color="auto"/>
            </w:tcBorders>
            <w:hideMark/>
          </w:tcPr>
          <w:p w14:paraId="6D248A9B" w14:textId="77777777" w:rsidR="00104B49" w:rsidRDefault="00104B49">
            <w:pPr>
              <w:spacing w:line="256" w:lineRule="auto"/>
              <w:rPr>
                <w:color w:val="000000"/>
                <w:sz w:val="18"/>
                <w:szCs w:val="18"/>
              </w:rPr>
            </w:pPr>
            <w:r>
              <w:rPr>
                <w:color w:val="000000"/>
                <w:sz w:val="18"/>
                <w:szCs w:val="18"/>
              </w:rPr>
              <w:t>See AR IR3535</w:t>
            </w:r>
          </w:p>
        </w:tc>
        <w:tc>
          <w:tcPr>
            <w:tcW w:w="479" w:type="pct"/>
            <w:tcBorders>
              <w:top w:val="single" w:sz="6" w:space="0" w:color="auto"/>
              <w:left w:val="single" w:sz="6" w:space="0" w:color="auto"/>
              <w:bottom w:val="single" w:sz="4" w:space="0" w:color="auto"/>
              <w:right w:val="single" w:sz="6" w:space="0" w:color="auto"/>
            </w:tcBorders>
            <w:hideMark/>
          </w:tcPr>
          <w:p w14:paraId="2DE6479B" w14:textId="77777777" w:rsidR="00104B49" w:rsidRDefault="00104B49">
            <w:pPr>
              <w:spacing w:line="256" w:lineRule="auto"/>
              <w:rPr>
                <w:color w:val="000000"/>
                <w:sz w:val="18"/>
                <w:szCs w:val="18"/>
              </w:rPr>
            </w:pPr>
            <w:r>
              <w:rPr>
                <w:color w:val="000000"/>
                <w:sz w:val="18"/>
                <w:szCs w:val="18"/>
              </w:rPr>
              <w:t>See AR IR3535</w:t>
            </w:r>
          </w:p>
        </w:tc>
        <w:tc>
          <w:tcPr>
            <w:tcW w:w="546" w:type="pct"/>
            <w:tcBorders>
              <w:top w:val="single" w:sz="6" w:space="0" w:color="auto"/>
              <w:left w:val="single" w:sz="6" w:space="0" w:color="auto"/>
              <w:bottom w:val="single" w:sz="4" w:space="0" w:color="auto"/>
              <w:right w:val="single" w:sz="6" w:space="0" w:color="auto"/>
            </w:tcBorders>
            <w:hideMark/>
          </w:tcPr>
          <w:p w14:paraId="7655E357" w14:textId="77777777" w:rsidR="00104B49" w:rsidRDefault="00104B49">
            <w:pPr>
              <w:spacing w:line="256" w:lineRule="auto"/>
              <w:rPr>
                <w:color w:val="000000"/>
                <w:sz w:val="18"/>
                <w:szCs w:val="18"/>
              </w:rPr>
            </w:pPr>
            <w:r>
              <w:rPr>
                <w:color w:val="000000"/>
                <w:sz w:val="18"/>
                <w:szCs w:val="18"/>
              </w:rPr>
              <w:t>See AR IR3535</w:t>
            </w:r>
          </w:p>
        </w:tc>
        <w:tc>
          <w:tcPr>
            <w:tcW w:w="330" w:type="pct"/>
            <w:tcBorders>
              <w:top w:val="single" w:sz="6" w:space="0" w:color="auto"/>
              <w:left w:val="single" w:sz="6" w:space="0" w:color="auto"/>
              <w:bottom w:val="single" w:sz="4" w:space="0" w:color="auto"/>
              <w:right w:val="single" w:sz="6" w:space="0" w:color="auto"/>
            </w:tcBorders>
            <w:hideMark/>
          </w:tcPr>
          <w:p w14:paraId="57FF7F3C" w14:textId="77777777" w:rsidR="00104B49" w:rsidRDefault="00104B49">
            <w:pPr>
              <w:spacing w:line="256" w:lineRule="auto"/>
              <w:rPr>
                <w:color w:val="000000"/>
                <w:sz w:val="18"/>
                <w:szCs w:val="18"/>
              </w:rPr>
            </w:pPr>
            <w:r>
              <w:rPr>
                <w:color w:val="000000"/>
                <w:sz w:val="18"/>
                <w:szCs w:val="18"/>
              </w:rPr>
              <w:t>See AR IR3535</w:t>
            </w:r>
          </w:p>
        </w:tc>
        <w:tc>
          <w:tcPr>
            <w:tcW w:w="291" w:type="pct"/>
            <w:tcBorders>
              <w:top w:val="single" w:sz="6" w:space="0" w:color="auto"/>
              <w:left w:val="single" w:sz="6" w:space="0" w:color="auto"/>
              <w:bottom w:val="single" w:sz="4" w:space="0" w:color="auto"/>
              <w:right w:val="single" w:sz="6" w:space="0" w:color="auto"/>
            </w:tcBorders>
            <w:hideMark/>
          </w:tcPr>
          <w:p w14:paraId="7FC0F9BC" w14:textId="77777777" w:rsidR="00104B49" w:rsidRDefault="00104B49">
            <w:pPr>
              <w:spacing w:line="256" w:lineRule="auto"/>
              <w:rPr>
                <w:color w:val="000000"/>
                <w:sz w:val="18"/>
                <w:szCs w:val="18"/>
              </w:rPr>
            </w:pPr>
            <w:r>
              <w:rPr>
                <w:color w:val="000000"/>
                <w:sz w:val="18"/>
                <w:szCs w:val="18"/>
              </w:rPr>
              <w:t>See AR IR3535</w:t>
            </w:r>
          </w:p>
        </w:tc>
        <w:tc>
          <w:tcPr>
            <w:tcW w:w="249" w:type="pct"/>
            <w:tcBorders>
              <w:top w:val="single" w:sz="6" w:space="0" w:color="auto"/>
              <w:left w:val="single" w:sz="6" w:space="0" w:color="auto"/>
              <w:bottom w:val="single" w:sz="4" w:space="0" w:color="auto"/>
              <w:right w:val="single" w:sz="6" w:space="0" w:color="auto"/>
            </w:tcBorders>
            <w:hideMark/>
          </w:tcPr>
          <w:p w14:paraId="29399271" w14:textId="77777777" w:rsidR="00104B49" w:rsidRDefault="00104B49">
            <w:pPr>
              <w:spacing w:line="256" w:lineRule="auto"/>
              <w:rPr>
                <w:color w:val="000000"/>
                <w:sz w:val="18"/>
                <w:szCs w:val="18"/>
              </w:rPr>
            </w:pPr>
            <w:r>
              <w:rPr>
                <w:color w:val="000000"/>
                <w:sz w:val="18"/>
                <w:szCs w:val="18"/>
              </w:rPr>
              <w:t>See AR IR3535</w:t>
            </w:r>
          </w:p>
        </w:tc>
        <w:tc>
          <w:tcPr>
            <w:tcW w:w="709" w:type="pct"/>
            <w:tcBorders>
              <w:top w:val="single" w:sz="6" w:space="0" w:color="auto"/>
              <w:left w:val="single" w:sz="6" w:space="0" w:color="auto"/>
              <w:bottom w:val="single" w:sz="4" w:space="0" w:color="auto"/>
              <w:right w:val="single" w:sz="6" w:space="0" w:color="auto"/>
            </w:tcBorders>
            <w:hideMark/>
          </w:tcPr>
          <w:p w14:paraId="20B3B752" w14:textId="77777777" w:rsidR="00104B49" w:rsidRDefault="00104B49">
            <w:pPr>
              <w:spacing w:line="256" w:lineRule="auto"/>
              <w:rPr>
                <w:color w:val="000000"/>
                <w:sz w:val="18"/>
                <w:szCs w:val="18"/>
              </w:rPr>
            </w:pPr>
            <w:r>
              <w:rPr>
                <w:color w:val="000000"/>
                <w:sz w:val="18"/>
                <w:szCs w:val="18"/>
              </w:rPr>
              <w:t>See AR IR3535</w:t>
            </w:r>
          </w:p>
        </w:tc>
        <w:tc>
          <w:tcPr>
            <w:tcW w:w="534" w:type="pct"/>
            <w:tcBorders>
              <w:top w:val="single" w:sz="6" w:space="0" w:color="auto"/>
              <w:left w:val="single" w:sz="6" w:space="0" w:color="auto"/>
              <w:bottom w:val="single" w:sz="4" w:space="0" w:color="auto"/>
              <w:right w:val="single" w:sz="4" w:space="0" w:color="auto"/>
            </w:tcBorders>
            <w:hideMark/>
          </w:tcPr>
          <w:p w14:paraId="298C7618" w14:textId="77777777" w:rsidR="00104B49" w:rsidRDefault="00104B49">
            <w:pPr>
              <w:spacing w:line="256" w:lineRule="auto"/>
              <w:rPr>
                <w:color w:val="000000"/>
                <w:sz w:val="18"/>
                <w:szCs w:val="18"/>
              </w:rPr>
            </w:pPr>
            <w:r>
              <w:rPr>
                <w:color w:val="000000"/>
                <w:sz w:val="18"/>
                <w:szCs w:val="18"/>
              </w:rPr>
              <w:t>See AR IR3535</w:t>
            </w:r>
          </w:p>
        </w:tc>
      </w:tr>
    </w:tbl>
    <w:p w14:paraId="7B53E6C6" w14:textId="77777777" w:rsidR="00104B49" w:rsidRDefault="00104B49" w:rsidP="00EB316C"/>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331"/>
      </w:tblGrid>
      <w:tr w:rsidR="0072135A" w:rsidRPr="00BD2EF1" w14:paraId="0E314EF8" w14:textId="77777777" w:rsidTr="00EF0FF2">
        <w:tc>
          <w:tcPr>
            <w:tcW w:w="5000" w:type="pct"/>
            <w:tcBorders>
              <w:top w:val="single" w:sz="4" w:space="0" w:color="auto"/>
              <w:left w:val="single" w:sz="4" w:space="0" w:color="auto"/>
              <w:bottom w:val="single" w:sz="6" w:space="0" w:color="auto"/>
              <w:right w:val="single" w:sz="6" w:space="0" w:color="auto"/>
            </w:tcBorders>
            <w:shd w:val="clear" w:color="auto" w:fill="CCFFCC"/>
          </w:tcPr>
          <w:p w14:paraId="1C65F33E" w14:textId="77777777" w:rsidR="0072135A" w:rsidRPr="00BD2EF1" w:rsidRDefault="0072135A" w:rsidP="0072135A">
            <w:pPr>
              <w:rPr>
                <w:rFonts w:eastAsia="Calibri"/>
                <w:b/>
                <w:lang w:eastAsia="en-US"/>
              </w:rPr>
            </w:pPr>
            <w:r w:rsidRPr="00BD2EF1">
              <w:rPr>
                <w:rFonts w:eastAsia="Calibri"/>
                <w:b/>
                <w:lang w:eastAsia="en-US"/>
              </w:rPr>
              <w:t>Conclusion on the methods for detection and identification</w:t>
            </w:r>
            <w:r w:rsidR="00EB316C">
              <w:rPr>
                <w:rFonts w:eastAsia="Calibri"/>
                <w:b/>
                <w:lang w:eastAsia="en-US"/>
              </w:rPr>
              <w:t xml:space="preserve"> </w:t>
            </w:r>
            <w:r w:rsidRPr="00BD2EF1">
              <w:rPr>
                <w:rFonts w:eastAsia="Calibri"/>
                <w:b/>
                <w:lang w:eastAsia="en-US"/>
              </w:rPr>
              <w:t>of the product</w:t>
            </w:r>
          </w:p>
        </w:tc>
      </w:tr>
      <w:tr w:rsidR="0072135A" w:rsidRPr="00BD2EF1" w14:paraId="30B13F92" w14:textId="77777777" w:rsidTr="00EF0FF2">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D518421" w14:textId="77777777" w:rsidR="00C2329A" w:rsidRPr="003A654A" w:rsidRDefault="00C2329A" w:rsidP="00C2329A">
            <w:pPr>
              <w:spacing w:line="260" w:lineRule="atLeast"/>
              <w:jc w:val="both"/>
              <w:rPr>
                <w:rFonts w:eastAsia="Calibri"/>
                <w:lang w:eastAsia="en-US"/>
              </w:rPr>
            </w:pPr>
            <w:r w:rsidRPr="003A654A">
              <w:rPr>
                <w:rFonts w:eastAsia="Calibri"/>
                <w:lang w:eastAsia="en-US"/>
              </w:rPr>
              <w:t>IR3535</w:t>
            </w:r>
            <w:r w:rsidRPr="003A654A">
              <w:rPr>
                <w:rFonts w:eastAsia="Calibri"/>
                <w:vertAlign w:val="superscript"/>
                <w:lang w:eastAsia="en-US"/>
              </w:rPr>
              <w:t>®</w:t>
            </w:r>
            <w:r w:rsidRPr="003A654A">
              <w:rPr>
                <w:rFonts w:eastAsia="Calibri"/>
                <w:lang w:eastAsia="en-US"/>
              </w:rPr>
              <w:t xml:space="preserve"> and its metabolite IR3535</w:t>
            </w:r>
            <w:r w:rsidRPr="003A654A">
              <w:rPr>
                <w:rFonts w:eastAsia="Calibri"/>
                <w:vertAlign w:val="superscript"/>
                <w:lang w:eastAsia="en-US"/>
              </w:rPr>
              <w:t>®</w:t>
            </w:r>
            <w:r w:rsidRPr="003A654A">
              <w:rPr>
                <w:rFonts w:eastAsia="Calibri"/>
                <w:lang w:eastAsia="en-US"/>
              </w:rPr>
              <w:t xml:space="preserve"> free acid (hydrolysis product) can both be determined in the lotion product with an HPLC-Diode Array Detector/UV-VIS detector (at 220nm) and a RP18 (250*4 mm) column.</w:t>
            </w:r>
            <w:r w:rsidRPr="003A654A">
              <w:t xml:space="preserve"> </w:t>
            </w:r>
          </w:p>
          <w:p w14:paraId="2009BD56" w14:textId="15EAB62B" w:rsidR="0072135A" w:rsidRPr="003A654A" w:rsidRDefault="00C2329A" w:rsidP="00C2329A">
            <w:pPr>
              <w:rPr>
                <w:rFonts w:eastAsia="Calibri"/>
                <w:lang w:eastAsia="en-US"/>
              </w:rPr>
            </w:pPr>
            <w:r w:rsidRPr="003A654A">
              <w:rPr>
                <w:rFonts w:eastAsia="Calibri"/>
                <w:lang w:eastAsia="en-US"/>
              </w:rPr>
              <w:t xml:space="preserve">The identity of the analyte is confirmed by comparison of the retention times. The standard regression is linear. The method is repeatable. </w:t>
            </w:r>
            <w:r w:rsidRPr="003A654A">
              <w:t xml:space="preserve">The mean </w:t>
            </w:r>
            <w:r w:rsidRPr="003A654A">
              <w:rPr>
                <w:rFonts w:eastAsia="Calibri"/>
                <w:lang w:eastAsia="en-US"/>
              </w:rPr>
              <w:t xml:space="preserve">recovery rates at each spiking level are in the range of </w:t>
            </w:r>
            <w:r w:rsidR="005C0BD4">
              <w:rPr>
                <w:rFonts w:eastAsia="Calibri"/>
                <w:lang w:eastAsia="en-US"/>
              </w:rPr>
              <w:t>8</w:t>
            </w:r>
            <w:r w:rsidRPr="003A654A">
              <w:rPr>
                <w:rFonts w:eastAsia="Calibri"/>
                <w:lang w:eastAsia="en-US"/>
              </w:rPr>
              <w:t>8 – 1</w:t>
            </w:r>
            <w:r w:rsidR="005C0BD4">
              <w:rPr>
                <w:rFonts w:eastAsia="Calibri"/>
                <w:lang w:eastAsia="en-US"/>
              </w:rPr>
              <w:t>14</w:t>
            </w:r>
            <w:r w:rsidRPr="003A654A">
              <w:rPr>
                <w:rFonts w:eastAsia="Calibri"/>
                <w:lang w:eastAsia="en-US"/>
              </w:rPr>
              <w:t>%</w:t>
            </w:r>
            <w:r w:rsidR="005C0BD4">
              <w:rPr>
                <w:rFonts w:eastAsia="Calibri"/>
                <w:lang w:eastAsia="en-US"/>
              </w:rPr>
              <w:t xml:space="preserve"> for IR3535</w:t>
            </w:r>
            <w:r w:rsidR="005C0BD4" w:rsidRPr="003A654A">
              <w:rPr>
                <w:rFonts w:eastAsia="Calibri"/>
                <w:vertAlign w:val="superscript"/>
                <w:lang w:eastAsia="en-US"/>
              </w:rPr>
              <w:t>®</w:t>
            </w:r>
            <w:r w:rsidR="005C0BD4">
              <w:rPr>
                <w:rFonts w:eastAsia="Calibri"/>
                <w:lang w:eastAsia="en-US"/>
              </w:rPr>
              <w:t xml:space="preserve"> and 95 – 108 % for </w:t>
            </w:r>
            <w:r w:rsidR="005C0BD4" w:rsidRPr="003A654A">
              <w:rPr>
                <w:rFonts w:eastAsia="Calibri"/>
                <w:lang w:eastAsia="en-US"/>
              </w:rPr>
              <w:t>its metabolite IR3535</w:t>
            </w:r>
            <w:r w:rsidR="005C0BD4" w:rsidRPr="003A654A">
              <w:rPr>
                <w:rFonts w:eastAsia="Calibri"/>
                <w:vertAlign w:val="superscript"/>
                <w:lang w:eastAsia="en-US"/>
              </w:rPr>
              <w:t>®</w:t>
            </w:r>
            <w:r w:rsidR="005C0BD4" w:rsidRPr="003A654A">
              <w:rPr>
                <w:rFonts w:eastAsia="Calibri"/>
                <w:lang w:eastAsia="en-US"/>
              </w:rPr>
              <w:t xml:space="preserve"> free acid (hydrolysis product)</w:t>
            </w:r>
            <w:r w:rsidRPr="003A654A">
              <w:rPr>
                <w:rFonts w:eastAsia="Calibri"/>
                <w:lang w:eastAsia="en-US"/>
              </w:rPr>
              <w:t>. The limit of quantification (LOQ) is 5% for IR3535</w:t>
            </w:r>
            <w:r w:rsidRPr="003A654A">
              <w:rPr>
                <w:rFonts w:eastAsia="Calibri"/>
                <w:vertAlign w:val="superscript"/>
                <w:lang w:eastAsia="en-US"/>
              </w:rPr>
              <w:t>®</w:t>
            </w:r>
            <w:r w:rsidRPr="003A654A">
              <w:rPr>
                <w:rFonts w:eastAsia="Calibri"/>
                <w:lang w:eastAsia="en-US"/>
              </w:rPr>
              <w:t xml:space="preserve"> corresponding to 250 mg/L and the limit of detection (LOD) is 7 mg/L for IR3535</w:t>
            </w:r>
            <w:r w:rsidRPr="003A654A">
              <w:rPr>
                <w:rFonts w:eastAsia="Calibri"/>
                <w:vertAlign w:val="superscript"/>
                <w:lang w:eastAsia="en-US"/>
              </w:rPr>
              <w:t>®</w:t>
            </w:r>
            <w:r w:rsidRPr="003A654A">
              <w:rPr>
                <w:rFonts w:eastAsia="Calibri"/>
                <w:lang w:eastAsia="en-US"/>
              </w:rPr>
              <w:t xml:space="preserve">. The limit of quantification (LOQ) is </w:t>
            </w:r>
            <w:r>
              <w:rPr>
                <w:rFonts w:eastAsia="Calibri"/>
                <w:lang w:eastAsia="en-US"/>
              </w:rPr>
              <w:t>0.</w:t>
            </w:r>
            <w:r w:rsidRPr="003A654A">
              <w:rPr>
                <w:rFonts w:eastAsia="Calibri"/>
                <w:lang w:eastAsia="en-US"/>
              </w:rPr>
              <w:t>1% for IR3535</w:t>
            </w:r>
            <w:r w:rsidRPr="003A654A">
              <w:rPr>
                <w:rFonts w:eastAsia="Calibri"/>
                <w:vertAlign w:val="superscript"/>
                <w:lang w:eastAsia="en-US"/>
              </w:rPr>
              <w:t>®</w:t>
            </w:r>
            <w:r w:rsidRPr="003A654A">
              <w:rPr>
                <w:rFonts w:eastAsia="Calibri"/>
                <w:lang w:eastAsia="en-US"/>
              </w:rPr>
              <w:t xml:space="preserve"> free acid corresponding to 5 mg/L and the limit of detection (LOD) is 3 mg/L for IR3535</w:t>
            </w:r>
            <w:r w:rsidRPr="003A654A">
              <w:rPr>
                <w:rFonts w:eastAsia="Calibri"/>
                <w:vertAlign w:val="superscript"/>
                <w:lang w:eastAsia="en-US"/>
              </w:rPr>
              <w:t>®</w:t>
            </w:r>
            <w:r w:rsidRPr="003A654A">
              <w:rPr>
                <w:rFonts w:eastAsia="Calibri"/>
                <w:lang w:eastAsia="en-US"/>
              </w:rPr>
              <w:t xml:space="preserve"> free acid. The overall mean recovery rate for IR3535</w:t>
            </w:r>
            <w:r w:rsidRPr="003A654A">
              <w:rPr>
                <w:rFonts w:eastAsia="Calibri"/>
                <w:vertAlign w:val="superscript"/>
                <w:lang w:eastAsia="en-US"/>
              </w:rPr>
              <w:t>®</w:t>
            </w:r>
            <w:r w:rsidRPr="003A654A">
              <w:rPr>
                <w:rFonts w:eastAsia="Calibri"/>
                <w:lang w:eastAsia="en-US"/>
              </w:rPr>
              <w:t xml:space="preserve"> and IR3535</w:t>
            </w:r>
            <w:r w:rsidRPr="003A654A">
              <w:rPr>
                <w:rFonts w:eastAsia="Calibri"/>
                <w:vertAlign w:val="superscript"/>
                <w:lang w:eastAsia="en-US"/>
              </w:rPr>
              <w:t>®</w:t>
            </w:r>
            <w:r w:rsidRPr="003A654A">
              <w:rPr>
                <w:rFonts w:eastAsia="Calibri"/>
                <w:lang w:eastAsia="en-US"/>
              </w:rPr>
              <w:t xml:space="preserve"> free acid was</w:t>
            </w:r>
            <w:r w:rsidR="006826A6">
              <w:rPr>
                <w:rFonts w:eastAsia="Calibri"/>
                <w:lang w:eastAsia="en-US"/>
              </w:rPr>
              <w:t xml:space="preserve"> in the range of 98 - 101</w:t>
            </w:r>
            <w:r w:rsidRPr="003A654A">
              <w:rPr>
                <w:rFonts w:eastAsia="Calibri"/>
                <w:lang w:eastAsia="en-US"/>
              </w:rPr>
              <w:t>%</w:t>
            </w:r>
            <w:r w:rsidR="006826A6">
              <w:rPr>
                <w:rFonts w:eastAsia="Calibri"/>
                <w:lang w:eastAsia="en-US"/>
              </w:rPr>
              <w:t xml:space="preserve"> and 99 - 104%, respectively</w:t>
            </w:r>
            <w:r w:rsidRPr="003A654A">
              <w:rPr>
                <w:rFonts w:eastAsia="Calibri"/>
                <w:lang w:eastAsia="en-US"/>
              </w:rPr>
              <w:t>.</w:t>
            </w:r>
          </w:p>
        </w:tc>
      </w:tr>
    </w:tbl>
    <w:p w14:paraId="1AE087C7" w14:textId="77777777" w:rsidR="009823CF" w:rsidRPr="00BD2EF1" w:rsidRDefault="009823CF" w:rsidP="009823CF">
      <w:pPr>
        <w:rPr>
          <w:lang w:eastAsia="en-US"/>
        </w:rPr>
      </w:pPr>
    </w:p>
    <w:p w14:paraId="32C59890" w14:textId="77777777" w:rsidR="00900DBB" w:rsidRPr="00BD2EF1" w:rsidRDefault="00900DBB">
      <w:pPr>
        <w:spacing w:before="0" w:after="160" w:line="259" w:lineRule="auto"/>
        <w:rPr>
          <w:lang w:eastAsia="en-US"/>
        </w:rPr>
        <w:sectPr w:rsidR="00900DBB" w:rsidRPr="00BD2EF1" w:rsidSect="00EB316C">
          <w:pgSz w:w="16838" w:h="11906" w:orient="landscape"/>
          <w:pgMar w:top="1247" w:right="1247" w:bottom="1247" w:left="1247" w:header="709" w:footer="709" w:gutter="0"/>
          <w:cols w:space="708"/>
          <w:docGrid w:linePitch="360"/>
        </w:sectPr>
      </w:pPr>
    </w:p>
    <w:p w14:paraId="617A99C9" w14:textId="77777777" w:rsidR="00900DBB" w:rsidRPr="00BD2EF1" w:rsidRDefault="00900DBB" w:rsidP="00900DBB">
      <w:pPr>
        <w:pStyle w:val="Titre3"/>
        <w:rPr>
          <w:lang w:eastAsia="en-US"/>
        </w:rPr>
      </w:pPr>
      <w:bookmarkStart w:id="74" w:name="_Toc12967138"/>
      <w:r w:rsidRPr="00BD2EF1">
        <w:rPr>
          <w:lang w:eastAsia="en-US"/>
        </w:rPr>
        <w:lastRenderedPageBreak/>
        <w:t>Efficacy against target organisms</w:t>
      </w:r>
      <w:bookmarkEnd w:id="74"/>
    </w:p>
    <w:p w14:paraId="376AAD2E" w14:textId="77777777" w:rsidR="003839E7" w:rsidRPr="00BD2EF1" w:rsidRDefault="003839E7" w:rsidP="003839E7">
      <w:pPr>
        <w:pStyle w:val="Titre4"/>
      </w:pPr>
      <w:bookmarkStart w:id="75" w:name="_Toc12967139"/>
      <w:r w:rsidRPr="00BD2EF1">
        <w:t>Function and field of use</w:t>
      </w:r>
      <w:bookmarkEnd w:id="75"/>
    </w:p>
    <w:p w14:paraId="12828C8A" w14:textId="77777777" w:rsidR="00E70B1C" w:rsidRPr="003F1D97" w:rsidRDefault="00E70B1C" w:rsidP="00E70B1C">
      <w:pPr>
        <w:rPr>
          <w:lang w:val="en-US"/>
        </w:rPr>
      </w:pPr>
      <w:bookmarkStart w:id="76" w:name="_Toc389729036"/>
      <w:bookmarkStart w:id="77" w:name="_Toc403472745"/>
      <w:bookmarkStart w:id="78" w:name="_Toc403566566"/>
      <w:bookmarkStart w:id="79" w:name="_Toc425344107"/>
      <w:r w:rsidRPr="003F1D97">
        <w:rPr>
          <w:lang w:val="en-US"/>
        </w:rPr>
        <w:t>Main Group 03 : Pest Control</w:t>
      </w:r>
    </w:p>
    <w:p w14:paraId="355640E8" w14:textId="77777777" w:rsidR="00E70B1C" w:rsidRPr="003F1D97" w:rsidRDefault="00E70B1C" w:rsidP="00E70B1C">
      <w:pPr>
        <w:rPr>
          <w:lang w:val="en-US"/>
        </w:rPr>
      </w:pPr>
      <w:r w:rsidRPr="003F1D97">
        <w:rPr>
          <w:lang w:val="en-US"/>
        </w:rPr>
        <w:t>Product Type 19 : Repellents and attractants</w:t>
      </w:r>
    </w:p>
    <w:p w14:paraId="4904D5A7" w14:textId="77777777" w:rsidR="00E70B1C" w:rsidRPr="003F1D97" w:rsidRDefault="00E70B1C" w:rsidP="00E70B1C">
      <w:pPr>
        <w:rPr>
          <w:lang w:val="en-US"/>
        </w:rPr>
      </w:pPr>
    </w:p>
    <w:p w14:paraId="59854B8C" w14:textId="1FB92CFE" w:rsidR="00E70B1C" w:rsidRPr="003F1D97" w:rsidRDefault="00E70B1C" w:rsidP="00E70B1C">
      <w:pPr>
        <w:rPr>
          <w:lang w:val="en-US"/>
        </w:rPr>
      </w:pPr>
      <w:r w:rsidRPr="003F1D97">
        <w:rPr>
          <w:lang w:val="en-US"/>
        </w:rPr>
        <w:t xml:space="preserve">According to </w:t>
      </w:r>
      <w:r w:rsidR="00836936">
        <w:rPr>
          <w:lang w:val="en-US"/>
        </w:rPr>
        <w:t>a “concept”</w:t>
      </w:r>
      <w:r w:rsidR="00836936" w:rsidRPr="003F1D97">
        <w:rPr>
          <w:lang w:val="en-US"/>
        </w:rPr>
        <w:t xml:space="preserve"> </w:t>
      </w:r>
      <w:r w:rsidRPr="003F1D97">
        <w:rPr>
          <w:lang w:val="en-US"/>
        </w:rPr>
        <w:t>label submitted by</w:t>
      </w:r>
      <w:r w:rsidR="00836936">
        <w:rPr>
          <w:lang w:val="en-US"/>
        </w:rPr>
        <w:t xml:space="preserve"> Merck (please not</w:t>
      </w:r>
      <w:r w:rsidR="00401305">
        <w:rPr>
          <w:lang w:val="en-US"/>
        </w:rPr>
        <w:t>e</w:t>
      </w:r>
      <w:r w:rsidR="00836936">
        <w:rPr>
          <w:lang w:val="en-US"/>
        </w:rPr>
        <w:t xml:space="preserve"> that Merck does not market these products)</w:t>
      </w:r>
      <w:r w:rsidRPr="003F1D97">
        <w:rPr>
          <w:lang w:val="en-US"/>
        </w:rPr>
        <w:t>:</w:t>
      </w:r>
    </w:p>
    <w:p w14:paraId="69B01891" w14:textId="77777777" w:rsidR="00E70B1C" w:rsidRPr="003F1D97" w:rsidRDefault="00E70B1C" w:rsidP="00E70B1C">
      <w:pPr>
        <w:rPr>
          <w:lang w:val="en-US"/>
        </w:rPr>
      </w:pPr>
      <w:r w:rsidRPr="003F1D97">
        <w:rPr>
          <w:lang w:val="en-US"/>
        </w:rPr>
        <w:t xml:space="preserve">The product </w:t>
      </w:r>
      <w:r w:rsidRPr="003F1D97">
        <w:rPr>
          <w:b/>
          <w:i/>
          <w:lang w:val="en-US"/>
        </w:rPr>
        <w:t xml:space="preserve">Insect Repellent </w:t>
      </w:r>
      <w:r>
        <w:rPr>
          <w:b/>
          <w:i/>
          <w:lang w:val="en-US"/>
        </w:rPr>
        <w:t>Lotion</w:t>
      </w:r>
      <w:r w:rsidRPr="003F1D97">
        <w:rPr>
          <w:b/>
          <w:i/>
          <w:lang w:val="en-US"/>
        </w:rPr>
        <w:t xml:space="preserve"> IR3535</w:t>
      </w:r>
      <w:r w:rsidR="00166994">
        <w:rPr>
          <w:b/>
          <w:i/>
          <w:vertAlign w:val="superscript"/>
          <w:lang w:val="en-US"/>
        </w:rPr>
        <w:t>®</w:t>
      </w:r>
      <w:r w:rsidRPr="003F1D97">
        <w:rPr>
          <w:b/>
          <w:i/>
          <w:lang w:val="en-US"/>
        </w:rPr>
        <w:t xml:space="preserve"> </w:t>
      </w:r>
      <w:r>
        <w:rPr>
          <w:b/>
          <w:i/>
          <w:lang w:val="en-US"/>
        </w:rPr>
        <w:t>1</w:t>
      </w:r>
      <w:r w:rsidRPr="003F1D97">
        <w:rPr>
          <w:b/>
          <w:i/>
          <w:lang w:val="en-US"/>
        </w:rPr>
        <w:t xml:space="preserve">0% </w:t>
      </w:r>
      <w:r w:rsidRPr="003F1D97">
        <w:rPr>
          <w:lang w:val="en-US"/>
        </w:rPr>
        <w:t xml:space="preserve">is presented as a ready-to-use </w:t>
      </w:r>
      <w:r>
        <w:rPr>
          <w:lang w:val="en-US"/>
        </w:rPr>
        <w:t>lotion</w:t>
      </w:r>
      <w:r w:rsidRPr="003F1D97">
        <w:rPr>
          <w:lang w:val="en-US"/>
        </w:rPr>
        <w:t xml:space="preserve"> to be applied on </w:t>
      </w:r>
      <w:r>
        <w:rPr>
          <w:lang w:val="en-US"/>
        </w:rPr>
        <w:t>dry, exposed</w:t>
      </w:r>
      <w:r w:rsidRPr="003F1D97">
        <w:rPr>
          <w:lang w:val="en-US"/>
        </w:rPr>
        <w:t xml:space="preserve"> human skin (</w:t>
      </w:r>
      <w:r>
        <w:rPr>
          <w:lang w:val="en-US"/>
        </w:rPr>
        <w:t xml:space="preserve">to </w:t>
      </w:r>
      <w:r w:rsidRPr="003F1D97">
        <w:rPr>
          <w:lang w:val="en-US"/>
        </w:rPr>
        <w:t>f</w:t>
      </w:r>
      <w:r>
        <w:rPr>
          <w:lang w:val="en-US"/>
        </w:rPr>
        <w:t xml:space="preserve">ace, arms, hands and legs only), at a rate of </w:t>
      </w:r>
      <w:r w:rsidRPr="0072777D">
        <w:t xml:space="preserve">a walnut-sized amount </w:t>
      </w:r>
      <w:r>
        <w:rPr>
          <w:lang w:val="en-US"/>
        </w:rPr>
        <w:t>per application, with up to 8-hour protection.</w:t>
      </w:r>
    </w:p>
    <w:p w14:paraId="23AB634C" w14:textId="2E77F426" w:rsidR="00E70B1C" w:rsidRDefault="00E70B1C" w:rsidP="00E70B1C">
      <w:pPr>
        <w:rPr>
          <w:lang w:val="en-US"/>
        </w:rPr>
      </w:pPr>
      <w:r w:rsidRPr="003F1D97">
        <w:rPr>
          <w:lang w:val="en-US"/>
        </w:rPr>
        <w:t>The product is intended to be used by general public in temperate areas.</w:t>
      </w:r>
      <w:r>
        <w:rPr>
          <w:lang w:val="en-US"/>
        </w:rPr>
        <w:t xml:space="preserve"> </w:t>
      </w:r>
      <w:r w:rsidRPr="00241813">
        <w:t>An adult should apply this product to children under 1</w:t>
      </w:r>
      <w:r w:rsidR="00351921">
        <w:t xml:space="preserve">2 </w:t>
      </w:r>
      <w:r w:rsidRPr="00241813">
        <w:t xml:space="preserve"> years of age.</w:t>
      </w:r>
    </w:p>
    <w:p w14:paraId="010D0E50" w14:textId="77777777" w:rsidR="00E70B1C" w:rsidRDefault="00E70B1C" w:rsidP="00E70B1C">
      <w:pPr>
        <w:rPr>
          <w:lang w:val="en-US"/>
        </w:rPr>
      </w:pPr>
    </w:p>
    <w:p w14:paraId="6CEAD346" w14:textId="77777777" w:rsidR="00E70B1C" w:rsidRPr="00A16CD8" w:rsidRDefault="00E70B1C" w:rsidP="00E70B1C">
      <w:pPr>
        <w:rPr>
          <w:lang w:val="en-US"/>
        </w:rPr>
      </w:pPr>
      <w:r w:rsidRPr="00A16CD8">
        <w:rPr>
          <w:lang w:val="en-US"/>
        </w:rPr>
        <w:t>Please note that many warnings will be mentioned on the label such as :</w:t>
      </w:r>
    </w:p>
    <w:p w14:paraId="07B817D3" w14:textId="77777777" w:rsidR="00E70B1C" w:rsidRDefault="00E70B1C" w:rsidP="00E70B1C">
      <w:pPr>
        <w:rPr>
          <w:lang w:val="en-US"/>
        </w:rPr>
      </w:pPr>
      <w:r w:rsidRPr="00A16CD8">
        <w:rPr>
          <w:lang w:val="en-US"/>
        </w:rPr>
        <w:t>- Do not apply sun care products or cosmetic formulations after repellent use, the repellent can’t protect you anymore.</w:t>
      </w:r>
    </w:p>
    <w:p w14:paraId="3C76AE2D" w14:textId="77777777" w:rsidR="00E70B1C" w:rsidRPr="00A16CD8" w:rsidRDefault="00E70B1C" w:rsidP="00E70B1C">
      <w:pPr>
        <w:rPr>
          <w:lang w:val="en-US"/>
        </w:rPr>
      </w:pPr>
      <w:r>
        <w:rPr>
          <w:lang w:val="en-US"/>
        </w:rPr>
        <w:t xml:space="preserve">- </w:t>
      </w:r>
      <w:r w:rsidRPr="00241813">
        <w:t>Use product for infants only when disease vectors are present.</w:t>
      </w:r>
    </w:p>
    <w:p w14:paraId="3004DADA" w14:textId="77777777" w:rsidR="00E70B1C" w:rsidRPr="00A16CD8" w:rsidRDefault="00E70B1C" w:rsidP="00E70B1C">
      <w:pPr>
        <w:rPr>
          <w:lang w:val="en-US"/>
        </w:rPr>
      </w:pPr>
      <w:r w:rsidRPr="00A16CD8">
        <w:rPr>
          <w:lang w:val="en-US"/>
        </w:rPr>
        <w:t>- Do not apply over cuts, wounds, freshly shaven or irritated skin.</w:t>
      </w:r>
    </w:p>
    <w:p w14:paraId="454CA341" w14:textId="77777777" w:rsidR="00E70B1C" w:rsidRPr="003F1D97" w:rsidRDefault="00E70B1C" w:rsidP="00E70B1C">
      <w:pPr>
        <w:rPr>
          <w:lang w:val="en-US"/>
        </w:rPr>
      </w:pPr>
      <w:r w:rsidRPr="00A16CD8">
        <w:rPr>
          <w:lang w:val="en-US"/>
        </w:rPr>
        <w:t>- Mechanical protection (clothing, mosquito nets) is to be preferred.</w:t>
      </w:r>
    </w:p>
    <w:p w14:paraId="281FC816" w14:textId="77777777" w:rsidR="003839E7" w:rsidRPr="00BD2EF1" w:rsidRDefault="003839E7" w:rsidP="003839E7">
      <w:pPr>
        <w:pStyle w:val="Titre4"/>
      </w:pPr>
      <w:bookmarkStart w:id="80" w:name="_Toc12967140"/>
      <w:r w:rsidRPr="00BD2EF1">
        <w:t>Organisms to be controlled and products, organisms or objects to be protected</w:t>
      </w:r>
      <w:bookmarkEnd w:id="76"/>
      <w:bookmarkEnd w:id="77"/>
      <w:bookmarkEnd w:id="78"/>
      <w:bookmarkEnd w:id="79"/>
      <w:bookmarkEnd w:id="80"/>
    </w:p>
    <w:p w14:paraId="664BB4CE" w14:textId="77777777" w:rsidR="00E70B1C" w:rsidRPr="003F1D97" w:rsidRDefault="00E70B1C" w:rsidP="00E70B1C">
      <w:pPr>
        <w:rPr>
          <w:lang w:val="en-US"/>
        </w:rPr>
      </w:pPr>
      <w:bookmarkStart w:id="81" w:name="_Toc389729037"/>
      <w:bookmarkStart w:id="82" w:name="_Toc403472746"/>
      <w:bookmarkStart w:id="83" w:name="_Toc403566567"/>
      <w:bookmarkStart w:id="84" w:name="_Toc425344108"/>
      <w:r w:rsidRPr="003F1D97">
        <w:rPr>
          <w:lang w:val="en-US"/>
        </w:rPr>
        <w:t>According to the use claimed by the Applicant :</w:t>
      </w:r>
    </w:p>
    <w:p w14:paraId="01642140" w14:textId="77777777" w:rsidR="00E70B1C" w:rsidRPr="003F1D97" w:rsidRDefault="00E70B1C" w:rsidP="00E70B1C">
      <w:pPr>
        <w:rPr>
          <w:lang w:val="en-US"/>
        </w:rPr>
      </w:pPr>
    </w:p>
    <w:p w14:paraId="795C42A1" w14:textId="77777777" w:rsidR="00E70B1C" w:rsidRPr="00EB1910" w:rsidRDefault="00E70B1C" w:rsidP="00D63FA7">
      <w:pPr>
        <w:pStyle w:val="Paragraphedeliste"/>
        <w:numPr>
          <w:ilvl w:val="0"/>
          <w:numId w:val="10"/>
        </w:numPr>
        <w:ind w:left="357" w:hanging="357"/>
        <w:rPr>
          <w:lang w:val="en-US"/>
        </w:rPr>
      </w:pPr>
      <w:r w:rsidRPr="00EB1910">
        <w:rPr>
          <w:lang w:val="en-US"/>
        </w:rPr>
        <w:t xml:space="preserve">The product </w:t>
      </w:r>
      <w:r w:rsidRPr="00EB1910">
        <w:rPr>
          <w:b/>
          <w:i/>
          <w:lang w:val="en-US"/>
        </w:rPr>
        <w:t>Insect Repellent Lotion IR3535</w:t>
      </w:r>
      <w:r w:rsidR="00166994">
        <w:rPr>
          <w:b/>
          <w:i/>
          <w:vertAlign w:val="superscript"/>
          <w:lang w:val="en-US"/>
        </w:rPr>
        <w:t>®</w:t>
      </w:r>
      <w:r w:rsidRPr="00EB1910">
        <w:rPr>
          <w:b/>
          <w:i/>
          <w:lang w:val="en-US"/>
        </w:rPr>
        <w:t xml:space="preserve"> 10% </w:t>
      </w:r>
      <w:r w:rsidRPr="00EB1910">
        <w:rPr>
          <w:lang w:val="en-US"/>
        </w:rPr>
        <w:t>is intended to be u</w:t>
      </w:r>
      <w:r w:rsidR="00AC2E20">
        <w:rPr>
          <w:lang w:val="en-US"/>
        </w:rPr>
        <w:t>sed to repel arthropods on skin</w:t>
      </w:r>
      <w:r w:rsidRPr="00EB1910">
        <w:rPr>
          <w:lang w:val="en-US"/>
        </w:rPr>
        <w:t>.</w:t>
      </w:r>
    </w:p>
    <w:p w14:paraId="63750509" w14:textId="77777777" w:rsidR="00E70B1C" w:rsidRPr="003F1D97" w:rsidRDefault="00E70B1C" w:rsidP="00E70B1C">
      <w:pPr>
        <w:rPr>
          <w:lang w:val="en-US"/>
        </w:rPr>
      </w:pPr>
    </w:p>
    <w:p w14:paraId="1B4F1AE4" w14:textId="6C19F733" w:rsidR="00E70B1C" w:rsidRPr="00EB1910" w:rsidRDefault="00E70B1C" w:rsidP="00D63FA7">
      <w:pPr>
        <w:pStyle w:val="Paragraphedeliste"/>
        <w:numPr>
          <w:ilvl w:val="0"/>
          <w:numId w:val="10"/>
        </w:numPr>
        <w:ind w:left="357" w:hanging="357"/>
        <w:rPr>
          <w:lang w:val="en-US"/>
        </w:rPr>
      </w:pPr>
      <w:r w:rsidRPr="00EB1910">
        <w:rPr>
          <w:lang w:val="en-US"/>
        </w:rPr>
        <w:t>The target organisms to be control a</w:t>
      </w:r>
      <w:r w:rsidR="00AC2E20">
        <w:rPr>
          <w:lang w:val="en-US"/>
        </w:rPr>
        <w:t>re mosquitoes and ticks.</w:t>
      </w:r>
    </w:p>
    <w:p w14:paraId="44C75087" w14:textId="77777777" w:rsidR="00E70B1C" w:rsidRPr="003F1D97" w:rsidRDefault="00E70B1C" w:rsidP="00E70B1C">
      <w:pPr>
        <w:rPr>
          <w:lang w:val="en-US"/>
        </w:rPr>
      </w:pPr>
    </w:p>
    <w:p w14:paraId="2D69319F" w14:textId="77777777" w:rsidR="00E70B1C" w:rsidRPr="00EB1910" w:rsidRDefault="00E70B1C" w:rsidP="00D63FA7">
      <w:pPr>
        <w:pStyle w:val="Paragraphedeliste"/>
        <w:numPr>
          <w:ilvl w:val="0"/>
          <w:numId w:val="10"/>
        </w:numPr>
        <w:ind w:left="357" w:hanging="357"/>
        <w:rPr>
          <w:lang w:val="en-US"/>
        </w:rPr>
      </w:pPr>
      <w:r w:rsidRPr="00EB1910">
        <w:rPr>
          <w:lang w:val="en-US"/>
        </w:rPr>
        <w:t xml:space="preserve">The product </w:t>
      </w:r>
      <w:r w:rsidRPr="00EB1910">
        <w:rPr>
          <w:b/>
          <w:i/>
          <w:lang w:val="en-US"/>
        </w:rPr>
        <w:t>Insect Repellent Lotion IR3535</w:t>
      </w:r>
      <w:r w:rsidR="00166994">
        <w:rPr>
          <w:b/>
          <w:i/>
          <w:vertAlign w:val="superscript"/>
          <w:lang w:val="en-US"/>
        </w:rPr>
        <w:t>®</w:t>
      </w:r>
      <w:r w:rsidRPr="00EB1910">
        <w:rPr>
          <w:b/>
          <w:i/>
          <w:lang w:val="en-US"/>
        </w:rPr>
        <w:t xml:space="preserve"> 10% </w:t>
      </w:r>
      <w:r w:rsidRPr="00EB1910">
        <w:rPr>
          <w:lang w:val="en-US"/>
        </w:rPr>
        <w:t>is used as an insect repellent and is applied evenly over dry, exposed skin. Contact with cuts, wounds, freshly shaved or irritated skin should be avoided.</w:t>
      </w:r>
    </w:p>
    <w:p w14:paraId="37A16DCA" w14:textId="77777777" w:rsidR="00E70B1C" w:rsidRPr="003F1D97" w:rsidRDefault="00E70B1C" w:rsidP="00E70B1C">
      <w:pPr>
        <w:rPr>
          <w:lang w:val="en-US"/>
        </w:rPr>
      </w:pPr>
    </w:p>
    <w:p w14:paraId="46FDADBB" w14:textId="77777777" w:rsidR="00E70B1C" w:rsidRPr="003F1D97" w:rsidRDefault="00E70B1C" w:rsidP="00E70B1C">
      <w:pPr>
        <w:rPr>
          <w:lang w:val="en-US"/>
        </w:rPr>
      </w:pPr>
      <w:r w:rsidRPr="003F1D97">
        <w:rPr>
          <w:lang w:val="en-US"/>
        </w:rPr>
        <w:t>The organisms to be protected are humans.</w:t>
      </w:r>
    </w:p>
    <w:p w14:paraId="0CFEC67D" w14:textId="77777777" w:rsidR="003839E7" w:rsidRPr="00BD2EF1" w:rsidRDefault="003839E7" w:rsidP="003839E7">
      <w:pPr>
        <w:pStyle w:val="Titre4"/>
      </w:pPr>
      <w:bookmarkStart w:id="85" w:name="_Toc12967141"/>
      <w:r w:rsidRPr="00BD2EF1">
        <w:t>Effects on target organisms, including unacceptable suffering</w:t>
      </w:r>
      <w:bookmarkEnd w:id="81"/>
      <w:bookmarkEnd w:id="82"/>
      <w:bookmarkEnd w:id="83"/>
      <w:bookmarkEnd w:id="84"/>
      <w:bookmarkEnd w:id="85"/>
    </w:p>
    <w:p w14:paraId="6D77D3BF" w14:textId="3869A989" w:rsidR="00E70B1C" w:rsidRPr="000A79D3" w:rsidRDefault="00836936" w:rsidP="001B6665">
      <w:bookmarkStart w:id="86" w:name="_Toc389729038"/>
      <w:bookmarkStart w:id="87" w:name="_Toc403472747"/>
      <w:bookmarkStart w:id="88" w:name="_Toc403566568"/>
      <w:bookmarkStart w:id="89" w:name="_Toc425344109"/>
      <w:r>
        <w:t>In total the Applicant submitted 12 studies. Please see the summary (and comments) of all the studies submitted in the table section #2.2.6.5.</w:t>
      </w:r>
    </w:p>
    <w:p w14:paraId="29034086" w14:textId="6714FBBF" w:rsidR="003839E7" w:rsidRPr="00BD2EF1" w:rsidRDefault="003839E7" w:rsidP="003839E7">
      <w:pPr>
        <w:pStyle w:val="Titre4"/>
      </w:pPr>
      <w:bookmarkStart w:id="90" w:name="_Toc12967142"/>
      <w:r w:rsidRPr="00BD2EF1">
        <w:t>Mode of action, including time delay</w:t>
      </w:r>
      <w:bookmarkEnd w:id="86"/>
      <w:bookmarkEnd w:id="87"/>
      <w:bookmarkEnd w:id="88"/>
      <w:bookmarkEnd w:id="89"/>
      <w:bookmarkEnd w:id="90"/>
    </w:p>
    <w:p w14:paraId="7CCF0B26" w14:textId="77777777" w:rsidR="00E70B1C" w:rsidRDefault="00E70B1C" w:rsidP="00E70B1C">
      <w:pPr>
        <w:rPr>
          <w:rFonts w:eastAsia="Calibri"/>
          <w:lang w:val="en-US" w:eastAsia="en-US"/>
        </w:rPr>
      </w:pPr>
      <w:bookmarkStart w:id="91" w:name="_Toc389729039"/>
      <w:bookmarkStart w:id="92" w:name="_Toc403472748"/>
      <w:bookmarkStart w:id="93" w:name="_Toc403566569"/>
      <w:bookmarkStart w:id="94" w:name="_Toc425344110"/>
      <w:r w:rsidRPr="003F1D97">
        <w:rPr>
          <w:rFonts w:eastAsia="Calibri"/>
          <w:lang w:val="en-US" w:eastAsia="en-US"/>
        </w:rPr>
        <w:t>The mode of action of IR3535</w:t>
      </w:r>
      <w:r w:rsidRPr="003F1D97">
        <w:rPr>
          <w:rFonts w:eastAsia="Calibri"/>
          <w:vertAlign w:val="superscript"/>
          <w:lang w:val="en-US" w:eastAsia="en-US"/>
        </w:rPr>
        <w:t>®</w:t>
      </w:r>
      <w:r w:rsidRPr="003F1D97">
        <w:rPr>
          <w:rFonts w:eastAsia="Calibri"/>
          <w:lang w:val="en-US" w:eastAsia="en-US"/>
        </w:rPr>
        <w:t xml:space="preserve"> is not a passive masking of an attracting </w:t>
      </w:r>
      <w:proofErr w:type="spellStart"/>
      <w:r w:rsidRPr="003F1D97">
        <w:rPr>
          <w:rFonts w:eastAsia="Calibri"/>
          <w:lang w:val="en-US" w:eastAsia="en-US"/>
        </w:rPr>
        <w:t>odour</w:t>
      </w:r>
      <w:proofErr w:type="spellEnd"/>
      <w:r w:rsidRPr="003F1D97">
        <w:rPr>
          <w:rFonts w:eastAsia="Calibri"/>
          <w:lang w:val="en-US" w:eastAsia="en-US"/>
        </w:rPr>
        <w:t xml:space="preserve"> of a victim, but an active repellent effect as insects avoid entering regions with IR3535</w:t>
      </w:r>
      <w:r w:rsidRPr="003F1D97">
        <w:rPr>
          <w:rFonts w:eastAsia="Calibri"/>
          <w:vertAlign w:val="superscript"/>
          <w:lang w:val="en-US" w:eastAsia="en-US"/>
        </w:rPr>
        <w:t>®</w:t>
      </w:r>
      <w:r w:rsidRPr="003F1D97">
        <w:rPr>
          <w:rFonts w:eastAsia="Calibri"/>
          <w:lang w:val="en-US" w:eastAsia="en-US"/>
        </w:rPr>
        <w:t xml:space="preserve"> </w:t>
      </w:r>
      <w:proofErr w:type="spellStart"/>
      <w:r w:rsidRPr="003F1D97">
        <w:rPr>
          <w:rFonts w:eastAsia="Calibri"/>
          <w:lang w:val="en-US" w:eastAsia="en-US"/>
        </w:rPr>
        <w:t>vapours</w:t>
      </w:r>
      <w:proofErr w:type="spellEnd"/>
      <w:r w:rsidRPr="003F1D97">
        <w:rPr>
          <w:rFonts w:eastAsia="Calibri"/>
          <w:lang w:val="en-US" w:eastAsia="en-US"/>
        </w:rPr>
        <w:t>. The exact biochemical mode of action of IR3535</w:t>
      </w:r>
      <w:r w:rsidRPr="003F1D97">
        <w:rPr>
          <w:rFonts w:eastAsia="Calibri"/>
          <w:vertAlign w:val="superscript"/>
          <w:lang w:val="en-US" w:eastAsia="en-US"/>
        </w:rPr>
        <w:t>®</w:t>
      </w:r>
      <w:r w:rsidRPr="003F1D97">
        <w:rPr>
          <w:rFonts w:eastAsia="Calibri"/>
          <w:lang w:val="en-US" w:eastAsia="en-US"/>
        </w:rPr>
        <w:t xml:space="preserve"> on insects is not well known yet, but it is most self-evident to assume that IR3535</w:t>
      </w:r>
      <w:r w:rsidRPr="003F1D97">
        <w:rPr>
          <w:rFonts w:eastAsia="Calibri"/>
          <w:vertAlign w:val="superscript"/>
          <w:lang w:val="en-US" w:eastAsia="en-US"/>
        </w:rPr>
        <w:t>®</w:t>
      </w:r>
      <w:r w:rsidRPr="003F1D97">
        <w:rPr>
          <w:rFonts w:eastAsia="Calibri"/>
          <w:lang w:val="en-US" w:eastAsia="en-US"/>
        </w:rPr>
        <w:t xml:space="preserve"> has an olfactory-based effect.</w:t>
      </w:r>
    </w:p>
    <w:p w14:paraId="2DEBB308" w14:textId="77777777" w:rsidR="00E70B1C" w:rsidRDefault="00E70B1C" w:rsidP="00E70B1C">
      <w:pPr>
        <w:rPr>
          <w:rFonts w:eastAsia="Calibri"/>
          <w:u w:val="single"/>
          <w:lang w:val="en-US" w:eastAsia="en-US"/>
        </w:rPr>
        <w:sectPr w:rsidR="00E70B1C" w:rsidSect="006456DE">
          <w:pgSz w:w="11906" w:h="16838"/>
          <w:pgMar w:top="1247" w:right="1247" w:bottom="1247" w:left="1247" w:header="709" w:footer="709" w:gutter="0"/>
          <w:cols w:space="708"/>
          <w:docGrid w:linePitch="360"/>
        </w:sectPr>
      </w:pPr>
    </w:p>
    <w:p w14:paraId="4640080E" w14:textId="77777777" w:rsidR="003839E7" w:rsidRDefault="003839E7" w:rsidP="003839E7">
      <w:pPr>
        <w:pStyle w:val="Titre4"/>
      </w:pPr>
      <w:bookmarkStart w:id="95" w:name="_Toc12967143"/>
      <w:r w:rsidRPr="00BD2EF1">
        <w:lastRenderedPageBreak/>
        <w:t>Efficacy data</w:t>
      </w:r>
      <w:bookmarkEnd w:id="91"/>
      <w:bookmarkEnd w:id="92"/>
      <w:bookmarkEnd w:id="93"/>
      <w:bookmarkEnd w:id="94"/>
      <w:bookmarkEnd w:id="95"/>
      <w:r w:rsidRPr="00BD2EF1">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769"/>
        <w:gridCol w:w="1766"/>
        <w:gridCol w:w="2110"/>
        <w:gridCol w:w="1379"/>
        <w:gridCol w:w="1869"/>
        <w:gridCol w:w="2508"/>
        <w:gridCol w:w="1396"/>
      </w:tblGrid>
      <w:tr w:rsidR="00C018F7" w:rsidRPr="00BD2EF1" w14:paraId="7B97A24D" w14:textId="77777777" w:rsidTr="0023414E">
        <w:trPr>
          <w:trHeight w:val="303"/>
        </w:trPr>
        <w:tc>
          <w:tcPr>
            <w:tcW w:w="5000" w:type="pct"/>
            <w:gridSpan w:val="8"/>
            <w:shd w:val="clear" w:color="auto" w:fill="FFFFCC"/>
          </w:tcPr>
          <w:p w14:paraId="5664FF01" w14:textId="77777777" w:rsidR="00C018F7" w:rsidRPr="00BD2EF1" w:rsidRDefault="00C018F7" w:rsidP="0023414E">
            <w:pPr>
              <w:pStyle w:val="Standaard-Tabellen"/>
              <w:rPr>
                <w:b/>
              </w:rPr>
            </w:pPr>
            <w:r w:rsidRPr="00BD2EF1">
              <w:rPr>
                <w:b/>
              </w:rPr>
              <w:t>Experimental data on the efficacy of the biocidal product against target organism(s)</w:t>
            </w:r>
          </w:p>
        </w:tc>
      </w:tr>
      <w:tr w:rsidR="00C018F7" w:rsidRPr="00BD2EF1" w14:paraId="7F6C9247" w14:textId="77777777" w:rsidTr="0023414E">
        <w:tc>
          <w:tcPr>
            <w:tcW w:w="536" w:type="pct"/>
            <w:shd w:val="clear" w:color="auto" w:fill="BFBFBF" w:themeFill="background1" w:themeFillShade="BF"/>
          </w:tcPr>
          <w:p w14:paraId="033A551E" w14:textId="77777777" w:rsidR="00C018F7" w:rsidRPr="00BD2EF1" w:rsidRDefault="00C018F7" w:rsidP="0023414E">
            <w:pPr>
              <w:pStyle w:val="Standaard-Tabellen"/>
              <w:rPr>
                <w:b/>
              </w:rPr>
            </w:pPr>
            <w:r w:rsidRPr="00BD2EF1">
              <w:rPr>
                <w:b/>
              </w:rPr>
              <w:t>Function</w:t>
            </w:r>
          </w:p>
        </w:tc>
        <w:tc>
          <w:tcPr>
            <w:tcW w:w="617" w:type="pct"/>
            <w:shd w:val="clear" w:color="auto" w:fill="BFBFBF" w:themeFill="background1" w:themeFillShade="BF"/>
          </w:tcPr>
          <w:p w14:paraId="6FE01E29" w14:textId="77777777" w:rsidR="00C018F7" w:rsidRPr="00BD2EF1" w:rsidRDefault="00C018F7" w:rsidP="0023414E">
            <w:pPr>
              <w:pStyle w:val="Standaard-Tabellen"/>
              <w:rPr>
                <w:b/>
              </w:rPr>
            </w:pPr>
            <w:r w:rsidRPr="00BD2EF1">
              <w:rPr>
                <w:b/>
              </w:rPr>
              <w:t>Field of use envisaged</w:t>
            </w:r>
          </w:p>
        </w:tc>
        <w:tc>
          <w:tcPr>
            <w:tcW w:w="616" w:type="pct"/>
            <w:shd w:val="clear" w:color="auto" w:fill="BFBFBF" w:themeFill="background1" w:themeFillShade="BF"/>
          </w:tcPr>
          <w:p w14:paraId="03F208EE" w14:textId="77777777" w:rsidR="00C018F7" w:rsidRPr="00BD2EF1" w:rsidRDefault="00C018F7" w:rsidP="0023414E">
            <w:pPr>
              <w:pStyle w:val="Standaard-Tabellen"/>
              <w:rPr>
                <w:b/>
                <w:i/>
              </w:rPr>
            </w:pPr>
            <w:r w:rsidRPr="00BD2EF1">
              <w:rPr>
                <w:b/>
              </w:rPr>
              <w:t>Test substance</w:t>
            </w:r>
          </w:p>
        </w:tc>
        <w:tc>
          <w:tcPr>
            <w:tcW w:w="736" w:type="pct"/>
            <w:shd w:val="clear" w:color="auto" w:fill="BFBFBF" w:themeFill="background1" w:themeFillShade="BF"/>
          </w:tcPr>
          <w:p w14:paraId="774D4A94" w14:textId="77777777" w:rsidR="00C018F7" w:rsidRPr="00BD2EF1" w:rsidRDefault="00C018F7" w:rsidP="0023414E">
            <w:pPr>
              <w:pStyle w:val="Standaard-Tabellen"/>
              <w:rPr>
                <w:b/>
                <w:i/>
              </w:rPr>
            </w:pPr>
            <w:r w:rsidRPr="00BD2EF1">
              <w:rPr>
                <w:b/>
              </w:rPr>
              <w:t>Test organism(s)</w:t>
            </w:r>
          </w:p>
        </w:tc>
        <w:tc>
          <w:tcPr>
            <w:tcW w:w="481" w:type="pct"/>
            <w:shd w:val="clear" w:color="auto" w:fill="BFBFBF" w:themeFill="background1" w:themeFillShade="BF"/>
          </w:tcPr>
          <w:p w14:paraId="6B3311D7" w14:textId="77777777" w:rsidR="00C018F7" w:rsidRPr="00BD2EF1" w:rsidRDefault="00C018F7" w:rsidP="0023414E">
            <w:pPr>
              <w:pStyle w:val="Standaard-Tabellen"/>
              <w:rPr>
                <w:b/>
              </w:rPr>
            </w:pPr>
            <w:r w:rsidRPr="00BD2EF1">
              <w:rPr>
                <w:b/>
              </w:rPr>
              <w:t>Test method</w:t>
            </w:r>
          </w:p>
        </w:tc>
        <w:tc>
          <w:tcPr>
            <w:tcW w:w="652" w:type="pct"/>
            <w:shd w:val="clear" w:color="auto" w:fill="BFBFBF" w:themeFill="background1" w:themeFillShade="BF"/>
          </w:tcPr>
          <w:p w14:paraId="21404B89" w14:textId="77777777" w:rsidR="00C018F7" w:rsidRPr="00BD2EF1" w:rsidRDefault="00C018F7" w:rsidP="0023414E">
            <w:pPr>
              <w:pStyle w:val="Standaard-Tabellen"/>
              <w:rPr>
                <w:b/>
              </w:rPr>
            </w:pPr>
            <w:r w:rsidRPr="00BD2EF1">
              <w:rPr>
                <w:b/>
              </w:rPr>
              <w:t>Test system / concentrations applied / exposure time</w:t>
            </w:r>
          </w:p>
        </w:tc>
        <w:tc>
          <w:tcPr>
            <w:tcW w:w="875" w:type="pct"/>
            <w:shd w:val="clear" w:color="auto" w:fill="BFBFBF" w:themeFill="background1" w:themeFillShade="BF"/>
          </w:tcPr>
          <w:p w14:paraId="3A9E85EF" w14:textId="77777777" w:rsidR="00C018F7" w:rsidRPr="00BD2EF1" w:rsidRDefault="00C018F7" w:rsidP="0023414E">
            <w:pPr>
              <w:pStyle w:val="Standaard-Tabellen"/>
              <w:rPr>
                <w:b/>
              </w:rPr>
            </w:pPr>
            <w:r w:rsidRPr="00BD2EF1">
              <w:rPr>
                <w:b/>
              </w:rPr>
              <w:t>Test results: effects</w:t>
            </w:r>
          </w:p>
        </w:tc>
        <w:tc>
          <w:tcPr>
            <w:tcW w:w="487" w:type="pct"/>
            <w:shd w:val="clear" w:color="auto" w:fill="BFBFBF" w:themeFill="background1" w:themeFillShade="BF"/>
          </w:tcPr>
          <w:p w14:paraId="6E850062" w14:textId="77777777" w:rsidR="00C018F7" w:rsidRPr="00BD2EF1" w:rsidRDefault="00C018F7" w:rsidP="0023414E">
            <w:pPr>
              <w:pStyle w:val="Standaard-Tabellen"/>
              <w:rPr>
                <w:b/>
              </w:rPr>
            </w:pPr>
            <w:r w:rsidRPr="00BD2EF1">
              <w:rPr>
                <w:b/>
              </w:rPr>
              <w:t>Reference</w:t>
            </w:r>
          </w:p>
        </w:tc>
      </w:tr>
      <w:tr w:rsidR="00C018F7" w:rsidRPr="00BD2EF1" w14:paraId="184B92A5" w14:textId="77777777" w:rsidTr="0023414E">
        <w:tc>
          <w:tcPr>
            <w:tcW w:w="5000" w:type="pct"/>
            <w:gridSpan w:val="8"/>
            <w:shd w:val="clear" w:color="auto" w:fill="D9E2F3" w:themeFill="accent5" w:themeFillTint="33"/>
          </w:tcPr>
          <w:p w14:paraId="0334B68B" w14:textId="77777777" w:rsidR="00C018F7" w:rsidRPr="002F110B" w:rsidRDefault="00C018F7" w:rsidP="0023414E">
            <w:pPr>
              <w:pStyle w:val="Standaard-Tabellen"/>
              <w:rPr>
                <w:b/>
                <w:iCs/>
                <w:sz w:val="20"/>
                <w:szCs w:val="20"/>
                <w:lang w:val="en-US"/>
              </w:rPr>
            </w:pPr>
            <w:r w:rsidRPr="00253B4F">
              <w:rPr>
                <w:b/>
                <w:iCs/>
                <w:sz w:val="20"/>
                <w:szCs w:val="20"/>
                <w:lang w:val="en-US"/>
              </w:rPr>
              <w:t>Initial dossier (2015)</w:t>
            </w:r>
          </w:p>
        </w:tc>
      </w:tr>
      <w:tr w:rsidR="00C018F7" w:rsidRPr="00BD2EF1" w14:paraId="51931197" w14:textId="77777777" w:rsidTr="0023414E">
        <w:tc>
          <w:tcPr>
            <w:tcW w:w="5000" w:type="pct"/>
            <w:gridSpan w:val="8"/>
            <w:shd w:val="clear" w:color="auto" w:fill="auto"/>
          </w:tcPr>
          <w:p w14:paraId="26457480" w14:textId="77777777" w:rsidR="00C018F7" w:rsidRPr="002078DA" w:rsidRDefault="00C018F7" w:rsidP="0023414E">
            <w:pPr>
              <w:pStyle w:val="Standaard-Tabellen"/>
              <w:rPr>
                <w:b/>
                <w:iCs/>
                <w:highlight w:val="yellow"/>
                <w:lang w:val="en-US"/>
              </w:rPr>
            </w:pPr>
            <w:r w:rsidRPr="00253B4F">
              <w:rPr>
                <w:b/>
                <w:iCs/>
                <w:lang w:val="en-US"/>
              </w:rPr>
              <w:t>TICKS</w:t>
            </w:r>
          </w:p>
        </w:tc>
      </w:tr>
      <w:tr w:rsidR="00C018F7" w:rsidRPr="00BD2EF1" w14:paraId="51F3B105" w14:textId="77777777" w:rsidTr="0023414E">
        <w:tc>
          <w:tcPr>
            <w:tcW w:w="536" w:type="pct"/>
          </w:tcPr>
          <w:p w14:paraId="1216A573" w14:textId="77777777" w:rsidR="00C018F7" w:rsidRPr="00191D86" w:rsidRDefault="00C018F7" w:rsidP="0023414E">
            <w:pPr>
              <w:pStyle w:val="Standaard-Tabellen"/>
              <w:rPr>
                <w:b/>
                <w:i/>
              </w:rPr>
            </w:pPr>
            <w:r w:rsidRPr="00191D86">
              <w:rPr>
                <w:b/>
                <w:i/>
              </w:rPr>
              <w:t>PT19</w:t>
            </w:r>
          </w:p>
          <w:p w14:paraId="09D5ED38" w14:textId="77777777" w:rsidR="00C018F7" w:rsidRPr="00191D86" w:rsidRDefault="00C018F7" w:rsidP="0023414E">
            <w:pPr>
              <w:pStyle w:val="Standaard-Tabellen"/>
              <w:rPr>
                <w:b/>
                <w:i/>
              </w:rPr>
            </w:pPr>
            <w:r w:rsidRPr="00191D86">
              <w:rPr>
                <w:b/>
                <w:i/>
              </w:rPr>
              <w:t>Repellent</w:t>
            </w:r>
          </w:p>
          <w:p w14:paraId="6EFA38E9" w14:textId="77777777" w:rsidR="00C018F7" w:rsidRPr="00191D86" w:rsidRDefault="00C018F7" w:rsidP="0023414E">
            <w:pPr>
              <w:pStyle w:val="Standaard-Tabellen"/>
              <w:rPr>
                <w:b/>
                <w:i/>
              </w:rPr>
            </w:pPr>
          </w:p>
        </w:tc>
        <w:tc>
          <w:tcPr>
            <w:tcW w:w="617" w:type="pct"/>
          </w:tcPr>
          <w:p w14:paraId="10662BFF"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3AB29819" w14:textId="77777777" w:rsidR="00C018F7" w:rsidRPr="00C069CF" w:rsidRDefault="00C018F7" w:rsidP="0023414E">
            <w:pPr>
              <w:pStyle w:val="Standaard-Tabellen"/>
              <w:rPr>
                <w:lang w:val="en-US"/>
              </w:rPr>
            </w:pPr>
            <w:r w:rsidRPr="00C069CF">
              <w:rPr>
                <w:lang w:val="en-US"/>
              </w:rPr>
              <w:t>- Applied on uncovered human skin</w:t>
            </w:r>
          </w:p>
          <w:p w14:paraId="7081D557" w14:textId="77777777" w:rsidR="00C018F7" w:rsidRPr="00C069CF" w:rsidRDefault="00C018F7" w:rsidP="0023414E">
            <w:pPr>
              <w:pStyle w:val="Standaard-Tabellen"/>
              <w:rPr>
                <w:lang w:val="en-US"/>
              </w:rPr>
            </w:pPr>
            <w:r w:rsidRPr="00C069CF">
              <w:rPr>
                <w:lang w:val="en-US"/>
              </w:rPr>
              <w:t>- For consumers</w:t>
            </w:r>
          </w:p>
          <w:p w14:paraId="3FE257C7" w14:textId="77777777" w:rsidR="00C018F7" w:rsidRPr="00BD2EF1" w:rsidRDefault="00C018F7" w:rsidP="0023414E">
            <w:pPr>
              <w:pStyle w:val="Standaard-Tabellen"/>
            </w:pPr>
          </w:p>
        </w:tc>
        <w:tc>
          <w:tcPr>
            <w:tcW w:w="616" w:type="pct"/>
          </w:tcPr>
          <w:p w14:paraId="694E39CB" w14:textId="77777777" w:rsidR="00C018F7" w:rsidRDefault="00C018F7" w:rsidP="0023414E">
            <w:pPr>
              <w:pStyle w:val="Standaard-Tabellen"/>
              <w:rPr>
                <w:lang w:val="fr-BE"/>
              </w:rPr>
            </w:pPr>
            <w:proofErr w:type="spellStart"/>
            <w:r w:rsidRPr="00963284">
              <w:rPr>
                <w:lang w:val="fr-BE"/>
              </w:rPr>
              <w:t>Insect</w:t>
            </w:r>
            <w:proofErr w:type="spellEnd"/>
            <w:r w:rsidRPr="00963284">
              <w:rPr>
                <w:lang w:val="fr-BE"/>
              </w:rPr>
              <w:t xml:space="preserve"> Repellent Lotion IR3535 10% (</w:t>
            </w:r>
            <w:proofErr w:type="spellStart"/>
            <w:r>
              <w:rPr>
                <w:lang w:val="fr-BE"/>
              </w:rPr>
              <w:t>liquid</w:t>
            </w:r>
            <w:proofErr w:type="spellEnd"/>
            <w:r>
              <w:rPr>
                <w:lang w:val="fr-BE"/>
              </w:rPr>
              <w:t>, 10% IR3535)</w:t>
            </w:r>
          </w:p>
          <w:p w14:paraId="790C0C0A" w14:textId="77777777" w:rsidR="00C018F7" w:rsidRDefault="00C018F7" w:rsidP="0023414E">
            <w:pPr>
              <w:pStyle w:val="Standaard-Tabellen"/>
              <w:rPr>
                <w:lang w:val="fr-BE"/>
              </w:rPr>
            </w:pPr>
          </w:p>
          <w:p w14:paraId="5E36E008" w14:textId="77777777" w:rsidR="00C018F7" w:rsidRDefault="00C018F7" w:rsidP="0023414E">
            <w:pPr>
              <w:pStyle w:val="Standaard-Tabellen"/>
              <w:rPr>
                <w:lang w:val="fr-BE"/>
              </w:rPr>
            </w:pPr>
          </w:p>
          <w:p w14:paraId="7A3D6B3E" w14:textId="77777777" w:rsidR="00C018F7" w:rsidRPr="00B96867" w:rsidRDefault="00C018F7" w:rsidP="0023414E">
            <w:pPr>
              <w:pStyle w:val="Standaard-Tabellen"/>
            </w:pPr>
            <w:r w:rsidRPr="00B96867">
              <w:t>With composition of the formulation provided at the end of the efficacy test report.</w:t>
            </w:r>
          </w:p>
          <w:p w14:paraId="21482FA6" w14:textId="77777777" w:rsidR="00C018F7" w:rsidRPr="00DB66CB" w:rsidRDefault="00C018F7" w:rsidP="0023414E">
            <w:pPr>
              <w:pStyle w:val="Standaard-Tabellen"/>
            </w:pPr>
          </w:p>
        </w:tc>
        <w:tc>
          <w:tcPr>
            <w:tcW w:w="736" w:type="pct"/>
          </w:tcPr>
          <w:p w14:paraId="6958AC2C" w14:textId="77777777" w:rsidR="00C018F7" w:rsidRPr="00F743D4" w:rsidRDefault="00C018F7" w:rsidP="0023414E">
            <w:pPr>
              <w:pStyle w:val="Standaard-Tabellen"/>
              <w:rPr>
                <w:b/>
                <w:i/>
              </w:rPr>
            </w:pPr>
            <w:r w:rsidRPr="00F743D4">
              <w:rPr>
                <w:b/>
                <w:i/>
              </w:rPr>
              <w:t>TICKS</w:t>
            </w:r>
          </w:p>
          <w:p w14:paraId="236890D9" w14:textId="77777777" w:rsidR="00C018F7" w:rsidRDefault="00C018F7" w:rsidP="0023414E">
            <w:pPr>
              <w:pStyle w:val="Standaard-Tabellen"/>
            </w:pPr>
            <w:r w:rsidRPr="00F743D4">
              <w:rPr>
                <w:i/>
              </w:rPr>
              <w:t>Ixodes scapularis</w:t>
            </w:r>
            <w:r w:rsidRPr="00C069CF">
              <w:t xml:space="preserve"> (US deer ticks) nymphs</w:t>
            </w:r>
          </w:p>
          <w:p w14:paraId="7D89956B" w14:textId="77777777" w:rsidR="00836936" w:rsidRPr="00A675AC" w:rsidRDefault="00836936" w:rsidP="00836936">
            <w:pPr>
              <w:pStyle w:val="Commentaire"/>
              <w:rPr>
                <w:sz w:val="16"/>
                <w:szCs w:val="16"/>
              </w:rPr>
            </w:pPr>
          </w:p>
          <w:p w14:paraId="223619BE" w14:textId="77777777" w:rsidR="00836936" w:rsidRPr="00A675AC" w:rsidRDefault="00836936" w:rsidP="00836936">
            <w:pPr>
              <w:pStyle w:val="Commentaire"/>
              <w:rPr>
                <w:sz w:val="16"/>
                <w:szCs w:val="16"/>
              </w:rPr>
            </w:pPr>
            <w:r w:rsidRPr="00A675AC">
              <w:rPr>
                <w:sz w:val="16"/>
                <w:szCs w:val="16"/>
              </w:rPr>
              <w:t xml:space="preserve">Given the information provided by DE </w:t>
            </w:r>
            <w:proofErr w:type="spellStart"/>
            <w:r w:rsidRPr="00A675AC">
              <w:rPr>
                <w:sz w:val="16"/>
                <w:szCs w:val="16"/>
              </w:rPr>
              <w:t>eCA</w:t>
            </w:r>
            <w:proofErr w:type="spellEnd"/>
            <w:r w:rsidRPr="00A675AC">
              <w:rPr>
                <w:sz w:val="16"/>
                <w:szCs w:val="16"/>
              </w:rPr>
              <w:t xml:space="preserve"> (</w:t>
            </w:r>
            <w:proofErr w:type="spellStart"/>
            <w:r w:rsidRPr="00A675AC">
              <w:rPr>
                <w:sz w:val="16"/>
                <w:szCs w:val="16"/>
              </w:rPr>
              <w:t>Büchel</w:t>
            </w:r>
            <w:proofErr w:type="spellEnd"/>
            <w:r w:rsidRPr="00A675AC">
              <w:rPr>
                <w:sz w:val="16"/>
                <w:szCs w:val="16"/>
              </w:rPr>
              <w:t xml:space="preserve"> et al. - 2015 - “Repellent efficacy of</w:t>
            </w:r>
          </w:p>
          <w:p w14:paraId="09D20F05" w14:textId="0AA55080" w:rsidR="00836936" w:rsidRPr="00836936" w:rsidRDefault="00836936" w:rsidP="00836936">
            <w:pPr>
              <w:pStyle w:val="Commentaire"/>
              <w:rPr>
                <w:sz w:val="16"/>
                <w:szCs w:val="16"/>
              </w:rPr>
            </w:pPr>
            <w:r w:rsidRPr="00A675AC">
              <w:rPr>
                <w:sz w:val="16"/>
                <w:szCs w:val="16"/>
              </w:rPr>
              <w:t xml:space="preserve">DEET, </w:t>
            </w:r>
            <w:proofErr w:type="spellStart"/>
            <w:r w:rsidRPr="00A675AC">
              <w:rPr>
                <w:sz w:val="16"/>
                <w:szCs w:val="16"/>
              </w:rPr>
              <w:t>Icaridin</w:t>
            </w:r>
            <w:proofErr w:type="spellEnd"/>
            <w:r w:rsidRPr="00A675AC">
              <w:rPr>
                <w:sz w:val="16"/>
                <w:szCs w:val="16"/>
              </w:rPr>
              <w:t xml:space="preserve">, and EBAAP against Ixodes </w:t>
            </w:r>
            <w:proofErr w:type="spellStart"/>
            <w:r w:rsidRPr="00A675AC">
              <w:rPr>
                <w:sz w:val="16"/>
                <w:szCs w:val="16"/>
              </w:rPr>
              <w:t>ricinus</w:t>
            </w:r>
            <w:proofErr w:type="spellEnd"/>
            <w:r w:rsidRPr="00A675AC">
              <w:rPr>
                <w:sz w:val="16"/>
                <w:szCs w:val="16"/>
              </w:rPr>
              <w:t xml:space="preserve"> and Ixodes scapularis nymphs (Acari, Ixodidae).”) during the commenting phase</w:t>
            </w:r>
            <w:r>
              <w:rPr>
                <w:sz w:val="16"/>
                <w:szCs w:val="16"/>
              </w:rPr>
              <w:t xml:space="preserve"> about the Pump Spray 20% IR3535</w:t>
            </w:r>
            <w:r w:rsidRPr="00A675AC">
              <w:rPr>
                <w:sz w:val="16"/>
                <w:szCs w:val="16"/>
              </w:rPr>
              <w:t>, no significant differences in repellent efficacy were found between the two species tested (when compared the repellent efficacy of 10% EBAAP =IR3535).”</w:t>
            </w:r>
          </w:p>
        </w:tc>
        <w:tc>
          <w:tcPr>
            <w:tcW w:w="481" w:type="pct"/>
          </w:tcPr>
          <w:p w14:paraId="5A96F008" w14:textId="77777777" w:rsidR="00C018F7" w:rsidRPr="00C069CF" w:rsidRDefault="00C018F7" w:rsidP="0023414E">
            <w:pPr>
              <w:pStyle w:val="Standaard-Tabellen"/>
            </w:pPr>
            <w:r w:rsidRPr="00C069CF">
              <w:t>Lab test</w:t>
            </w:r>
          </w:p>
          <w:p w14:paraId="6B834C1A" w14:textId="77777777" w:rsidR="00C018F7" w:rsidRPr="00BD2EF1" w:rsidRDefault="00C018F7" w:rsidP="0023414E">
            <w:pPr>
              <w:pStyle w:val="Standaard-Tabellen"/>
            </w:pPr>
          </w:p>
        </w:tc>
        <w:tc>
          <w:tcPr>
            <w:tcW w:w="652" w:type="pct"/>
          </w:tcPr>
          <w:p w14:paraId="270B828C" w14:textId="77777777" w:rsidR="00C018F7" w:rsidRPr="00C069CF" w:rsidRDefault="00C018F7" w:rsidP="0023414E">
            <w:pPr>
              <w:pStyle w:val="Standaard-Tabellen"/>
            </w:pPr>
            <w:r w:rsidRPr="00C069CF">
              <w:t>- with 10 volunteers</w:t>
            </w:r>
          </w:p>
          <w:p w14:paraId="7F9C0D7F" w14:textId="77777777" w:rsidR="00C018F7" w:rsidRPr="00C069CF" w:rsidRDefault="00C018F7" w:rsidP="0023414E">
            <w:pPr>
              <w:pStyle w:val="Standaard-Tabellen"/>
            </w:pPr>
            <w:r w:rsidRPr="00C069CF">
              <w:t>- 0.00</w:t>
            </w:r>
            <w:r>
              <w:t>115</w:t>
            </w:r>
            <w:r w:rsidRPr="00C069CF">
              <w:t xml:space="preserve"> g BP/cm</w:t>
            </w:r>
            <w:r w:rsidRPr="00C069CF">
              <w:rPr>
                <w:vertAlign w:val="superscript"/>
              </w:rPr>
              <w:t>2</w:t>
            </w:r>
            <w:r w:rsidRPr="00C069CF">
              <w:t xml:space="preserve"> on the lower arm</w:t>
            </w:r>
          </w:p>
          <w:p w14:paraId="20BEBCC5" w14:textId="77777777" w:rsidR="00C018F7" w:rsidRPr="00C069CF" w:rsidRDefault="00C018F7" w:rsidP="0023414E">
            <w:pPr>
              <w:pStyle w:val="Standaard-Tabellen"/>
            </w:pPr>
            <w:r w:rsidRPr="00C069CF">
              <w:t>- Exposure started 15 minutes after application</w:t>
            </w:r>
          </w:p>
          <w:p w14:paraId="505CA051" w14:textId="77777777" w:rsidR="00C018F7" w:rsidRPr="00C069CF" w:rsidRDefault="00C018F7" w:rsidP="0023414E">
            <w:pPr>
              <w:pStyle w:val="Standaard-Tabellen"/>
            </w:pPr>
            <w:r w:rsidRPr="00C069CF">
              <w:t>- 3 min exposure time, every 15 min until 14 hours</w:t>
            </w:r>
          </w:p>
          <w:p w14:paraId="0C7F1999" w14:textId="77777777" w:rsidR="00C018F7" w:rsidRPr="00BD2EF1" w:rsidRDefault="00C018F7" w:rsidP="0023414E">
            <w:pPr>
              <w:pStyle w:val="Standaard-Tabellen"/>
            </w:pPr>
            <w:r w:rsidRPr="00C069CF">
              <w:t xml:space="preserve">- “normal” climatic conditions for temperate areas (+19-26°C ; 31-52% </w:t>
            </w:r>
            <w:r>
              <w:t>H</w:t>
            </w:r>
            <w:r w:rsidRPr="002C4257">
              <w:rPr>
                <w:vertAlign w:val="subscript"/>
              </w:rPr>
              <w:t>R</w:t>
            </w:r>
            <w:r w:rsidRPr="00C069CF">
              <w:t>)</w:t>
            </w:r>
          </w:p>
        </w:tc>
        <w:tc>
          <w:tcPr>
            <w:tcW w:w="875" w:type="pct"/>
          </w:tcPr>
          <w:p w14:paraId="0305B1B7" w14:textId="77777777" w:rsidR="00C018F7" w:rsidRPr="00253B4F" w:rsidRDefault="00C018F7" w:rsidP="0023414E">
            <w:pPr>
              <w:pStyle w:val="Standaard-Tabellen"/>
            </w:pPr>
            <w:r w:rsidRPr="00253B4F">
              <w:t>The product used at 0.00115 g BP/cm</w:t>
            </w:r>
            <w:r w:rsidRPr="00253B4F">
              <w:rPr>
                <w:vertAlign w:val="superscript"/>
              </w:rPr>
              <w:t>2</w:t>
            </w:r>
            <w:r w:rsidRPr="00253B4F">
              <w:t xml:space="preserve"> (with </w:t>
            </w:r>
          </w:p>
          <w:p w14:paraId="0C7F76A0" w14:textId="1E00D88A" w:rsidR="00C018F7" w:rsidRPr="00253B4F" w:rsidRDefault="00C018F7" w:rsidP="0023414E">
            <w:pPr>
              <w:pStyle w:val="Standaard-Tabellen"/>
            </w:pPr>
            <w:r w:rsidRPr="00253B4F">
              <w:t>d = 0.989 =&gt; 0.00115 mL BP/cm</w:t>
            </w:r>
            <w:r w:rsidRPr="00253B4F">
              <w:rPr>
                <w:vertAlign w:val="superscript"/>
              </w:rPr>
              <w:t>2</w:t>
            </w:r>
            <w:r w:rsidRPr="00253B4F">
              <w:t xml:space="preserve"> or 0.000115 mL A.I./cm</w:t>
            </w:r>
            <w:r w:rsidRPr="00253B4F">
              <w:rPr>
                <w:vertAlign w:val="superscript"/>
              </w:rPr>
              <w:t>2</w:t>
            </w:r>
            <w:r w:rsidRPr="00253B4F">
              <w:t xml:space="preserve">) is efficacious to repel ticks up to </w:t>
            </w:r>
            <w:r w:rsidR="00836936" w:rsidRPr="00253B4F">
              <w:t>9h</w:t>
            </w:r>
            <w:r w:rsidRPr="00253B4F">
              <w:t>.</w:t>
            </w:r>
          </w:p>
          <w:p w14:paraId="10F69400" w14:textId="77777777" w:rsidR="00C018F7" w:rsidRPr="00253B4F" w:rsidRDefault="00C018F7" w:rsidP="0023414E">
            <w:pPr>
              <w:pStyle w:val="Standaard-Tabellen"/>
              <w:rPr>
                <w:i/>
              </w:rPr>
            </w:pPr>
          </w:p>
        </w:tc>
        <w:tc>
          <w:tcPr>
            <w:tcW w:w="487" w:type="pct"/>
          </w:tcPr>
          <w:p w14:paraId="5E986D20" w14:textId="77777777" w:rsidR="00C018F7" w:rsidRPr="00C85279" w:rsidRDefault="00C018F7" w:rsidP="0023414E">
            <w:pPr>
              <w:pStyle w:val="Standaard-Tabellen"/>
              <w:rPr>
                <w:b/>
                <w:iCs/>
                <w:lang w:val="en-US"/>
              </w:rPr>
            </w:pPr>
            <w:r w:rsidRPr="00C85279">
              <w:rPr>
                <w:b/>
                <w:iCs/>
                <w:lang w:val="en-US"/>
              </w:rPr>
              <w:t>Carroll S.P. (2006)</w:t>
            </w:r>
          </w:p>
          <w:p w14:paraId="189F4ADE" w14:textId="77777777" w:rsidR="00C018F7" w:rsidRPr="00C85279" w:rsidRDefault="00C018F7" w:rsidP="0023414E">
            <w:pPr>
              <w:pStyle w:val="Standaard-Tabellen"/>
              <w:rPr>
                <w:b/>
                <w:iCs/>
                <w:lang w:val="en-US"/>
              </w:rPr>
            </w:pPr>
          </w:p>
          <w:p w14:paraId="3207E78A" w14:textId="77777777" w:rsidR="00C018F7" w:rsidRPr="00C85279" w:rsidRDefault="00C018F7" w:rsidP="0023414E">
            <w:pPr>
              <w:pStyle w:val="Standaard-Tabellen"/>
              <w:rPr>
                <w:b/>
                <w:iCs/>
                <w:lang w:val="en-US"/>
              </w:rPr>
            </w:pPr>
            <w:r w:rsidRPr="00C85279">
              <w:rPr>
                <w:b/>
                <w:iCs/>
                <w:lang w:val="en-US"/>
              </w:rPr>
              <w:t>Document B5_10_(01)_336-1916</w:t>
            </w:r>
          </w:p>
          <w:p w14:paraId="744A5825" w14:textId="77777777" w:rsidR="00C018F7" w:rsidRPr="00D12BDC" w:rsidRDefault="00C018F7" w:rsidP="0023414E">
            <w:pPr>
              <w:pStyle w:val="Standaard-Tabellen"/>
            </w:pPr>
            <w:r w:rsidRPr="00D12BDC">
              <w:t>“Test of Personal Insect Repellents: Study EMD-003.1 -</w:t>
            </w:r>
          </w:p>
          <w:p w14:paraId="63247A6D" w14:textId="77777777" w:rsidR="00C018F7" w:rsidRDefault="00C018F7" w:rsidP="0023414E">
            <w:pPr>
              <w:pStyle w:val="Standaard-Tabellen"/>
            </w:pPr>
            <w:r w:rsidRPr="00D12BDC">
              <w:t>Replacement for MRID 46979001 - Volume 11”</w:t>
            </w:r>
          </w:p>
          <w:p w14:paraId="09799286" w14:textId="77777777" w:rsidR="00C018F7" w:rsidRDefault="00C018F7" w:rsidP="0023414E">
            <w:pPr>
              <w:pStyle w:val="Standaard-Tabellen"/>
            </w:pPr>
          </w:p>
          <w:p w14:paraId="17F6D9E0" w14:textId="61977EB0" w:rsidR="00C018F7" w:rsidRDefault="00C018F7" w:rsidP="0023414E">
            <w:pPr>
              <w:pStyle w:val="Standaard-Tabellen"/>
              <w:jc w:val="center"/>
              <w:rPr>
                <w:b/>
              </w:rPr>
            </w:pPr>
            <w:r w:rsidRPr="00191D86">
              <w:rPr>
                <w:b/>
              </w:rPr>
              <w:t>R</w:t>
            </w:r>
            <w:r>
              <w:rPr>
                <w:b/>
              </w:rPr>
              <w:t>.</w:t>
            </w:r>
            <w:r w:rsidR="00C470BB">
              <w:rPr>
                <w:b/>
              </w:rPr>
              <w:t xml:space="preserve">2 </w:t>
            </w:r>
          </w:p>
          <w:p w14:paraId="74112CE1" w14:textId="77777777" w:rsidR="00C018F7" w:rsidRPr="00191D86" w:rsidRDefault="00C018F7" w:rsidP="0023414E">
            <w:pPr>
              <w:pStyle w:val="Standaard-Tabellen"/>
              <w:jc w:val="center"/>
              <w:rPr>
                <w:b/>
              </w:rPr>
            </w:pPr>
            <w:r>
              <w:rPr>
                <w:b/>
              </w:rPr>
              <w:t>Key study</w:t>
            </w:r>
          </w:p>
        </w:tc>
      </w:tr>
      <w:tr w:rsidR="00C018F7" w:rsidRPr="00BD2EF1" w14:paraId="431AA05C" w14:textId="77777777" w:rsidTr="0023414E">
        <w:tc>
          <w:tcPr>
            <w:tcW w:w="5000" w:type="pct"/>
            <w:gridSpan w:val="8"/>
          </w:tcPr>
          <w:p w14:paraId="0CDADB45" w14:textId="77777777" w:rsidR="00C018F7" w:rsidRDefault="00C018F7" w:rsidP="0023414E">
            <w:pPr>
              <w:pStyle w:val="Standaard-Tabellen"/>
              <w:rPr>
                <w:b/>
                <w:iCs/>
                <w:lang w:val="en-US"/>
              </w:rPr>
            </w:pPr>
            <w:r w:rsidRPr="00253B4F">
              <w:rPr>
                <w:b/>
                <w:iCs/>
                <w:lang w:val="en-US"/>
              </w:rPr>
              <w:t>MOSQUITOES</w:t>
            </w:r>
          </w:p>
        </w:tc>
      </w:tr>
      <w:tr w:rsidR="00C018F7" w:rsidRPr="00BD2EF1" w14:paraId="146295F0" w14:textId="77777777" w:rsidTr="0023414E">
        <w:tc>
          <w:tcPr>
            <w:tcW w:w="536" w:type="pct"/>
          </w:tcPr>
          <w:p w14:paraId="6F86CF66" w14:textId="77777777" w:rsidR="00C018F7" w:rsidRPr="00191D86" w:rsidRDefault="00C018F7" w:rsidP="0023414E">
            <w:pPr>
              <w:pStyle w:val="Standaard-Tabellen"/>
              <w:rPr>
                <w:b/>
                <w:i/>
              </w:rPr>
            </w:pPr>
            <w:r w:rsidRPr="00191D86">
              <w:rPr>
                <w:b/>
                <w:i/>
              </w:rPr>
              <w:t>PT19</w:t>
            </w:r>
          </w:p>
          <w:p w14:paraId="21CF5E10" w14:textId="77777777" w:rsidR="00C018F7" w:rsidRPr="00191D86" w:rsidRDefault="00C018F7" w:rsidP="0023414E">
            <w:pPr>
              <w:pStyle w:val="Standaard-Tabellen"/>
              <w:rPr>
                <w:b/>
                <w:i/>
              </w:rPr>
            </w:pPr>
            <w:r w:rsidRPr="00191D86">
              <w:rPr>
                <w:b/>
                <w:i/>
              </w:rPr>
              <w:t>Repellent</w:t>
            </w:r>
          </w:p>
          <w:p w14:paraId="2B5855C5" w14:textId="77777777" w:rsidR="00C018F7" w:rsidRPr="00191D86" w:rsidRDefault="00C018F7" w:rsidP="0023414E">
            <w:pPr>
              <w:pStyle w:val="Standaard-Tabellen"/>
              <w:rPr>
                <w:b/>
                <w:i/>
              </w:rPr>
            </w:pPr>
          </w:p>
        </w:tc>
        <w:tc>
          <w:tcPr>
            <w:tcW w:w="617" w:type="pct"/>
          </w:tcPr>
          <w:p w14:paraId="76DF24C1"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6991F72C" w14:textId="77777777" w:rsidR="00C018F7" w:rsidRPr="00C069CF" w:rsidRDefault="00C018F7" w:rsidP="0023414E">
            <w:pPr>
              <w:pStyle w:val="Standaard-Tabellen"/>
              <w:rPr>
                <w:lang w:val="en-US"/>
              </w:rPr>
            </w:pPr>
            <w:r w:rsidRPr="00C069CF">
              <w:rPr>
                <w:lang w:val="en-US"/>
              </w:rPr>
              <w:t>- Applied on uncovered human skin</w:t>
            </w:r>
          </w:p>
          <w:p w14:paraId="1FC444F4" w14:textId="77777777" w:rsidR="00C018F7" w:rsidRPr="00C069CF" w:rsidRDefault="00C018F7" w:rsidP="0023414E">
            <w:pPr>
              <w:pStyle w:val="Standaard-Tabellen"/>
              <w:rPr>
                <w:lang w:val="en-US"/>
              </w:rPr>
            </w:pPr>
            <w:r w:rsidRPr="00C069CF">
              <w:rPr>
                <w:lang w:val="en-US"/>
              </w:rPr>
              <w:t>- For consumers</w:t>
            </w:r>
          </w:p>
          <w:p w14:paraId="479602AE" w14:textId="77777777" w:rsidR="00C018F7" w:rsidRPr="00BD2EF1" w:rsidRDefault="00C018F7" w:rsidP="0023414E">
            <w:pPr>
              <w:pStyle w:val="Standaard-Tabellen"/>
            </w:pPr>
          </w:p>
        </w:tc>
        <w:tc>
          <w:tcPr>
            <w:tcW w:w="616" w:type="pct"/>
          </w:tcPr>
          <w:p w14:paraId="60F1B655" w14:textId="77777777" w:rsidR="00C018F7" w:rsidRPr="00E70B1C" w:rsidRDefault="00C018F7" w:rsidP="0023414E">
            <w:pPr>
              <w:pStyle w:val="Standaard-Tabellen"/>
              <w:rPr>
                <w:lang w:val="fr-BE"/>
              </w:rPr>
            </w:pPr>
            <w:proofErr w:type="spellStart"/>
            <w:r w:rsidRPr="00605379">
              <w:rPr>
                <w:lang w:val="fr-BE"/>
              </w:rPr>
              <w:t>Insect</w:t>
            </w:r>
            <w:proofErr w:type="spellEnd"/>
            <w:r w:rsidRPr="00605379">
              <w:rPr>
                <w:lang w:val="fr-BE"/>
              </w:rPr>
              <w:t xml:space="preserve"> R</w:t>
            </w:r>
            <w:r w:rsidRPr="00963284">
              <w:rPr>
                <w:lang w:val="fr-BE"/>
              </w:rPr>
              <w:t>epellent Lotion IR3535 10% (</w:t>
            </w:r>
            <w:proofErr w:type="spellStart"/>
            <w:r>
              <w:rPr>
                <w:lang w:val="fr-BE"/>
              </w:rPr>
              <w:t>liquid</w:t>
            </w:r>
            <w:proofErr w:type="spellEnd"/>
            <w:r>
              <w:rPr>
                <w:lang w:val="fr-BE"/>
              </w:rPr>
              <w:t>, 10% IR3535)</w:t>
            </w:r>
          </w:p>
        </w:tc>
        <w:tc>
          <w:tcPr>
            <w:tcW w:w="736" w:type="pct"/>
          </w:tcPr>
          <w:p w14:paraId="33ECD503" w14:textId="77777777" w:rsidR="00C018F7" w:rsidRPr="00C85279" w:rsidRDefault="00C018F7" w:rsidP="0023414E">
            <w:pPr>
              <w:pStyle w:val="Standaard-Tabellen"/>
              <w:rPr>
                <w:b/>
                <w:lang w:val="en-US"/>
              </w:rPr>
            </w:pPr>
            <w:r w:rsidRPr="00C85279">
              <w:rPr>
                <w:b/>
                <w:lang w:val="en-US"/>
              </w:rPr>
              <w:t>MOSQUITOES</w:t>
            </w:r>
          </w:p>
          <w:p w14:paraId="1FB4B0C7" w14:textId="77777777" w:rsidR="00C018F7" w:rsidRPr="00C85279" w:rsidRDefault="00C018F7" w:rsidP="0023414E">
            <w:pPr>
              <w:pStyle w:val="Standaard-Tabellen"/>
              <w:rPr>
                <w:i/>
                <w:lang w:val="en-US"/>
              </w:rPr>
            </w:pPr>
            <w:r w:rsidRPr="00C85279">
              <w:rPr>
                <w:i/>
                <w:iCs/>
                <w:lang w:val="en-US"/>
              </w:rPr>
              <w:t xml:space="preserve">Aedes </w:t>
            </w:r>
            <w:proofErr w:type="spellStart"/>
            <w:r w:rsidRPr="00C85279">
              <w:rPr>
                <w:i/>
                <w:iCs/>
                <w:lang w:val="en-US"/>
              </w:rPr>
              <w:t>melanimon</w:t>
            </w:r>
            <w:proofErr w:type="spellEnd"/>
            <w:r w:rsidRPr="00C85279">
              <w:rPr>
                <w:iCs/>
                <w:lang w:val="en-US"/>
              </w:rPr>
              <w:t xml:space="preserve"> (predominant species), </w:t>
            </w:r>
            <w:r w:rsidRPr="00C85279">
              <w:rPr>
                <w:i/>
                <w:iCs/>
                <w:lang w:val="en-US"/>
              </w:rPr>
              <w:t xml:space="preserve">Culex </w:t>
            </w:r>
            <w:proofErr w:type="spellStart"/>
            <w:r w:rsidRPr="00C85279">
              <w:rPr>
                <w:i/>
                <w:iCs/>
                <w:lang w:val="en-US"/>
              </w:rPr>
              <w:t>erythrothorax</w:t>
            </w:r>
            <w:proofErr w:type="spellEnd"/>
            <w:r w:rsidRPr="00C85279">
              <w:rPr>
                <w:iCs/>
                <w:lang w:val="en-US"/>
              </w:rPr>
              <w:t xml:space="preserve">, </w:t>
            </w:r>
            <w:r w:rsidRPr="00C85279">
              <w:rPr>
                <w:i/>
                <w:iCs/>
                <w:lang w:val="en-US"/>
              </w:rPr>
              <w:t xml:space="preserve">Culex </w:t>
            </w:r>
            <w:proofErr w:type="spellStart"/>
            <w:r w:rsidRPr="00C85279">
              <w:rPr>
                <w:i/>
                <w:iCs/>
                <w:lang w:val="en-US"/>
              </w:rPr>
              <w:t>tarsalis</w:t>
            </w:r>
            <w:proofErr w:type="spellEnd"/>
            <w:r w:rsidRPr="00C85279">
              <w:rPr>
                <w:i/>
                <w:iCs/>
                <w:lang w:val="en-US"/>
              </w:rPr>
              <w:t xml:space="preserve">, </w:t>
            </w:r>
            <w:proofErr w:type="spellStart"/>
            <w:r w:rsidRPr="00C85279">
              <w:rPr>
                <w:i/>
                <w:iCs/>
                <w:lang w:val="en-US"/>
              </w:rPr>
              <w:t>Culiseta</w:t>
            </w:r>
            <w:proofErr w:type="spellEnd"/>
            <w:r w:rsidRPr="00C85279">
              <w:rPr>
                <w:i/>
                <w:iCs/>
                <w:lang w:val="en-US"/>
              </w:rPr>
              <w:t xml:space="preserve"> </w:t>
            </w:r>
            <w:proofErr w:type="spellStart"/>
            <w:r w:rsidRPr="00C85279">
              <w:rPr>
                <w:i/>
                <w:iCs/>
                <w:lang w:val="en-US"/>
              </w:rPr>
              <w:t>incidens</w:t>
            </w:r>
            <w:proofErr w:type="spellEnd"/>
            <w:r w:rsidRPr="00C85279">
              <w:rPr>
                <w:iCs/>
                <w:lang w:val="en-US"/>
              </w:rPr>
              <w:t xml:space="preserve">, </w:t>
            </w:r>
            <w:r w:rsidRPr="00C85279">
              <w:rPr>
                <w:i/>
                <w:iCs/>
                <w:lang w:val="en-US"/>
              </w:rPr>
              <w:t xml:space="preserve">Anopheles </w:t>
            </w:r>
            <w:proofErr w:type="spellStart"/>
            <w:r w:rsidRPr="00C85279">
              <w:rPr>
                <w:i/>
                <w:iCs/>
                <w:lang w:val="en-US"/>
              </w:rPr>
              <w:lastRenderedPageBreak/>
              <w:t>freeborni</w:t>
            </w:r>
            <w:proofErr w:type="spellEnd"/>
            <w:r w:rsidRPr="00C85279">
              <w:rPr>
                <w:iCs/>
                <w:lang w:val="en-US"/>
              </w:rPr>
              <w:t xml:space="preserve"> and </w:t>
            </w:r>
            <w:r w:rsidRPr="00C85279">
              <w:rPr>
                <w:i/>
                <w:iCs/>
                <w:lang w:val="en-US"/>
              </w:rPr>
              <w:t xml:space="preserve">Aedes </w:t>
            </w:r>
            <w:proofErr w:type="spellStart"/>
            <w:r w:rsidRPr="00C85279">
              <w:rPr>
                <w:i/>
                <w:iCs/>
                <w:lang w:val="en-US"/>
              </w:rPr>
              <w:t>vexans</w:t>
            </w:r>
            <w:proofErr w:type="spellEnd"/>
          </w:p>
        </w:tc>
        <w:tc>
          <w:tcPr>
            <w:tcW w:w="481" w:type="pct"/>
          </w:tcPr>
          <w:p w14:paraId="71EE9037" w14:textId="77777777" w:rsidR="00C018F7" w:rsidRPr="00C069CF" w:rsidRDefault="00C018F7" w:rsidP="0023414E">
            <w:pPr>
              <w:pStyle w:val="Standaard-Tabellen"/>
              <w:rPr>
                <w:lang w:val="en-US"/>
              </w:rPr>
            </w:pPr>
            <w:r w:rsidRPr="00C069CF">
              <w:rPr>
                <w:lang w:val="en-US"/>
              </w:rPr>
              <w:lastRenderedPageBreak/>
              <w:t>Field test</w:t>
            </w:r>
          </w:p>
          <w:p w14:paraId="681F8A96" w14:textId="77777777" w:rsidR="00C018F7" w:rsidRPr="00C069CF" w:rsidRDefault="00C018F7" w:rsidP="0023414E">
            <w:pPr>
              <w:pStyle w:val="Standaard-Tabellen"/>
              <w:rPr>
                <w:iCs/>
                <w:lang w:val="en-US"/>
              </w:rPr>
            </w:pPr>
            <w:r w:rsidRPr="00C069CF">
              <w:rPr>
                <w:iCs/>
                <w:lang w:val="en-US"/>
              </w:rPr>
              <w:t>on 2 different sites</w:t>
            </w:r>
          </w:p>
          <w:p w14:paraId="1D147908" w14:textId="77777777" w:rsidR="00C018F7" w:rsidRPr="00BD2EF1" w:rsidRDefault="00C018F7" w:rsidP="0023414E">
            <w:pPr>
              <w:pStyle w:val="Standaard-Tabellen"/>
            </w:pPr>
            <w:r w:rsidRPr="00C069CF">
              <w:rPr>
                <w:iCs/>
                <w:lang w:val="en-US"/>
              </w:rPr>
              <w:t>(grassland; wooded picnic area)</w:t>
            </w:r>
          </w:p>
        </w:tc>
        <w:tc>
          <w:tcPr>
            <w:tcW w:w="652" w:type="pct"/>
          </w:tcPr>
          <w:p w14:paraId="3573E7E5" w14:textId="77777777" w:rsidR="00C018F7" w:rsidRPr="00C069CF" w:rsidRDefault="00C018F7" w:rsidP="0023414E">
            <w:pPr>
              <w:pStyle w:val="Standaard-Tabellen"/>
            </w:pPr>
            <w:r w:rsidRPr="00C069CF">
              <w:t xml:space="preserve">- with </w:t>
            </w:r>
            <w:r>
              <w:t>10</w:t>
            </w:r>
            <w:r w:rsidRPr="00C069CF">
              <w:t xml:space="preserve"> volunteers</w:t>
            </w:r>
          </w:p>
          <w:p w14:paraId="3A941AAD" w14:textId="77777777" w:rsidR="00C018F7" w:rsidRPr="00C069CF" w:rsidRDefault="00C018F7" w:rsidP="0023414E">
            <w:pPr>
              <w:pStyle w:val="Standaard-Tabellen"/>
            </w:pPr>
            <w:r w:rsidRPr="00C069CF">
              <w:t>- 0.00</w:t>
            </w:r>
            <w:r>
              <w:t>115</w:t>
            </w:r>
            <w:r w:rsidRPr="00C069CF">
              <w:t xml:space="preserve"> g/cm</w:t>
            </w:r>
            <w:r w:rsidRPr="00C069CF">
              <w:rPr>
                <w:vertAlign w:val="superscript"/>
              </w:rPr>
              <w:t>2</w:t>
            </w:r>
            <w:r w:rsidRPr="00C069CF">
              <w:t xml:space="preserve"> </w:t>
            </w:r>
            <w:r>
              <w:t>on</w:t>
            </w:r>
            <w:r w:rsidRPr="00C069CF">
              <w:t xml:space="preserve"> legs </w:t>
            </w:r>
          </w:p>
          <w:p w14:paraId="5ED03A8F" w14:textId="77777777" w:rsidR="00C018F7" w:rsidRPr="00C069CF" w:rsidRDefault="00C018F7" w:rsidP="0023414E">
            <w:pPr>
              <w:pStyle w:val="Standaard-Tabellen"/>
            </w:pPr>
            <w:r w:rsidRPr="00C069CF">
              <w:t xml:space="preserve">- Exposure started </w:t>
            </w:r>
            <w:r>
              <w:t>15 min</w:t>
            </w:r>
            <w:r w:rsidRPr="00C069CF">
              <w:t xml:space="preserve"> (grassland) or 3h</w:t>
            </w:r>
            <w:r>
              <w:t>15</w:t>
            </w:r>
            <w:r w:rsidRPr="00C069CF">
              <w:t xml:space="preserve"> (wooded </w:t>
            </w:r>
            <w:r w:rsidRPr="00C069CF">
              <w:lastRenderedPageBreak/>
              <w:t>picnic area) after application</w:t>
            </w:r>
          </w:p>
          <w:p w14:paraId="75636660" w14:textId="77777777" w:rsidR="00C018F7" w:rsidRPr="00C069CF" w:rsidRDefault="00C018F7" w:rsidP="0023414E">
            <w:pPr>
              <w:pStyle w:val="Standaard-Tabellen"/>
            </w:pPr>
            <w:r w:rsidRPr="00C069CF">
              <w:t>- 1 min exposure time, every 15 min until 14 hours</w:t>
            </w:r>
          </w:p>
          <w:p w14:paraId="015B5655" w14:textId="77777777" w:rsidR="00C018F7" w:rsidRPr="00BD2EF1" w:rsidRDefault="00C018F7" w:rsidP="0023414E">
            <w:pPr>
              <w:pStyle w:val="Standaard-Tabellen"/>
            </w:pPr>
            <w:r w:rsidRPr="00C069CF">
              <w:t>- “normal” climatic conditions for temperate areas (+19-2</w:t>
            </w:r>
            <w:r>
              <w:t>5</w:t>
            </w:r>
            <w:r w:rsidRPr="00C069CF">
              <w:t xml:space="preserve">°C ; </w:t>
            </w:r>
            <w:r>
              <w:t xml:space="preserve">24 </w:t>
            </w:r>
            <w:r w:rsidRPr="00C069CF">
              <w:t>-</w:t>
            </w:r>
            <w:r>
              <w:t>39</w:t>
            </w:r>
            <w:r w:rsidRPr="00C069CF">
              <w:t>%</w:t>
            </w:r>
            <w:r>
              <w:t xml:space="preserve"> H</w:t>
            </w:r>
            <w:r w:rsidRPr="002C4257">
              <w:rPr>
                <w:vertAlign w:val="subscript"/>
              </w:rPr>
              <w:t>R</w:t>
            </w:r>
            <w:r w:rsidRPr="00C069CF">
              <w:t>)</w:t>
            </w:r>
          </w:p>
        </w:tc>
        <w:tc>
          <w:tcPr>
            <w:tcW w:w="875" w:type="pct"/>
          </w:tcPr>
          <w:p w14:paraId="280BAC42" w14:textId="77777777" w:rsidR="00C018F7" w:rsidRPr="00253B4F" w:rsidRDefault="00C018F7" w:rsidP="0023414E">
            <w:pPr>
              <w:pStyle w:val="Standaard-Tabellen"/>
            </w:pPr>
            <w:r w:rsidRPr="00253B4F">
              <w:lastRenderedPageBreak/>
              <w:t>The product used at 0.00115 g BP/cm</w:t>
            </w:r>
            <w:r w:rsidRPr="00253B4F">
              <w:rPr>
                <w:vertAlign w:val="superscript"/>
              </w:rPr>
              <w:t>2</w:t>
            </w:r>
            <w:r w:rsidRPr="00253B4F">
              <w:t xml:space="preserve"> (with </w:t>
            </w:r>
          </w:p>
          <w:p w14:paraId="62DC2E5A" w14:textId="64DD4744" w:rsidR="00C018F7" w:rsidRPr="00145CB8" w:rsidRDefault="00C018F7" w:rsidP="00836936">
            <w:pPr>
              <w:pStyle w:val="Standaard-Tabellen"/>
              <w:rPr>
                <w:color w:val="0070C0"/>
              </w:rPr>
            </w:pPr>
            <w:r w:rsidRPr="00253B4F">
              <w:t>d = 0.989 =&gt; 0.00115 mL BP/cm</w:t>
            </w:r>
            <w:r w:rsidRPr="00253B4F">
              <w:rPr>
                <w:vertAlign w:val="superscript"/>
              </w:rPr>
              <w:t>2</w:t>
            </w:r>
            <w:r w:rsidRPr="00253B4F">
              <w:t xml:space="preserve"> or 0.000115 mL A.I./cm</w:t>
            </w:r>
            <w:r w:rsidRPr="00253B4F">
              <w:rPr>
                <w:vertAlign w:val="superscript"/>
              </w:rPr>
              <w:t>2</w:t>
            </w:r>
            <w:r w:rsidRPr="00253B4F">
              <w:t xml:space="preserve">) is efficacious to repel mosquitoes up to </w:t>
            </w:r>
            <w:r w:rsidR="00836936" w:rsidRPr="00253B4F">
              <w:t>8h</w:t>
            </w:r>
            <w:r w:rsidRPr="00253B4F">
              <w:t>.</w:t>
            </w:r>
          </w:p>
        </w:tc>
        <w:tc>
          <w:tcPr>
            <w:tcW w:w="487" w:type="pct"/>
          </w:tcPr>
          <w:p w14:paraId="33EB17E3" w14:textId="77777777" w:rsidR="00C018F7" w:rsidRPr="00C85279" w:rsidRDefault="00C018F7" w:rsidP="0023414E">
            <w:pPr>
              <w:pStyle w:val="Standaard-Tabellen"/>
              <w:rPr>
                <w:b/>
                <w:iCs/>
                <w:lang w:val="en-US"/>
              </w:rPr>
            </w:pPr>
            <w:r w:rsidRPr="00C85279">
              <w:rPr>
                <w:b/>
                <w:iCs/>
                <w:lang w:val="en-US"/>
              </w:rPr>
              <w:t>Carroll S.P. (2006)</w:t>
            </w:r>
          </w:p>
          <w:p w14:paraId="5D0031E2" w14:textId="77777777" w:rsidR="00C018F7" w:rsidRPr="00C85279" w:rsidRDefault="00C018F7" w:rsidP="0023414E">
            <w:pPr>
              <w:pStyle w:val="Standaard-Tabellen"/>
              <w:rPr>
                <w:b/>
                <w:iCs/>
                <w:lang w:val="en-US"/>
              </w:rPr>
            </w:pPr>
          </w:p>
          <w:p w14:paraId="6B86A3CF" w14:textId="77777777" w:rsidR="00C018F7" w:rsidRPr="00C85279" w:rsidRDefault="00C018F7" w:rsidP="0023414E">
            <w:pPr>
              <w:pStyle w:val="Standaard-Tabellen"/>
              <w:rPr>
                <w:b/>
                <w:iCs/>
                <w:lang w:val="en-US"/>
              </w:rPr>
            </w:pPr>
            <w:r w:rsidRPr="00C85279">
              <w:rPr>
                <w:b/>
                <w:iCs/>
                <w:lang w:val="en-US"/>
              </w:rPr>
              <w:t>Document B5_10_(02)_336-1917</w:t>
            </w:r>
          </w:p>
          <w:p w14:paraId="27472DF1" w14:textId="77777777" w:rsidR="00C018F7" w:rsidRDefault="00C018F7" w:rsidP="0023414E">
            <w:pPr>
              <w:pStyle w:val="Standaard-Tabellen"/>
            </w:pPr>
            <w:r w:rsidRPr="00D12BDC">
              <w:t>“</w:t>
            </w:r>
            <w:r>
              <w:t xml:space="preserve">Test of Personal </w:t>
            </w:r>
            <w:r>
              <w:lastRenderedPageBreak/>
              <w:t>Insect Repellents: Study EMD 004.1 -</w:t>
            </w:r>
          </w:p>
          <w:p w14:paraId="70BA4632" w14:textId="77777777" w:rsidR="00C018F7" w:rsidRDefault="00C018F7" w:rsidP="0023414E">
            <w:pPr>
              <w:pStyle w:val="Standaard-Tabellen"/>
            </w:pPr>
            <w:r>
              <w:t>Replacement for MRID 4699003 - Volume 12</w:t>
            </w:r>
            <w:r w:rsidRPr="00D12BDC">
              <w:t>”</w:t>
            </w:r>
          </w:p>
          <w:p w14:paraId="3523EF97" w14:textId="77777777" w:rsidR="00C018F7" w:rsidRDefault="00C018F7" w:rsidP="0023414E">
            <w:pPr>
              <w:pStyle w:val="Standaard-Tabellen"/>
            </w:pPr>
          </w:p>
          <w:p w14:paraId="3EAB3E69" w14:textId="77777777" w:rsidR="00C018F7" w:rsidRDefault="00C018F7" w:rsidP="0023414E">
            <w:pPr>
              <w:pStyle w:val="Standaard-Tabellen"/>
              <w:jc w:val="center"/>
              <w:rPr>
                <w:b/>
              </w:rPr>
            </w:pPr>
            <w:r w:rsidRPr="00191D86">
              <w:rPr>
                <w:b/>
              </w:rPr>
              <w:t>R</w:t>
            </w:r>
            <w:r>
              <w:rPr>
                <w:b/>
              </w:rPr>
              <w:t>.</w:t>
            </w:r>
            <w:r w:rsidRPr="00191D86">
              <w:rPr>
                <w:b/>
              </w:rPr>
              <w:t>1</w:t>
            </w:r>
          </w:p>
          <w:p w14:paraId="4A8611B8" w14:textId="77777777" w:rsidR="00C018F7" w:rsidRPr="00191D86" w:rsidRDefault="00C018F7" w:rsidP="0023414E">
            <w:pPr>
              <w:pStyle w:val="Standaard-Tabellen"/>
              <w:jc w:val="center"/>
              <w:rPr>
                <w:b/>
              </w:rPr>
            </w:pPr>
            <w:r>
              <w:rPr>
                <w:b/>
              </w:rPr>
              <w:t>Key study</w:t>
            </w:r>
          </w:p>
        </w:tc>
      </w:tr>
      <w:tr w:rsidR="00C018F7" w:rsidRPr="00BD2EF1" w14:paraId="2D85BBBF" w14:textId="77777777" w:rsidTr="0023414E">
        <w:tc>
          <w:tcPr>
            <w:tcW w:w="5000" w:type="pct"/>
            <w:gridSpan w:val="8"/>
            <w:shd w:val="clear" w:color="auto" w:fill="D9E2F3" w:themeFill="accent5" w:themeFillTint="33"/>
          </w:tcPr>
          <w:p w14:paraId="251EE6B7" w14:textId="77777777" w:rsidR="00C018F7" w:rsidRPr="00191D86" w:rsidRDefault="00C018F7" w:rsidP="0023414E">
            <w:pPr>
              <w:pStyle w:val="Standaard-Tabellen"/>
              <w:rPr>
                <w:b/>
                <w:iCs/>
                <w:lang w:val="en-US"/>
              </w:rPr>
            </w:pPr>
            <w:r w:rsidRPr="00253B4F">
              <w:rPr>
                <w:b/>
                <w:iCs/>
                <w:sz w:val="20"/>
                <w:szCs w:val="20"/>
                <w:lang w:val="en-US"/>
              </w:rPr>
              <w:lastRenderedPageBreak/>
              <w:t>Resubmission (06/2018)</w:t>
            </w:r>
          </w:p>
        </w:tc>
      </w:tr>
      <w:tr w:rsidR="00C018F7" w:rsidRPr="00BD2EF1" w14:paraId="041E26B0" w14:textId="77777777" w:rsidTr="0023414E">
        <w:tc>
          <w:tcPr>
            <w:tcW w:w="536" w:type="pct"/>
          </w:tcPr>
          <w:p w14:paraId="7E8049E0" w14:textId="77777777" w:rsidR="00C018F7" w:rsidRPr="00191D86" w:rsidRDefault="00C018F7" w:rsidP="0023414E">
            <w:pPr>
              <w:pStyle w:val="Standaard-Tabellen"/>
              <w:rPr>
                <w:b/>
                <w:i/>
              </w:rPr>
            </w:pPr>
            <w:r w:rsidRPr="00191D86">
              <w:rPr>
                <w:b/>
                <w:i/>
              </w:rPr>
              <w:t>PT19</w:t>
            </w:r>
          </w:p>
          <w:p w14:paraId="1A9F1F1F" w14:textId="77777777" w:rsidR="00C018F7" w:rsidRPr="00191D86" w:rsidRDefault="00C018F7" w:rsidP="0023414E">
            <w:pPr>
              <w:pStyle w:val="Standaard-Tabellen"/>
              <w:rPr>
                <w:b/>
                <w:i/>
              </w:rPr>
            </w:pPr>
            <w:r w:rsidRPr="00191D86">
              <w:rPr>
                <w:b/>
                <w:i/>
              </w:rPr>
              <w:t>Repellent</w:t>
            </w:r>
          </w:p>
          <w:p w14:paraId="6579AEC4" w14:textId="77777777" w:rsidR="00C018F7" w:rsidRPr="00191D86" w:rsidRDefault="00C018F7" w:rsidP="0023414E">
            <w:pPr>
              <w:pStyle w:val="Standaard-Tabellen"/>
              <w:rPr>
                <w:b/>
                <w:i/>
              </w:rPr>
            </w:pPr>
          </w:p>
        </w:tc>
        <w:tc>
          <w:tcPr>
            <w:tcW w:w="617" w:type="pct"/>
          </w:tcPr>
          <w:p w14:paraId="0832927D"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172A6D80" w14:textId="77777777" w:rsidR="00C018F7" w:rsidRPr="00764794" w:rsidRDefault="00C018F7" w:rsidP="0023414E">
            <w:pPr>
              <w:pStyle w:val="Standaard-Tabellen"/>
              <w:rPr>
                <w:lang w:val="en-US"/>
              </w:rPr>
            </w:pPr>
            <w:r w:rsidRPr="00C069CF">
              <w:rPr>
                <w:lang w:val="en-US"/>
              </w:rPr>
              <w:t>- Applied on uncovered human skin</w:t>
            </w:r>
          </w:p>
        </w:tc>
        <w:tc>
          <w:tcPr>
            <w:tcW w:w="616" w:type="pct"/>
          </w:tcPr>
          <w:p w14:paraId="51B781CB" w14:textId="77777777" w:rsidR="00C018F7" w:rsidRDefault="00C018F7" w:rsidP="0023414E">
            <w:pPr>
              <w:pStyle w:val="Standaard-Tabellen"/>
              <w:rPr>
                <w:lang w:val="fr-BE"/>
              </w:rPr>
            </w:pPr>
            <w:proofErr w:type="spellStart"/>
            <w:r w:rsidRPr="00B96867">
              <w:rPr>
                <w:lang w:val="fr-BE"/>
              </w:rPr>
              <w:t>Insect</w:t>
            </w:r>
            <w:proofErr w:type="spellEnd"/>
            <w:r w:rsidRPr="00B96867">
              <w:rPr>
                <w:lang w:val="fr-BE"/>
              </w:rPr>
              <w:t xml:space="preserve"> Repellent Lotion IR3535 10% (</w:t>
            </w:r>
            <w:proofErr w:type="spellStart"/>
            <w:r w:rsidRPr="00B96867">
              <w:rPr>
                <w:lang w:val="fr-BE"/>
              </w:rPr>
              <w:t>liquid</w:t>
            </w:r>
            <w:proofErr w:type="spellEnd"/>
            <w:r w:rsidRPr="00B96867">
              <w:rPr>
                <w:lang w:val="fr-BE"/>
              </w:rPr>
              <w:t>, 10% IR3535)</w:t>
            </w:r>
          </w:p>
          <w:p w14:paraId="07FB2EBA" w14:textId="77777777" w:rsidR="00C018F7" w:rsidRPr="00B96867" w:rsidRDefault="00C018F7" w:rsidP="0023414E">
            <w:pPr>
              <w:pStyle w:val="Standaard-Tabellen"/>
              <w:rPr>
                <w:lang w:val="fr-BE"/>
              </w:rPr>
            </w:pPr>
          </w:p>
          <w:p w14:paraId="4A3C5137" w14:textId="77777777" w:rsidR="00C018F7" w:rsidRPr="00B96867" w:rsidRDefault="00C018F7" w:rsidP="0023414E">
            <w:pPr>
              <w:pStyle w:val="Standaard-Tabellen"/>
            </w:pPr>
            <w:r w:rsidRPr="00B96867">
              <w:t>With composition of the formulation provided at the end of the efficacy test report.</w:t>
            </w:r>
          </w:p>
          <w:p w14:paraId="070474F0" w14:textId="77777777" w:rsidR="00C018F7" w:rsidRPr="00B96867" w:rsidRDefault="00C018F7" w:rsidP="0023414E">
            <w:pPr>
              <w:pStyle w:val="Standaard-Tabellen"/>
            </w:pPr>
          </w:p>
        </w:tc>
        <w:tc>
          <w:tcPr>
            <w:tcW w:w="736" w:type="pct"/>
          </w:tcPr>
          <w:p w14:paraId="5106D961" w14:textId="77777777" w:rsidR="00C018F7" w:rsidRPr="00191D86" w:rsidRDefault="00C018F7" w:rsidP="0023414E">
            <w:pPr>
              <w:pStyle w:val="Standaard-Tabellen"/>
              <w:rPr>
                <w:b/>
              </w:rPr>
            </w:pPr>
            <w:r w:rsidRPr="00191D86">
              <w:rPr>
                <w:b/>
              </w:rPr>
              <w:t>TICKS</w:t>
            </w:r>
          </w:p>
          <w:p w14:paraId="0ECE2EF0" w14:textId="77777777" w:rsidR="00C018F7" w:rsidRPr="00764794" w:rsidRDefault="00C018F7" w:rsidP="0023414E">
            <w:pPr>
              <w:pStyle w:val="Standaard-Tabellen"/>
              <w:rPr>
                <w:i/>
              </w:rPr>
            </w:pPr>
            <w:r w:rsidRPr="0086726F">
              <w:rPr>
                <w:i/>
              </w:rPr>
              <w:t xml:space="preserve">Ixodes </w:t>
            </w:r>
            <w:proofErr w:type="spellStart"/>
            <w:r w:rsidRPr="0086726F">
              <w:rPr>
                <w:i/>
              </w:rPr>
              <w:t>ricinus</w:t>
            </w:r>
            <w:proofErr w:type="spellEnd"/>
            <w:r w:rsidRPr="00C069CF">
              <w:t xml:space="preserve"> (</w:t>
            </w:r>
            <w:r>
              <w:t xml:space="preserve">EU sheep </w:t>
            </w:r>
            <w:r w:rsidRPr="00C069CF">
              <w:t>ticks) nymphs</w:t>
            </w:r>
          </w:p>
        </w:tc>
        <w:tc>
          <w:tcPr>
            <w:tcW w:w="481" w:type="pct"/>
          </w:tcPr>
          <w:p w14:paraId="16EB78B8" w14:textId="77777777" w:rsidR="00C018F7" w:rsidRDefault="00C018F7" w:rsidP="0023414E">
            <w:pPr>
              <w:pStyle w:val="Standaard-Tabellen"/>
              <w:rPr>
                <w:lang w:val="en-US"/>
              </w:rPr>
            </w:pPr>
            <w:r>
              <w:rPr>
                <w:lang w:val="en-US"/>
              </w:rPr>
              <w:t>Lab study</w:t>
            </w:r>
          </w:p>
          <w:p w14:paraId="6282E1EA" w14:textId="77777777" w:rsidR="00C018F7" w:rsidRPr="00890200" w:rsidRDefault="00C018F7" w:rsidP="0023414E">
            <w:pPr>
              <w:pStyle w:val="Standaard-Tabellen"/>
              <w:rPr>
                <w:lang w:val="en-US"/>
              </w:rPr>
            </w:pPr>
            <w:r>
              <w:rPr>
                <w:lang w:val="en-US"/>
              </w:rPr>
              <w:t xml:space="preserve">performed </w:t>
            </w:r>
            <w:r w:rsidRPr="00890200">
              <w:rPr>
                <w:lang w:val="en-US"/>
              </w:rPr>
              <w:t>according to</w:t>
            </w:r>
            <w:r>
              <w:rPr>
                <w:lang w:val="en-US"/>
              </w:rPr>
              <w:t xml:space="preserve"> the </w:t>
            </w:r>
            <w:r w:rsidRPr="00890200">
              <w:rPr>
                <w:lang w:val="en-US"/>
              </w:rPr>
              <w:t>EPA</w:t>
            </w:r>
            <w:r>
              <w:rPr>
                <w:lang w:val="en-US"/>
              </w:rPr>
              <w:t xml:space="preserve"> g</w:t>
            </w:r>
            <w:r w:rsidRPr="00890200">
              <w:rPr>
                <w:lang w:val="en-US"/>
              </w:rPr>
              <w:t>uideline</w:t>
            </w:r>
          </w:p>
          <w:p w14:paraId="5221BB41" w14:textId="77777777" w:rsidR="00C018F7" w:rsidRPr="00C069CF" w:rsidRDefault="00C018F7" w:rsidP="0023414E">
            <w:pPr>
              <w:pStyle w:val="Standaard-Tabellen"/>
              <w:rPr>
                <w:lang w:val="en-US"/>
              </w:rPr>
            </w:pPr>
            <w:r w:rsidRPr="00890200">
              <w:rPr>
                <w:lang w:val="en-US"/>
              </w:rPr>
              <w:t>OPPTS 810.3700</w:t>
            </w:r>
          </w:p>
        </w:tc>
        <w:tc>
          <w:tcPr>
            <w:tcW w:w="652" w:type="pct"/>
          </w:tcPr>
          <w:p w14:paraId="73198001" w14:textId="77777777" w:rsidR="00C018F7" w:rsidRPr="00C069CF" w:rsidRDefault="00C018F7" w:rsidP="0023414E">
            <w:pPr>
              <w:pStyle w:val="Standaard-Tabellen"/>
            </w:pPr>
            <w:r w:rsidRPr="00C069CF">
              <w:t xml:space="preserve">- with </w:t>
            </w:r>
            <w:r>
              <w:t>10</w:t>
            </w:r>
            <w:r w:rsidRPr="00C069CF">
              <w:t xml:space="preserve"> volunteers</w:t>
            </w:r>
          </w:p>
          <w:p w14:paraId="3450ACEF" w14:textId="77777777" w:rsidR="00C018F7" w:rsidRPr="00C069CF" w:rsidRDefault="00C018F7" w:rsidP="0023414E">
            <w:pPr>
              <w:pStyle w:val="Standaard-Tabellen"/>
            </w:pPr>
            <w:r w:rsidRPr="00C069CF">
              <w:t xml:space="preserve">- </w:t>
            </w:r>
            <w:r>
              <w:t>Application rate : 1</w:t>
            </w:r>
            <w:r w:rsidRPr="00764794">
              <w:rPr>
                <w:rFonts w:ascii="Symbol" w:hAnsi="Symbol"/>
              </w:rPr>
              <w:t></w:t>
            </w:r>
            <w:r>
              <w:t>L BP</w:t>
            </w:r>
            <w:r w:rsidRPr="00C069CF">
              <w:t>/cm</w:t>
            </w:r>
            <w:r w:rsidRPr="00C069CF">
              <w:rPr>
                <w:vertAlign w:val="superscript"/>
              </w:rPr>
              <w:t>2</w:t>
            </w:r>
            <w:r w:rsidRPr="00C069CF">
              <w:t xml:space="preserve"> </w:t>
            </w:r>
          </w:p>
          <w:p w14:paraId="16072F5C" w14:textId="77777777" w:rsidR="00C018F7" w:rsidRDefault="00C018F7" w:rsidP="0023414E">
            <w:pPr>
              <w:pStyle w:val="Standaard-Tabellen"/>
            </w:pPr>
            <w:r w:rsidRPr="00C069CF">
              <w:t xml:space="preserve">- </w:t>
            </w:r>
            <w:r>
              <w:t xml:space="preserve">5 min exposure time </w:t>
            </w:r>
            <w:r w:rsidRPr="00C069CF">
              <w:t>until</w:t>
            </w:r>
            <w:r>
              <w:t xml:space="preserve"> 8</w:t>
            </w:r>
            <w:r w:rsidRPr="00C069CF">
              <w:t xml:space="preserve"> hours</w:t>
            </w:r>
          </w:p>
          <w:p w14:paraId="2CB08A6E" w14:textId="77777777" w:rsidR="00C018F7" w:rsidRDefault="00C018F7" w:rsidP="0023414E">
            <w:pPr>
              <w:pStyle w:val="Standaard-Tabellen"/>
            </w:pPr>
            <w:r w:rsidRPr="00C069CF">
              <w:t>- “normal” climatic conditions for temperate areas (+</w:t>
            </w:r>
            <w:r>
              <w:t>22.8</w:t>
            </w:r>
            <w:r w:rsidRPr="00C069CF">
              <w:t xml:space="preserve">°C ; </w:t>
            </w:r>
            <w:r>
              <w:t>48.3</w:t>
            </w:r>
            <w:r w:rsidRPr="00C069CF">
              <w:t xml:space="preserve">% </w:t>
            </w:r>
            <w:r>
              <w:t>H</w:t>
            </w:r>
            <w:r w:rsidRPr="002C4257">
              <w:rPr>
                <w:vertAlign w:val="subscript"/>
              </w:rPr>
              <w:t>R</w:t>
            </w:r>
            <w:r w:rsidRPr="00C069CF">
              <w:t>)</w:t>
            </w:r>
          </w:p>
          <w:p w14:paraId="0BBB65AC" w14:textId="77777777" w:rsidR="00C018F7" w:rsidRPr="00605379" w:rsidRDefault="00C018F7" w:rsidP="0023414E">
            <w:pPr>
              <w:pStyle w:val="Standaard-Tabellen"/>
              <w:rPr>
                <w:lang w:val="en-US"/>
              </w:rPr>
            </w:pPr>
          </w:p>
        </w:tc>
        <w:tc>
          <w:tcPr>
            <w:tcW w:w="875" w:type="pct"/>
          </w:tcPr>
          <w:p w14:paraId="2F382471" w14:textId="77777777" w:rsidR="00C018F7" w:rsidRPr="00253B4F" w:rsidRDefault="00C018F7" w:rsidP="0023414E">
            <w:pPr>
              <w:pStyle w:val="Standaard-Tabellen"/>
            </w:pPr>
          </w:p>
          <w:p w14:paraId="17DADC4B" w14:textId="77777777" w:rsidR="00C018F7" w:rsidRPr="00253B4F" w:rsidRDefault="00C018F7" w:rsidP="0023414E">
            <w:pPr>
              <w:pStyle w:val="Standaard-Tabellen"/>
            </w:pPr>
            <w:r w:rsidRPr="00253B4F">
              <w:t>Repellence over time :</w:t>
            </w:r>
          </w:p>
          <w:tbl>
            <w:tblPr>
              <w:tblW w:w="0" w:type="auto"/>
              <w:jc w:val="center"/>
              <w:tblLayout w:type="fixed"/>
              <w:tblLook w:val="04A0" w:firstRow="1" w:lastRow="0" w:firstColumn="1" w:lastColumn="0" w:noHBand="0" w:noVBand="1"/>
            </w:tblPr>
            <w:tblGrid>
              <w:gridCol w:w="490"/>
              <w:gridCol w:w="1275"/>
            </w:tblGrid>
            <w:tr w:rsidR="00253B4F" w:rsidRPr="00253B4F" w14:paraId="6F8F2A6E" w14:textId="77777777" w:rsidTr="0023414E">
              <w:trPr>
                <w:jc w:val="center"/>
              </w:trPr>
              <w:tc>
                <w:tcPr>
                  <w:tcW w:w="490" w:type="dxa"/>
                </w:tcPr>
                <w:p w14:paraId="4241E989" w14:textId="77777777" w:rsidR="00C018F7" w:rsidRPr="00253B4F" w:rsidRDefault="00C018F7" w:rsidP="0023414E">
                  <w:pPr>
                    <w:pStyle w:val="Standaard-Tabellen"/>
                    <w:jc w:val="center"/>
                  </w:pPr>
                  <w:r w:rsidRPr="00253B4F">
                    <w:t>0h</w:t>
                  </w:r>
                </w:p>
              </w:tc>
              <w:tc>
                <w:tcPr>
                  <w:tcW w:w="1275" w:type="dxa"/>
                </w:tcPr>
                <w:p w14:paraId="75A900C3" w14:textId="77777777" w:rsidR="00C018F7" w:rsidRPr="00253B4F" w:rsidRDefault="00C018F7" w:rsidP="0023414E">
                  <w:pPr>
                    <w:pStyle w:val="Standaard-Tabellen"/>
                    <w:jc w:val="center"/>
                  </w:pPr>
                  <w:r w:rsidRPr="00253B4F">
                    <w:t>Application</w:t>
                  </w:r>
                </w:p>
              </w:tc>
            </w:tr>
            <w:tr w:rsidR="00253B4F" w:rsidRPr="00253B4F" w14:paraId="6D7CB925" w14:textId="77777777" w:rsidTr="0023414E">
              <w:trPr>
                <w:jc w:val="center"/>
              </w:trPr>
              <w:tc>
                <w:tcPr>
                  <w:tcW w:w="490" w:type="dxa"/>
                </w:tcPr>
                <w:p w14:paraId="625BA5E2" w14:textId="77777777" w:rsidR="00C018F7" w:rsidRPr="00253B4F" w:rsidRDefault="00C018F7" w:rsidP="0023414E">
                  <w:pPr>
                    <w:pStyle w:val="Standaard-Tabellen"/>
                    <w:jc w:val="center"/>
                  </w:pPr>
                  <w:r w:rsidRPr="00253B4F">
                    <w:t>1h</w:t>
                  </w:r>
                </w:p>
              </w:tc>
              <w:tc>
                <w:tcPr>
                  <w:tcW w:w="1275" w:type="dxa"/>
                </w:tcPr>
                <w:p w14:paraId="70F7CCE7" w14:textId="77777777" w:rsidR="00C018F7" w:rsidRPr="00253B4F" w:rsidRDefault="00C018F7" w:rsidP="0023414E">
                  <w:pPr>
                    <w:pStyle w:val="Standaard-Tabellen"/>
                    <w:jc w:val="center"/>
                  </w:pPr>
                  <w:r w:rsidRPr="00253B4F">
                    <w:t>100%</w:t>
                  </w:r>
                </w:p>
              </w:tc>
            </w:tr>
            <w:tr w:rsidR="00253B4F" w:rsidRPr="00253B4F" w14:paraId="7841B738" w14:textId="77777777" w:rsidTr="0023414E">
              <w:trPr>
                <w:jc w:val="center"/>
              </w:trPr>
              <w:tc>
                <w:tcPr>
                  <w:tcW w:w="490" w:type="dxa"/>
                </w:tcPr>
                <w:p w14:paraId="64D7AAC3" w14:textId="77777777" w:rsidR="00C018F7" w:rsidRPr="00253B4F" w:rsidRDefault="00C018F7" w:rsidP="0023414E">
                  <w:pPr>
                    <w:pStyle w:val="Standaard-Tabellen"/>
                    <w:jc w:val="center"/>
                  </w:pPr>
                  <w:r w:rsidRPr="00253B4F">
                    <w:t>2h</w:t>
                  </w:r>
                </w:p>
              </w:tc>
              <w:tc>
                <w:tcPr>
                  <w:tcW w:w="1275" w:type="dxa"/>
                </w:tcPr>
                <w:p w14:paraId="40BEF174" w14:textId="77777777" w:rsidR="00C018F7" w:rsidRPr="00253B4F" w:rsidRDefault="00C018F7" w:rsidP="0023414E">
                  <w:pPr>
                    <w:pStyle w:val="Standaard-Tabellen"/>
                    <w:jc w:val="center"/>
                  </w:pPr>
                  <w:r w:rsidRPr="00253B4F">
                    <w:t>100%</w:t>
                  </w:r>
                </w:p>
              </w:tc>
            </w:tr>
            <w:tr w:rsidR="00253B4F" w:rsidRPr="00253B4F" w14:paraId="71B7E051" w14:textId="77777777" w:rsidTr="0023414E">
              <w:trPr>
                <w:jc w:val="center"/>
              </w:trPr>
              <w:tc>
                <w:tcPr>
                  <w:tcW w:w="490" w:type="dxa"/>
                </w:tcPr>
                <w:p w14:paraId="0C1ED582" w14:textId="77777777" w:rsidR="00C018F7" w:rsidRPr="00253B4F" w:rsidRDefault="00C018F7" w:rsidP="0023414E">
                  <w:pPr>
                    <w:pStyle w:val="Standaard-Tabellen"/>
                    <w:jc w:val="center"/>
                  </w:pPr>
                  <w:r w:rsidRPr="00253B4F">
                    <w:t>3h</w:t>
                  </w:r>
                </w:p>
              </w:tc>
              <w:tc>
                <w:tcPr>
                  <w:tcW w:w="1275" w:type="dxa"/>
                </w:tcPr>
                <w:p w14:paraId="15F1A0F0" w14:textId="77777777" w:rsidR="00C018F7" w:rsidRPr="00253B4F" w:rsidRDefault="00C018F7" w:rsidP="0023414E">
                  <w:pPr>
                    <w:pStyle w:val="Standaard-Tabellen"/>
                    <w:jc w:val="center"/>
                  </w:pPr>
                  <w:r w:rsidRPr="00253B4F">
                    <w:t>100%</w:t>
                  </w:r>
                </w:p>
              </w:tc>
            </w:tr>
            <w:tr w:rsidR="00253B4F" w:rsidRPr="00253B4F" w14:paraId="60606B64" w14:textId="77777777" w:rsidTr="0023414E">
              <w:trPr>
                <w:jc w:val="center"/>
              </w:trPr>
              <w:tc>
                <w:tcPr>
                  <w:tcW w:w="490" w:type="dxa"/>
                </w:tcPr>
                <w:p w14:paraId="3625680E" w14:textId="77777777" w:rsidR="00C018F7" w:rsidRPr="00253B4F" w:rsidRDefault="00C018F7" w:rsidP="0023414E">
                  <w:pPr>
                    <w:pStyle w:val="Standaard-Tabellen"/>
                    <w:jc w:val="center"/>
                  </w:pPr>
                  <w:r w:rsidRPr="00253B4F">
                    <w:t>4h</w:t>
                  </w:r>
                </w:p>
              </w:tc>
              <w:tc>
                <w:tcPr>
                  <w:tcW w:w="1275" w:type="dxa"/>
                </w:tcPr>
                <w:p w14:paraId="5415B8D3" w14:textId="77777777" w:rsidR="00C018F7" w:rsidRPr="00253B4F" w:rsidRDefault="00C018F7" w:rsidP="0023414E">
                  <w:pPr>
                    <w:pStyle w:val="Standaard-Tabellen"/>
                    <w:jc w:val="center"/>
                  </w:pPr>
                  <w:r w:rsidRPr="00253B4F">
                    <w:t>97%</w:t>
                  </w:r>
                </w:p>
              </w:tc>
            </w:tr>
            <w:tr w:rsidR="00253B4F" w:rsidRPr="00253B4F" w14:paraId="56CFB6DA" w14:textId="77777777" w:rsidTr="0023414E">
              <w:trPr>
                <w:jc w:val="center"/>
              </w:trPr>
              <w:tc>
                <w:tcPr>
                  <w:tcW w:w="490" w:type="dxa"/>
                </w:tcPr>
                <w:p w14:paraId="6E04B504" w14:textId="77777777" w:rsidR="00C018F7" w:rsidRPr="00253B4F" w:rsidRDefault="00C018F7" w:rsidP="0023414E">
                  <w:pPr>
                    <w:pStyle w:val="Standaard-Tabellen"/>
                    <w:jc w:val="center"/>
                  </w:pPr>
                  <w:r w:rsidRPr="00253B4F">
                    <w:t>5h</w:t>
                  </w:r>
                </w:p>
              </w:tc>
              <w:tc>
                <w:tcPr>
                  <w:tcW w:w="1275" w:type="dxa"/>
                </w:tcPr>
                <w:p w14:paraId="45A1448D" w14:textId="77777777" w:rsidR="00C018F7" w:rsidRPr="00253B4F" w:rsidRDefault="00C018F7" w:rsidP="0023414E">
                  <w:pPr>
                    <w:pStyle w:val="Standaard-Tabellen"/>
                    <w:jc w:val="center"/>
                  </w:pPr>
                  <w:r w:rsidRPr="00253B4F">
                    <w:t>95%</w:t>
                  </w:r>
                </w:p>
              </w:tc>
            </w:tr>
            <w:tr w:rsidR="00253B4F" w:rsidRPr="00253B4F" w14:paraId="2A30BC14" w14:textId="77777777" w:rsidTr="0023414E">
              <w:trPr>
                <w:jc w:val="center"/>
              </w:trPr>
              <w:tc>
                <w:tcPr>
                  <w:tcW w:w="490" w:type="dxa"/>
                </w:tcPr>
                <w:p w14:paraId="79A6BD08" w14:textId="77777777" w:rsidR="00C018F7" w:rsidRPr="00253B4F" w:rsidRDefault="00C018F7" w:rsidP="0023414E">
                  <w:pPr>
                    <w:pStyle w:val="Standaard-Tabellen"/>
                    <w:jc w:val="center"/>
                  </w:pPr>
                  <w:r w:rsidRPr="00253B4F">
                    <w:t>6h</w:t>
                  </w:r>
                </w:p>
              </w:tc>
              <w:tc>
                <w:tcPr>
                  <w:tcW w:w="1275" w:type="dxa"/>
                </w:tcPr>
                <w:p w14:paraId="0CAED512" w14:textId="77777777" w:rsidR="00C018F7" w:rsidRPr="00253B4F" w:rsidRDefault="00C018F7" w:rsidP="0023414E">
                  <w:pPr>
                    <w:pStyle w:val="Standaard-Tabellen"/>
                    <w:jc w:val="center"/>
                  </w:pPr>
                  <w:r w:rsidRPr="00253B4F">
                    <w:t>97%</w:t>
                  </w:r>
                </w:p>
              </w:tc>
            </w:tr>
            <w:tr w:rsidR="00253B4F" w:rsidRPr="00253B4F" w14:paraId="1B628114" w14:textId="77777777" w:rsidTr="0023414E">
              <w:trPr>
                <w:jc w:val="center"/>
              </w:trPr>
              <w:tc>
                <w:tcPr>
                  <w:tcW w:w="490" w:type="dxa"/>
                </w:tcPr>
                <w:p w14:paraId="2AAC0902" w14:textId="77777777" w:rsidR="00C018F7" w:rsidRPr="00253B4F" w:rsidRDefault="00C018F7" w:rsidP="0023414E">
                  <w:pPr>
                    <w:pStyle w:val="Standaard-Tabellen"/>
                    <w:jc w:val="center"/>
                  </w:pPr>
                  <w:r w:rsidRPr="00253B4F">
                    <w:t>7h</w:t>
                  </w:r>
                </w:p>
              </w:tc>
              <w:tc>
                <w:tcPr>
                  <w:tcW w:w="1275" w:type="dxa"/>
                </w:tcPr>
                <w:p w14:paraId="24E25EFB" w14:textId="77777777" w:rsidR="00C018F7" w:rsidRPr="00253B4F" w:rsidRDefault="00C018F7" w:rsidP="0023414E">
                  <w:pPr>
                    <w:pStyle w:val="Standaard-Tabellen"/>
                    <w:jc w:val="center"/>
                  </w:pPr>
                  <w:r w:rsidRPr="00253B4F">
                    <w:t>92%</w:t>
                  </w:r>
                </w:p>
              </w:tc>
            </w:tr>
            <w:tr w:rsidR="00253B4F" w:rsidRPr="00253B4F" w14:paraId="4F882116" w14:textId="77777777" w:rsidTr="0023414E">
              <w:trPr>
                <w:jc w:val="center"/>
              </w:trPr>
              <w:tc>
                <w:tcPr>
                  <w:tcW w:w="490" w:type="dxa"/>
                </w:tcPr>
                <w:p w14:paraId="2CFE9117" w14:textId="77777777" w:rsidR="00C018F7" w:rsidRPr="00253B4F" w:rsidRDefault="00C018F7" w:rsidP="0023414E">
                  <w:pPr>
                    <w:pStyle w:val="Standaard-Tabellen"/>
                    <w:jc w:val="center"/>
                  </w:pPr>
                  <w:r w:rsidRPr="00253B4F">
                    <w:t>8h</w:t>
                  </w:r>
                </w:p>
              </w:tc>
              <w:tc>
                <w:tcPr>
                  <w:tcW w:w="1275" w:type="dxa"/>
                </w:tcPr>
                <w:p w14:paraId="3D10FB5E" w14:textId="77777777" w:rsidR="00C018F7" w:rsidRPr="00253B4F" w:rsidRDefault="00C018F7" w:rsidP="0023414E">
                  <w:pPr>
                    <w:pStyle w:val="Standaard-Tabellen"/>
                    <w:jc w:val="center"/>
                  </w:pPr>
                  <w:r w:rsidRPr="00253B4F">
                    <w:t>88%</w:t>
                  </w:r>
                </w:p>
              </w:tc>
            </w:tr>
          </w:tbl>
          <w:p w14:paraId="346A1DF6" w14:textId="77777777" w:rsidR="00C018F7" w:rsidRPr="00253B4F" w:rsidRDefault="00C018F7" w:rsidP="0023414E">
            <w:pPr>
              <w:pStyle w:val="Standaard-Tabellen"/>
            </w:pPr>
          </w:p>
          <w:p w14:paraId="15057955" w14:textId="44D9E262" w:rsidR="00C018F7" w:rsidRPr="00253B4F" w:rsidRDefault="00C018F7" w:rsidP="00836936">
            <w:pPr>
              <w:pStyle w:val="Standaard-Tabellen"/>
            </w:pPr>
            <w:r w:rsidRPr="00253B4F">
              <w:t>The product used at 1</w:t>
            </w:r>
            <w:r w:rsidRPr="00253B4F">
              <w:rPr>
                <w:rFonts w:ascii="Symbol" w:hAnsi="Symbol"/>
              </w:rPr>
              <w:t></w:t>
            </w:r>
            <w:r w:rsidRPr="00253B4F">
              <w:t>L BP/cm</w:t>
            </w:r>
            <w:r w:rsidRPr="00253B4F">
              <w:rPr>
                <w:vertAlign w:val="superscript"/>
              </w:rPr>
              <w:t xml:space="preserve">2 </w:t>
            </w:r>
            <w:r w:rsidRPr="00253B4F">
              <w:t>(0.001 mL BP/cm</w:t>
            </w:r>
            <w:r w:rsidRPr="00253B4F">
              <w:rPr>
                <w:vertAlign w:val="superscript"/>
              </w:rPr>
              <w:t>2</w:t>
            </w:r>
            <w:r w:rsidRPr="00253B4F">
              <w:t xml:space="preserve"> or 0.0001 mL A.I./cm</w:t>
            </w:r>
            <w:r w:rsidRPr="00253B4F">
              <w:rPr>
                <w:vertAlign w:val="superscript"/>
              </w:rPr>
              <w:t>2</w:t>
            </w:r>
            <w:r w:rsidRPr="00253B4F">
              <w:t xml:space="preserve">) is efficacious to repel ticks up to </w:t>
            </w:r>
            <w:r w:rsidR="00A82975">
              <w:t xml:space="preserve">7  </w:t>
            </w:r>
            <w:r w:rsidR="00836936" w:rsidRPr="00253B4F">
              <w:t>h*</w:t>
            </w:r>
          </w:p>
          <w:p w14:paraId="0E0C68A8" w14:textId="77777777" w:rsidR="00836936" w:rsidRPr="00253B4F" w:rsidRDefault="00836936" w:rsidP="00836936">
            <w:pPr>
              <w:pStyle w:val="Standaard-Tabellen"/>
            </w:pPr>
          </w:p>
          <w:p w14:paraId="660C3F74" w14:textId="6AB69B7D" w:rsidR="00836936" w:rsidRPr="00253B4F" w:rsidRDefault="00836936" w:rsidP="00836936">
            <w:pPr>
              <w:pStyle w:val="Standaard-Tabellen"/>
            </w:pPr>
          </w:p>
        </w:tc>
        <w:tc>
          <w:tcPr>
            <w:tcW w:w="487" w:type="pct"/>
          </w:tcPr>
          <w:p w14:paraId="47CA4289" w14:textId="73617496" w:rsidR="00A93E0A" w:rsidRPr="00253B4F" w:rsidRDefault="00A93E0A" w:rsidP="0023414E">
            <w:pPr>
              <w:pStyle w:val="Standaard-Tabellen"/>
              <w:rPr>
                <w:b/>
                <w:iCs/>
                <w:lang w:val="nl-BE"/>
              </w:rPr>
            </w:pPr>
            <w:proofErr w:type="spellStart"/>
            <w:r w:rsidRPr="00253B4F">
              <w:rPr>
                <w:b/>
                <w:iCs/>
                <w:lang w:val="nl-BE"/>
              </w:rPr>
              <w:t>Büchel</w:t>
            </w:r>
            <w:proofErr w:type="spellEnd"/>
            <w:r w:rsidRPr="00253B4F">
              <w:rPr>
                <w:b/>
                <w:iCs/>
                <w:lang w:val="nl-BE"/>
              </w:rPr>
              <w:t xml:space="preserve"> K. (2017)</w:t>
            </w:r>
          </w:p>
          <w:p w14:paraId="35675B3C" w14:textId="77777777" w:rsidR="00A93E0A" w:rsidRPr="00253B4F" w:rsidRDefault="00A93E0A" w:rsidP="0023414E">
            <w:pPr>
              <w:pStyle w:val="Standaard-Tabellen"/>
              <w:rPr>
                <w:b/>
                <w:iCs/>
                <w:lang w:val="nl-BE"/>
              </w:rPr>
            </w:pPr>
          </w:p>
          <w:p w14:paraId="7EEB4437" w14:textId="77777777" w:rsidR="00C018F7" w:rsidRPr="00253B4F" w:rsidRDefault="00C018F7" w:rsidP="0023414E">
            <w:pPr>
              <w:pStyle w:val="Standaard-Tabellen"/>
              <w:rPr>
                <w:b/>
                <w:iCs/>
                <w:lang w:val="nl-NL"/>
              </w:rPr>
            </w:pPr>
            <w:r w:rsidRPr="00253B4F">
              <w:rPr>
                <w:b/>
                <w:iCs/>
                <w:lang w:val="nl-NL"/>
              </w:rPr>
              <w:t>IUCLID Document “ede87fed-55aa-4327-bf68-f884ee68fb3d”</w:t>
            </w:r>
          </w:p>
          <w:p w14:paraId="22A4F495" w14:textId="77777777" w:rsidR="00C018F7" w:rsidRPr="00253B4F" w:rsidRDefault="00C018F7" w:rsidP="0023414E">
            <w:pPr>
              <w:pStyle w:val="Standaard-Tabellen"/>
              <w:rPr>
                <w:b/>
                <w:iCs/>
                <w:lang w:val="nl-NL"/>
              </w:rPr>
            </w:pPr>
          </w:p>
          <w:p w14:paraId="2D47C2AF" w14:textId="77777777" w:rsidR="00C018F7" w:rsidRPr="00253B4F" w:rsidRDefault="00C018F7" w:rsidP="0023414E">
            <w:pPr>
              <w:pStyle w:val="Standaard-Tabellen"/>
              <w:rPr>
                <w:b/>
                <w:iCs/>
                <w:lang w:val="en-US"/>
              </w:rPr>
            </w:pPr>
            <w:r w:rsidRPr="00253B4F">
              <w:rPr>
                <w:b/>
                <w:iCs/>
                <w:lang w:val="en-US"/>
              </w:rPr>
              <w:t>Report N°</w:t>
            </w:r>
            <w:r w:rsidRPr="00253B4F">
              <w:t xml:space="preserve"> </w:t>
            </w:r>
            <w:r w:rsidRPr="00253B4F">
              <w:rPr>
                <w:b/>
                <w:iCs/>
                <w:lang w:val="en-US"/>
              </w:rPr>
              <w:t>ME_IR_0117a_01 Lotion</w:t>
            </w:r>
          </w:p>
          <w:p w14:paraId="35048326" w14:textId="77777777" w:rsidR="00C018F7" w:rsidRPr="00253B4F" w:rsidRDefault="00C018F7" w:rsidP="0023414E">
            <w:pPr>
              <w:pStyle w:val="Standaard-Tabellen"/>
              <w:rPr>
                <w:iCs/>
                <w:lang w:val="en-US"/>
              </w:rPr>
            </w:pPr>
            <w:r w:rsidRPr="00253B4F">
              <w:rPr>
                <w:iCs/>
                <w:lang w:val="en-US"/>
              </w:rPr>
              <w:t xml:space="preserve">“Evaluation of the repellent efficacy of Insect Repellent Lotion IR3535 10% (1.0 </w:t>
            </w:r>
            <w:proofErr w:type="spellStart"/>
            <w:r w:rsidRPr="00253B4F">
              <w:rPr>
                <w:iCs/>
                <w:lang w:val="en-US"/>
              </w:rPr>
              <w:t>μl</w:t>
            </w:r>
            <w:proofErr w:type="spellEnd"/>
            <w:r w:rsidRPr="00253B4F">
              <w:rPr>
                <w:iCs/>
                <w:lang w:val="en-US"/>
              </w:rPr>
              <w:t>/cm</w:t>
            </w:r>
            <w:r w:rsidRPr="00253B4F">
              <w:rPr>
                <w:iCs/>
                <w:vertAlign w:val="superscript"/>
                <w:lang w:val="en-US"/>
              </w:rPr>
              <w:t>2</w:t>
            </w:r>
            <w:r w:rsidRPr="00253B4F">
              <w:rPr>
                <w:iCs/>
                <w:lang w:val="en-US"/>
              </w:rPr>
              <w:t xml:space="preserve">) against the European Sheep Tick </w:t>
            </w:r>
            <w:r w:rsidRPr="00253B4F">
              <w:rPr>
                <w:i/>
                <w:iCs/>
                <w:lang w:val="en-US"/>
              </w:rPr>
              <w:t xml:space="preserve">Ixodes </w:t>
            </w:r>
            <w:proofErr w:type="spellStart"/>
            <w:r w:rsidRPr="00253B4F">
              <w:rPr>
                <w:i/>
                <w:iCs/>
                <w:lang w:val="en-US"/>
              </w:rPr>
              <w:t>ricinus</w:t>
            </w:r>
            <w:proofErr w:type="spellEnd"/>
            <w:r w:rsidRPr="00253B4F">
              <w:rPr>
                <w:iCs/>
                <w:lang w:val="en-US"/>
              </w:rPr>
              <w:t xml:space="preserve"> on </w:t>
            </w:r>
            <w:r w:rsidRPr="00253B4F">
              <w:rPr>
                <w:iCs/>
                <w:lang w:val="en-US"/>
              </w:rPr>
              <w:lastRenderedPageBreak/>
              <w:t>human volunteers”</w:t>
            </w:r>
          </w:p>
          <w:p w14:paraId="09281EE7" w14:textId="77777777" w:rsidR="00C018F7" w:rsidRPr="00253B4F" w:rsidRDefault="00C018F7" w:rsidP="0023414E">
            <w:pPr>
              <w:pStyle w:val="Standaard-Tabellen"/>
              <w:rPr>
                <w:iCs/>
                <w:lang w:val="en-US"/>
              </w:rPr>
            </w:pPr>
          </w:p>
          <w:p w14:paraId="63362C14" w14:textId="77777777" w:rsidR="00C018F7" w:rsidRPr="00253B4F" w:rsidRDefault="00C018F7" w:rsidP="0023414E">
            <w:pPr>
              <w:pStyle w:val="Standaard-Tabellen"/>
              <w:jc w:val="center"/>
              <w:rPr>
                <w:b/>
              </w:rPr>
            </w:pPr>
            <w:r w:rsidRPr="00253B4F">
              <w:rPr>
                <w:b/>
              </w:rPr>
              <w:t>R.1</w:t>
            </w:r>
          </w:p>
          <w:p w14:paraId="3045E2E5" w14:textId="77777777" w:rsidR="00C018F7" w:rsidRPr="00253B4F" w:rsidRDefault="00C018F7" w:rsidP="0023414E">
            <w:pPr>
              <w:pStyle w:val="Standaard-Tabellen"/>
              <w:jc w:val="center"/>
              <w:rPr>
                <w:iCs/>
                <w:lang w:val="en-US"/>
              </w:rPr>
            </w:pPr>
            <w:r w:rsidRPr="00253B4F">
              <w:rPr>
                <w:b/>
              </w:rPr>
              <w:t>Key study</w:t>
            </w:r>
          </w:p>
        </w:tc>
      </w:tr>
      <w:tr w:rsidR="00C018F7" w:rsidRPr="00BD2EF1" w14:paraId="0C592BE7" w14:textId="77777777" w:rsidTr="0023414E">
        <w:tc>
          <w:tcPr>
            <w:tcW w:w="536" w:type="pct"/>
          </w:tcPr>
          <w:p w14:paraId="13BEE9F5" w14:textId="77777777" w:rsidR="00C018F7" w:rsidRPr="00191D86" w:rsidRDefault="00C018F7" w:rsidP="0023414E">
            <w:pPr>
              <w:pStyle w:val="Standaard-Tabellen"/>
              <w:rPr>
                <w:b/>
                <w:i/>
              </w:rPr>
            </w:pPr>
            <w:r w:rsidRPr="00191D86">
              <w:rPr>
                <w:b/>
                <w:i/>
              </w:rPr>
              <w:lastRenderedPageBreak/>
              <w:t>PT19</w:t>
            </w:r>
          </w:p>
          <w:p w14:paraId="1E222270" w14:textId="77777777" w:rsidR="00C018F7" w:rsidRPr="00191D86" w:rsidRDefault="00C018F7" w:rsidP="0023414E">
            <w:pPr>
              <w:pStyle w:val="Standaard-Tabellen"/>
              <w:rPr>
                <w:b/>
                <w:i/>
              </w:rPr>
            </w:pPr>
            <w:r w:rsidRPr="00191D86">
              <w:rPr>
                <w:b/>
                <w:i/>
              </w:rPr>
              <w:t>Repellent</w:t>
            </w:r>
          </w:p>
          <w:p w14:paraId="1E8FF2A3" w14:textId="77777777" w:rsidR="00C018F7" w:rsidRPr="00191D86" w:rsidRDefault="00C018F7" w:rsidP="0023414E">
            <w:pPr>
              <w:pStyle w:val="Standaard-Tabellen"/>
              <w:rPr>
                <w:b/>
                <w:i/>
              </w:rPr>
            </w:pPr>
          </w:p>
        </w:tc>
        <w:tc>
          <w:tcPr>
            <w:tcW w:w="617" w:type="pct"/>
          </w:tcPr>
          <w:p w14:paraId="135C29CA"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51BBE44D" w14:textId="77777777" w:rsidR="00C018F7" w:rsidRPr="00764794" w:rsidRDefault="00C018F7" w:rsidP="0023414E">
            <w:pPr>
              <w:pStyle w:val="Standaard-Tabellen"/>
              <w:rPr>
                <w:lang w:val="en-US"/>
              </w:rPr>
            </w:pPr>
            <w:r w:rsidRPr="00C069CF">
              <w:rPr>
                <w:lang w:val="en-US"/>
              </w:rPr>
              <w:t>- Applied on uncovered human skin</w:t>
            </w:r>
          </w:p>
        </w:tc>
        <w:tc>
          <w:tcPr>
            <w:tcW w:w="616" w:type="pct"/>
          </w:tcPr>
          <w:p w14:paraId="30324779" w14:textId="77777777" w:rsidR="00C018F7" w:rsidRDefault="00C018F7" w:rsidP="0023414E">
            <w:pPr>
              <w:pStyle w:val="Standaard-Tabellen"/>
              <w:rPr>
                <w:lang w:val="fr-BE"/>
              </w:rPr>
            </w:pPr>
            <w:proofErr w:type="spellStart"/>
            <w:r w:rsidRPr="00B96867">
              <w:rPr>
                <w:lang w:val="fr-BE"/>
              </w:rPr>
              <w:t>Insect</w:t>
            </w:r>
            <w:proofErr w:type="spellEnd"/>
            <w:r w:rsidRPr="00B96867">
              <w:rPr>
                <w:lang w:val="fr-BE"/>
              </w:rPr>
              <w:t xml:space="preserve"> Repellent Lotion IR3535 10% (</w:t>
            </w:r>
            <w:proofErr w:type="spellStart"/>
            <w:r w:rsidRPr="00B96867">
              <w:rPr>
                <w:lang w:val="fr-BE"/>
              </w:rPr>
              <w:t>liquid</w:t>
            </w:r>
            <w:proofErr w:type="spellEnd"/>
            <w:r w:rsidRPr="00B96867">
              <w:rPr>
                <w:lang w:val="fr-BE"/>
              </w:rPr>
              <w:t>, 10% IR3535)</w:t>
            </w:r>
          </w:p>
          <w:p w14:paraId="13ECBD35" w14:textId="77777777" w:rsidR="00C018F7" w:rsidRPr="00B96867" w:rsidRDefault="00C018F7" w:rsidP="0023414E">
            <w:pPr>
              <w:pStyle w:val="Standaard-Tabellen"/>
              <w:rPr>
                <w:lang w:val="fr-BE"/>
              </w:rPr>
            </w:pPr>
          </w:p>
          <w:p w14:paraId="7C236255" w14:textId="77777777" w:rsidR="00C018F7" w:rsidRPr="00B96867" w:rsidRDefault="00C018F7" w:rsidP="0023414E">
            <w:pPr>
              <w:pStyle w:val="Standaard-Tabellen"/>
            </w:pPr>
            <w:r w:rsidRPr="00B96867">
              <w:t>With composition of the formulation provided at the end of the efficacy test report.</w:t>
            </w:r>
          </w:p>
          <w:p w14:paraId="74804D0A" w14:textId="77777777" w:rsidR="00C018F7" w:rsidRPr="00B96867" w:rsidRDefault="00C018F7" w:rsidP="0023414E">
            <w:pPr>
              <w:pStyle w:val="Standaard-Tabellen"/>
            </w:pPr>
          </w:p>
        </w:tc>
        <w:tc>
          <w:tcPr>
            <w:tcW w:w="736" w:type="pct"/>
          </w:tcPr>
          <w:p w14:paraId="791863B4" w14:textId="77777777" w:rsidR="00C018F7" w:rsidRPr="00191D86" w:rsidRDefault="00C018F7" w:rsidP="0023414E">
            <w:pPr>
              <w:pStyle w:val="Standaard-Tabellen"/>
              <w:rPr>
                <w:b/>
              </w:rPr>
            </w:pPr>
            <w:r w:rsidRPr="00191D86">
              <w:rPr>
                <w:b/>
              </w:rPr>
              <w:t>TICKS</w:t>
            </w:r>
          </w:p>
          <w:p w14:paraId="37B5DFF6" w14:textId="77777777" w:rsidR="00C018F7" w:rsidRPr="00764794" w:rsidRDefault="00C018F7" w:rsidP="0023414E">
            <w:pPr>
              <w:pStyle w:val="Standaard-Tabellen"/>
              <w:rPr>
                <w:i/>
              </w:rPr>
            </w:pPr>
            <w:r w:rsidRPr="0086726F">
              <w:rPr>
                <w:i/>
              </w:rPr>
              <w:t xml:space="preserve">Ixodes </w:t>
            </w:r>
            <w:proofErr w:type="spellStart"/>
            <w:r w:rsidRPr="0086726F">
              <w:rPr>
                <w:i/>
              </w:rPr>
              <w:t>ricinus</w:t>
            </w:r>
            <w:proofErr w:type="spellEnd"/>
            <w:r w:rsidRPr="00C069CF">
              <w:t xml:space="preserve"> (</w:t>
            </w:r>
            <w:r>
              <w:t xml:space="preserve">EU sheep </w:t>
            </w:r>
            <w:r w:rsidRPr="00C069CF">
              <w:t>ticks) nymphs</w:t>
            </w:r>
          </w:p>
        </w:tc>
        <w:tc>
          <w:tcPr>
            <w:tcW w:w="481" w:type="pct"/>
          </w:tcPr>
          <w:p w14:paraId="575DA5AD" w14:textId="77777777" w:rsidR="00C018F7" w:rsidRDefault="00C018F7" w:rsidP="0023414E">
            <w:pPr>
              <w:pStyle w:val="Standaard-Tabellen"/>
              <w:rPr>
                <w:lang w:val="en-US"/>
              </w:rPr>
            </w:pPr>
            <w:r>
              <w:rPr>
                <w:lang w:val="en-US"/>
              </w:rPr>
              <w:t>Lab study</w:t>
            </w:r>
          </w:p>
          <w:p w14:paraId="3EA9B85D" w14:textId="77777777" w:rsidR="00C018F7" w:rsidRPr="00890200" w:rsidRDefault="00C018F7" w:rsidP="0023414E">
            <w:pPr>
              <w:pStyle w:val="Standaard-Tabellen"/>
              <w:rPr>
                <w:lang w:val="en-US"/>
              </w:rPr>
            </w:pPr>
            <w:r>
              <w:rPr>
                <w:lang w:val="en-US"/>
              </w:rPr>
              <w:t xml:space="preserve">performed </w:t>
            </w:r>
            <w:r w:rsidRPr="00890200">
              <w:rPr>
                <w:lang w:val="en-US"/>
              </w:rPr>
              <w:t>according to</w:t>
            </w:r>
            <w:r>
              <w:rPr>
                <w:lang w:val="en-US"/>
              </w:rPr>
              <w:t xml:space="preserve"> the </w:t>
            </w:r>
            <w:r w:rsidRPr="00890200">
              <w:rPr>
                <w:lang w:val="en-US"/>
              </w:rPr>
              <w:t>EPA</w:t>
            </w:r>
            <w:r>
              <w:rPr>
                <w:lang w:val="en-US"/>
              </w:rPr>
              <w:t xml:space="preserve"> g</w:t>
            </w:r>
            <w:r w:rsidRPr="00890200">
              <w:rPr>
                <w:lang w:val="en-US"/>
              </w:rPr>
              <w:t>uideline</w:t>
            </w:r>
          </w:p>
          <w:p w14:paraId="10128B73" w14:textId="77777777" w:rsidR="00C018F7" w:rsidRPr="00C069CF" w:rsidRDefault="00C018F7" w:rsidP="0023414E">
            <w:pPr>
              <w:pStyle w:val="Standaard-Tabellen"/>
              <w:rPr>
                <w:lang w:val="en-US"/>
              </w:rPr>
            </w:pPr>
            <w:r w:rsidRPr="00890200">
              <w:rPr>
                <w:lang w:val="en-US"/>
              </w:rPr>
              <w:t>OPPTS 810.3700</w:t>
            </w:r>
          </w:p>
        </w:tc>
        <w:tc>
          <w:tcPr>
            <w:tcW w:w="652" w:type="pct"/>
          </w:tcPr>
          <w:p w14:paraId="327C6F14" w14:textId="77777777" w:rsidR="00C018F7" w:rsidRPr="00C069CF" w:rsidRDefault="00C018F7" w:rsidP="0023414E">
            <w:pPr>
              <w:pStyle w:val="Standaard-Tabellen"/>
            </w:pPr>
            <w:r w:rsidRPr="00C069CF">
              <w:t xml:space="preserve">- with </w:t>
            </w:r>
            <w:r>
              <w:t>10</w:t>
            </w:r>
            <w:r w:rsidRPr="00C069CF">
              <w:t xml:space="preserve"> volunteers</w:t>
            </w:r>
          </w:p>
          <w:p w14:paraId="6ABE23DC" w14:textId="77777777" w:rsidR="00C018F7" w:rsidRPr="00C069CF" w:rsidRDefault="00C018F7" w:rsidP="0023414E">
            <w:pPr>
              <w:pStyle w:val="Standaard-Tabellen"/>
            </w:pPr>
            <w:r w:rsidRPr="00C069CF">
              <w:t xml:space="preserve">- </w:t>
            </w:r>
            <w:r>
              <w:t>Application rate : 0.72</w:t>
            </w:r>
            <w:r w:rsidRPr="00764794">
              <w:rPr>
                <w:rFonts w:ascii="Symbol" w:hAnsi="Symbol"/>
              </w:rPr>
              <w:t></w:t>
            </w:r>
            <w:r>
              <w:t>L BP</w:t>
            </w:r>
            <w:r w:rsidRPr="00C069CF">
              <w:t>/cm</w:t>
            </w:r>
            <w:r w:rsidRPr="00C069CF">
              <w:rPr>
                <w:vertAlign w:val="superscript"/>
              </w:rPr>
              <w:t>2</w:t>
            </w:r>
            <w:r w:rsidRPr="00C069CF">
              <w:t xml:space="preserve"> </w:t>
            </w:r>
          </w:p>
          <w:p w14:paraId="1B72A7B5" w14:textId="77777777" w:rsidR="00C018F7" w:rsidRDefault="00C018F7" w:rsidP="0023414E">
            <w:pPr>
              <w:pStyle w:val="Standaard-Tabellen"/>
            </w:pPr>
            <w:r w:rsidRPr="00C069CF">
              <w:t xml:space="preserve">- </w:t>
            </w:r>
            <w:r>
              <w:t xml:space="preserve">5 min exposure time </w:t>
            </w:r>
            <w:r w:rsidRPr="00C069CF">
              <w:t>until</w:t>
            </w:r>
            <w:r>
              <w:t xml:space="preserve"> 8</w:t>
            </w:r>
            <w:r w:rsidRPr="00C069CF">
              <w:t xml:space="preserve"> hours</w:t>
            </w:r>
          </w:p>
          <w:p w14:paraId="18989D1A" w14:textId="77777777" w:rsidR="00C018F7" w:rsidRDefault="00C018F7" w:rsidP="0023414E">
            <w:pPr>
              <w:pStyle w:val="Standaard-Tabellen"/>
            </w:pPr>
            <w:r w:rsidRPr="00C069CF">
              <w:t>- “normal” climatic conditions for temperate areas (+</w:t>
            </w:r>
            <w:r>
              <w:t>22.8</w:t>
            </w:r>
            <w:r w:rsidRPr="00C069CF">
              <w:t xml:space="preserve">°C ; </w:t>
            </w:r>
            <w:r>
              <w:t>48.3</w:t>
            </w:r>
            <w:r w:rsidRPr="00C069CF">
              <w:t xml:space="preserve">% </w:t>
            </w:r>
            <w:r>
              <w:t>H</w:t>
            </w:r>
            <w:r w:rsidRPr="002C4257">
              <w:rPr>
                <w:vertAlign w:val="subscript"/>
              </w:rPr>
              <w:t>R</w:t>
            </w:r>
            <w:r w:rsidRPr="00C069CF">
              <w:t>)</w:t>
            </w:r>
          </w:p>
          <w:p w14:paraId="31CFB9D3" w14:textId="77777777" w:rsidR="00C018F7" w:rsidRPr="00605379" w:rsidRDefault="00C018F7" w:rsidP="0023414E">
            <w:pPr>
              <w:pStyle w:val="Standaard-Tabellen"/>
              <w:rPr>
                <w:lang w:val="en-US"/>
              </w:rPr>
            </w:pPr>
          </w:p>
        </w:tc>
        <w:tc>
          <w:tcPr>
            <w:tcW w:w="875" w:type="pct"/>
          </w:tcPr>
          <w:p w14:paraId="0918A328" w14:textId="77777777" w:rsidR="00C018F7" w:rsidRDefault="00C018F7" w:rsidP="0023414E">
            <w:pPr>
              <w:pStyle w:val="Standaard-Tabellen"/>
            </w:pPr>
          </w:p>
          <w:p w14:paraId="1137DE4C" w14:textId="77777777" w:rsidR="00C018F7" w:rsidRDefault="00C018F7" w:rsidP="0023414E">
            <w:pPr>
              <w:pStyle w:val="Standaard-Tabellen"/>
            </w:pPr>
            <w:r>
              <w:t>Repellence over time :</w:t>
            </w:r>
          </w:p>
          <w:tbl>
            <w:tblPr>
              <w:tblW w:w="0" w:type="auto"/>
              <w:jc w:val="center"/>
              <w:tblLayout w:type="fixed"/>
              <w:tblLook w:val="04A0" w:firstRow="1" w:lastRow="0" w:firstColumn="1" w:lastColumn="0" w:noHBand="0" w:noVBand="1"/>
            </w:tblPr>
            <w:tblGrid>
              <w:gridCol w:w="490"/>
              <w:gridCol w:w="1275"/>
            </w:tblGrid>
            <w:tr w:rsidR="00C018F7" w14:paraId="27538BA5" w14:textId="77777777" w:rsidTr="0023414E">
              <w:trPr>
                <w:jc w:val="center"/>
              </w:trPr>
              <w:tc>
                <w:tcPr>
                  <w:tcW w:w="490" w:type="dxa"/>
                </w:tcPr>
                <w:p w14:paraId="2757B5E5" w14:textId="77777777" w:rsidR="00C018F7" w:rsidRDefault="00C018F7" w:rsidP="0023414E">
                  <w:pPr>
                    <w:pStyle w:val="Standaard-Tabellen"/>
                  </w:pPr>
                  <w:r>
                    <w:t>0h</w:t>
                  </w:r>
                </w:p>
              </w:tc>
              <w:tc>
                <w:tcPr>
                  <w:tcW w:w="1275" w:type="dxa"/>
                </w:tcPr>
                <w:p w14:paraId="6AE9D314" w14:textId="77777777" w:rsidR="00C018F7" w:rsidRDefault="00C018F7" w:rsidP="0023414E">
                  <w:pPr>
                    <w:pStyle w:val="Standaard-Tabellen"/>
                  </w:pPr>
                  <w:r>
                    <w:t>Application</w:t>
                  </w:r>
                </w:p>
              </w:tc>
            </w:tr>
            <w:tr w:rsidR="00C018F7" w14:paraId="1B537D3F" w14:textId="77777777" w:rsidTr="0023414E">
              <w:trPr>
                <w:jc w:val="center"/>
              </w:trPr>
              <w:tc>
                <w:tcPr>
                  <w:tcW w:w="490" w:type="dxa"/>
                </w:tcPr>
                <w:p w14:paraId="4B2109A4" w14:textId="77777777" w:rsidR="00C018F7" w:rsidRDefault="00C018F7" w:rsidP="0023414E">
                  <w:pPr>
                    <w:pStyle w:val="Standaard-Tabellen"/>
                  </w:pPr>
                  <w:r>
                    <w:t>1h</w:t>
                  </w:r>
                </w:p>
              </w:tc>
              <w:tc>
                <w:tcPr>
                  <w:tcW w:w="1275" w:type="dxa"/>
                </w:tcPr>
                <w:p w14:paraId="4D7BA41B" w14:textId="77777777" w:rsidR="00C018F7" w:rsidRDefault="00C018F7" w:rsidP="0023414E">
                  <w:pPr>
                    <w:pStyle w:val="Standaard-Tabellen"/>
                    <w:jc w:val="center"/>
                  </w:pPr>
                  <w:r>
                    <w:t>100%</w:t>
                  </w:r>
                </w:p>
              </w:tc>
            </w:tr>
            <w:tr w:rsidR="00C018F7" w14:paraId="3FF955A6" w14:textId="77777777" w:rsidTr="0023414E">
              <w:trPr>
                <w:jc w:val="center"/>
              </w:trPr>
              <w:tc>
                <w:tcPr>
                  <w:tcW w:w="490" w:type="dxa"/>
                </w:tcPr>
                <w:p w14:paraId="6CF8A0C4" w14:textId="77777777" w:rsidR="00C018F7" w:rsidRDefault="00C018F7" w:rsidP="0023414E">
                  <w:pPr>
                    <w:pStyle w:val="Standaard-Tabellen"/>
                  </w:pPr>
                  <w:r>
                    <w:t>2h</w:t>
                  </w:r>
                </w:p>
              </w:tc>
              <w:tc>
                <w:tcPr>
                  <w:tcW w:w="1275" w:type="dxa"/>
                </w:tcPr>
                <w:p w14:paraId="193C78F7" w14:textId="77777777" w:rsidR="00C018F7" w:rsidRDefault="00C018F7" w:rsidP="0023414E">
                  <w:pPr>
                    <w:pStyle w:val="Standaard-Tabellen"/>
                    <w:jc w:val="center"/>
                  </w:pPr>
                  <w:r>
                    <w:t>98%</w:t>
                  </w:r>
                </w:p>
              </w:tc>
            </w:tr>
            <w:tr w:rsidR="00C018F7" w14:paraId="3C3F2113" w14:textId="77777777" w:rsidTr="0023414E">
              <w:trPr>
                <w:jc w:val="center"/>
              </w:trPr>
              <w:tc>
                <w:tcPr>
                  <w:tcW w:w="490" w:type="dxa"/>
                </w:tcPr>
                <w:p w14:paraId="5B57AACD" w14:textId="77777777" w:rsidR="00C018F7" w:rsidRDefault="00C018F7" w:rsidP="0023414E">
                  <w:pPr>
                    <w:pStyle w:val="Standaard-Tabellen"/>
                  </w:pPr>
                  <w:r>
                    <w:t>3h</w:t>
                  </w:r>
                </w:p>
              </w:tc>
              <w:tc>
                <w:tcPr>
                  <w:tcW w:w="1275" w:type="dxa"/>
                </w:tcPr>
                <w:p w14:paraId="4D407115" w14:textId="77777777" w:rsidR="00C018F7" w:rsidRDefault="00C018F7" w:rsidP="0023414E">
                  <w:pPr>
                    <w:pStyle w:val="Standaard-Tabellen"/>
                    <w:jc w:val="center"/>
                  </w:pPr>
                  <w:r>
                    <w:t>93%</w:t>
                  </w:r>
                </w:p>
              </w:tc>
            </w:tr>
            <w:tr w:rsidR="00C018F7" w14:paraId="370861B5" w14:textId="77777777" w:rsidTr="0023414E">
              <w:trPr>
                <w:jc w:val="center"/>
              </w:trPr>
              <w:tc>
                <w:tcPr>
                  <w:tcW w:w="490" w:type="dxa"/>
                </w:tcPr>
                <w:p w14:paraId="5CE4A5B3" w14:textId="77777777" w:rsidR="00C018F7" w:rsidRDefault="00C018F7" w:rsidP="0023414E">
                  <w:pPr>
                    <w:pStyle w:val="Standaard-Tabellen"/>
                  </w:pPr>
                  <w:r>
                    <w:t>4h</w:t>
                  </w:r>
                </w:p>
              </w:tc>
              <w:tc>
                <w:tcPr>
                  <w:tcW w:w="1275" w:type="dxa"/>
                </w:tcPr>
                <w:p w14:paraId="4AB5AF06" w14:textId="77777777" w:rsidR="00C018F7" w:rsidRDefault="00C018F7" w:rsidP="0023414E">
                  <w:pPr>
                    <w:pStyle w:val="Standaard-Tabellen"/>
                    <w:jc w:val="center"/>
                  </w:pPr>
                  <w:r>
                    <w:t>95%</w:t>
                  </w:r>
                </w:p>
              </w:tc>
            </w:tr>
            <w:tr w:rsidR="00C018F7" w14:paraId="19BF2A71" w14:textId="77777777" w:rsidTr="0023414E">
              <w:trPr>
                <w:jc w:val="center"/>
              </w:trPr>
              <w:tc>
                <w:tcPr>
                  <w:tcW w:w="490" w:type="dxa"/>
                </w:tcPr>
                <w:p w14:paraId="57991F24" w14:textId="77777777" w:rsidR="00C018F7" w:rsidRDefault="00C018F7" w:rsidP="0023414E">
                  <w:pPr>
                    <w:pStyle w:val="Standaard-Tabellen"/>
                  </w:pPr>
                  <w:r>
                    <w:t>5h</w:t>
                  </w:r>
                </w:p>
              </w:tc>
              <w:tc>
                <w:tcPr>
                  <w:tcW w:w="1275" w:type="dxa"/>
                </w:tcPr>
                <w:p w14:paraId="284C7F5F" w14:textId="77777777" w:rsidR="00C018F7" w:rsidRDefault="00C018F7" w:rsidP="0023414E">
                  <w:pPr>
                    <w:pStyle w:val="Standaard-Tabellen"/>
                    <w:jc w:val="center"/>
                  </w:pPr>
                  <w:r>
                    <w:t>88%</w:t>
                  </w:r>
                </w:p>
              </w:tc>
            </w:tr>
            <w:tr w:rsidR="00C018F7" w14:paraId="28935202" w14:textId="77777777" w:rsidTr="0023414E">
              <w:trPr>
                <w:jc w:val="center"/>
              </w:trPr>
              <w:tc>
                <w:tcPr>
                  <w:tcW w:w="490" w:type="dxa"/>
                </w:tcPr>
                <w:p w14:paraId="55CBFD1A" w14:textId="77777777" w:rsidR="00C018F7" w:rsidRDefault="00C018F7" w:rsidP="0023414E">
                  <w:pPr>
                    <w:pStyle w:val="Standaard-Tabellen"/>
                  </w:pPr>
                  <w:r>
                    <w:t>6h</w:t>
                  </w:r>
                </w:p>
              </w:tc>
              <w:tc>
                <w:tcPr>
                  <w:tcW w:w="1275" w:type="dxa"/>
                </w:tcPr>
                <w:p w14:paraId="0DB9B64D" w14:textId="77777777" w:rsidR="00C018F7" w:rsidRDefault="00C018F7" w:rsidP="0023414E">
                  <w:pPr>
                    <w:pStyle w:val="Standaard-Tabellen"/>
                    <w:jc w:val="center"/>
                  </w:pPr>
                  <w:r>
                    <w:t>88%</w:t>
                  </w:r>
                </w:p>
              </w:tc>
            </w:tr>
            <w:tr w:rsidR="00C018F7" w14:paraId="64B9634C" w14:textId="77777777" w:rsidTr="0023414E">
              <w:trPr>
                <w:jc w:val="center"/>
              </w:trPr>
              <w:tc>
                <w:tcPr>
                  <w:tcW w:w="490" w:type="dxa"/>
                </w:tcPr>
                <w:p w14:paraId="36BDECBF" w14:textId="77777777" w:rsidR="00C018F7" w:rsidRDefault="00C018F7" w:rsidP="0023414E">
                  <w:pPr>
                    <w:pStyle w:val="Standaard-Tabellen"/>
                  </w:pPr>
                  <w:r>
                    <w:t>7h</w:t>
                  </w:r>
                </w:p>
              </w:tc>
              <w:tc>
                <w:tcPr>
                  <w:tcW w:w="1275" w:type="dxa"/>
                </w:tcPr>
                <w:p w14:paraId="2F3022F2" w14:textId="77777777" w:rsidR="00C018F7" w:rsidRDefault="00C018F7" w:rsidP="0023414E">
                  <w:pPr>
                    <w:pStyle w:val="Standaard-Tabellen"/>
                    <w:jc w:val="center"/>
                  </w:pPr>
                  <w:r>
                    <w:t>93%</w:t>
                  </w:r>
                </w:p>
              </w:tc>
            </w:tr>
            <w:tr w:rsidR="00C018F7" w14:paraId="6F0CD303" w14:textId="77777777" w:rsidTr="0023414E">
              <w:trPr>
                <w:jc w:val="center"/>
              </w:trPr>
              <w:tc>
                <w:tcPr>
                  <w:tcW w:w="490" w:type="dxa"/>
                </w:tcPr>
                <w:p w14:paraId="37233C18" w14:textId="77777777" w:rsidR="00C018F7" w:rsidRDefault="00C018F7" w:rsidP="0023414E">
                  <w:pPr>
                    <w:pStyle w:val="Standaard-Tabellen"/>
                  </w:pPr>
                  <w:r>
                    <w:t>8h</w:t>
                  </w:r>
                </w:p>
              </w:tc>
              <w:tc>
                <w:tcPr>
                  <w:tcW w:w="1275" w:type="dxa"/>
                </w:tcPr>
                <w:p w14:paraId="5DC52442" w14:textId="77777777" w:rsidR="00C018F7" w:rsidRDefault="00C018F7" w:rsidP="0023414E">
                  <w:pPr>
                    <w:pStyle w:val="Standaard-Tabellen"/>
                    <w:jc w:val="center"/>
                  </w:pPr>
                  <w:r>
                    <w:t>78%</w:t>
                  </w:r>
                </w:p>
              </w:tc>
            </w:tr>
          </w:tbl>
          <w:p w14:paraId="5A080E87" w14:textId="77777777" w:rsidR="00C018F7" w:rsidRDefault="00C018F7" w:rsidP="0023414E">
            <w:pPr>
              <w:pStyle w:val="Standaard-Tabellen"/>
            </w:pPr>
          </w:p>
          <w:p w14:paraId="1370FE6E" w14:textId="04565CDA" w:rsidR="00C018F7" w:rsidRPr="00253B4F" w:rsidRDefault="00C018F7" w:rsidP="00CC4A95">
            <w:pPr>
              <w:pStyle w:val="Standaard-Tabellen"/>
            </w:pPr>
            <w:r w:rsidRPr="00253B4F">
              <w:t xml:space="preserve">The product used at 0.72 </w:t>
            </w:r>
            <w:r w:rsidRPr="00253B4F">
              <w:rPr>
                <w:rFonts w:ascii="Symbol" w:hAnsi="Symbol"/>
              </w:rPr>
              <w:t></w:t>
            </w:r>
            <w:r w:rsidRPr="00253B4F">
              <w:t>L BP/cm</w:t>
            </w:r>
            <w:r w:rsidRPr="00253B4F">
              <w:rPr>
                <w:vertAlign w:val="superscript"/>
              </w:rPr>
              <w:t xml:space="preserve">2 </w:t>
            </w:r>
            <w:r w:rsidRPr="00253B4F">
              <w:t>(0.00072 mL BP/cm</w:t>
            </w:r>
            <w:r w:rsidRPr="00253B4F">
              <w:rPr>
                <w:vertAlign w:val="superscript"/>
              </w:rPr>
              <w:t>2</w:t>
            </w:r>
            <w:r w:rsidRPr="00253B4F">
              <w:t xml:space="preserve"> or 0.000072 mL A.I./cm</w:t>
            </w:r>
            <w:r w:rsidRPr="00253B4F">
              <w:rPr>
                <w:vertAlign w:val="superscript"/>
              </w:rPr>
              <w:t>2</w:t>
            </w:r>
            <w:r w:rsidRPr="00253B4F">
              <w:t xml:space="preserve">) </w:t>
            </w:r>
            <w:r w:rsidRPr="00253B4F">
              <w:rPr>
                <w:vertAlign w:val="superscript"/>
              </w:rPr>
              <w:t xml:space="preserve"> </w:t>
            </w:r>
            <w:r w:rsidRPr="00253B4F">
              <w:t>is efficacious to repel ticks up to 4h.</w:t>
            </w:r>
          </w:p>
          <w:p w14:paraId="70DD72A9" w14:textId="77777777" w:rsidR="00CC4A95" w:rsidRPr="00253B4F" w:rsidRDefault="00CC4A95" w:rsidP="00CC4A95">
            <w:pPr>
              <w:pStyle w:val="Standaard-Tabellen"/>
            </w:pPr>
          </w:p>
          <w:p w14:paraId="02223560" w14:textId="51CC23EE" w:rsidR="00CC4A95" w:rsidRPr="008B200D" w:rsidRDefault="00CC4A95" w:rsidP="00CC4A95">
            <w:pPr>
              <w:pStyle w:val="Standaard-Tabellen"/>
              <w:rPr>
                <w:color w:val="0070C0"/>
              </w:rPr>
            </w:pPr>
            <w:r w:rsidRPr="00253B4F">
              <w:t>The efficacy assessed was 4 hours, 5 hours or 7 hours for 3 volunteers and ≥ 8 hours for the other 7 volunteers. Thus, the results are not clear enough to give a higher protection time.</w:t>
            </w:r>
          </w:p>
        </w:tc>
        <w:tc>
          <w:tcPr>
            <w:tcW w:w="487" w:type="pct"/>
          </w:tcPr>
          <w:p w14:paraId="5431C1F6" w14:textId="77777777" w:rsidR="00A93E0A" w:rsidRPr="00A93E0A" w:rsidRDefault="00A93E0A" w:rsidP="00A93E0A">
            <w:pPr>
              <w:pStyle w:val="Standaard-Tabellen"/>
              <w:rPr>
                <w:b/>
                <w:iCs/>
                <w:lang w:val="fr-BE"/>
              </w:rPr>
            </w:pPr>
            <w:proofErr w:type="spellStart"/>
            <w:r w:rsidRPr="00A93E0A">
              <w:rPr>
                <w:b/>
                <w:iCs/>
                <w:lang w:val="fr-BE"/>
              </w:rPr>
              <w:t>Büchel</w:t>
            </w:r>
            <w:proofErr w:type="spellEnd"/>
            <w:r w:rsidRPr="00A93E0A">
              <w:rPr>
                <w:b/>
                <w:iCs/>
                <w:lang w:val="fr-BE"/>
              </w:rPr>
              <w:t xml:space="preserve"> K. (2017)</w:t>
            </w:r>
          </w:p>
          <w:p w14:paraId="13EAEA8A" w14:textId="77777777" w:rsidR="00A93E0A" w:rsidRPr="00A93E0A" w:rsidRDefault="00A93E0A" w:rsidP="00A93E0A">
            <w:pPr>
              <w:pStyle w:val="Standaard-Tabellen"/>
              <w:rPr>
                <w:b/>
                <w:iCs/>
                <w:lang w:val="fr-BE"/>
              </w:rPr>
            </w:pPr>
          </w:p>
          <w:p w14:paraId="75665FAA" w14:textId="77777777" w:rsidR="00C018F7" w:rsidRPr="00FA042D" w:rsidRDefault="00C018F7" w:rsidP="0023414E">
            <w:pPr>
              <w:pStyle w:val="Standaard-Tabellen"/>
              <w:rPr>
                <w:b/>
                <w:iCs/>
                <w:lang w:val="fr-BE"/>
              </w:rPr>
            </w:pPr>
            <w:r w:rsidRPr="00FA042D">
              <w:rPr>
                <w:b/>
                <w:iCs/>
                <w:lang w:val="fr-BE"/>
              </w:rPr>
              <w:t>Document “c48bb01c-a30f-4f50-88dd-5d72d811460f”</w:t>
            </w:r>
          </w:p>
          <w:p w14:paraId="7370FB03" w14:textId="77777777" w:rsidR="00C018F7" w:rsidRPr="00FA042D" w:rsidRDefault="00C018F7" w:rsidP="0023414E">
            <w:pPr>
              <w:pStyle w:val="Standaard-Tabellen"/>
              <w:rPr>
                <w:b/>
                <w:iCs/>
                <w:lang w:val="fr-BE"/>
              </w:rPr>
            </w:pPr>
          </w:p>
          <w:p w14:paraId="505A9567" w14:textId="77777777" w:rsidR="00C018F7" w:rsidRDefault="00C018F7" w:rsidP="0023414E">
            <w:pPr>
              <w:pStyle w:val="Standaard-Tabellen"/>
              <w:rPr>
                <w:b/>
                <w:iCs/>
                <w:lang w:val="en-US"/>
              </w:rPr>
            </w:pPr>
            <w:r>
              <w:rPr>
                <w:b/>
                <w:iCs/>
                <w:lang w:val="en-US"/>
              </w:rPr>
              <w:t xml:space="preserve">Report N° </w:t>
            </w:r>
            <w:r w:rsidRPr="00605379">
              <w:rPr>
                <w:b/>
                <w:iCs/>
                <w:lang w:val="en-US"/>
              </w:rPr>
              <w:t>ME_IR_0117</w:t>
            </w:r>
            <w:r>
              <w:rPr>
                <w:b/>
                <w:iCs/>
                <w:lang w:val="en-US"/>
              </w:rPr>
              <w:t>b</w:t>
            </w:r>
            <w:r w:rsidRPr="00605379">
              <w:rPr>
                <w:b/>
                <w:iCs/>
                <w:lang w:val="en-US"/>
              </w:rPr>
              <w:t>_01 Lotion</w:t>
            </w:r>
          </w:p>
          <w:p w14:paraId="3E227F3D" w14:textId="77777777" w:rsidR="00C018F7" w:rsidRDefault="00C018F7" w:rsidP="0023414E">
            <w:pPr>
              <w:pStyle w:val="Standaard-Tabellen"/>
              <w:rPr>
                <w:iCs/>
                <w:lang w:val="en-US"/>
              </w:rPr>
            </w:pPr>
            <w:r w:rsidRPr="00605379">
              <w:rPr>
                <w:iCs/>
                <w:lang w:val="en-US"/>
              </w:rPr>
              <w:t xml:space="preserve">“Evaluation of the repellent efficacy of Insect Repellent Lotion </w:t>
            </w:r>
            <w:r>
              <w:rPr>
                <w:iCs/>
                <w:lang w:val="en-US"/>
              </w:rPr>
              <w:t xml:space="preserve">IR3535 10% (0.72 </w:t>
            </w:r>
            <w:proofErr w:type="spellStart"/>
            <w:r>
              <w:rPr>
                <w:iCs/>
                <w:lang w:val="en-US"/>
              </w:rPr>
              <w:t>μl</w:t>
            </w:r>
            <w:proofErr w:type="spellEnd"/>
            <w:r>
              <w:rPr>
                <w:iCs/>
                <w:lang w:val="en-US"/>
              </w:rPr>
              <w:t>/cm</w:t>
            </w:r>
            <w:r w:rsidRPr="00605379">
              <w:rPr>
                <w:iCs/>
                <w:vertAlign w:val="superscript"/>
                <w:lang w:val="en-US"/>
              </w:rPr>
              <w:t>2</w:t>
            </w:r>
            <w:r>
              <w:rPr>
                <w:iCs/>
                <w:lang w:val="en-US"/>
              </w:rPr>
              <w:t xml:space="preserve">) </w:t>
            </w:r>
            <w:r w:rsidRPr="00605379">
              <w:rPr>
                <w:iCs/>
                <w:lang w:val="en-US"/>
              </w:rPr>
              <w:t xml:space="preserve">against </w:t>
            </w:r>
            <w:r>
              <w:rPr>
                <w:iCs/>
                <w:lang w:val="en-US"/>
              </w:rPr>
              <w:t xml:space="preserve">the </w:t>
            </w:r>
            <w:r w:rsidRPr="00605379">
              <w:rPr>
                <w:iCs/>
                <w:lang w:val="en-US"/>
              </w:rPr>
              <w:t xml:space="preserve">European Sheep Tick </w:t>
            </w:r>
            <w:r w:rsidRPr="00605379">
              <w:rPr>
                <w:i/>
                <w:iCs/>
                <w:lang w:val="en-US"/>
              </w:rPr>
              <w:t xml:space="preserve">Ixodes </w:t>
            </w:r>
            <w:proofErr w:type="spellStart"/>
            <w:r w:rsidRPr="00605379">
              <w:rPr>
                <w:i/>
                <w:iCs/>
                <w:lang w:val="en-US"/>
              </w:rPr>
              <w:t>ricinus</w:t>
            </w:r>
            <w:proofErr w:type="spellEnd"/>
            <w:r>
              <w:rPr>
                <w:iCs/>
                <w:lang w:val="en-US"/>
              </w:rPr>
              <w:t xml:space="preserve"> on human volunteers</w:t>
            </w:r>
            <w:r w:rsidRPr="00605379">
              <w:rPr>
                <w:iCs/>
                <w:lang w:val="en-US"/>
              </w:rPr>
              <w:t>”</w:t>
            </w:r>
          </w:p>
          <w:p w14:paraId="4C781370" w14:textId="77777777" w:rsidR="00C018F7" w:rsidRDefault="00C018F7" w:rsidP="0023414E">
            <w:pPr>
              <w:pStyle w:val="Standaard-Tabellen"/>
              <w:rPr>
                <w:b/>
                <w:iCs/>
                <w:lang w:val="en-US"/>
              </w:rPr>
            </w:pPr>
          </w:p>
          <w:p w14:paraId="37BA97AA" w14:textId="4A6692D7" w:rsidR="00C018F7" w:rsidRPr="00890200" w:rsidRDefault="00C018F7" w:rsidP="00CC4A95">
            <w:pPr>
              <w:pStyle w:val="Standaard-Tabellen"/>
              <w:jc w:val="center"/>
              <w:rPr>
                <w:b/>
                <w:iCs/>
                <w:lang w:val="en-US"/>
              </w:rPr>
            </w:pPr>
            <w:r w:rsidRPr="00191D86">
              <w:rPr>
                <w:b/>
              </w:rPr>
              <w:t>R</w:t>
            </w:r>
            <w:r>
              <w:rPr>
                <w:b/>
              </w:rPr>
              <w:t>.</w:t>
            </w:r>
            <w:r w:rsidR="00CC4A95">
              <w:rPr>
                <w:b/>
              </w:rPr>
              <w:t>2</w:t>
            </w:r>
          </w:p>
        </w:tc>
      </w:tr>
      <w:tr w:rsidR="00C018F7" w:rsidRPr="00BD2EF1" w14:paraId="1E8133F1" w14:textId="77777777" w:rsidTr="0023414E">
        <w:tc>
          <w:tcPr>
            <w:tcW w:w="5000" w:type="pct"/>
            <w:gridSpan w:val="8"/>
          </w:tcPr>
          <w:p w14:paraId="53F5F9E9" w14:textId="77777777" w:rsidR="00C018F7" w:rsidRPr="00605379" w:rsidRDefault="00C018F7" w:rsidP="0023414E">
            <w:pPr>
              <w:pStyle w:val="Standaard-Tabellen"/>
              <w:rPr>
                <w:b/>
                <w:iCs/>
                <w:lang w:val="nl-NL"/>
              </w:rPr>
            </w:pPr>
            <w:r w:rsidRPr="00253B4F">
              <w:rPr>
                <w:b/>
                <w:iCs/>
                <w:lang w:val="en-US"/>
              </w:rPr>
              <w:t>Submission 08/2018</w:t>
            </w:r>
          </w:p>
        </w:tc>
      </w:tr>
      <w:tr w:rsidR="00C018F7" w:rsidRPr="00BD2EF1" w14:paraId="5F0773D9" w14:textId="77777777" w:rsidTr="0023414E">
        <w:tc>
          <w:tcPr>
            <w:tcW w:w="536" w:type="pct"/>
          </w:tcPr>
          <w:p w14:paraId="5DB2654A" w14:textId="77777777" w:rsidR="00C018F7" w:rsidRPr="00191D86" w:rsidRDefault="00C018F7" w:rsidP="0023414E">
            <w:pPr>
              <w:pStyle w:val="Standaard-Tabellen"/>
              <w:rPr>
                <w:b/>
                <w:i/>
              </w:rPr>
            </w:pPr>
            <w:r w:rsidRPr="00191D86">
              <w:rPr>
                <w:b/>
                <w:i/>
              </w:rPr>
              <w:t>PT19</w:t>
            </w:r>
          </w:p>
          <w:p w14:paraId="1FE49F54" w14:textId="77777777" w:rsidR="00C018F7" w:rsidRPr="00191D86" w:rsidRDefault="00C018F7" w:rsidP="0023414E">
            <w:pPr>
              <w:pStyle w:val="Standaard-Tabellen"/>
              <w:rPr>
                <w:b/>
                <w:i/>
              </w:rPr>
            </w:pPr>
            <w:r w:rsidRPr="00191D86">
              <w:rPr>
                <w:b/>
                <w:i/>
              </w:rPr>
              <w:t>Repellent</w:t>
            </w:r>
          </w:p>
          <w:p w14:paraId="20C10C05" w14:textId="77777777" w:rsidR="00C018F7" w:rsidRPr="00191D86" w:rsidRDefault="00C018F7" w:rsidP="0023414E">
            <w:pPr>
              <w:pStyle w:val="Standaard-Tabellen"/>
              <w:rPr>
                <w:b/>
                <w:i/>
              </w:rPr>
            </w:pPr>
          </w:p>
        </w:tc>
        <w:tc>
          <w:tcPr>
            <w:tcW w:w="617" w:type="pct"/>
          </w:tcPr>
          <w:p w14:paraId="28F6DFA1"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21EDE5BA" w14:textId="77777777" w:rsidR="00C018F7" w:rsidRPr="00764794" w:rsidRDefault="00C018F7" w:rsidP="0023414E">
            <w:pPr>
              <w:pStyle w:val="Standaard-Tabellen"/>
              <w:rPr>
                <w:lang w:val="en-US"/>
              </w:rPr>
            </w:pPr>
            <w:r w:rsidRPr="00C069CF">
              <w:rPr>
                <w:lang w:val="en-US"/>
              </w:rPr>
              <w:lastRenderedPageBreak/>
              <w:t>- Applied on uncovered human skin</w:t>
            </w:r>
          </w:p>
        </w:tc>
        <w:tc>
          <w:tcPr>
            <w:tcW w:w="616" w:type="pct"/>
          </w:tcPr>
          <w:p w14:paraId="3E92D9ED" w14:textId="77777777" w:rsidR="00C018F7" w:rsidRDefault="00C018F7" w:rsidP="0023414E">
            <w:pPr>
              <w:pStyle w:val="Standaard-Tabellen"/>
              <w:rPr>
                <w:lang w:val="fr-BE"/>
              </w:rPr>
            </w:pPr>
            <w:proofErr w:type="spellStart"/>
            <w:r w:rsidRPr="00B96867">
              <w:rPr>
                <w:lang w:val="fr-BE"/>
              </w:rPr>
              <w:lastRenderedPageBreak/>
              <w:t>Insect</w:t>
            </w:r>
            <w:proofErr w:type="spellEnd"/>
            <w:r w:rsidRPr="00B96867">
              <w:rPr>
                <w:lang w:val="fr-BE"/>
              </w:rPr>
              <w:t xml:space="preserve"> Repellent Lotion IR3535 </w:t>
            </w:r>
            <w:r w:rsidRPr="00B96867">
              <w:rPr>
                <w:lang w:val="fr-BE"/>
              </w:rPr>
              <w:lastRenderedPageBreak/>
              <w:t>10% (</w:t>
            </w:r>
            <w:proofErr w:type="spellStart"/>
            <w:r w:rsidRPr="00B96867">
              <w:rPr>
                <w:lang w:val="fr-BE"/>
              </w:rPr>
              <w:t>liquid</w:t>
            </w:r>
            <w:proofErr w:type="spellEnd"/>
            <w:r w:rsidRPr="00B96867">
              <w:rPr>
                <w:lang w:val="fr-BE"/>
              </w:rPr>
              <w:t>, 10% IR3535)</w:t>
            </w:r>
          </w:p>
          <w:p w14:paraId="22BF2C45" w14:textId="77777777" w:rsidR="00C018F7" w:rsidRPr="00B96867" w:rsidRDefault="00C018F7" w:rsidP="0023414E">
            <w:pPr>
              <w:pStyle w:val="Standaard-Tabellen"/>
              <w:rPr>
                <w:lang w:val="fr-BE"/>
              </w:rPr>
            </w:pPr>
          </w:p>
          <w:p w14:paraId="1B121E5F" w14:textId="77777777" w:rsidR="00C018F7" w:rsidRPr="00B96867" w:rsidRDefault="00C018F7" w:rsidP="0023414E">
            <w:pPr>
              <w:pStyle w:val="Standaard-Tabellen"/>
            </w:pPr>
            <w:r w:rsidRPr="00B96867">
              <w:t xml:space="preserve">With composition of the formulation provided </w:t>
            </w:r>
            <w:r>
              <w:t xml:space="preserve">in </w:t>
            </w:r>
            <w:r w:rsidRPr="00B96867">
              <w:t>the efficacy test report.</w:t>
            </w:r>
          </w:p>
          <w:p w14:paraId="2123EB0B" w14:textId="77777777" w:rsidR="00C018F7" w:rsidRPr="00B96867" w:rsidRDefault="00C018F7" w:rsidP="0023414E">
            <w:pPr>
              <w:pStyle w:val="Standaard-Tabellen"/>
            </w:pPr>
          </w:p>
        </w:tc>
        <w:tc>
          <w:tcPr>
            <w:tcW w:w="736" w:type="pct"/>
          </w:tcPr>
          <w:p w14:paraId="79FCD83D" w14:textId="77777777" w:rsidR="00C018F7" w:rsidRPr="00191D86" w:rsidRDefault="00C018F7" w:rsidP="0023414E">
            <w:pPr>
              <w:pStyle w:val="Standaard-Tabellen"/>
              <w:rPr>
                <w:b/>
                <w:lang w:val="fr-BE"/>
              </w:rPr>
            </w:pPr>
            <w:r w:rsidRPr="00191D86">
              <w:rPr>
                <w:b/>
                <w:lang w:val="fr-BE"/>
              </w:rPr>
              <w:lastRenderedPageBreak/>
              <w:t>MOSQUITOES</w:t>
            </w:r>
          </w:p>
          <w:p w14:paraId="740094CB" w14:textId="77777777" w:rsidR="00C018F7" w:rsidRDefault="00C018F7" w:rsidP="0023414E">
            <w:pPr>
              <w:pStyle w:val="Standaard-Tabellen"/>
              <w:rPr>
                <w:i/>
                <w:iCs/>
                <w:lang w:val="fr-BE"/>
              </w:rPr>
            </w:pPr>
            <w:r w:rsidRPr="00191D86">
              <w:rPr>
                <w:i/>
                <w:iCs/>
                <w:lang w:val="fr-BE"/>
              </w:rPr>
              <w:t>Aedes</w:t>
            </w:r>
            <w:r>
              <w:rPr>
                <w:i/>
                <w:iCs/>
                <w:lang w:val="fr-BE"/>
              </w:rPr>
              <w:t xml:space="preserve"> </w:t>
            </w:r>
            <w:proofErr w:type="spellStart"/>
            <w:r>
              <w:rPr>
                <w:i/>
                <w:iCs/>
                <w:lang w:val="fr-BE"/>
              </w:rPr>
              <w:t>aegypti</w:t>
            </w:r>
            <w:proofErr w:type="spellEnd"/>
            <w:r>
              <w:rPr>
                <w:i/>
                <w:iCs/>
                <w:lang w:val="fr-BE"/>
              </w:rPr>
              <w:t xml:space="preserve"> </w:t>
            </w:r>
          </w:p>
          <w:p w14:paraId="55591AAB" w14:textId="77777777" w:rsidR="00C018F7" w:rsidRPr="00D154AD" w:rsidRDefault="00C018F7" w:rsidP="0023414E">
            <w:pPr>
              <w:pStyle w:val="Standaard-Tabellen"/>
              <w:rPr>
                <w:b/>
              </w:rPr>
            </w:pPr>
            <w:r w:rsidRPr="00D154AD">
              <w:rPr>
                <w:iCs/>
                <w:lang w:val="fr-BE"/>
              </w:rPr>
              <w:t>(</w:t>
            </w:r>
            <w:proofErr w:type="spellStart"/>
            <w:r w:rsidRPr="00D154AD">
              <w:rPr>
                <w:iCs/>
                <w:lang w:val="fr-BE"/>
              </w:rPr>
              <w:t>female</w:t>
            </w:r>
            <w:proofErr w:type="spellEnd"/>
            <w:r w:rsidRPr="00D154AD">
              <w:rPr>
                <w:iCs/>
                <w:lang w:val="fr-BE"/>
              </w:rPr>
              <w:t>)</w:t>
            </w:r>
          </w:p>
        </w:tc>
        <w:tc>
          <w:tcPr>
            <w:tcW w:w="481" w:type="pct"/>
          </w:tcPr>
          <w:p w14:paraId="679BB21F" w14:textId="77777777" w:rsidR="008758E2" w:rsidRPr="00890200" w:rsidRDefault="00C018F7" w:rsidP="008758E2">
            <w:pPr>
              <w:pStyle w:val="Standaard-Tabellen"/>
              <w:rPr>
                <w:lang w:val="en-US"/>
              </w:rPr>
            </w:pPr>
            <w:r w:rsidRPr="00D43095">
              <w:rPr>
                <w:lang w:val="en-US"/>
              </w:rPr>
              <w:t>Arm-in-Cage simulated-use test</w:t>
            </w:r>
            <w:r w:rsidR="008758E2">
              <w:rPr>
                <w:lang w:val="en-US"/>
              </w:rPr>
              <w:t xml:space="preserve"> </w:t>
            </w:r>
            <w:r w:rsidR="008758E2" w:rsidRPr="00890200">
              <w:rPr>
                <w:lang w:val="en-US"/>
              </w:rPr>
              <w:lastRenderedPageBreak/>
              <w:t>according to</w:t>
            </w:r>
            <w:r w:rsidR="008758E2">
              <w:rPr>
                <w:lang w:val="en-US"/>
              </w:rPr>
              <w:t xml:space="preserve"> the </w:t>
            </w:r>
            <w:r w:rsidR="008758E2" w:rsidRPr="00890200">
              <w:rPr>
                <w:lang w:val="en-US"/>
              </w:rPr>
              <w:t>EPA</w:t>
            </w:r>
            <w:r w:rsidR="008758E2">
              <w:rPr>
                <w:lang w:val="en-US"/>
              </w:rPr>
              <w:t xml:space="preserve"> g</w:t>
            </w:r>
            <w:r w:rsidR="008758E2" w:rsidRPr="00890200">
              <w:rPr>
                <w:lang w:val="en-US"/>
              </w:rPr>
              <w:t>uideline</w:t>
            </w:r>
          </w:p>
          <w:p w14:paraId="5660F3C0" w14:textId="5B0D42E0" w:rsidR="00C018F7" w:rsidRPr="00C069CF" w:rsidRDefault="008758E2" w:rsidP="008758E2">
            <w:pPr>
              <w:pStyle w:val="Standaard-Tabellen"/>
              <w:rPr>
                <w:lang w:val="en-US"/>
              </w:rPr>
            </w:pPr>
            <w:r w:rsidRPr="00890200">
              <w:rPr>
                <w:lang w:val="en-US"/>
              </w:rPr>
              <w:t>OPPTS 810.3700</w:t>
            </w:r>
          </w:p>
        </w:tc>
        <w:tc>
          <w:tcPr>
            <w:tcW w:w="652" w:type="pct"/>
          </w:tcPr>
          <w:p w14:paraId="60740096" w14:textId="77777777" w:rsidR="00C018F7" w:rsidRDefault="00C018F7" w:rsidP="0023414E">
            <w:pPr>
              <w:pStyle w:val="Standaard-Tabellen"/>
            </w:pPr>
            <w:r w:rsidRPr="00C069CF">
              <w:lastRenderedPageBreak/>
              <w:t xml:space="preserve">- with </w:t>
            </w:r>
            <w:r>
              <w:t>12</w:t>
            </w:r>
            <w:r w:rsidRPr="00C069CF">
              <w:t xml:space="preserve"> volunteers</w:t>
            </w:r>
          </w:p>
          <w:p w14:paraId="5D4773A6" w14:textId="77777777" w:rsidR="00C018F7" w:rsidRPr="00C069CF" w:rsidRDefault="00C018F7" w:rsidP="0023414E">
            <w:pPr>
              <w:pStyle w:val="Standaard-Tabellen"/>
            </w:pPr>
            <w:r>
              <w:t>(10 + 2 control)</w:t>
            </w:r>
          </w:p>
          <w:p w14:paraId="192C9C7F" w14:textId="77777777" w:rsidR="00C018F7" w:rsidRPr="00C069CF" w:rsidRDefault="00C018F7" w:rsidP="0023414E">
            <w:pPr>
              <w:pStyle w:val="Standaard-Tabellen"/>
            </w:pPr>
            <w:r w:rsidRPr="00C069CF">
              <w:lastRenderedPageBreak/>
              <w:t xml:space="preserve">- </w:t>
            </w:r>
            <w:r>
              <w:t>Application rate : 1</w:t>
            </w:r>
            <w:r w:rsidRPr="005B44DC">
              <w:t xml:space="preserve"> g </w:t>
            </w:r>
            <w:r>
              <w:t>BP</w:t>
            </w:r>
            <w:r w:rsidRPr="00C069CF">
              <w:t>/</w:t>
            </w:r>
            <w:r>
              <w:t xml:space="preserve">600 </w:t>
            </w:r>
            <w:r w:rsidRPr="00C069CF">
              <w:t>cm</w:t>
            </w:r>
            <w:r w:rsidRPr="00C069CF">
              <w:rPr>
                <w:vertAlign w:val="superscript"/>
              </w:rPr>
              <w:t>2</w:t>
            </w:r>
            <w:r w:rsidRPr="00C069CF">
              <w:t xml:space="preserve"> </w:t>
            </w:r>
          </w:p>
          <w:p w14:paraId="5F7C6AE8" w14:textId="77777777" w:rsidR="00C018F7" w:rsidRDefault="00C018F7" w:rsidP="0023414E">
            <w:pPr>
              <w:pStyle w:val="Standaard-Tabellen"/>
            </w:pPr>
            <w:r w:rsidRPr="00C069CF">
              <w:t xml:space="preserve">- </w:t>
            </w:r>
            <w:r>
              <w:t>in a netted cage :</w:t>
            </w:r>
          </w:p>
          <w:p w14:paraId="431E3E04" w14:textId="77777777" w:rsidR="00C018F7" w:rsidRDefault="00C018F7" w:rsidP="0023414E">
            <w:pPr>
              <w:pStyle w:val="Standaard-Tabellen"/>
            </w:pPr>
            <w:r>
              <w:t>V = 64.000 cm</w:t>
            </w:r>
            <w:r w:rsidRPr="00D154AD">
              <w:rPr>
                <w:vertAlign w:val="superscript"/>
              </w:rPr>
              <w:t>3</w:t>
            </w:r>
          </w:p>
          <w:p w14:paraId="7A3E0354" w14:textId="77777777" w:rsidR="00C018F7" w:rsidRDefault="00C018F7" w:rsidP="0023414E">
            <w:pPr>
              <w:pStyle w:val="Standaard-Tabellen"/>
            </w:pPr>
            <w:r>
              <w:t>With 55 mosquitoes (</w:t>
            </w:r>
            <w:r w:rsidRPr="00A756EB">
              <w:rPr>
                <w:i/>
              </w:rPr>
              <w:t>as described in the OPPTS 810.3700 methodology, July 7th, 2010 &amp; within the range recommended by the WHO guidelines p.6</w:t>
            </w:r>
            <w:r>
              <w:t>)</w:t>
            </w:r>
          </w:p>
          <w:p w14:paraId="3812B297" w14:textId="663E50C4" w:rsidR="00C018F7" w:rsidRDefault="00C018F7" w:rsidP="0023414E">
            <w:pPr>
              <w:pStyle w:val="Standaard-Tabellen"/>
            </w:pPr>
            <w:r>
              <w:t xml:space="preserve">- 5 min exposure time </w:t>
            </w:r>
            <w:r w:rsidRPr="00C069CF">
              <w:t>until</w:t>
            </w:r>
            <w:r>
              <w:t xml:space="preserve"> </w:t>
            </w:r>
            <w:r w:rsidR="00283AD8">
              <w:t xml:space="preserve">7 </w:t>
            </w:r>
            <w:r w:rsidRPr="00C069CF">
              <w:t xml:space="preserve"> hours</w:t>
            </w:r>
          </w:p>
          <w:p w14:paraId="405A151C" w14:textId="77777777" w:rsidR="00C018F7" w:rsidRPr="00641C1B" w:rsidRDefault="00C018F7" w:rsidP="0023414E">
            <w:pPr>
              <w:pStyle w:val="Standaard-Tabellen"/>
            </w:pPr>
            <w:r w:rsidRPr="00C069CF">
              <w:t>- “normal” climatic conditions for temperate areas (+</w:t>
            </w:r>
            <w:r>
              <w:t>25.0 ± +2</w:t>
            </w:r>
            <w:r w:rsidRPr="00C069CF">
              <w:t xml:space="preserve">°C ; </w:t>
            </w:r>
            <w:r>
              <w:t xml:space="preserve">between 50 &amp; 70 </w:t>
            </w:r>
            <w:r w:rsidRPr="00C069CF">
              <w:t xml:space="preserve">% </w:t>
            </w:r>
            <w:r>
              <w:t>H</w:t>
            </w:r>
            <w:r w:rsidRPr="002C4257">
              <w:rPr>
                <w:vertAlign w:val="subscript"/>
              </w:rPr>
              <w:t>R</w:t>
            </w:r>
            <w:r>
              <w:t>; photoperiod 12/12</w:t>
            </w:r>
            <w:r w:rsidRPr="00C069CF">
              <w:t>)</w:t>
            </w:r>
          </w:p>
        </w:tc>
        <w:tc>
          <w:tcPr>
            <w:tcW w:w="875" w:type="pct"/>
          </w:tcPr>
          <w:p w14:paraId="5AE8AD3C" w14:textId="3264F047" w:rsidR="00C018F7" w:rsidRPr="0096761B" w:rsidRDefault="00C018F7" w:rsidP="001B6665">
            <w:pPr>
              <w:pStyle w:val="Standaard-Tabellen"/>
              <w:rPr>
                <w:color w:val="0070C0"/>
              </w:rPr>
            </w:pPr>
            <w:r w:rsidRPr="00253B4F">
              <w:lastRenderedPageBreak/>
              <w:t>The product used at 1g BP/</w:t>
            </w:r>
            <w:r w:rsidR="00283AD8">
              <w:t xml:space="preserve">600 </w:t>
            </w:r>
            <w:r w:rsidRPr="00253B4F">
              <w:t>cm</w:t>
            </w:r>
            <w:r w:rsidRPr="00253B4F">
              <w:rPr>
                <w:vertAlign w:val="superscript"/>
              </w:rPr>
              <w:t>2</w:t>
            </w:r>
            <w:r w:rsidRPr="00253B4F">
              <w:t xml:space="preserve"> (0.00166 g BP/</w:t>
            </w:r>
            <w:r w:rsidR="001B6665" w:rsidRPr="00253B4F">
              <w:t> </w:t>
            </w:r>
            <w:r w:rsidRPr="00253B4F">
              <w:t>cm</w:t>
            </w:r>
            <w:r w:rsidRPr="00253B4F">
              <w:rPr>
                <w:vertAlign w:val="superscript"/>
              </w:rPr>
              <w:t>2</w:t>
            </w:r>
            <w:r w:rsidRPr="00253B4F">
              <w:t xml:space="preserve"> &amp; with d = 0.989 </w:t>
            </w:r>
            <w:r w:rsidRPr="00253B4F">
              <w:lastRenderedPageBreak/>
              <w:t>=&gt; 0.00166 mL BP/cm</w:t>
            </w:r>
            <w:r w:rsidRPr="00253B4F">
              <w:rPr>
                <w:vertAlign w:val="superscript"/>
              </w:rPr>
              <w:t>2</w:t>
            </w:r>
            <w:r w:rsidRPr="00253B4F">
              <w:t xml:space="preserve"> or 0.000166 mL A.I./cm</w:t>
            </w:r>
            <w:r w:rsidRPr="00253B4F">
              <w:rPr>
                <w:vertAlign w:val="superscript"/>
              </w:rPr>
              <w:t>2</w:t>
            </w:r>
            <w:r w:rsidRPr="00253B4F">
              <w:t xml:space="preserve">) is 100% efficacious to repel female </w:t>
            </w:r>
            <w:r w:rsidRPr="00253B4F">
              <w:rPr>
                <w:i/>
              </w:rPr>
              <w:t>Aedes aegypti</w:t>
            </w:r>
            <w:r w:rsidRPr="00253B4F">
              <w:t xml:space="preserve"> mosquitoes up to </w:t>
            </w:r>
            <w:r w:rsidR="00024D2F">
              <w:t xml:space="preserve">6 </w:t>
            </w:r>
            <w:r w:rsidR="001B6665" w:rsidRPr="00253B4F">
              <w:t>h.</w:t>
            </w:r>
          </w:p>
        </w:tc>
        <w:tc>
          <w:tcPr>
            <w:tcW w:w="487" w:type="pct"/>
          </w:tcPr>
          <w:p w14:paraId="6A11250F" w14:textId="77777777" w:rsidR="00A93E0A" w:rsidRPr="005A3A05" w:rsidRDefault="00A93E0A" w:rsidP="00A93E0A">
            <w:pPr>
              <w:pStyle w:val="Standaard-Tabellen"/>
              <w:rPr>
                <w:b/>
                <w:iCs/>
                <w:lang w:val="fr-BE"/>
              </w:rPr>
            </w:pPr>
            <w:r w:rsidRPr="005A3A05">
              <w:rPr>
                <w:b/>
                <w:iCs/>
                <w:lang w:val="fr-BE"/>
              </w:rPr>
              <w:lastRenderedPageBreak/>
              <w:t xml:space="preserve">P. H. Herculano, </w:t>
            </w:r>
            <w:r w:rsidRPr="00207FB2">
              <w:rPr>
                <w:b/>
                <w:iCs/>
                <w:lang w:val="fr-BE"/>
              </w:rPr>
              <w:t xml:space="preserve">&amp; </w:t>
            </w:r>
            <w:r w:rsidRPr="005A3A05">
              <w:rPr>
                <w:b/>
                <w:iCs/>
                <w:lang w:val="fr-BE"/>
              </w:rPr>
              <w:t xml:space="preserve">G. P. </w:t>
            </w:r>
            <w:r w:rsidRPr="005A3A05">
              <w:rPr>
                <w:b/>
                <w:iCs/>
                <w:lang w:val="fr-BE"/>
              </w:rPr>
              <w:lastRenderedPageBreak/>
              <w:t xml:space="preserve">Machado </w:t>
            </w:r>
            <w:r w:rsidRPr="00207FB2">
              <w:rPr>
                <w:b/>
                <w:iCs/>
                <w:lang w:val="fr-BE"/>
              </w:rPr>
              <w:t>(2017)</w:t>
            </w:r>
          </w:p>
          <w:p w14:paraId="2EC794EE" w14:textId="77777777" w:rsidR="00A93E0A" w:rsidRDefault="00A93E0A" w:rsidP="00A93E0A">
            <w:pPr>
              <w:pStyle w:val="Standaard-Tabellen"/>
              <w:rPr>
                <w:b/>
                <w:iCs/>
                <w:lang w:val="fr-BE"/>
              </w:rPr>
            </w:pPr>
          </w:p>
          <w:p w14:paraId="2B4ABD60" w14:textId="77777777" w:rsidR="00C018F7" w:rsidRPr="000D6120" w:rsidRDefault="00C018F7" w:rsidP="0023414E">
            <w:pPr>
              <w:pStyle w:val="Standaard-Tabellen"/>
              <w:rPr>
                <w:b/>
                <w:iCs/>
                <w:lang w:val="fr-BE"/>
              </w:rPr>
            </w:pPr>
            <w:r w:rsidRPr="000D6120">
              <w:rPr>
                <w:b/>
                <w:iCs/>
                <w:lang w:val="fr-BE"/>
              </w:rPr>
              <w:t>Document “</w:t>
            </w:r>
            <w:r w:rsidRPr="00461536">
              <w:rPr>
                <w:b/>
                <w:iCs/>
                <w:lang w:val="fr-BE"/>
              </w:rPr>
              <w:t>RMQAA-  039843.R1  (</w:t>
            </w:r>
            <w:proofErr w:type="spellStart"/>
            <w:r w:rsidRPr="00461536">
              <w:rPr>
                <w:b/>
                <w:iCs/>
                <w:lang w:val="fr-BE"/>
              </w:rPr>
              <w:t>Inglês</w:t>
            </w:r>
            <w:proofErr w:type="spellEnd"/>
            <w:r w:rsidRPr="00461536">
              <w:rPr>
                <w:b/>
                <w:iCs/>
                <w:lang w:val="fr-BE"/>
              </w:rPr>
              <w:t>)</w:t>
            </w:r>
            <w:r w:rsidRPr="000D6120">
              <w:rPr>
                <w:b/>
                <w:iCs/>
                <w:lang w:val="fr-BE"/>
              </w:rPr>
              <w:t>”</w:t>
            </w:r>
          </w:p>
          <w:p w14:paraId="6D4FD8E6" w14:textId="77777777" w:rsidR="00C018F7" w:rsidRPr="000D6120" w:rsidRDefault="00C018F7" w:rsidP="0023414E">
            <w:pPr>
              <w:pStyle w:val="Standaard-Tabellen"/>
              <w:rPr>
                <w:b/>
                <w:iCs/>
                <w:lang w:val="fr-BE"/>
              </w:rPr>
            </w:pPr>
          </w:p>
          <w:p w14:paraId="2B40E545" w14:textId="77777777" w:rsidR="00C018F7" w:rsidRPr="00253B4F" w:rsidRDefault="00C018F7" w:rsidP="0023414E">
            <w:pPr>
              <w:pStyle w:val="Standaard-Tabellen"/>
              <w:rPr>
                <w:b/>
                <w:iCs/>
                <w:lang w:val="en-US"/>
              </w:rPr>
            </w:pPr>
            <w:r w:rsidRPr="00253B4F">
              <w:rPr>
                <w:b/>
                <w:iCs/>
                <w:lang w:val="en-US"/>
              </w:rPr>
              <w:t>Report N° RMQAA - 039843.R1</w:t>
            </w:r>
          </w:p>
          <w:p w14:paraId="73A84953" w14:textId="77777777" w:rsidR="00C018F7" w:rsidRPr="00253B4F" w:rsidRDefault="00C018F7" w:rsidP="0023414E">
            <w:pPr>
              <w:pStyle w:val="Standaard-Tabellen"/>
              <w:rPr>
                <w:b/>
                <w:iCs/>
                <w:lang w:val="en-US"/>
              </w:rPr>
            </w:pPr>
          </w:p>
          <w:p w14:paraId="1A11FD60" w14:textId="77777777" w:rsidR="00C018F7" w:rsidRPr="00461536" w:rsidRDefault="00C018F7" w:rsidP="0023414E">
            <w:pPr>
              <w:pStyle w:val="Standaard-Tabellen"/>
              <w:rPr>
                <w:iCs/>
                <w:lang w:val="en-US"/>
              </w:rPr>
            </w:pPr>
            <w:r w:rsidRPr="00605379">
              <w:rPr>
                <w:iCs/>
                <w:lang w:val="en-US"/>
              </w:rPr>
              <w:t>“</w:t>
            </w:r>
            <w:r w:rsidRPr="00461536">
              <w:rPr>
                <w:iCs/>
                <w:lang w:val="en-US"/>
              </w:rPr>
              <w:t>EFFICACY TESTS IN A REPELLENT PRODUCT FOR MOSQUITOES</w:t>
            </w:r>
          </w:p>
          <w:p w14:paraId="3F32080B" w14:textId="77777777" w:rsidR="00C018F7" w:rsidRPr="00DA528D" w:rsidRDefault="00C018F7" w:rsidP="0023414E">
            <w:pPr>
              <w:pStyle w:val="Standaard-Tabellen"/>
              <w:rPr>
                <w:iCs/>
                <w:lang w:val="fr-BE"/>
              </w:rPr>
            </w:pPr>
            <w:r w:rsidRPr="00DA528D">
              <w:rPr>
                <w:iCs/>
                <w:lang w:val="fr-BE"/>
              </w:rPr>
              <w:t xml:space="preserve">Aedes </w:t>
            </w:r>
            <w:proofErr w:type="spellStart"/>
            <w:r w:rsidRPr="00DA528D">
              <w:rPr>
                <w:iCs/>
                <w:lang w:val="fr-BE"/>
              </w:rPr>
              <w:t>aegypti</w:t>
            </w:r>
            <w:proofErr w:type="spellEnd"/>
            <w:r w:rsidRPr="00DA528D">
              <w:rPr>
                <w:iCs/>
                <w:lang w:val="fr-BE"/>
              </w:rPr>
              <w:t xml:space="preserve"> (DIPTERA: CULICIDAE)”</w:t>
            </w:r>
          </w:p>
          <w:p w14:paraId="7D6B625D" w14:textId="77777777" w:rsidR="00C018F7" w:rsidRPr="00DA528D" w:rsidRDefault="00C018F7" w:rsidP="0023414E">
            <w:pPr>
              <w:pStyle w:val="Standaard-Tabellen"/>
              <w:rPr>
                <w:b/>
                <w:iCs/>
                <w:lang w:val="fr-BE"/>
              </w:rPr>
            </w:pPr>
          </w:p>
          <w:p w14:paraId="1BA977DB" w14:textId="77777777" w:rsidR="00C018F7" w:rsidRPr="00DA528D" w:rsidRDefault="00C018F7" w:rsidP="0023414E">
            <w:pPr>
              <w:pStyle w:val="Standaard-Tabellen"/>
              <w:jc w:val="center"/>
              <w:rPr>
                <w:b/>
                <w:lang w:val="fr-BE"/>
              </w:rPr>
            </w:pPr>
            <w:r w:rsidRPr="00DA528D">
              <w:rPr>
                <w:b/>
                <w:lang w:val="fr-BE"/>
              </w:rPr>
              <w:t>R.1</w:t>
            </w:r>
          </w:p>
          <w:p w14:paraId="4F67DFF4" w14:textId="77777777" w:rsidR="00C018F7" w:rsidRPr="00461536" w:rsidRDefault="00C018F7" w:rsidP="0023414E">
            <w:pPr>
              <w:pStyle w:val="Standaard-Tabellen"/>
              <w:jc w:val="center"/>
              <w:rPr>
                <w:b/>
                <w:iCs/>
              </w:rPr>
            </w:pPr>
            <w:r>
              <w:rPr>
                <w:b/>
              </w:rPr>
              <w:t>Key study</w:t>
            </w:r>
          </w:p>
        </w:tc>
      </w:tr>
      <w:tr w:rsidR="00C018F7" w:rsidRPr="00BD2EF1" w14:paraId="5164C024" w14:textId="77777777" w:rsidTr="0023414E">
        <w:tc>
          <w:tcPr>
            <w:tcW w:w="536" w:type="pct"/>
          </w:tcPr>
          <w:p w14:paraId="3BF42E5D" w14:textId="77777777" w:rsidR="00C018F7" w:rsidRPr="00191D86" w:rsidRDefault="00C018F7" w:rsidP="0023414E">
            <w:pPr>
              <w:pStyle w:val="Standaard-Tabellen"/>
              <w:rPr>
                <w:b/>
                <w:i/>
              </w:rPr>
            </w:pPr>
            <w:r w:rsidRPr="00191D86">
              <w:rPr>
                <w:b/>
                <w:i/>
              </w:rPr>
              <w:lastRenderedPageBreak/>
              <w:t>PT19</w:t>
            </w:r>
          </w:p>
          <w:p w14:paraId="21A37A28" w14:textId="77777777" w:rsidR="00C018F7" w:rsidRPr="00191D86" w:rsidRDefault="00C018F7" w:rsidP="0023414E">
            <w:pPr>
              <w:pStyle w:val="Standaard-Tabellen"/>
              <w:rPr>
                <w:b/>
                <w:i/>
              </w:rPr>
            </w:pPr>
            <w:r w:rsidRPr="00191D86">
              <w:rPr>
                <w:b/>
                <w:i/>
              </w:rPr>
              <w:t>Repellent</w:t>
            </w:r>
          </w:p>
          <w:p w14:paraId="1792183E" w14:textId="77777777" w:rsidR="00C018F7" w:rsidRPr="00191D86" w:rsidRDefault="00C018F7" w:rsidP="0023414E">
            <w:pPr>
              <w:pStyle w:val="Standaard-Tabellen"/>
              <w:rPr>
                <w:b/>
                <w:i/>
              </w:rPr>
            </w:pPr>
          </w:p>
        </w:tc>
        <w:tc>
          <w:tcPr>
            <w:tcW w:w="617" w:type="pct"/>
          </w:tcPr>
          <w:p w14:paraId="5AB8AF7B"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7A30DAEC" w14:textId="77777777" w:rsidR="00C018F7" w:rsidRPr="00764794" w:rsidRDefault="00C018F7" w:rsidP="0023414E">
            <w:pPr>
              <w:pStyle w:val="Standaard-Tabellen"/>
              <w:rPr>
                <w:lang w:val="en-US"/>
              </w:rPr>
            </w:pPr>
            <w:r w:rsidRPr="00C069CF">
              <w:rPr>
                <w:lang w:val="en-US"/>
              </w:rPr>
              <w:t>- Applied on uncovered human skin</w:t>
            </w:r>
          </w:p>
        </w:tc>
        <w:tc>
          <w:tcPr>
            <w:tcW w:w="616" w:type="pct"/>
          </w:tcPr>
          <w:p w14:paraId="3F4B7663" w14:textId="77777777" w:rsidR="00C018F7" w:rsidRDefault="00C018F7" w:rsidP="0023414E">
            <w:pPr>
              <w:pStyle w:val="Standaard-Tabellen"/>
              <w:rPr>
                <w:lang w:val="fr-BE"/>
              </w:rPr>
            </w:pPr>
            <w:proofErr w:type="spellStart"/>
            <w:r w:rsidRPr="00B96867">
              <w:rPr>
                <w:lang w:val="fr-BE"/>
              </w:rPr>
              <w:t>Insect</w:t>
            </w:r>
            <w:proofErr w:type="spellEnd"/>
            <w:r w:rsidRPr="00B96867">
              <w:rPr>
                <w:lang w:val="fr-BE"/>
              </w:rPr>
              <w:t xml:space="preserve"> Repellent Lotion IR3535 10% (</w:t>
            </w:r>
            <w:proofErr w:type="spellStart"/>
            <w:r w:rsidRPr="00B96867">
              <w:rPr>
                <w:lang w:val="fr-BE"/>
              </w:rPr>
              <w:t>liquid</w:t>
            </w:r>
            <w:proofErr w:type="spellEnd"/>
            <w:r w:rsidRPr="00B96867">
              <w:rPr>
                <w:lang w:val="fr-BE"/>
              </w:rPr>
              <w:t>, 10% IR3535)</w:t>
            </w:r>
          </w:p>
          <w:p w14:paraId="4D09881C" w14:textId="77777777" w:rsidR="00C018F7" w:rsidRPr="00B96867" w:rsidRDefault="00C018F7" w:rsidP="0023414E">
            <w:pPr>
              <w:pStyle w:val="Standaard-Tabellen"/>
              <w:rPr>
                <w:lang w:val="fr-BE"/>
              </w:rPr>
            </w:pPr>
          </w:p>
          <w:p w14:paraId="01B77357" w14:textId="77777777" w:rsidR="00C018F7" w:rsidRPr="00B96867" w:rsidRDefault="00C018F7" w:rsidP="0023414E">
            <w:pPr>
              <w:pStyle w:val="Standaard-Tabellen"/>
            </w:pPr>
            <w:r w:rsidRPr="00B96867">
              <w:t xml:space="preserve">With composition of the formulation provided </w:t>
            </w:r>
            <w:r>
              <w:t xml:space="preserve">in </w:t>
            </w:r>
            <w:r w:rsidRPr="00B96867">
              <w:t>the efficacy test report.</w:t>
            </w:r>
          </w:p>
          <w:p w14:paraId="75D089EC" w14:textId="77777777" w:rsidR="00C018F7" w:rsidRPr="00B96867" w:rsidRDefault="00C018F7" w:rsidP="0023414E">
            <w:pPr>
              <w:pStyle w:val="Standaard-Tabellen"/>
            </w:pPr>
          </w:p>
        </w:tc>
        <w:tc>
          <w:tcPr>
            <w:tcW w:w="736" w:type="pct"/>
          </w:tcPr>
          <w:p w14:paraId="5C482137" w14:textId="77777777" w:rsidR="00C018F7" w:rsidRPr="00191D86" w:rsidRDefault="00C018F7" w:rsidP="0023414E">
            <w:pPr>
              <w:pStyle w:val="Standaard-Tabellen"/>
              <w:rPr>
                <w:b/>
                <w:lang w:val="fr-BE"/>
              </w:rPr>
            </w:pPr>
            <w:r w:rsidRPr="00191D86">
              <w:rPr>
                <w:b/>
                <w:lang w:val="fr-BE"/>
              </w:rPr>
              <w:t>MOSQUITOES</w:t>
            </w:r>
          </w:p>
          <w:p w14:paraId="562F1CE9" w14:textId="77777777" w:rsidR="00C018F7" w:rsidRDefault="00C018F7" w:rsidP="0023414E">
            <w:pPr>
              <w:pStyle w:val="Standaard-Tabellen"/>
              <w:rPr>
                <w:i/>
                <w:iCs/>
                <w:lang w:val="fr-BE"/>
              </w:rPr>
            </w:pPr>
            <w:r w:rsidRPr="00191D86">
              <w:rPr>
                <w:i/>
                <w:iCs/>
                <w:lang w:val="fr-BE"/>
              </w:rPr>
              <w:t>Aedes</w:t>
            </w:r>
            <w:r>
              <w:rPr>
                <w:i/>
                <w:iCs/>
                <w:lang w:val="fr-BE"/>
              </w:rPr>
              <w:t xml:space="preserve"> </w:t>
            </w:r>
            <w:proofErr w:type="spellStart"/>
            <w:r>
              <w:rPr>
                <w:i/>
                <w:iCs/>
                <w:lang w:val="fr-BE"/>
              </w:rPr>
              <w:t>albopictus</w:t>
            </w:r>
            <w:proofErr w:type="spellEnd"/>
          </w:p>
          <w:p w14:paraId="6874FFFE" w14:textId="77777777" w:rsidR="00C018F7" w:rsidRPr="00D154AD" w:rsidRDefault="00C018F7" w:rsidP="0023414E">
            <w:pPr>
              <w:pStyle w:val="Standaard-Tabellen"/>
              <w:rPr>
                <w:b/>
              </w:rPr>
            </w:pPr>
            <w:r w:rsidRPr="00D154AD">
              <w:rPr>
                <w:iCs/>
                <w:lang w:val="fr-BE"/>
              </w:rPr>
              <w:t>(</w:t>
            </w:r>
            <w:proofErr w:type="spellStart"/>
            <w:r w:rsidRPr="00D154AD">
              <w:rPr>
                <w:iCs/>
                <w:lang w:val="fr-BE"/>
              </w:rPr>
              <w:t>female</w:t>
            </w:r>
            <w:proofErr w:type="spellEnd"/>
            <w:r w:rsidRPr="00D154AD">
              <w:rPr>
                <w:iCs/>
                <w:lang w:val="fr-BE"/>
              </w:rPr>
              <w:t>)</w:t>
            </w:r>
          </w:p>
        </w:tc>
        <w:tc>
          <w:tcPr>
            <w:tcW w:w="481" w:type="pct"/>
          </w:tcPr>
          <w:p w14:paraId="65864EAD" w14:textId="77777777" w:rsidR="008758E2" w:rsidRPr="00890200" w:rsidRDefault="00C018F7" w:rsidP="008758E2">
            <w:pPr>
              <w:pStyle w:val="Standaard-Tabellen"/>
              <w:rPr>
                <w:lang w:val="en-US"/>
              </w:rPr>
            </w:pPr>
            <w:r w:rsidRPr="00D43095">
              <w:rPr>
                <w:lang w:val="en-US"/>
              </w:rPr>
              <w:t>Arm-in-Cage simulated-use test</w:t>
            </w:r>
            <w:r w:rsidR="008758E2">
              <w:rPr>
                <w:lang w:val="en-US"/>
              </w:rPr>
              <w:t xml:space="preserve"> </w:t>
            </w:r>
            <w:r w:rsidR="008758E2" w:rsidRPr="00890200">
              <w:rPr>
                <w:lang w:val="en-US"/>
              </w:rPr>
              <w:t>according to</w:t>
            </w:r>
            <w:r w:rsidR="008758E2">
              <w:rPr>
                <w:lang w:val="en-US"/>
              </w:rPr>
              <w:t xml:space="preserve"> the </w:t>
            </w:r>
            <w:r w:rsidR="008758E2" w:rsidRPr="00890200">
              <w:rPr>
                <w:lang w:val="en-US"/>
              </w:rPr>
              <w:t>EPA</w:t>
            </w:r>
            <w:r w:rsidR="008758E2">
              <w:rPr>
                <w:lang w:val="en-US"/>
              </w:rPr>
              <w:t xml:space="preserve"> g</w:t>
            </w:r>
            <w:r w:rsidR="008758E2" w:rsidRPr="00890200">
              <w:rPr>
                <w:lang w:val="en-US"/>
              </w:rPr>
              <w:t>uideline</w:t>
            </w:r>
          </w:p>
          <w:p w14:paraId="6B8D9BF2" w14:textId="6C851EDB" w:rsidR="00C018F7" w:rsidRPr="00C069CF" w:rsidRDefault="008758E2" w:rsidP="008758E2">
            <w:pPr>
              <w:pStyle w:val="Standaard-Tabellen"/>
              <w:rPr>
                <w:lang w:val="en-US"/>
              </w:rPr>
            </w:pPr>
            <w:r w:rsidRPr="00890200">
              <w:rPr>
                <w:lang w:val="en-US"/>
              </w:rPr>
              <w:t>OPPTS 810.3700</w:t>
            </w:r>
          </w:p>
        </w:tc>
        <w:tc>
          <w:tcPr>
            <w:tcW w:w="652" w:type="pct"/>
          </w:tcPr>
          <w:p w14:paraId="32A4899A" w14:textId="77777777" w:rsidR="00C018F7" w:rsidRDefault="00C018F7" w:rsidP="0023414E">
            <w:pPr>
              <w:pStyle w:val="Standaard-Tabellen"/>
            </w:pPr>
            <w:r w:rsidRPr="00C069CF">
              <w:t xml:space="preserve">- with </w:t>
            </w:r>
            <w:r>
              <w:t>12</w:t>
            </w:r>
            <w:r w:rsidRPr="00C069CF">
              <w:t xml:space="preserve"> volunteers</w:t>
            </w:r>
          </w:p>
          <w:p w14:paraId="6D3FA7FE" w14:textId="77777777" w:rsidR="00C018F7" w:rsidRPr="00C069CF" w:rsidRDefault="00C018F7" w:rsidP="0023414E">
            <w:pPr>
              <w:pStyle w:val="Standaard-Tabellen"/>
            </w:pPr>
            <w:r>
              <w:t>(10 + 2 control)</w:t>
            </w:r>
          </w:p>
          <w:p w14:paraId="3E1CAD51" w14:textId="77777777" w:rsidR="00C018F7" w:rsidRPr="00C069CF" w:rsidRDefault="00C018F7" w:rsidP="0023414E">
            <w:pPr>
              <w:pStyle w:val="Standaard-Tabellen"/>
            </w:pPr>
            <w:r w:rsidRPr="00C069CF">
              <w:t xml:space="preserve">- </w:t>
            </w:r>
            <w:r>
              <w:t>Application rate : 1</w:t>
            </w:r>
            <w:r w:rsidRPr="005B44DC">
              <w:t xml:space="preserve"> g </w:t>
            </w:r>
            <w:r>
              <w:t>BP</w:t>
            </w:r>
            <w:r w:rsidRPr="00C069CF">
              <w:t>/</w:t>
            </w:r>
            <w:r>
              <w:t xml:space="preserve">600 </w:t>
            </w:r>
            <w:r w:rsidRPr="00C069CF">
              <w:t>cm</w:t>
            </w:r>
            <w:r w:rsidRPr="00C069CF">
              <w:rPr>
                <w:vertAlign w:val="superscript"/>
              </w:rPr>
              <w:t>2</w:t>
            </w:r>
            <w:r w:rsidRPr="00C069CF">
              <w:t xml:space="preserve"> </w:t>
            </w:r>
          </w:p>
          <w:p w14:paraId="6D31C195" w14:textId="77777777" w:rsidR="00C018F7" w:rsidRDefault="00C018F7" w:rsidP="0023414E">
            <w:pPr>
              <w:pStyle w:val="Standaard-Tabellen"/>
            </w:pPr>
            <w:r w:rsidRPr="00C069CF">
              <w:t xml:space="preserve">- </w:t>
            </w:r>
            <w:r>
              <w:t>in a netted cage :</w:t>
            </w:r>
          </w:p>
          <w:p w14:paraId="28DC6412" w14:textId="77777777" w:rsidR="00C018F7" w:rsidRDefault="00C018F7" w:rsidP="0023414E">
            <w:pPr>
              <w:pStyle w:val="Standaard-Tabellen"/>
            </w:pPr>
            <w:r>
              <w:t>V = 64.000 cm</w:t>
            </w:r>
            <w:r w:rsidRPr="00D154AD">
              <w:rPr>
                <w:vertAlign w:val="superscript"/>
              </w:rPr>
              <w:t>3</w:t>
            </w:r>
          </w:p>
          <w:p w14:paraId="29F7D298" w14:textId="77777777" w:rsidR="00C018F7" w:rsidRDefault="00C018F7" w:rsidP="0023414E">
            <w:pPr>
              <w:pStyle w:val="Standaard-Tabellen"/>
            </w:pPr>
            <w:r>
              <w:t>With 55 mosquitoes (</w:t>
            </w:r>
            <w:r w:rsidRPr="00A756EB">
              <w:rPr>
                <w:i/>
              </w:rPr>
              <w:t xml:space="preserve">as described in the OPPTS 810.3700 methodology, July 7th, 2010 &amp; within the range recommended by </w:t>
            </w:r>
            <w:r w:rsidRPr="00A756EB">
              <w:rPr>
                <w:i/>
              </w:rPr>
              <w:lastRenderedPageBreak/>
              <w:t>the WHO guidelines p.6</w:t>
            </w:r>
            <w:r>
              <w:t>)</w:t>
            </w:r>
          </w:p>
          <w:p w14:paraId="2356D2B5" w14:textId="3E1A412A" w:rsidR="00C018F7" w:rsidRDefault="00C018F7" w:rsidP="0023414E">
            <w:pPr>
              <w:pStyle w:val="Standaard-Tabellen"/>
            </w:pPr>
            <w:r>
              <w:t xml:space="preserve">- 5 min exposure time </w:t>
            </w:r>
            <w:r w:rsidRPr="00C069CF">
              <w:t>until</w:t>
            </w:r>
            <w:r>
              <w:t xml:space="preserve"> </w:t>
            </w:r>
            <w:r w:rsidR="00024D2F">
              <w:t xml:space="preserve">9 </w:t>
            </w:r>
            <w:r w:rsidRPr="00C069CF">
              <w:t xml:space="preserve"> hours</w:t>
            </w:r>
          </w:p>
          <w:p w14:paraId="54DE3A27" w14:textId="77777777" w:rsidR="00C018F7" w:rsidRPr="00641C1B" w:rsidRDefault="00C018F7" w:rsidP="0023414E">
            <w:pPr>
              <w:pStyle w:val="Standaard-Tabellen"/>
            </w:pPr>
            <w:r w:rsidRPr="00C069CF">
              <w:t>- “normal” climatic conditions for temperate areas (+</w:t>
            </w:r>
            <w:r>
              <w:t>25.0 ± +2</w:t>
            </w:r>
            <w:r w:rsidRPr="00C069CF">
              <w:t xml:space="preserve">°C ; </w:t>
            </w:r>
            <w:r>
              <w:t xml:space="preserve">between 50 &amp; 70 </w:t>
            </w:r>
            <w:r w:rsidRPr="00C069CF">
              <w:t xml:space="preserve">% </w:t>
            </w:r>
            <w:r>
              <w:t>H</w:t>
            </w:r>
            <w:r w:rsidRPr="002C4257">
              <w:rPr>
                <w:vertAlign w:val="subscript"/>
              </w:rPr>
              <w:t>R</w:t>
            </w:r>
            <w:r>
              <w:t>; photoperiod 12/12</w:t>
            </w:r>
            <w:r w:rsidRPr="00C069CF">
              <w:t>)</w:t>
            </w:r>
          </w:p>
        </w:tc>
        <w:tc>
          <w:tcPr>
            <w:tcW w:w="875" w:type="pct"/>
          </w:tcPr>
          <w:p w14:paraId="6C69C02F" w14:textId="385B98DE" w:rsidR="00C018F7" w:rsidRPr="0096761B" w:rsidRDefault="00C018F7" w:rsidP="001B6665">
            <w:pPr>
              <w:pStyle w:val="Standaard-Tabellen"/>
              <w:rPr>
                <w:color w:val="0070C0"/>
              </w:rPr>
            </w:pPr>
            <w:r w:rsidRPr="00253B4F">
              <w:lastRenderedPageBreak/>
              <w:t>The product used at 1g BP/</w:t>
            </w:r>
            <w:r w:rsidR="00283AD8">
              <w:t xml:space="preserve">600 </w:t>
            </w:r>
            <w:r w:rsidRPr="00253B4F">
              <w:t>cm</w:t>
            </w:r>
            <w:r w:rsidRPr="00253B4F">
              <w:rPr>
                <w:vertAlign w:val="superscript"/>
              </w:rPr>
              <w:t>2</w:t>
            </w:r>
            <w:r w:rsidRPr="00253B4F">
              <w:t xml:space="preserve"> (0.00166 g BP/cm</w:t>
            </w:r>
            <w:r w:rsidRPr="00253B4F">
              <w:rPr>
                <w:vertAlign w:val="superscript"/>
              </w:rPr>
              <w:t>2</w:t>
            </w:r>
            <w:r w:rsidRPr="00253B4F">
              <w:t xml:space="preserve"> &amp; with d = 0.989 =&gt; 0.00166 mL BP/cm</w:t>
            </w:r>
            <w:r w:rsidRPr="00253B4F">
              <w:rPr>
                <w:vertAlign w:val="superscript"/>
              </w:rPr>
              <w:t>2</w:t>
            </w:r>
            <w:r w:rsidRPr="00253B4F">
              <w:t xml:space="preserve"> or 0.000166 mL A.I./cm</w:t>
            </w:r>
            <w:r w:rsidRPr="00253B4F">
              <w:rPr>
                <w:vertAlign w:val="superscript"/>
              </w:rPr>
              <w:t>2</w:t>
            </w:r>
            <w:r w:rsidRPr="00253B4F">
              <w:t xml:space="preserve">) is 100% efficacious to repel female </w:t>
            </w:r>
            <w:r w:rsidRPr="00253B4F">
              <w:rPr>
                <w:i/>
              </w:rPr>
              <w:t xml:space="preserve">Aedes albopictus </w:t>
            </w:r>
            <w:r w:rsidRPr="00253B4F">
              <w:t xml:space="preserve">mosquitoes up to </w:t>
            </w:r>
            <w:r w:rsidR="00024D2F">
              <w:t xml:space="preserve">8 </w:t>
            </w:r>
            <w:r w:rsidR="001B6665" w:rsidRPr="00253B4F">
              <w:t>h</w:t>
            </w:r>
            <w:r w:rsidRPr="00253B4F">
              <w:t>, according to the requirements (i.e. ≈ 100% repellence) mentioned in the ECHA PT19 guidance.</w:t>
            </w:r>
          </w:p>
        </w:tc>
        <w:tc>
          <w:tcPr>
            <w:tcW w:w="487" w:type="pct"/>
          </w:tcPr>
          <w:p w14:paraId="6B6F3BD6" w14:textId="77777777" w:rsidR="00A93E0A" w:rsidRPr="005A3A05" w:rsidRDefault="00A93E0A" w:rsidP="00A93E0A">
            <w:pPr>
              <w:pStyle w:val="Standaard-Tabellen"/>
              <w:rPr>
                <w:b/>
                <w:iCs/>
                <w:lang w:val="fr-BE"/>
              </w:rPr>
            </w:pPr>
            <w:r w:rsidRPr="005A3A05">
              <w:rPr>
                <w:b/>
                <w:iCs/>
                <w:lang w:val="fr-BE"/>
              </w:rPr>
              <w:t xml:space="preserve">P. H. Herculano, </w:t>
            </w:r>
            <w:r w:rsidRPr="00207FB2">
              <w:rPr>
                <w:b/>
                <w:iCs/>
                <w:lang w:val="fr-BE"/>
              </w:rPr>
              <w:t xml:space="preserve">&amp; </w:t>
            </w:r>
            <w:r w:rsidRPr="005A3A05">
              <w:rPr>
                <w:b/>
                <w:iCs/>
                <w:lang w:val="fr-BE"/>
              </w:rPr>
              <w:t xml:space="preserve">G. P. Machado </w:t>
            </w:r>
            <w:r w:rsidRPr="00207FB2">
              <w:rPr>
                <w:b/>
                <w:iCs/>
                <w:lang w:val="fr-BE"/>
              </w:rPr>
              <w:t>(2017)</w:t>
            </w:r>
          </w:p>
          <w:p w14:paraId="25577183" w14:textId="77777777" w:rsidR="00A93E0A" w:rsidRPr="00253B4F" w:rsidRDefault="00A93E0A" w:rsidP="00A93E0A">
            <w:pPr>
              <w:pStyle w:val="Standaard-Tabellen"/>
              <w:rPr>
                <w:b/>
                <w:iCs/>
                <w:lang w:val="fr-BE"/>
              </w:rPr>
            </w:pPr>
          </w:p>
          <w:p w14:paraId="2FFEB8FF" w14:textId="77777777" w:rsidR="00C018F7" w:rsidRPr="00253B4F" w:rsidRDefault="00C018F7" w:rsidP="0023414E">
            <w:pPr>
              <w:pStyle w:val="Standaard-Tabellen"/>
              <w:rPr>
                <w:b/>
                <w:iCs/>
                <w:lang w:val="fr-BE"/>
              </w:rPr>
            </w:pPr>
            <w:r w:rsidRPr="00253B4F">
              <w:rPr>
                <w:b/>
                <w:iCs/>
                <w:lang w:val="fr-BE"/>
              </w:rPr>
              <w:t>Document “RMQAA-  039843.R1  (</w:t>
            </w:r>
            <w:proofErr w:type="spellStart"/>
            <w:r w:rsidRPr="00253B4F">
              <w:rPr>
                <w:b/>
                <w:iCs/>
                <w:lang w:val="fr-BE"/>
              </w:rPr>
              <w:t>Inglês</w:t>
            </w:r>
            <w:proofErr w:type="spellEnd"/>
            <w:r w:rsidRPr="00253B4F">
              <w:rPr>
                <w:b/>
                <w:iCs/>
                <w:lang w:val="fr-BE"/>
              </w:rPr>
              <w:t>)”</w:t>
            </w:r>
          </w:p>
          <w:p w14:paraId="5A0BD418" w14:textId="77777777" w:rsidR="00C018F7" w:rsidRPr="00253B4F" w:rsidRDefault="00C018F7" w:rsidP="0023414E">
            <w:pPr>
              <w:pStyle w:val="Standaard-Tabellen"/>
              <w:rPr>
                <w:b/>
                <w:iCs/>
                <w:lang w:val="fr-BE"/>
              </w:rPr>
            </w:pPr>
          </w:p>
          <w:p w14:paraId="12D4852C" w14:textId="77777777" w:rsidR="00C018F7" w:rsidRPr="00DA528D" w:rsidRDefault="00C018F7" w:rsidP="0023414E">
            <w:pPr>
              <w:pStyle w:val="Standaard-Tabellen"/>
              <w:rPr>
                <w:b/>
                <w:iCs/>
              </w:rPr>
            </w:pPr>
            <w:r w:rsidRPr="00DA528D">
              <w:rPr>
                <w:b/>
                <w:iCs/>
              </w:rPr>
              <w:t>Report N° RMQAAL - 039843.R1</w:t>
            </w:r>
          </w:p>
          <w:p w14:paraId="7E05A466" w14:textId="77777777" w:rsidR="00C018F7" w:rsidRPr="00DA528D" w:rsidRDefault="00C018F7" w:rsidP="0023414E">
            <w:pPr>
              <w:pStyle w:val="Standaard-Tabellen"/>
              <w:rPr>
                <w:b/>
                <w:iCs/>
              </w:rPr>
            </w:pPr>
          </w:p>
          <w:p w14:paraId="3980DED5" w14:textId="77777777" w:rsidR="00C018F7" w:rsidRPr="00461536" w:rsidRDefault="00C018F7" w:rsidP="0023414E">
            <w:pPr>
              <w:pStyle w:val="Standaard-Tabellen"/>
              <w:rPr>
                <w:iCs/>
                <w:lang w:val="en-US"/>
              </w:rPr>
            </w:pPr>
            <w:r w:rsidRPr="00605379">
              <w:rPr>
                <w:iCs/>
                <w:lang w:val="en-US"/>
              </w:rPr>
              <w:t>“</w:t>
            </w:r>
            <w:r w:rsidRPr="00461536">
              <w:rPr>
                <w:iCs/>
                <w:lang w:val="en-US"/>
              </w:rPr>
              <w:t xml:space="preserve">EFFICACY TESTS IN A </w:t>
            </w:r>
            <w:r w:rsidRPr="00461536">
              <w:rPr>
                <w:iCs/>
                <w:lang w:val="en-US"/>
              </w:rPr>
              <w:lastRenderedPageBreak/>
              <w:t>REPELLENT PRODUCT FOR MOSQUITOES</w:t>
            </w:r>
          </w:p>
          <w:p w14:paraId="1FF15BEF" w14:textId="77777777" w:rsidR="00C018F7" w:rsidRPr="00B66836" w:rsidRDefault="00C018F7" w:rsidP="0023414E">
            <w:pPr>
              <w:pStyle w:val="Standaard-Tabellen"/>
              <w:rPr>
                <w:iCs/>
                <w:lang w:val="fr-BE"/>
              </w:rPr>
            </w:pPr>
            <w:r w:rsidRPr="00B66836">
              <w:rPr>
                <w:iCs/>
                <w:lang w:val="fr-BE"/>
              </w:rPr>
              <w:t xml:space="preserve">Aedes </w:t>
            </w:r>
            <w:proofErr w:type="spellStart"/>
            <w:r w:rsidRPr="00DF3789">
              <w:rPr>
                <w:iCs/>
                <w:lang w:val="fr-BE"/>
              </w:rPr>
              <w:t>albopictus</w:t>
            </w:r>
            <w:proofErr w:type="spellEnd"/>
            <w:r w:rsidRPr="00B66836">
              <w:rPr>
                <w:iCs/>
                <w:lang w:val="fr-BE"/>
              </w:rPr>
              <w:t xml:space="preserve"> (DIPTERA: CULICIDAE)”</w:t>
            </w:r>
          </w:p>
          <w:p w14:paraId="0960AF67" w14:textId="77777777" w:rsidR="00C018F7" w:rsidRPr="00B66836" w:rsidRDefault="00C018F7" w:rsidP="0023414E">
            <w:pPr>
              <w:pStyle w:val="Standaard-Tabellen"/>
              <w:rPr>
                <w:b/>
                <w:iCs/>
                <w:lang w:val="fr-BE"/>
              </w:rPr>
            </w:pPr>
          </w:p>
          <w:p w14:paraId="5D35B225" w14:textId="77777777" w:rsidR="00C018F7" w:rsidRPr="00B66836" w:rsidRDefault="00C018F7" w:rsidP="0023414E">
            <w:pPr>
              <w:pStyle w:val="Standaard-Tabellen"/>
              <w:jc w:val="center"/>
              <w:rPr>
                <w:b/>
                <w:lang w:val="fr-BE"/>
              </w:rPr>
            </w:pPr>
            <w:r w:rsidRPr="00B66836">
              <w:rPr>
                <w:b/>
                <w:lang w:val="fr-BE"/>
              </w:rPr>
              <w:t>R.1</w:t>
            </w:r>
          </w:p>
          <w:p w14:paraId="70002A54" w14:textId="77777777" w:rsidR="00C018F7" w:rsidRPr="00461536" w:rsidRDefault="00C018F7" w:rsidP="0023414E">
            <w:pPr>
              <w:pStyle w:val="Standaard-Tabellen"/>
              <w:jc w:val="center"/>
              <w:rPr>
                <w:b/>
                <w:iCs/>
              </w:rPr>
            </w:pPr>
            <w:r>
              <w:rPr>
                <w:b/>
              </w:rPr>
              <w:t>Key study</w:t>
            </w:r>
          </w:p>
        </w:tc>
      </w:tr>
      <w:tr w:rsidR="00C018F7" w:rsidRPr="00BD2EF1" w14:paraId="4C779664" w14:textId="77777777" w:rsidTr="0023414E">
        <w:tc>
          <w:tcPr>
            <w:tcW w:w="536" w:type="pct"/>
          </w:tcPr>
          <w:p w14:paraId="212C0703" w14:textId="77777777" w:rsidR="00C018F7" w:rsidRPr="00191D86" w:rsidRDefault="00C018F7" w:rsidP="0023414E">
            <w:pPr>
              <w:pStyle w:val="Standaard-Tabellen"/>
              <w:rPr>
                <w:b/>
                <w:i/>
              </w:rPr>
            </w:pPr>
            <w:r w:rsidRPr="00191D86">
              <w:rPr>
                <w:b/>
                <w:i/>
              </w:rPr>
              <w:lastRenderedPageBreak/>
              <w:t>PT19</w:t>
            </w:r>
          </w:p>
          <w:p w14:paraId="3115C114" w14:textId="77777777" w:rsidR="00C018F7" w:rsidRPr="00191D86" w:rsidRDefault="00C018F7" w:rsidP="0023414E">
            <w:pPr>
              <w:pStyle w:val="Standaard-Tabellen"/>
              <w:rPr>
                <w:b/>
                <w:i/>
              </w:rPr>
            </w:pPr>
            <w:r w:rsidRPr="00191D86">
              <w:rPr>
                <w:b/>
                <w:i/>
              </w:rPr>
              <w:t>Repellent</w:t>
            </w:r>
          </w:p>
          <w:p w14:paraId="2A9CDE94" w14:textId="77777777" w:rsidR="00C018F7" w:rsidRPr="00191D86" w:rsidRDefault="00C018F7" w:rsidP="0023414E">
            <w:pPr>
              <w:pStyle w:val="Standaard-Tabellen"/>
              <w:rPr>
                <w:b/>
                <w:i/>
              </w:rPr>
            </w:pPr>
          </w:p>
        </w:tc>
        <w:tc>
          <w:tcPr>
            <w:tcW w:w="617" w:type="pct"/>
          </w:tcPr>
          <w:p w14:paraId="5F13A416"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0F8AD568" w14:textId="77777777" w:rsidR="00C018F7" w:rsidRPr="00764794" w:rsidRDefault="00C018F7" w:rsidP="0023414E">
            <w:pPr>
              <w:pStyle w:val="Standaard-Tabellen"/>
              <w:rPr>
                <w:lang w:val="en-US"/>
              </w:rPr>
            </w:pPr>
            <w:r w:rsidRPr="00C069CF">
              <w:rPr>
                <w:lang w:val="en-US"/>
              </w:rPr>
              <w:t>- Applied on uncovered human skin</w:t>
            </w:r>
          </w:p>
        </w:tc>
        <w:tc>
          <w:tcPr>
            <w:tcW w:w="616" w:type="pct"/>
          </w:tcPr>
          <w:p w14:paraId="5C29C275" w14:textId="77777777" w:rsidR="00C018F7" w:rsidRDefault="00C018F7" w:rsidP="0023414E">
            <w:pPr>
              <w:pStyle w:val="Standaard-Tabellen"/>
              <w:rPr>
                <w:lang w:val="fr-BE"/>
              </w:rPr>
            </w:pPr>
            <w:proofErr w:type="spellStart"/>
            <w:r w:rsidRPr="00B96867">
              <w:rPr>
                <w:lang w:val="fr-BE"/>
              </w:rPr>
              <w:t>Insect</w:t>
            </w:r>
            <w:proofErr w:type="spellEnd"/>
            <w:r w:rsidRPr="00B96867">
              <w:rPr>
                <w:lang w:val="fr-BE"/>
              </w:rPr>
              <w:t xml:space="preserve"> Repellent Lotion IR3535 10% (</w:t>
            </w:r>
            <w:proofErr w:type="spellStart"/>
            <w:r w:rsidRPr="00B96867">
              <w:rPr>
                <w:lang w:val="fr-BE"/>
              </w:rPr>
              <w:t>liquid</w:t>
            </w:r>
            <w:proofErr w:type="spellEnd"/>
            <w:r w:rsidRPr="00B96867">
              <w:rPr>
                <w:lang w:val="fr-BE"/>
              </w:rPr>
              <w:t>, 10% IR3535)</w:t>
            </w:r>
          </w:p>
          <w:p w14:paraId="4915EDE0" w14:textId="77777777" w:rsidR="00C018F7" w:rsidRPr="00B96867" w:rsidRDefault="00C018F7" w:rsidP="0023414E">
            <w:pPr>
              <w:pStyle w:val="Standaard-Tabellen"/>
              <w:rPr>
                <w:lang w:val="fr-BE"/>
              </w:rPr>
            </w:pPr>
          </w:p>
          <w:p w14:paraId="69538F60" w14:textId="77777777" w:rsidR="00C018F7" w:rsidRPr="00B96867" w:rsidRDefault="00C018F7" w:rsidP="0023414E">
            <w:pPr>
              <w:pStyle w:val="Standaard-Tabellen"/>
            </w:pPr>
            <w:r w:rsidRPr="00B96867">
              <w:t xml:space="preserve">With composition of the formulation provided </w:t>
            </w:r>
            <w:r>
              <w:t xml:space="preserve">in </w:t>
            </w:r>
            <w:r w:rsidRPr="00B96867">
              <w:t>the efficacy test report.</w:t>
            </w:r>
          </w:p>
          <w:p w14:paraId="45B05062" w14:textId="77777777" w:rsidR="00C018F7" w:rsidRPr="00B96867" w:rsidRDefault="00C018F7" w:rsidP="0023414E">
            <w:pPr>
              <w:pStyle w:val="Standaard-Tabellen"/>
            </w:pPr>
          </w:p>
        </w:tc>
        <w:tc>
          <w:tcPr>
            <w:tcW w:w="736" w:type="pct"/>
          </w:tcPr>
          <w:p w14:paraId="180898C5" w14:textId="77777777" w:rsidR="00C018F7" w:rsidRPr="00191D86" w:rsidRDefault="00C018F7" w:rsidP="0023414E">
            <w:pPr>
              <w:pStyle w:val="Standaard-Tabellen"/>
              <w:rPr>
                <w:b/>
                <w:lang w:val="fr-BE"/>
              </w:rPr>
            </w:pPr>
            <w:r w:rsidRPr="00191D86">
              <w:rPr>
                <w:b/>
                <w:lang w:val="fr-BE"/>
              </w:rPr>
              <w:t>MOSQUITOES</w:t>
            </w:r>
          </w:p>
          <w:p w14:paraId="1CD976E4" w14:textId="77777777" w:rsidR="00C018F7" w:rsidRDefault="00C018F7" w:rsidP="0023414E">
            <w:pPr>
              <w:pStyle w:val="Standaard-Tabellen"/>
              <w:rPr>
                <w:i/>
                <w:iCs/>
                <w:lang w:val="fr-BE"/>
              </w:rPr>
            </w:pPr>
            <w:proofErr w:type="spellStart"/>
            <w:r>
              <w:rPr>
                <w:i/>
                <w:iCs/>
                <w:lang w:val="fr-BE"/>
              </w:rPr>
              <w:t>Anopheles</w:t>
            </w:r>
            <w:proofErr w:type="spellEnd"/>
            <w:r>
              <w:rPr>
                <w:i/>
                <w:iCs/>
                <w:lang w:val="fr-BE"/>
              </w:rPr>
              <w:t xml:space="preserve"> </w:t>
            </w:r>
            <w:proofErr w:type="spellStart"/>
            <w:r>
              <w:rPr>
                <w:i/>
                <w:iCs/>
                <w:lang w:val="fr-BE"/>
              </w:rPr>
              <w:t>aquasalis</w:t>
            </w:r>
            <w:proofErr w:type="spellEnd"/>
          </w:p>
          <w:p w14:paraId="5DB2BA94" w14:textId="77777777" w:rsidR="00C018F7" w:rsidRPr="00D154AD" w:rsidRDefault="00C018F7" w:rsidP="0023414E">
            <w:pPr>
              <w:pStyle w:val="Standaard-Tabellen"/>
              <w:rPr>
                <w:b/>
              </w:rPr>
            </w:pPr>
            <w:r w:rsidRPr="00D154AD">
              <w:rPr>
                <w:iCs/>
                <w:lang w:val="fr-BE"/>
              </w:rPr>
              <w:t>(</w:t>
            </w:r>
            <w:proofErr w:type="spellStart"/>
            <w:r w:rsidRPr="00D154AD">
              <w:rPr>
                <w:iCs/>
                <w:lang w:val="fr-BE"/>
              </w:rPr>
              <w:t>female</w:t>
            </w:r>
            <w:proofErr w:type="spellEnd"/>
            <w:r w:rsidRPr="00D154AD">
              <w:rPr>
                <w:iCs/>
                <w:lang w:val="fr-BE"/>
              </w:rPr>
              <w:t>)</w:t>
            </w:r>
          </w:p>
        </w:tc>
        <w:tc>
          <w:tcPr>
            <w:tcW w:w="481" w:type="pct"/>
          </w:tcPr>
          <w:p w14:paraId="25D001F8" w14:textId="77777777" w:rsidR="008758E2" w:rsidRPr="00890200" w:rsidRDefault="00C018F7" w:rsidP="008758E2">
            <w:pPr>
              <w:pStyle w:val="Standaard-Tabellen"/>
              <w:rPr>
                <w:lang w:val="en-US"/>
              </w:rPr>
            </w:pPr>
            <w:r w:rsidRPr="00D43095">
              <w:rPr>
                <w:lang w:val="en-US"/>
              </w:rPr>
              <w:t>Arm-in-Cage simulated-use test</w:t>
            </w:r>
            <w:r w:rsidR="008758E2">
              <w:rPr>
                <w:lang w:val="en-US"/>
              </w:rPr>
              <w:t xml:space="preserve"> </w:t>
            </w:r>
            <w:r w:rsidR="008758E2" w:rsidRPr="00890200">
              <w:rPr>
                <w:lang w:val="en-US"/>
              </w:rPr>
              <w:t>according to</w:t>
            </w:r>
            <w:r w:rsidR="008758E2">
              <w:rPr>
                <w:lang w:val="en-US"/>
              </w:rPr>
              <w:t xml:space="preserve"> the </w:t>
            </w:r>
            <w:r w:rsidR="008758E2" w:rsidRPr="00890200">
              <w:rPr>
                <w:lang w:val="en-US"/>
              </w:rPr>
              <w:t>EPA</w:t>
            </w:r>
            <w:r w:rsidR="008758E2">
              <w:rPr>
                <w:lang w:val="en-US"/>
              </w:rPr>
              <w:t xml:space="preserve"> g</w:t>
            </w:r>
            <w:r w:rsidR="008758E2" w:rsidRPr="00890200">
              <w:rPr>
                <w:lang w:val="en-US"/>
              </w:rPr>
              <w:t>uideline</w:t>
            </w:r>
          </w:p>
          <w:p w14:paraId="2CACB0FC" w14:textId="37E840CA" w:rsidR="00C018F7" w:rsidRPr="00C069CF" w:rsidRDefault="008758E2" w:rsidP="008758E2">
            <w:pPr>
              <w:pStyle w:val="Standaard-Tabellen"/>
              <w:rPr>
                <w:lang w:val="en-US"/>
              </w:rPr>
            </w:pPr>
            <w:r w:rsidRPr="00890200">
              <w:rPr>
                <w:lang w:val="en-US"/>
              </w:rPr>
              <w:t>OPPTS 810.3700</w:t>
            </w:r>
          </w:p>
        </w:tc>
        <w:tc>
          <w:tcPr>
            <w:tcW w:w="652" w:type="pct"/>
          </w:tcPr>
          <w:p w14:paraId="780E78A1" w14:textId="77777777" w:rsidR="00C018F7" w:rsidRDefault="00C018F7" w:rsidP="0023414E">
            <w:pPr>
              <w:pStyle w:val="Standaard-Tabellen"/>
            </w:pPr>
            <w:r w:rsidRPr="00C069CF">
              <w:t xml:space="preserve">- with </w:t>
            </w:r>
            <w:r>
              <w:t>12</w:t>
            </w:r>
            <w:r w:rsidRPr="00C069CF">
              <w:t xml:space="preserve"> volunteers</w:t>
            </w:r>
          </w:p>
          <w:p w14:paraId="5E36A475" w14:textId="77777777" w:rsidR="00C018F7" w:rsidRPr="00C069CF" w:rsidRDefault="00C018F7" w:rsidP="0023414E">
            <w:pPr>
              <w:pStyle w:val="Standaard-Tabellen"/>
            </w:pPr>
            <w:r>
              <w:t>(10 + 2 control)</w:t>
            </w:r>
          </w:p>
          <w:p w14:paraId="715012F6" w14:textId="77777777" w:rsidR="00C018F7" w:rsidRPr="00C069CF" w:rsidRDefault="00C018F7" w:rsidP="0023414E">
            <w:pPr>
              <w:pStyle w:val="Standaard-Tabellen"/>
            </w:pPr>
            <w:r w:rsidRPr="00C069CF">
              <w:t xml:space="preserve">- </w:t>
            </w:r>
            <w:r>
              <w:t>Application rate : 1</w:t>
            </w:r>
            <w:r w:rsidRPr="005B44DC">
              <w:t xml:space="preserve"> g </w:t>
            </w:r>
            <w:r>
              <w:t>BP</w:t>
            </w:r>
            <w:r w:rsidRPr="00C069CF">
              <w:t>/</w:t>
            </w:r>
            <w:r>
              <w:t xml:space="preserve">600 </w:t>
            </w:r>
            <w:r w:rsidRPr="00C069CF">
              <w:t>cm</w:t>
            </w:r>
            <w:r w:rsidRPr="00C069CF">
              <w:rPr>
                <w:vertAlign w:val="superscript"/>
              </w:rPr>
              <w:t>2</w:t>
            </w:r>
            <w:r w:rsidRPr="00C069CF">
              <w:t xml:space="preserve"> </w:t>
            </w:r>
          </w:p>
          <w:p w14:paraId="27F46E3D" w14:textId="77777777" w:rsidR="00C018F7" w:rsidRDefault="00C018F7" w:rsidP="0023414E">
            <w:pPr>
              <w:pStyle w:val="Standaard-Tabellen"/>
            </w:pPr>
            <w:r w:rsidRPr="00C069CF">
              <w:t xml:space="preserve">- </w:t>
            </w:r>
            <w:r>
              <w:t>in a netted cage :</w:t>
            </w:r>
          </w:p>
          <w:p w14:paraId="6735F233" w14:textId="77777777" w:rsidR="00C018F7" w:rsidRDefault="00C018F7" w:rsidP="0023414E">
            <w:pPr>
              <w:pStyle w:val="Standaard-Tabellen"/>
            </w:pPr>
            <w:r>
              <w:t>V = 64.000 cm</w:t>
            </w:r>
            <w:r w:rsidRPr="00D154AD">
              <w:rPr>
                <w:vertAlign w:val="superscript"/>
              </w:rPr>
              <w:t>3</w:t>
            </w:r>
          </w:p>
          <w:p w14:paraId="1B9978C7" w14:textId="77777777" w:rsidR="00C018F7" w:rsidRDefault="00C018F7" w:rsidP="0023414E">
            <w:pPr>
              <w:pStyle w:val="Standaard-Tabellen"/>
            </w:pPr>
            <w:r>
              <w:t>With 55 mosquitoes (</w:t>
            </w:r>
            <w:r w:rsidRPr="00A756EB">
              <w:rPr>
                <w:i/>
              </w:rPr>
              <w:t>as described in the OPPTS 810.3700 methodology, July 7th, 2010 &amp; within the range recommended by the WHO guidelines p.6</w:t>
            </w:r>
            <w:r>
              <w:t>)</w:t>
            </w:r>
          </w:p>
          <w:p w14:paraId="69BB337F" w14:textId="77777777" w:rsidR="00C018F7" w:rsidRDefault="00C018F7" w:rsidP="0023414E">
            <w:pPr>
              <w:pStyle w:val="Standaard-Tabellen"/>
            </w:pPr>
            <w:r>
              <w:t xml:space="preserve">- 5 min exposure time </w:t>
            </w:r>
            <w:r w:rsidRPr="00C069CF">
              <w:t>until</w:t>
            </w:r>
            <w:r>
              <w:t xml:space="preserve"> 8</w:t>
            </w:r>
            <w:r w:rsidRPr="00C069CF">
              <w:t xml:space="preserve"> hours</w:t>
            </w:r>
          </w:p>
          <w:p w14:paraId="4DB37ABC" w14:textId="77777777" w:rsidR="00C018F7" w:rsidRDefault="00C018F7" w:rsidP="0023414E">
            <w:pPr>
              <w:pStyle w:val="Standaard-Tabellen"/>
            </w:pPr>
            <w:r w:rsidRPr="00C069CF">
              <w:t>- “normal” climatic conditions for temperate areas (+</w:t>
            </w:r>
            <w:r>
              <w:t>25.0 ± +2</w:t>
            </w:r>
            <w:r w:rsidRPr="00C069CF">
              <w:t xml:space="preserve">°C ; </w:t>
            </w:r>
            <w:r>
              <w:t xml:space="preserve">between 50 &amp; 70 </w:t>
            </w:r>
            <w:r w:rsidRPr="00C069CF">
              <w:t xml:space="preserve">% </w:t>
            </w:r>
            <w:r>
              <w:t>H</w:t>
            </w:r>
            <w:r w:rsidRPr="002C4257">
              <w:rPr>
                <w:vertAlign w:val="subscript"/>
              </w:rPr>
              <w:t>R</w:t>
            </w:r>
            <w:r>
              <w:t>; photoperiod 12/12</w:t>
            </w:r>
            <w:r w:rsidRPr="00C069CF">
              <w:t>)</w:t>
            </w:r>
          </w:p>
          <w:p w14:paraId="797851D7" w14:textId="77777777" w:rsidR="00C018F7" w:rsidRPr="00641C1B" w:rsidRDefault="00C018F7" w:rsidP="0023414E">
            <w:pPr>
              <w:pStyle w:val="Standaard-Tabellen"/>
            </w:pPr>
          </w:p>
        </w:tc>
        <w:tc>
          <w:tcPr>
            <w:tcW w:w="875" w:type="pct"/>
          </w:tcPr>
          <w:p w14:paraId="17E89341" w14:textId="7D907FC3" w:rsidR="00C018F7" w:rsidRPr="0096761B" w:rsidRDefault="00C018F7" w:rsidP="001B6665">
            <w:pPr>
              <w:pStyle w:val="Standaard-Tabellen"/>
              <w:rPr>
                <w:color w:val="0070C0"/>
              </w:rPr>
            </w:pPr>
            <w:r w:rsidRPr="000C6C40">
              <w:t>The product used at 1g BP/</w:t>
            </w:r>
            <w:r w:rsidR="00283AD8">
              <w:t xml:space="preserve">600 </w:t>
            </w:r>
            <w:r w:rsidRPr="000C6C40">
              <w:t>cm</w:t>
            </w:r>
            <w:r w:rsidRPr="000C6C40">
              <w:rPr>
                <w:vertAlign w:val="superscript"/>
              </w:rPr>
              <w:t>2</w:t>
            </w:r>
            <w:r w:rsidRPr="000C6C40">
              <w:t xml:space="preserve"> (0.00166 g BP/cm</w:t>
            </w:r>
            <w:r w:rsidRPr="000C6C40">
              <w:rPr>
                <w:vertAlign w:val="superscript"/>
              </w:rPr>
              <w:t>2</w:t>
            </w:r>
            <w:r w:rsidRPr="000C6C40">
              <w:t xml:space="preserve"> &amp; with d = 0.989 =&gt; 0.00166 mL BP/cm</w:t>
            </w:r>
            <w:r w:rsidRPr="000C6C40">
              <w:rPr>
                <w:vertAlign w:val="superscript"/>
              </w:rPr>
              <w:t>2</w:t>
            </w:r>
            <w:r w:rsidRPr="000C6C40">
              <w:t xml:space="preserve"> or 0.000166 mL A.I./cm</w:t>
            </w:r>
            <w:r w:rsidRPr="000C6C40">
              <w:rPr>
                <w:vertAlign w:val="superscript"/>
              </w:rPr>
              <w:t>2</w:t>
            </w:r>
            <w:r w:rsidRPr="000C6C40">
              <w:t xml:space="preserve">) is 100% efficacious to repel female </w:t>
            </w:r>
            <w:r w:rsidRPr="000C6C40">
              <w:rPr>
                <w:i/>
              </w:rPr>
              <w:t xml:space="preserve">Anopheles </w:t>
            </w:r>
            <w:proofErr w:type="spellStart"/>
            <w:r w:rsidRPr="000C6C40">
              <w:rPr>
                <w:i/>
              </w:rPr>
              <w:t>aquasalis</w:t>
            </w:r>
            <w:proofErr w:type="spellEnd"/>
            <w:r w:rsidRPr="000C6C40">
              <w:rPr>
                <w:i/>
              </w:rPr>
              <w:t xml:space="preserve"> </w:t>
            </w:r>
            <w:r w:rsidRPr="000C6C40">
              <w:t xml:space="preserve">mosquitoes up to </w:t>
            </w:r>
            <w:r w:rsidR="00024D2F">
              <w:t xml:space="preserve">7 </w:t>
            </w:r>
            <w:r w:rsidR="001B6665" w:rsidRPr="000C6C40">
              <w:t>h</w:t>
            </w:r>
            <w:r w:rsidRPr="000C6C40">
              <w:t>.</w:t>
            </w:r>
          </w:p>
        </w:tc>
        <w:tc>
          <w:tcPr>
            <w:tcW w:w="487" w:type="pct"/>
          </w:tcPr>
          <w:p w14:paraId="53F3B072" w14:textId="77777777" w:rsidR="00A93E0A" w:rsidRPr="005A3A05" w:rsidRDefault="00A93E0A" w:rsidP="00A93E0A">
            <w:pPr>
              <w:pStyle w:val="Standaard-Tabellen"/>
              <w:rPr>
                <w:b/>
                <w:iCs/>
                <w:lang w:val="fr-BE"/>
              </w:rPr>
            </w:pPr>
            <w:r w:rsidRPr="005A3A05">
              <w:rPr>
                <w:b/>
                <w:iCs/>
                <w:lang w:val="fr-BE"/>
              </w:rPr>
              <w:t xml:space="preserve">P. H. Herculano, </w:t>
            </w:r>
            <w:r w:rsidRPr="00207FB2">
              <w:rPr>
                <w:b/>
                <w:iCs/>
                <w:lang w:val="fr-BE"/>
              </w:rPr>
              <w:t xml:space="preserve">&amp; </w:t>
            </w:r>
            <w:r w:rsidRPr="005A3A05">
              <w:rPr>
                <w:b/>
                <w:iCs/>
                <w:lang w:val="fr-BE"/>
              </w:rPr>
              <w:t xml:space="preserve">G. P. Machado </w:t>
            </w:r>
            <w:r w:rsidRPr="00207FB2">
              <w:rPr>
                <w:b/>
                <w:iCs/>
                <w:lang w:val="fr-BE"/>
              </w:rPr>
              <w:t>(2017)</w:t>
            </w:r>
          </w:p>
          <w:p w14:paraId="46C4F488" w14:textId="77777777" w:rsidR="00A93E0A" w:rsidRDefault="00A93E0A" w:rsidP="00A93E0A">
            <w:pPr>
              <w:pStyle w:val="Standaard-Tabellen"/>
              <w:rPr>
                <w:b/>
                <w:iCs/>
                <w:lang w:val="fr-BE"/>
              </w:rPr>
            </w:pPr>
          </w:p>
          <w:p w14:paraId="5065D8B0" w14:textId="77777777" w:rsidR="00C018F7" w:rsidRPr="00345C92" w:rsidRDefault="00C018F7" w:rsidP="0023414E">
            <w:pPr>
              <w:pStyle w:val="Standaard-Tabellen"/>
              <w:rPr>
                <w:b/>
                <w:iCs/>
                <w:lang w:val="fr-BE"/>
              </w:rPr>
            </w:pPr>
            <w:r w:rsidRPr="00345C92">
              <w:rPr>
                <w:b/>
                <w:iCs/>
                <w:lang w:val="fr-BE"/>
              </w:rPr>
              <w:t>Document “RMQANE-  039843.R1 (</w:t>
            </w:r>
            <w:proofErr w:type="spellStart"/>
            <w:r w:rsidRPr="00345C92">
              <w:rPr>
                <w:b/>
                <w:iCs/>
                <w:lang w:val="fr-BE"/>
              </w:rPr>
              <w:t>Inglês</w:t>
            </w:r>
            <w:proofErr w:type="spellEnd"/>
            <w:r w:rsidRPr="00345C92">
              <w:rPr>
                <w:b/>
                <w:iCs/>
                <w:lang w:val="fr-BE"/>
              </w:rPr>
              <w:t>)”</w:t>
            </w:r>
          </w:p>
          <w:p w14:paraId="6E36BAFD" w14:textId="77777777" w:rsidR="00C018F7" w:rsidRPr="00345C92" w:rsidRDefault="00C018F7" w:rsidP="0023414E">
            <w:pPr>
              <w:pStyle w:val="Standaard-Tabellen"/>
              <w:rPr>
                <w:b/>
                <w:iCs/>
                <w:lang w:val="fr-BE"/>
              </w:rPr>
            </w:pPr>
          </w:p>
          <w:p w14:paraId="44B0810F" w14:textId="77777777" w:rsidR="00C018F7" w:rsidRPr="000C6C40" w:rsidRDefault="00C018F7" w:rsidP="0023414E">
            <w:pPr>
              <w:pStyle w:val="Standaard-Tabellen"/>
              <w:rPr>
                <w:b/>
                <w:iCs/>
                <w:lang w:val="en-US"/>
              </w:rPr>
            </w:pPr>
            <w:r w:rsidRPr="000C6C40">
              <w:rPr>
                <w:b/>
                <w:iCs/>
                <w:lang w:val="en-US"/>
              </w:rPr>
              <w:t>Report N° RMQANE-  039843.R1</w:t>
            </w:r>
          </w:p>
          <w:p w14:paraId="4253EDBF" w14:textId="77777777" w:rsidR="00C018F7" w:rsidRPr="000C6C40" w:rsidRDefault="00C018F7" w:rsidP="0023414E">
            <w:pPr>
              <w:pStyle w:val="Standaard-Tabellen"/>
              <w:rPr>
                <w:b/>
                <w:iCs/>
                <w:lang w:val="en-US"/>
              </w:rPr>
            </w:pPr>
          </w:p>
          <w:p w14:paraId="28D4954D" w14:textId="77777777" w:rsidR="00C018F7" w:rsidRPr="00461536" w:rsidRDefault="00C018F7" w:rsidP="0023414E">
            <w:pPr>
              <w:pStyle w:val="Standaard-Tabellen"/>
              <w:rPr>
                <w:iCs/>
                <w:lang w:val="en-US"/>
              </w:rPr>
            </w:pPr>
            <w:r w:rsidRPr="00605379">
              <w:rPr>
                <w:iCs/>
                <w:lang w:val="en-US"/>
              </w:rPr>
              <w:t>“</w:t>
            </w:r>
            <w:r w:rsidRPr="00461536">
              <w:rPr>
                <w:iCs/>
                <w:lang w:val="en-US"/>
              </w:rPr>
              <w:t>EFFICACY TESTS IN A REPELLENT PRODUCT FOR MOSQUITOES</w:t>
            </w:r>
          </w:p>
          <w:p w14:paraId="7E706770" w14:textId="77777777" w:rsidR="00C018F7" w:rsidRDefault="00C018F7" w:rsidP="0023414E">
            <w:pPr>
              <w:pStyle w:val="Standaard-Tabellen"/>
              <w:rPr>
                <w:i/>
                <w:iCs/>
                <w:lang w:val="fr-BE"/>
              </w:rPr>
            </w:pPr>
            <w:proofErr w:type="spellStart"/>
            <w:r>
              <w:rPr>
                <w:i/>
                <w:iCs/>
                <w:lang w:val="fr-BE"/>
              </w:rPr>
              <w:t>Anopheles</w:t>
            </w:r>
            <w:proofErr w:type="spellEnd"/>
            <w:r>
              <w:rPr>
                <w:i/>
                <w:iCs/>
                <w:lang w:val="fr-BE"/>
              </w:rPr>
              <w:t xml:space="preserve"> </w:t>
            </w:r>
            <w:proofErr w:type="spellStart"/>
            <w:r>
              <w:rPr>
                <w:i/>
                <w:iCs/>
                <w:lang w:val="fr-BE"/>
              </w:rPr>
              <w:t>aquasalis</w:t>
            </w:r>
            <w:proofErr w:type="spellEnd"/>
          </w:p>
          <w:p w14:paraId="393D23EE" w14:textId="77777777" w:rsidR="00C018F7" w:rsidRPr="00B66836" w:rsidRDefault="00C018F7" w:rsidP="0023414E">
            <w:pPr>
              <w:pStyle w:val="Standaard-Tabellen"/>
              <w:rPr>
                <w:iCs/>
                <w:lang w:val="fr-BE"/>
              </w:rPr>
            </w:pPr>
            <w:r w:rsidRPr="00B66836">
              <w:rPr>
                <w:iCs/>
                <w:lang w:val="fr-BE"/>
              </w:rPr>
              <w:t xml:space="preserve"> (DIPTERA: CULICIDAE)”</w:t>
            </w:r>
          </w:p>
          <w:p w14:paraId="79983F31" w14:textId="77777777" w:rsidR="00C018F7" w:rsidRPr="00B66836" w:rsidRDefault="00C018F7" w:rsidP="0023414E">
            <w:pPr>
              <w:pStyle w:val="Standaard-Tabellen"/>
              <w:rPr>
                <w:b/>
                <w:iCs/>
                <w:lang w:val="fr-BE"/>
              </w:rPr>
            </w:pPr>
          </w:p>
          <w:p w14:paraId="60BD43EB" w14:textId="77777777" w:rsidR="00C018F7" w:rsidRPr="00B66836" w:rsidRDefault="00C018F7" w:rsidP="0023414E">
            <w:pPr>
              <w:pStyle w:val="Standaard-Tabellen"/>
              <w:jc w:val="center"/>
              <w:rPr>
                <w:b/>
                <w:lang w:val="fr-BE"/>
              </w:rPr>
            </w:pPr>
            <w:r w:rsidRPr="00B66836">
              <w:rPr>
                <w:b/>
                <w:lang w:val="fr-BE"/>
              </w:rPr>
              <w:t>R.1</w:t>
            </w:r>
          </w:p>
          <w:p w14:paraId="57E377CB" w14:textId="77777777" w:rsidR="00C018F7" w:rsidRPr="00461536" w:rsidRDefault="00C018F7" w:rsidP="0023414E">
            <w:pPr>
              <w:pStyle w:val="Standaard-Tabellen"/>
              <w:jc w:val="center"/>
              <w:rPr>
                <w:b/>
                <w:iCs/>
              </w:rPr>
            </w:pPr>
            <w:r>
              <w:rPr>
                <w:b/>
              </w:rPr>
              <w:t>Key study</w:t>
            </w:r>
          </w:p>
        </w:tc>
      </w:tr>
      <w:tr w:rsidR="00C018F7" w:rsidRPr="00BD2EF1" w14:paraId="56882E6B" w14:textId="77777777" w:rsidTr="0023414E">
        <w:tc>
          <w:tcPr>
            <w:tcW w:w="536" w:type="pct"/>
          </w:tcPr>
          <w:p w14:paraId="22D14688" w14:textId="77777777" w:rsidR="00C018F7" w:rsidRPr="00191D86" w:rsidRDefault="00C018F7" w:rsidP="0023414E">
            <w:pPr>
              <w:pStyle w:val="Standaard-Tabellen"/>
              <w:rPr>
                <w:b/>
                <w:i/>
              </w:rPr>
            </w:pPr>
            <w:r w:rsidRPr="00191D86">
              <w:rPr>
                <w:b/>
                <w:i/>
              </w:rPr>
              <w:t>PT19</w:t>
            </w:r>
          </w:p>
          <w:p w14:paraId="518B9ED4" w14:textId="77777777" w:rsidR="00C018F7" w:rsidRPr="00191D86" w:rsidRDefault="00C018F7" w:rsidP="0023414E">
            <w:pPr>
              <w:pStyle w:val="Standaard-Tabellen"/>
              <w:rPr>
                <w:b/>
                <w:i/>
              </w:rPr>
            </w:pPr>
            <w:r w:rsidRPr="00191D86">
              <w:rPr>
                <w:b/>
                <w:i/>
              </w:rPr>
              <w:t>Repellent</w:t>
            </w:r>
          </w:p>
          <w:p w14:paraId="74591988" w14:textId="77777777" w:rsidR="00C018F7" w:rsidRPr="00191D86" w:rsidRDefault="00C018F7" w:rsidP="0023414E">
            <w:pPr>
              <w:pStyle w:val="Standaard-Tabellen"/>
              <w:rPr>
                <w:b/>
                <w:i/>
              </w:rPr>
            </w:pPr>
          </w:p>
        </w:tc>
        <w:tc>
          <w:tcPr>
            <w:tcW w:w="617" w:type="pct"/>
          </w:tcPr>
          <w:p w14:paraId="1935738A"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329E35CC" w14:textId="77777777" w:rsidR="00C018F7" w:rsidRPr="00764794" w:rsidRDefault="00C018F7" w:rsidP="0023414E">
            <w:pPr>
              <w:pStyle w:val="Standaard-Tabellen"/>
              <w:rPr>
                <w:lang w:val="en-US"/>
              </w:rPr>
            </w:pPr>
            <w:r w:rsidRPr="00C069CF">
              <w:rPr>
                <w:lang w:val="en-US"/>
              </w:rPr>
              <w:lastRenderedPageBreak/>
              <w:t>- Applied on uncovered human skin</w:t>
            </w:r>
          </w:p>
        </w:tc>
        <w:tc>
          <w:tcPr>
            <w:tcW w:w="616" w:type="pct"/>
          </w:tcPr>
          <w:p w14:paraId="7A82A394" w14:textId="77777777" w:rsidR="00C018F7" w:rsidRDefault="00C018F7" w:rsidP="0023414E">
            <w:pPr>
              <w:pStyle w:val="Standaard-Tabellen"/>
              <w:rPr>
                <w:lang w:val="fr-BE"/>
              </w:rPr>
            </w:pPr>
            <w:proofErr w:type="spellStart"/>
            <w:r w:rsidRPr="00B96867">
              <w:rPr>
                <w:lang w:val="fr-BE"/>
              </w:rPr>
              <w:lastRenderedPageBreak/>
              <w:t>Insect</w:t>
            </w:r>
            <w:proofErr w:type="spellEnd"/>
            <w:r w:rsidRPr="00B96867">
              <w:rPr>
                <w:lang w:val="fr-BE"/>
              </w:rPr>
              <w:t xml:space="preserve"> Repellent Lotion IR3535 </w:t>
            </w:r>
            <w:r w:rsidRPr="00B96867">
              <w:rPr>
                <w:lang w:val="fr-BE"/>
              </w:rPr>
              <w:lastRenderedPageBreak/>
              <w:t>10% (</w:t>
            </w:r>
            <w:proofErr w:type="spellStart"/>
            <w:r w:rsidRPr="00B96867">
              <w:rPr>
                <w:lang w:val="fr-BE"/>
              </w:rPr>
              <w:t>liquid</w:t>
            </w:r>
            <w:proofErr w:type="spellEnd"/>
            <w:r w:rsidRPr="00B96867">
              <w:rPr>
                <w:lang w:val="fr-BE"/>
              </w:rPr>
              <w:t>, 10% IR3535)</w:t>
            </w:r>
          </w:p>
          <w:p w14:paraId="00CA681E" w14:textId="77777777" w:rsidR="00C018F7" w:rsidRPr="00B96867" w:rsidRDefault="00C018F7" w:rsidP="0023414E">
            <w:pPr>
              <w:pStyle w:val="Standaard-Tabellen"/>
              <w:rPr>
                <w:lang w:val="fr-BE"/>
              </w:rPr>
            </w:pPr>
          </w:p>
          <w:p w14:paraId="70090A68" w14:textId="77777777" w:rsidR="00C018F7" w:rsidRPr="00B96867" w:rsidRDefault="00C018F7" w:rsidP="0023414E">
            <w:pPr>
              <w:pStyle w:val="Standaard-Tabellen"/>
            </w:pPr>
            <w:r w:rsidRPr="00B96867">
              <w:t xml:space="preserve">With composition of the formulation provided </w:t>
            </w:r>
            <w:r>
              <w:t xml:space="preserve">in </w:t>
            </w:r>
            <w:r w:rsidRPr="00B96867">
              <w:t>the efficacy test report.</w:t>
            </w:r>
          </w:p>
          <w:p w14:paraId="25E12AE0" w14:textId="77777777" w:rsidR="00C018F7" w:rsidRPr="00B96867" w:rsidRDefault="00C018F7" w:rsidP="0023414E">
            <w:pPr>
              <w:pStyle w:val="Standaard-Tabellen"/>
            </w:pPr>
          </w:p>
        </w:tc>
        <w:tc>
          <w:tcPr>
            <w:tcW w:w="736" w:type="pct"/>
          </w:tcPr>
          <w:p w14:paraId="4A369264" w14:textId="77777777" w:rsidR="00C018F7" w:rsidRPr="00191D86" w:rsidRDefault="00C018F7" w:rsidP="0023414E">
            <w:pPr>
              <w:pStyle w:val="Standaard-Tabellen"/>
              <w:rPr>
                <w:b/>
                <w:lang w:val="fr-BE"/>
              </w:rPr>
            </w:pPr>
            <w:r w:rsidRPr="00191D86">
              <w:rPr>
                <w:b/>
                <w:lang w:val="fr-BE"/>
              </w:rPr>
              <w:lastRenderedPageBreak/>
              <w:t>MOSQUITOES</w:t>
            </w:r>
          </w:p>
          <w:p w14:paraId="2A9AD6F4" w14:textId="77777777" w:rsidR="00C018F7" w:rsidRDefault="00C018F7" w:rsidP="0023414E">
            <w:pPr>
              <w:pStyle w:val="Standaard-Tabellen"/>
              <w:rPr>
                <w:i/>
                <w:iCs/>
                <w:lang w:val="fr-BE"/>
              </w:rPr>
            </w:pPr>
            <w:r>
              <w:rPr>
                <w:i/>
                <w:iCs/>
                <w:lang w:val="fr-BE"/>
              </w:rPr>
              <w:t xml:space="preserve">Culex </w:t>
            </w:r>
            <w:proofErr w:type="spellStart"/>
            <w:r>
              <w:rPr>
                <w:i/>
                <w:iCs/>
                <w:lang w:val="fr-BE"/>
              </w:rPr>
              <w:t>quinquefasciatus</w:t>
            </w:r>
            <w:proofErr w:type="spellEnd"/>
          </w:p>
          <w:p w14:paraId="11351334" w14:textId="77777777" w:rsidR="00C018F7" w:rsidRPr="00D154AD" w:rsidRDefault="00C018F7" w:rsidP="0023414E">
            <w:pPr>
              <w:pStyle w:val="Standaard-Tabellen"/>
              <w:rPr>
                <w:b/>
              </w:rPr>
            </w:pPr>
            <w:r w:rsidRPr="00D154AD">
              <w:rPr>
                <w:iCs/>
                <w:lang w:val="fr-BE"/>
              </w:rPr>
              <w:lastRenderedPageBreak/>
              <w:t>(</w:t>
            </w:r>
            <w:proofErr w:type="spellStart"/>
            <w:r w:rsidRPr="00D154AD">
              <w:rPr>
                <w:iCs/>
                <w:lang w:val="fr-BE"/>
              </w:rPr>
              <w:t>female</w:t>
            </w:r>
            <w:proofErr w:type="spellEnd"/>
            <w:r w:rsidRPr="00D154AD">
              <w:rPr>
                <w:iCs/>
                <w:lang w:val="fr-BE"/>
              </w:rPr>
              <w:t>)</w:t>
            </w:r>
          </w:p>
        </w:tc>
        <w:tc>
          <w:tcPr>
            <w:tcW w:w="481" w:type="pct"/>
          </w:tcPr>
          <w:p w14:paraId="7C2AA86E" w14:textId="77777777" w:rsidR="008758E2" w:rsidRPr="00890200" w:rsidRDefault="00C018F7" w:rsidP="008758E2">
            <w:pPr>
              <w:pStyle w:val="Standaard-Tabellen"/>
              <w:rPr>
                <w:lang w:val="en-US"/>
              </w:rPr>
            </w:pPr>
            <w:r w:rsidRPr="00D43095">
              <w:rPr>
                <w:lang w:val="en-US"/>
              </w:rPr>
              <w:lastRenderedPageBreak/>
              <w:t>Arm-in-Cage simulated-use test</w:t>
            </w:r>
            <w:r w:rsidR="008758E2">
              <w:rPr>
                <w:lang w:val="en-US"/>
              </w:rPr>
              <w:t xml:space="preserve"> </w:t>
            </w:r>
            <w:r w:rsidR="008758E2" w:rsidRPr="00890200">
              <w:rPr>
                <w:lang w:val="en-US"/>
              </w:rPr>
              <w:lastRenderedPageBreak/>
              <w:t>according to</w:t>
            </w:r>
            <w:r w:rsidR="008758E2">
              <w:rPr>
                <w:lang w:val="en-US"/>
              </w:rPr>
              <w:t xml:space="preserve"> the </w:t>
            </w:r>
            <w:r w:rsidR="008758E2" w:rsidRPr="00890200">
              <w:rPr>
                <w:lang w:val="en-US"/>
              </w:rPr>
              <w:t>EPA</w:t>
            </w:r>
            <w:r w:rsidR="008758E2">
              <w:rPr>
                <w:lang w:val="en-US"/>
              </w:rPr>
              <w:t xml:space="preserve"> g</w:t>
            </w:r>
            <w:r w:rsidR="008758E2" w:rsidRPr="00890200">
              <w:rPr>
                <w:lang w:val="en-US"/>
              </w:rPr>
              <w:t>uideline</w:t>
            </w:r>
          </w:p>
          <w:p w14:paraId="3C2E6D16" w14:textId="0B8C7149" w:rsidR="00C018F7" w:rsidRPr="00C069CF" w:rsidRDefault="008758E2" w:rsidP="008758E2">
            <w:pPr>
              <w:pStyle w:val="Standaard-Tabellen"/>
              <w:rPr>
                <w:lang w:val="en-US"/>
              </w:rPr>
            </w:pPr>
            <w:r w:rsidRPr="00890200">
              <w:rPr>
                <w:lang w:val="en-US"/>
              </w:rPr>
              <w:t>OPPTS 810.3700</w:t>
            </w:r>
          </w:p>
        </w:tc>
        <w:tc>
          <w:tcPr>
            <w:tcW w:w="652" w:type="pct"/>
          </w:tcPr>
          <w:p w14:paraId="5C1BAB80" w14:textId="77777777" w:rsidR="00C018F7" w:rsidRPr="000C6C40" w:rsidRDefault="00C018F7" w:rsidP="0023414E">
            <w:pPr>
              <w:pStyle w:val="Standaard-Tabellen"/>
            </w:pPr>
            <w:r w:rsidRPr="000C6C40">
              <w:lastRenderedPageBreak/>
              <w:t>- with 12 volunteers</w:t>
            </w:r>
          </w:p>
          <w:p w14:paraId="2C8F246B" w14:textId="77777777" w:rsidR="00C018F7" w:rsidRPr="000C6C40" w:rsidRDefault="00C018F7" w:rsidP="0023414E">
            <w:pPr>
              <w:pStyle w:val="Standaard-Tabellen"/>
            </w:pPr>
            <w:r w:rsidRPr="000C6C40">
              <w:t>(10 + 2 control)</w:t>
            </w:r>
          </w:p>
          <w:p w14:paraId="0A74EB53" w14:textId="77777777" w:rsidR="00C018F7" w:rsidRPr="000C6C40" w:rsidRDefault="00C018F7" w:rsidP="0023414E">
            <w:pPr>
              <w:pStyle w:val="Standaard-Tabellen"/>
            </w:pPr>
            <w:r w:rsidRPr="000C6C40">
              <w:lastRenderedPageBreak/>
              <w:t>- Application rate : 1 g BP/600 cm</w:t>
            </w:r>
            <w:r w:rsidRPr="000C6C40">
              <w:rPr>
                <w:vertAlign w:val="superscript"/>
              </w:rPr>
              <w:t>2</w:t>
            </w:r>
            <w:r w:rsidRPr="000C6C40">
              <w:t xml:space="preserve"> </w:t>
            </w:r>
          </w:p>
          <w:p w14:paraId="42748972" w14:textId="77777777" w:rsidR="00C018F7" w:rsidRPr="000C6C40" w:rsidRDefault="00C018F7" w:rsidP="0023414E">
            <w:pPr>
              <w:pStyle w:val="Standaard-Tabellen"/>
            </w:pPr>
            <w:r w:rsidRPr="000C6C40">
              <w:t>- in a netted cage :</w:t>
            </w:r>
          </w:p>
          <w:p w14:paraId="0BC9C065" w14:textId="77777777" w:rsidR="00C018F7" w:rsidRPr="000C6C40" w:rsidRDefault="00C018F7" w:rsidP="0023414E">
            <w:pPr>
              <w:pStyle w:val="Standaard-Tabellen"/>
            </w:pPr>
            <w:r w:rsidRPr="000C6C40">
              <w:t>V = 64.000 cm</w:t>
            </w:r>
            <w:r w:rsidRPr="000C6C40">
              <w:rPr>
                <w:vertAlign w:val="superscript"/>
              </w:rPr>
              <w:t>3</w:t>
            </w:r>
          </w:p>
          <w:p w14:paraId="55E69E55" w14:textId="77777777" w:rsidR="00C018F7" w:rsidRPr="000C6C40" w:rsidRDefault="00C018F7" w:rsidP="0023414E">
            <w:pPr>
              <w:pStyle w:val="Standaard-Tabellen"/>
            </w:pPr>
            <w:r w:rsidRPr="000C6C40">
              <w:t>With 55 mosquitoes (</w:t>
            </w:r>
            <w:r w:rsidRPr="000C6C40">
              <w:rPr>
                <w:i/>
              </w:rPr>
              <w:t>as described in the OPPTS 810.3700 methodology, July 7th, 2010 &amp; within the range recommended by the WHO guidelines p.6</w:t>
            </w:r>
            <w:r w:rsidRPr="000C6C40">
              <w:t>)</w:t>
            </w:r>
          </w:p>
          <w:p w14:paraId="0B551333" w14:textId="77777777" w:rsidR="00C018F7" w:rsidRPr="000C6C40" w:rsidRDefault="00C018F7" w:rsidP="0023414E">
            <w:pPr>
              <w:pStyle w:val="Standaard-Tabellen"/>
            </w:pPr>
            <w:r w:rsidRPr="000C6C40">
              <w:t>- 5 min exposure time until 8 hours</w:t>
            </w:r>
          </w:p>
          <w:p w14:paraId="59CE49B7" w14:textId="77777777" w:rsidR="00C018F7" w:rsidRPr="000C6C40" w:rsidRDefault="00C018F7" w:rsidP="0023414E">
            <w:pPr>
              <w:pStyle w:val="Standaard-Tabellen"/>
            </w:pPr>
            <w:r w:rsidRPr="000C6C40">
              <w:t>- “normal” climatic conditions for temperate areas (+25.0 ± +2°C ; between 50 &amp; 70 % H</w:t>
            </w:r>
            <w:r w:rsidRPr="000C6C40">
              <w:rPr>
                <w:vertAlign w:val="subscript"/>
              </w:rPr>
              <w:t>R</w:t>
            </w:r>
            <w:r w:rsidRPr="000C6C40">
              <w:t>; photoperiod 12/12)</w:t>
            </w:r>
          </w:p>
          <w:p w14:paraId="59EEE88A" w14:textId="77777777" w:rsidR="00C018F7" w:rsidRPr="000C6C40" w:rsidRDefault="00C018F7" w:rsidP="0023414E">
            <w:pPr>
              <w:pStyle w:val="Standaard-Tabellen"/>
            </w:pPr>
          </w:p>
        </w:tc>
        <w:tc>
          <w:tcPr>
            <w:tcW w:w="875" w:type="pct"/>
          </w:tcPr>
          <w:p w14:paraId="3D5BE806" w14:textId="71AAAD47" w:rsidR="00C018F7" w:rsidRPr="000C6C40" w:rsidRDefault="00C018F7" w:rsidP="001B6665">
            <w:pPr>
              <w:pStyle w:val="Standaard-Tabellen"/>
            </w:pPr>
            <w:r w:rsidRPr="000C6C40">
              <w:lastRenderedPageBreak/>
              <w:t>The product used at 1g BP/</w:t>
            </w:r>
            <w:r w:rsidR="00283AD8">
              <w:t xml:space="preserve">600 </w:t>
            </w:r>
            <w:r w:rsidRPr="000C6C40">
              <w:t>cm</w:t>
            </w:r>
            <w:r w:rsidRPr="000C6C40">
              <w:rPr>
                <w:vertAlign w:val="superscript"/>
              </w:rPr>
              <w:t>2</w:t>
            </w:r>
            <w:r w:rsidRPr="000C6C40">
              <w:t xml:space="preserve"> (0.00166 g BP/cm</w:t>
            </w:r>
            <w:r w:rsidRPr="000C6C40">
              <w:rPr>
                <w:vertAlign w:val="superscript"/>
              </w:rPr>
              <w:t>2</w:t>
            </w:r>
            <w:r w:rsidRPr="000C6C40">
              <w:t xml:space="preserve"> &amp; with d = 0.989 </w:t>
            </w:r>
            <w:r w:rsidRPr="000C6C40">
              <w:lastRenderedPageBreak/>
              <w:t>=&gt; 0.00166 mL BP/cm</w:t>
            </w:r>
            <w:r w:rsidRPr="000C6C40">
              <w:rPr>
                <w:vertAlign w:val="superscript"/>
              </w:rPr>
              <w:t>2</w:t>
            </w:r>
            <w:r w:rsidRPr="000C6C40">
              <w:t xml:space="preserve"> or 0.000166 mL A.I./cm</w:t>
            </w:r>
            <w:r w:rsidRPr="000C6C40">
              <w:rPr>
                <w:vertAlign w:val="superscript"/>
              </w:rPr>
              <w:t>2</w:t>
            </w:r>
            <w:r w:rsidRPr="000C6C40">
              <w:t xml:space="preserve">) is 100% efficacious to repel female </w:t>
            </w:r>
            <w:r w:rsidRPr="000C6C40">
              <w:rPr>
                <w:i/>
              </w:rPr>
              <w:t xml:space="preserve">Culex </w:t>
            </w:r>
            <w:proofErr w:type="spellStart"/>
            <w:r w:rsidRPr="000C6C40">
              <w:rPr>
                <w:i/>
              </w:rPr>
              <w:t>quinquefasciatus</w:t>
            </w:r>
            <w:proofErr w:type="spellEnd"/>
            <w:r w:rsidRPr="000C6C40">
              <w:rPr>
                <w:i/>
              </w:rPr>
              <w:t xml:space="preserve"> </w:t>
            </w:r>
            <w:r w:rsidRPr="000C6C40">
              <w:t xml:space="preserve">mosquitoes up to </w:t>
            </w:r>
            <w:r w:rsidR="00024D2F">
              <w:t xml:space="preserve">7 </w:t>
            </w:r>
            <w:r w:rsidR="001B6665" w:rsidRPr="000C6C40">
              <w:t>h</w:t>
            </w:r>
            <w:r w:rsidRPr="000C6C40">
              <w:t>.</w:t>
            </w:r>
          </w:p>
        </w:tc>
        <w:tc>
          <w:tcPr>
            <w:tcW w:w="487" w:type="pct"/>
          </w:tcPr>
          <w:p w14:paraId="3DAC5975" w14:textId="77777777" w:rsidR="00A93E0A" w:rsidRPr="005A3A05" w:rsidRDefault="00A93E0A" w:rsidP="00A93E0A">
            <w:pPr>
              <w:pStyle w:val="Standaard-Tabellen"/>
              <w:rPr>
                <w:b/>
                <w:iCs/>
                <w:lang w:val="fr-BE"/>
              </w:rPr>
            </w:pPr>
            <w:r w:rsidRPr="005A3A05">
              <w:rPr>
                <w:b/>
                <w:iCs/>
                <w:lang w:val="fr-BE"/>
              </w:rPr>
              <w:lastRenderedPageBreak/>
              <w:t xml:space="preserve">P. H. Herculano, </w:t>
            </w:r>
            <w:r w:rsidRPr="00207FB2">
              <w:rPr>
                <w:b/>
                <w:iCs/>
                <w:lang w:val="fr-BE"/>
              </w:rPr>
              <w:t xml:space="preserve">&amp; </w:t>
            </w:r>
            <w:r w:rsidRPr="005A3A05">
              <w:rPr>
                <w:b/>
                <w:iCs/>
                <w:lang w:val="fr-BE"/>
              </w:rPr>
              <w:t xml:space="preserve">G. P. </w:t>
            </w:r>
            <w:r w:rsidRPr="005A3A05">
              <w:rPr>
                <w:b/>
                <w:iCs/>
                <w:lang w:val="fr-BE"/>
              </w:rPr>
              <w:lastRenderedPageBreak/>
              <w:t xml:space="preserve">Machado </w:t>
            </w:r>
            <w:r w:rsidRPr="00207FB2">
              <w:rPr>
                <w:b/>
                <w:iCs/>
                <w:lang w:val="fr-BE"/>
              </w:rPr>
              <w:t>(2017)</w:t>
            </w:r>
          </w:p>
          <w:p w14:paraId="17F0A690" w14:textId="77777777" w:rsidR="00A93E0A" w:rsidRDefault="00A93E0A" w:rsidP="00A93E0A">
            <w:pPr>
              <w:pStyle w:val="Standaard-Tabellen"/>
              <w:rPr>
                <w:b/>
                <w:iCs/>
                <w:lang w:val="fr-BE"/>
              </w:rPr>
            </w:pPr>
          </w:p>
          <w:p w14:paraId="09E10B9E" w14:textId="77777777" w:rsidR="00C018F7" w:rsidRPr="00DA528D" w:rsidRDefault="00C018F7" w:rsidP="0023414E">
            <w:pPr>
              <w:pStyle w:val="Standaard-Tabellen"/>
              <w:rPr>
                <w:b/>
                <w:iCs/>
                <w:lang w:val="fr-BE"/>
              </w:rPr>
            </w:pPr>
            <w:r w:rsidRPr="00DA528D">
              <w:rPr>
                <w:b/>
                <w:iCs/>
                <w:lang w:val="fr-BE"/>
              </w:rPr>
              <w:t>Document “RMQCQ-  039843.R1  (</w:t>
            </w:r>
            <w:proofErr w:type="spellStart"/>
            <w:r w:rsidRPr="00DA528D">
              <w:rPr>
                <w:b/>
                <w:iCs/>
                <w:lang w:val="fr-BE"/>
              </w:rPr>
              <w:t>Inglês</w:t>
            </w:r>
            <w:proofErr w:type="spellEnd"/>
            <w:r w:rsidRPr="00DA528D">
              <w:rPr>
                <w:b/>
                <w:iCs/>
                <w:lang w:val="fr-BE"/>
              </w:rPr>
              <w:t>)”</w:t>
            </w:r>
          </w:p>
          <w:p w14:paraId="19877349" w14:textId="77777777" w:rsidR="00C018F7" w:rsidRPr="00DA528D" w:rsidRDefault="00C018F7" w:rsidP="0023414E">
            <w:pPr>
              <w:pStyle w:val="Standaard-Tabellen"/>
              <w:rPr>
                <w:b/>
                <w:iCs/>
                <w:lang w:val="fr-BE"/>
              </w:rPr>
            </w:pPr>
          </w:p>
          <w:p w14:paraId="7C5E648C" w14:textId="77777777" w:rsidR="00C018F7" w:rsidRPr="000C6C40" w:rsidRDefault="00C018F7" w:rsidP="0023414E">
            <w:pPr>
              <w:pStyle w:val="Standaard-Tabellen"/>
              <w:rPr>
                <w:b/>
                <w:iCs/>
                <w:lang w:val="en-US"/>
              </w:rPr>
            </w:pPr>
            <w:r w:rsidRPr="000C6C40">
              <w:rPr>
                <w:b/>
                <w:iCs/>
                <w:lang w:val="en-US"/>
              </w:rPr>
              <w:t>Report N° RMQCQ-039843.R1</w:t>
            </w:r>
          </w:p>
          <w:p w14:paraId="4C44556E" w14:textId="77777777" w:rsidR="00C018F7" w:rsidRPr="000C6C40" w:rsidRDefault="00C018F7" w:rsidP="0023414E">
            <w:pPr>
              <w:pStyle w:val="Standaard-Tabellen"/>
              <w:rPr>
                <w:b/>
                <w:iCs/>
                <w:lang w:val="en-US"/>
              </w:rPr>
            </w:pPr>
          </w:p>
          <w:p w14:paraId="748E3F7D" w14:textId="77777777" w:rsidR="00C018F7" w:rsidRPr="00461536" w:rsidRDefault="00C018F7" w:rsidP="0023414E">
            <w:pPr>
              <w:pStyle w:val="Standaard-Tabellen"/>
              <w:rPr>
                <w:iCs/>
                <w:lang w:val="en-US"/>
              </w:rPr>
            </w:pPr>
            <w:r w:rsidRPr="00605379">
              <w:rPr>
                <w:iCs/>
                <w:lang w:val="en-US"/>
              </w:rPr>
              <w:t>“</w:t>
            </w:r>
            <w:r w:rsidRPr="00461536">
              <w:rPr>
                <w:iCs/>
                <w:lang w:val="en-US"/>
              </w:rPr>
              <w:t>EFFICACY TESTS IN A REPELLENT PRODUCT FOR MOSQUITOES</w:t>
            </w:r>
          </w:p>
          <w:p w14:paraId="10269925" w14:textId="77777777" w:rsidR="00C018F7" w:rsidRPr="006D4E4B" w:rsidRDefault="00C018F7" w:rsidP="0023414E">
            <w:pPr>
              <w:pStyle w:val="Standaard-Tabellen"/>
              <w:rPr>
                <w:i/>
                <w:iCs/>
                <w:lang w:val="fr-BE"/>
              </w:rPr>
            </w:pPr>
            <w:r>
              <w:rPr>
                <w:i/>
                <w:iCs/>
                <w:lang w:val="fr-BE"/>
              </w:rPr>
              <w:t xml:space="preserve">Culex </w:t>
            </w:r>
            <w:proofErr w:type="spellStart"/>
            <w:r>
              <w:rPr>
                <w:i/>
                <w:iCs/>
                <w:lang w:val="fr-BE"/>
              </w:rPr>
              <w:t>quinquefasciatus</w:t>
            </w:r>
            <w:proofErr w:type="spellEnd"/>
            <w:r>
              <w:rPr>
                <w:i/>
                <w:iCs/>
                <w:lang w:val="fr-BE"/>
              </w:rPr>
              <w:t xml:space="preserve"> </w:t>
            </w:r>
            <w:r w:rsidRPr="00B66836">
              <w:rPr>
                <w:iCs/>
                <w:lang w:val="fr-BE"/>
              </w:rPr>
              <w:t>(DIPTERA: CULICIDAE)”</w:t>
            </w:r>
          </w:p>
          <w:p w14:paraId="33CDE84C" w14:textId="77777777" w:rsidR="00C018F7" w:rsidRPr="00B66836" w:rsidRDefault="00C018F7" w:rsidP="0023414E">
            <w:pPr>
              <w:pStyle w:val="Standaard-Tabellen"/>
              <w:rPr>
                <w:b/>
                <w:iCs/>
                <w:lang w:val="fr-BE"/>
              </w:rPr>
            </w:pPr>
          </w:p>
          <w:p w14:paraId="7D558CDD" w14:textId="77777777" w:rsidR="00C018F7" w:rsidRPr="00B66836" w:rsidRDefault="00C018F7" w:rsidP="0023414E">
            <w:pPr>
              <w:pStyle w:val="Standaard-Tabellen"/>
              <w:jc w:val="center"/>
              <w:rPr>
                <w:b/>
                <w:lang w:val="fr-BE"/>
              </w:rPr>
            </w:pPr>
            <w:r w:rsidRPr="00B66836">
              <w:rPr>
                <w:b/>
                <w:lang w:val="fr-BE"/>
              </w:rPr>
              <w:t>R.1</w:t>
            </w:r>
          </w:p>
          <w:p w14:paraId="5609F1A5" w14:textId="77777777" w:rsidR="00C018F7" w:rsidRPr="00461536" w:rsidRDefault="00C018F7" w:rsidP="0023414E">
            <w:pPr>
              <w:pStyle w:val="Standaard-Tabellen"/>
              <w:jc w:val="center"/>
              <w:rPr>
                <w:b/>
                <w:iCs/>
              </w:rPr>
            </w:pPr>
            <w:r>
              <w:rPr>
                <w:b/>
              </w:rPr>
              <w:t>Key study</w:t>
            </w:r>
          </w:p>
        </w:tc>
      </w:tr>
      <w:tr w:rsidR="00C018F7" w:rsidRPr="00BD2EF1" w14:paraId="2FA80B1E" w14:textId="77777777" w:rsidTr="0023414E">
        <w:tc>
          <w:tcPr>
            <w:tcW w:w="536" w:type="pct"/>
          </w:tcPr>
          <w:p w14:paraId="416992CB" w14:textId="77777777" w:rsidR="00C018F7" w:rsidRPr="00191D86" w:rsidRDefault="00C018F7" w:rsidP="0023414E">
            <w:pPr>
              <w:pStyle w:val="Standaard-Tabellen"/>
              <w:rPr>
                <w:b/>
                <w:i/>
              </w:rPr>
            </w:pPr>
            <w:r w:rsidRPr="00191D86">
              <w:rPr>
                <w:b/>
                <w:i/>
              </w:rPr>
              <w:lastRenderedPageBreak/>
              <w:t>PT19</w:t>
            </w:r>
          </w:p>
          <w:p w14:paraId="0A313A02" w14:textId="77777777" w:rsidR="00C018F7" w:rsidRPr="00191D86" w:rsidRDefault="00C018F7" w:rsidP="0023414E">
            <w:pPr>
              <w:pStyle w:val="Standaard-Tabellen"/>
              <w:rPr>
                <w:b/>
                <w:i/>
              </w:rPr>
            </w:pPr>
            <w:r w:rsidRPr="00191D86">
              <w:rPr>
                <w:b/>
                <w:i/>
              </w:rPr>
              <w:t>Repellent</w:t>
            </w:r>
          </w:p>
          <w:p w14:paraId="1D8B246A" w14:textId="77777777" w:rsidR="00C018F7" w:rsidRPr="00191D86" w:rsidRDefault="00C018F7" w:rsidP="0023414E">
            <w:pPr>
              <w:pStyle w:val="Standaard-Tabellen"/>
              <w:rPr>
                <w:b/>
                <w:i/>
              </w:rPr>
            </w:pPr>
          </w:p>
        </w:tc>
        <w:tc>
          <w:tcPr>
            <w:tcW w:w="617" w:type="pct"/>
          </w:tcPr>
          <w:p w14:paraId="7E00A722"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7A18BF21" w14:textId="77777777" w:rsidR="00C018F7" w:rsidRPr="00764794" w:rsidRDefault="00C018F7" w:rsidP="0023414E">
            <w:pPr>
              <w:pStyle w:val="Standaard-Tabellen"/>
              <w:rPr>
                <w:lang w:val="en-US"/>
              </w:rPr>
            </w:pPr>
            <w:r w:rsidRPr="00C069CF">
              <w:rPr>
                <w:lang w:val="en-US"/>
              </w:rPr>
              <w:t>- Applied on uncovered human skin</w:t>
            </w:r>
          </w:p>
        </w:tc>
        <w:tc>
          <w:tcPr>
            <w:tcW w:w="616" w:type="pct"/>
          </w:tcPr>
          <w:p w14:paraId="226957E4" w14:textId="77777777" w:rsidR="00C018F7" w:rsidRDefault="00C018F7" w:rsidP="0023414E">
            <w:pPr>
              <w:pStyle w:val="Standaard-Tabellen"/>
              <w:rPr>
                <w:lang w:val="fr-BE"/>
              </w:rPr>
            </w:pPr>
            <w:proofErr w:type="spellStart"/>
            <w:r w:rsidRPr="00B96867">
              <w:rPr>
                <w:lang w:val="fr-BE"/>
              </w:rPr>
              <w:t>Insect</w:t>
            </w:r>
            <w:proofErr w:type="spellEnd"/>
            <w:r w:rsidRPr="00B96867">
              <w:rPr>
                <w:lang w:val="fr-BE"/>
              </w:rPr>
              <w:t xml:space="preserve"> Repellent Lotion IR3535 10% (</w:t>
            </w:r>
            <w:proofErr w:type="spellStart"/>
            <w:r w:rsidRPr="00B96867">
              <w:rPr>
                <w:lang w:val="fr-BE"/>
              </w:rPr>
              <w:t>liquid</w:t>
            </w:r>
            <w:proofErr w:type="spellEnd"/>
            <w:r w:rsidRPr="00B96867">
              <w:rPr>
                <w:lang w:val="fr-BE"/>
              </w:rPr>
              <w:t>, 10% IR3535)</w:t>
            </w:r>
          </w:p>
          <w:p w14:paraId="3E5D85E4" w14:textId="77777777" w:rsidR="00C018F7" w:rsidRPr="00B96867" w:rsidRDefault="00C018F7" w:rsidP="0023414E">
            <w:pPr>
              <w:pStyle w:val="Standaard-Tabellen"/>
              <w:rPr>
                <w:lang w:val="fr-BE"/>
              </w:rPr>
            </w:pPr>
          </w:p>
          <w:p w14:paraId="24E66148" w14:textId="77777777" w:rsidR="00C018F7" w:rsidRPr="00B96867" w:rsidRDefault="00C018F7" w:rsidP="0023414E">
            <w:pPr>
              <w:pStyle w:val="Standaard-Tabellen"/>
            </w:pPr>
            <w:r w:rsidRPr="00B96867">
              <w:t xml:space="preserve">With composition of the formulation provided </w:t>
            </w:r>
            <w:r>
              <w:t xml:space="preserve">in </w:t>
            </w:r>
            <w:r w:rsidRPr="00B96867">
              <w:t>the efficacy test report.</w:t>
            </w:r>
          </w:p>
          <w:p w14:paraId="352EDEC0" w14:textId="77777777" w:rsidR="00C018F7" w:rsidRPr="00B96867" w:rsidRDefault="00C018F7" w:rsidP="0023414E">
            <w:pPr>
              <w:pStyle w:val="Standaard-Tabellen"/>
            </w:pPr>
          </w:p>
        </w:tc>
        <w:tc>
          <w:tcPr>
            <w:tcW w:w="736" w:type="pct"/>
          </w:tcPr>
          <w:p w14:paraId="62242C30" w14:textId="77777777" w:rsidR="00C018F7" w:rsidRPr="00191D86" w:rsidRDefault="00C018F7" w:rsidP="0023414E">
            <w:pPr>
              <w:pStyle w:val="Standaard-Tabellen"/>
              <w:rPr>
                <w:b/>
                <w:lang w:val="fr-BE"/>
              </w:rPr>
            </w:pPr>
            <w:r w:rsidRPr="00191D86">
              <w:rPr>
                <w:b/>
                <w:lang w:val="fr-BE"/>
              </w:rPr>
              <w:t>MOSQUITOES</w:t>
            </w:r>
          </w:p>
          <w:p w14:paraId="20C00F5F" w14:textId="77777777" w:rsidR="00C018F7" w:rsidRDefault="00C018F7" w:rsidP="0023414E">
            <w:pPr>
              <w:pStyle w:val="Standaard-Tabellen"/>
              <w:rPr>
                <w:i/>
                <w:iCs/>
                <w:lang w:val="fr-BE"/>
              </w:rPr>
            </w:pPr>
            <w:r w:rsidRPr="00191D86">
              <w:rPr>
                <w:i/>
                <w:iCs/>
                <w:lang w:val="fr-BE"/>
              </w:rPr>
              <w:t>Aedes</w:t>
            </w:r>
            <w:r>
              <w:rPr>
                <w:i/>
                <w:iCs/>
                <w:lang w:val="fr-BE"/>
              </w:rPr>
              <w:t xml:space="preserve"> </w:t>
            </w:r>
            <w:proofErr w:type="spellStart"/>
            <w:r>
              <w:rPr>
                <w:i/>
                <w:iCs/>
                <w:lang w:val="fr-BE"/>
              </w:rPr>
              <w:t>aegypti</w:t>
            </w:r>
            <w:proofErr w:type="spellEnd"/>
            <w:r>
              <w:rPr>
                <w:i/>
                <w:iCs/>
                <w:lang w:val="fr-BE"/>
              </w:rPr>
              <w:t xml:space="preserve"> </w:t>
            </w:r>
          </w:p>
          <w:p w14:paraId="031A7280" w14:textId="77777777" w:rsidR="00C018F7" w:rsidRPr="00D154AD" w:rsidRDefault="00C018F7" w:rsidP="0023414E">
            <w:pPr>
              <w:pStyle w:val="Standaard-Tabellen"/>
              <w:rPr>
                <w:b/>
              </w:rPr>
            </w:pPr>
            <w:r w:rsidRPr="00D154AD">
              <w:rPr>
                <w:iCs/>
                <w:lang w:val="fr-BE"/>
              </w:rPr>
              <w:t>(</w:t>
            </w:r>
            <w:proofErr w:type="spellStart"/>
            <w:r w:rsidRPr="00D154AD">
              <w:rPr>
                <w:iCs/>
                <w:lang w:val="fr-BE"/>
              </w:rPr>
              <w:t>female</w:t>
            </w:r>
            <w:proofErr w:type="spellEnd"/>
            <w:r w:rsidRPr="00D154AD">
              <w:rPr>
                <w:iCs/>
                <w:lang w:val="fr-BE"/>
              </w:rPr>
              <w:t>)</w:t>
            </w:r>
          </w:p>
        </w:tc>
        <w:tc>
          <w:tcPr>
            <w:tcW w:w="481" w:type="pct"/>
          </w:tcPr>
          <w:p w14:paraId="04C3F747" w14:textId="77777777" w:rsidR="008758E2" w:rsidRPr="00890200" w:rsidRDefault="00C018F7" w:rsidP="008758E2">
            <w:pPr>
              <w:pStyle w:val="Standaard-Tabellen"/>
              <w:rPr>
                <w:lang w:val="en-US"/>
              </w:rPr>
            </w:pPr>
            <w:r w:rsidRPr="00D43095">
              <w:rPr>
                <w:lang w:val="en-US"/>
              </w:rPr>
              <w:t>Arm-in-Cage simulated-use test</w:t>
            </w:r>
            <w:r w:rsidR="008758E2">
              <w:rPr>
                <w:lang w:val="en-US"/>
              </w:rPr>
              <w:t xml:space="preserve"> </w:t>
            </w:r>
            <w:r w:rsidR="008758E2" w:rsidRPr="00890200">
              <w:rPr>
                <w:lang w:val="en-US"/>
              </w:rPr>
              <w:t>according to</w:t>
            </w:r>
            <w:r w:rsidR="008758E2">
              <w:rPr>
                <w:lang w:val="en-US"/>
              </w:rPr>
              <w:t xml:space="preserve"> the </w:t>
            </w:r>
            <w:r w:rsidR="008758E2" w:rsidRPr="00890200">
              <w:rPr>
                <w:lang w:val="en-US"/>
              </w:rPr>
              <w:t>EPA</w:t>
            </w:r>
            <w:r w:rsidR="008758E2">
              <w:rPr>
                <w:lang w:val="en-US"/>
              </w:rPr>
              <w:t xml:space="preserve"> g</w:t>
            </w:r>
            <w:r w:rsidR="008758E2" w:rsidRPr="00890200">
              <w:rPr>
                <w:lang w:val="en-US"/>
              </w:rPr>
              <w:t>uideline</w:t>
            </w:r>
          </w:p>
          <w:p w14:paraId="28A75AD0" w14:textId="6CF21736" w:rsidR="00C018F7" w:rsidRPr="00C069CF" w:rsidRDefault="008758E2" w:rsidP="008758E2">
            <w:pPr>
              <w:pStyle w:val="Standaard-Tabellen"/>
              <w:rPr>
                <w:lang w:val="en-US"/>
              </w:rPr>
            </w:pPr>
            <w:r w:rsidRPr="00890200">
              <w:rPr>
                <w:lang w:val="en-US"/>
              </w:rPr>
              <w:t>OPPTS 810.3700</w:t>
            </w:r>
          </w:p>
        </w:tc>
        <w:tc>
          <w:tcPr>
            <w:tcW w:w="652" w:type="pct"/>
          </w:tcPr>
          <w:p w14:paraId="3753ADE4" w14:textId="77777777" w:rsidR="00C018F7" w:rsidRDefault="00C018F7" w:rsidP="0023414E">
            <w:pPr>
              <w:pStyle w:val="Standaard-Tabellen"/>
            </w:pPr>
            <w:r w:rsidRPr="00C069CF">
              <w:t xml:space="preserve">- with </w:t>
            </w:r>
            <w:r>
              <w:t>12</w:t>
            </w:r>
            <w:r w:rsidRPr="00C069CF">
              <w:t xml:space="preserve"> volunteers</w:t>
            </w:r>
          </w:p>
          <w:p w14:paraId="2042C385" w14:textId="77777777" w:rsidR="00C018F7" w:rsidRPr="00C069CF" w:rsidRDefault="00C018F7" w:rsidP="0023414E">
            <w:pPr>
              <w:pStyle w:val="Standaard-Tabellen"/>
            </w:pPr>
            <w:r>
              <w:t>(10 + 2 control)</w:t>
            </w:r>
          </w:p>
          <w:p w14:paraId="3C5387EE" w14:textId="77777777" w:rsidR="00C018F7" w:rsidRPr="00C069CF" w:rsidRDefault="00C018F7" w:rsidP="0023414E">
            <w:pPr>
              <w:pStyle w:val="Standaard-Tabellen"/>
            </w:pPr>
            <w:r w:rsidRPr="00C069CF">
              <w:t xml:space="preserve">- </w:t>
            </w:r>
            <w:r>
              <w:t>Application rate : 2</w:t>
            </w:r>
            <w:r w:rsidRPr="005B44DC">
              <w:t xml:space="preserve"> g </w:t>
            </w:r>
            <w:r>
              <w:t>BP</w:t>
            </w:r>
            <w:r w:rsidRPr="00C069CF">
              <w:t>/</w:t>
            </w:r>
            <w:r>
              <w:t xml:space="preserve">600 </w:t>
            </w:r>
            <w:r w:rsidRPr="00C069CF">
              <w:t>cm</w:t>
            </w:r>
            <w:r w:rsidRPr="00C069CF">
              <w:rPr>
                <w:vertAlign w:val="superscript"/>
              </w:rPr>
              <w:t>2</w:t>
            </w:r>
            <w:r w:rsidRPr="00C069CF">
              <w:t xml:space="preserve"> </w:t>
            </w:r>
          </w:p>
          <w:p w14:paraId="6B927B4B" w14:textId="77777777" w:rsidR="00C018F7" w:rsidRDefault="00C018F7" w:rsidP="0023414E">
            <w:pPr>
              <w:pStyle w:val="Standaard-Tabellen"/>
            </w:pPr>
            <w:r w:rsidRPr="00C069CF">
              <w:t xml:space="preserve">- </w:t>
            </w:r>
            <w:r>
              <w:t>in a netted cage :</w:t>
            </w:r>
          </w:p>
          <w:p w14:paraId="6D90D12C" w14:textId="77777777" w:rsidR="00C018F7" w:rsidRDefault="00C018F7" w:rsidP="0023414E">
            <w:pPr>
              <w:pStyle w:val="Standaard-Tabellen"/>
            </w:pPr>
            <w:r>
              <w:t>V = 64.000 cm</w:t>
            </w:r>
            <w:r w:rsidRPr="00D154AD">
              <w:rPr>
                <w:vertAlign w:val="superscript"/>
              </w:rPr>
              <w:t>3</w:t>
            </w:r>
          </w:p>
          <w:p w14:paraId="67B57899" w14:textId="77777777" w:rsidR="00C018F7" w:rsidRDefault="00C018F7" w:rsidP="0023414E">
            <w:pPr>
              <w:pStyle w:val="Standaard-Tabellen"/>
            </w:pPr>
            <w:r>
              <w:t>With 55 mosquitoes (</w:t>
            </w:r>
            <w:r w:rsidRPr="00A756EB">
              <w:rPr>
                <w:i/>
              </w:rPr>
              <w:t xml:space="preserve">as described in the OPPTS 810.3700 methodology, July 7th, 2010 &amp; within the range recommended by </w:t>
            </w:r>
            <w:r w:rsidRPr="00A756EB">
              <w:rPr>
                <w:i/>
              </w:rPr>
              <w:lastRenderedPageBreak/>
              <w:t>the WHO guidelines p.6</w:t>
            </w:r>
            <w:r>
              <w:t>)</w:t>
            </w:r>
          </w:p>
          <w:p w14:paraId="37E069E9" w14:textId="163A8304" w:rsidR="00C018F7" w:rsidRDefault="00C018F7" w:rsidP="0023414E">
            <w:pPr>
              <w:pStyle w:val="Standaard-Tabellen"/>
            </w:pPr>
            <w:r>
              <w:t xml:space="preserve">- 5 min exposure time </w:t>
            </w:r>
            <w:r w:rsidRPr="00C069CF">
              <w:t>until</w:t>
            </w:r>
            <w:r>
              <w:t xml:space="preserve"> </w:t>
            </w:r>
            <w:r w:rsidR="00024D2F">
              <w:t xml:space="preserve">9 </w:t>
            </w:r>
            <w:r w:rsidRPr="00C069CF">
              <w:t xml:space="preserve"> hours</w:t>
            </w:r>
          </w:p>
          <w:p w14:paraId="374BF1CD" w14:textId="77777777" w:rsidR="00C018F7" w:rsidRDefault="00C018F7" w:rsidP="0023414E">
            <w:pPr>
              <w:pStyle w:val="Standaard-Tabellen"/>
            </w:pPr>
            <w:r w:rsidRPr="00C069CF">
              <w:t>- “normal” climatic conditions for temperate areas (+</w:t>
            </w:r>
            <w:r>
              <w:t>25.0 ± +2</w:t>
            </w:r>
            <w:r w:rsidRPr="00C069CF">
              <w:t xml:space="preserve">°C ; </w:t>
            </w:r>
            <w:r>
              <w:t xml:space="preserve">between 50 &amp; 70 </w:t>
            </w:r>
            <w:r w:rsidRPr="00C069CF">
              <w:t xml:space="preserve">% </w:t>
            </w:r>
            <w:r>
              <w:t>H</w:t>
            </w:r>
            <w:r w:rsidRPr="002C4257">
              <w:rPr>
                <w:vertAlign w:val="subscript"/>
              </w:rPr>
              <w:t>R</w:t>
            </w:r>
            <w:r>
              <w:t>; photoperiod 12/12</w:t>
            </w:r>
            <w:r w:rsidRPr="00C069CF">
              <w:t>)</w:t>
            </w:r>
          </w:p>
          <w:p w14:paraId="77881D5C" w14:textId="77777777" w:rsidR="00C018F7" w:rsidRPr="00641C1B" w:rsidRDefault="00C018F7" w:rsidP="0023414E">
            <w:pPr>
              <w:pStyle w:val="Standaard-Tabellen"/>
            </w:pPr>
          </w:p>
        </w:tc>
        <w:tc>
          <w:tcPr>
            <w:tcW w:w="875" w:type="pct"/>
          </w:tcPr>
          <w:p w14:paraId="3BDB5519" w14:textId="4B0312AF" w:rsidR="00C018F7" w:rsidRPr="000C6C40" w:rsidRDefault="00C018F7" w:rsidP="0023414E">
            <w:pPr>
              <w:pStyle w:val="Standaard-Tabellen"/>
            </w:pPr>
            <w:r w:rsidRPr="000C6C40">
              <w:lastRenderedPageBreak/>
              <w:t>The product used at 2g BP/</w:t>
            </w:r>
            <w:r w:rsidR="00283AD8">
              <w:t xml:space="preserve">600 </w:t>
            </w:r>
            <w:r w:rsidRPr="000C6C40">
              <w:t>cm</w:t>
            </w:r>
            <w:r w:rsidRPr="000C6C40">
              <w:rPr>
                <w:vertAlign w:val="superscript"/>
              </w:rPr>
              <w:t>2</w:t>
            </w:r>
            <w:r w:rsidRPr="000C6C40">
              <w:t xml:space="preserve"> (0.00333 g BP/cm</w:t>
            </w:r>
            <w:r w:rsidRPr="000C6C40">
              <w:rPr>
                <w:vertAlign w:val="superscript"/>
              </w:rPr>
              <w:t>2</w:t>
            </w:r>
            <w:r w:rsidRPr="000C6C40">
              <w:t xml:space="preserve"> &amp; with d = 0.989 =&gt; 0.00333 mL BP/cm</w:t>
            </w:r>
            <w:r w:rsidRPr="000C6C40">
              <w:rPr>
                <w:vertAlign w:val="superscript"/>
              </w:rPr>
              <w:t>2</w:t>
            </w:r>
            <w:r w:rsidRPr="000C6C40">
              <w:t xml:space="preserve"> or 0.000333 mL A.I./cm</w:t>
            </w:r>
            <w:r w:rsidRPr="000C6C40">
              <w:rPr>
                <w:vertAlign w:val="superscript"/>
              </w:rPr>
              <w:t>2</w:t>
            </w:r>
            <w:r w:rsidRPr="000C6C40">
              <w:t>)</w:t>
            </w:r>
          </w:p>
          <w:p w14:paraId="685C7187" w14:textId="432E9858" w:rsidR="00C018F7" w:rsidRPr="009F00FA" w:rsidRDefault="00C018F7" w:rsidP="001B6665">
            <w:pPr>
              <w:pStyle w:val="Standaard-Tabellen"/>
              <w:rPr>
                <w:color w:val="0070C0"/>
              </w:rPr>
            </w:pPr>
            <w:r w:rsidRPr="000C6C40">
              <w:t xml:space="preserve">is 100% efficacious to repel female </w:t>
            </w:r>
            <w:r w:rsidRPr="000C6C40">
              <w:rPr>
                <w:i/>
              </w:rPr>
              <w:t>Aedes aegypti</w:t>
            </w:r>
            <w:r w:rsidRPr="000C6C40">
              <w:t xml:space="preserve"> mosquitoes up to </w:t>
            </w:r>
            <w:r w:rsidR="00024D2F">
              <w:t xml:space="preserve">8 </w:t>
            </w:r>
            <w:r w:rsidR="001B6665" w:rsidRPr="000C6C40">
              <w:t>h</w:t>
            </w:r>
            <w:r w:rsidRPr="000C6C40">
              <w:t>.</w:t>
            </w:r>
          </w:p>
        </w:tc>
        <w:tc>
          <w:tcPr>
            <w:tcW w:w="487" w:type="pct"/>
          </w:tcPr>
          <w:p w14:paraId="37DF62E6" w14:textId="77777777" w:rsidR="00A93E0A" w:rsidRPr="005A3A05" w:rsidRDefault="00A93E0A" w:rsidP="00A93E0A">
            <w:pPr>
              <w:pStyle w:val="Standaard-Tabellen"/>
              <w:rPr>
                <w:b/>
                <w:iCs/>
                <w:lang w:val="fr-BE"/>
              </w:rPr>
            </w:pPr>
            <w:r w:rsidRPr="005A3A05">
              <w:rPr>
                <w:b/>
                <w:iCs/>
                <w:lang w:val="fr-BE"/>
              </w:rPr>
              <w:t xml:space="preserve">P. H. Herculano, </w:t>
            </w:r>
            <w:r w:rsidRPr="00207FB2">
              <w:rPr>
                <w:b/>
                <w:iCs/>
                <w:lang w:val="fr-BE"/>
              </w:rPr>
              <w:t xml:space="preserve">&amp; </w:t>
            </w:r>
            <w:r w:rsidRPr="005A3A05">
              <w:rPr>
                <w:b/>
                <w:iCs/>
                <w:lang w:val="fr-BE"/>
              </w:rPr>
              <w:t xml:space="preserve">G. P. Machado </w:t>
            </w:r>
            <w:r w:rsidRPr="00207FB2">
              <w:rPr>
                <w:b/>
                <w:iCs/>
                <w:lang w:val="fr-BE"/>
              </w:rPr>
              <w:t>(2017)</w:t>
            </w:r>
          </w:p>
          <w:p w14:paraId="0FE1F2E4" w14:textId="77777777" w:rsidR="00A93E0A" w:rsidRPr="00C23622" w:rsidRDefault="00A93E0A" w:rsidP="00A93E0A">
            <w:pPr>
              <w:pStyle w:val="Standaard-Tabellen"/>
              <w:rPr>
                <w:b/>
                <w:iCs/>
                <w:lang w:val="fr-BE"/>
              </w:rPr>
            </w:pPr>
          </w:p>
          <w:p w14:paraId="3D7C32E4" w14:textId="77777777" w:rsidR="00C018F7" w:rsidRPr="000C6C40" w:rsidRDefault="00C018F7" w:rsidP="0023414E">
            <w:pPr>
              <w:pStyle w:val="Standaard-Tabellen"/>
              <w:rPr>
                <w:b/>
                <w:iCs/>
                <w:lang w:val="fr-BE"/>
              </w:rPr>
            </w:pPr>
            <w:r w:rsidRPr="000C6C40">
              <w:rPr>
                <w:b/>
                <w:iCs/>
                <w:lang w:val="fr-BE"/>
              </w:rPr>
              <w:t xml:space="preserve">Document “039843 R - </w:t>
            </w:r>
            <w:proofErr w:type="spellStart"/>
            <w:r w:rsidRPr="000C6C40">
              <w:rPr>
                <w:b/>
                <w:iCs/>
                <w:lang w:val="fr-BE"/>
              </w:rPr>
              <w:t>RMQAA_ing</w:t>
            </w:r>
            <w:proofErr w:type="spellEnd"/>
            <w:r w:rsidRPr="000C6C40">
              <w:rPr>
                <w:b/>
                <w:iCs/>
                <w:lang w:val="fr-BE"/>
              </w:rPr>
              <w:t> »</w:t>
            </w:r>
          </w:p>
          <w:p w14:paraId="60B92F6A" w14:textId="77777777" w:rsidR="00C018F7" w:rsidRPr="000C6C40" w:rsidRDefault="00C018F7" w:rsidP="0023414E">
            <w:pPr>
              <w:pStyle w:val="Standaard-Tabellen"/>
              <w:rPr>
                <w:b/>
                <w:iCs/>
                <w:lang w:val="fr-BE"/>
              </w:rPr>
            </w:pPr>
          </w:p>
          <w:p w14:paraId="3B5CE680" w14:textId="77777777" w:rsidR="00C018F7" w:rsidRPr="00FA042D" w:rsidRDefault="00C018F7" w:rsidP="0023414E">
            <w:pPr>
              <w:pStyle w:val="Standaard-Tabellen"/>
              <w:rPr>
                <w:b/>
                <w:iCs/>
              </w:rPr>
            </w:pPr>
            <w:r w:rsidRPr="00FA042D">
              <w:rPr>
                <w:b/>
                <w:iCs/>
              </w:rPr>
              <w:t>Report N° RMQAA – 039843.R</w:t>
            </w:r>
          </w:p>
          <w:p w14:paraId="7603930A" w14:textId="77777777" w:rsidR="00C018F7" w:rsidRPr="00FA042D" w:rsidRDefault="00C018F7" w:rsidP="0023414E">
            <w:pPr>
              <w:pStyle w:val="Standaard-Tabellen"/>
              <w:rPr>
                <w:b/>
                <w:iCs/>
              </w:rPr>
            </w:pPr>
          </w:p>
          <w:p w14:paraId="022CDEF9" w14:textId="77777777" w:rsidR="00C018F7" w:rsidRPr="00461536" w:rsidRDefault="00C018F7" w:rsidP="0023414E">
            <w:pPr>
              <w:pStyle w:val="Standaard-Tabellen"/>
              <w:rPr>
                <w:iCs/>
                <w:lang w:val="en-US"/>
              </w:rPr>
            </w:pPr>
            <w:r w:rsidRPr="00605379">
              <w:rPr>
                <w:iCs/>
                <w:lang w:val="en-US"/>
              </w:rPr>
              <w:lastRenderedPageBreak/>
              <w:t>“</w:t>
            </w:r>
            <w:r w:rsidRPr="00461536">
              <w:rPr>
                <w:iCs/>
                <w:lang w:val="en-US"/>
              </w:rPr>
              <w:t>EFFICACY TESTS IN A REPELLENT PRODUCT FOR MOSQUITOES</w:t>
            </w:r>
          </w:p>
          <w:p w14:paraId="0E729F25" w14:textId="77777777" w:rsidR="00C018F7" w:rsidRPr="00DA528D" w:rsidRDefault="00C018F7" w:rsidP="0023414E">
            <w:pPr>
              <w:pStyle w:val="Standaard-Tabellen"/>
              <w:rPr>
                <w:iCs/>
                <w:lang w:val="fr-BE"/>
              </w:rPr>
            </w:pPr>
            <w:r w:rsidRPr="00DA528D">
              <w:rPr>
                <w:iCs/>
                <w:lang w:val="fr-BE"/>
              </w:rPr>
              <w:t xml:space="preserve">Aedes </w:t>
            </w:r>
            <w:proofErr w:type="spellStart"/>
            <w:r w:rsidRPr="00DA528D">
              <w:rPr>
                <w:iCs/>
                <w:lang w:val="fr-BE"/>
              </w:rPr>
              <w:t>aegypti</w:t>
            </w:r>
            <w:proofErr w:type="spellEnd"/>
            <w:r w:rsidRPr="00DA528D">
              <w:rPr>
                <w:iCs/>
                <w:lang w:val="fr-BE"/>
              </w:rPr>
              <w:t xml:space="preserve"> (DIPTERA: CULICIDAE)”</w:t>
            </w:r>
          </w:p>
          <w:p w14:paraId="5E501A1F" w14:textId="77777777" w:rsidR="00C018F7" w:rsidRPr="00DA528D" w:rsidRDefault="00C018F7" w:rsidP="0023414E">
            <w:pPr>
              <w:pStyle w:val="Standaard-Tabellen"/>
              <w:rPr>
                <w:b/>
                <w:iCs/>
                <w:lang w:val="fr-BE"/>
              </w:rPr>
            </w:pPr>
          </w:p>
          <w:p w14:paraId="4206F346" w14:textId="77777777" w:rsidR="00C018F7" w:rsidRPr="00DA528D" w:rsidRDefault="00C018F7" w:rsidP="0023414E">
            <w:pPr>
              <w:pStyle w:val="Standaard-Tabellen"/>
              <w:jc w:val="center"/>
              <w:rPr>
                <w:b/>
                <w:lang w:val="fr-BE"/>
              </w:rPr>
            </w:pPr>
            <w:r w:rsidRPr="00DA528D">
              <w:rPr>
                <w:b/>
                <w:lang w:val="fr-BE"/>
              </w:rPr>
              <w:t>R.1</w:t>
            </w:r>
          </w:p>
          <w:p w14:paraId="1FAFA05E" w14:textId="77777777" w:rsidR="00C018F7" w:rsidRPr="00461536" w:rsidRDefault="00C018F7" w:rsidP="0023414E">
            <w:pPr>
              <w:pStyle w:val="Standaard-Tabellen"/>
              <w:jc w:val="center"/>
              <w:rPr>
                <w:b/>
                <w:iCs/>
              </w:rPr>
            </w:pPr>
            <w:r>
              <w:rPr>
                <w:b/>
              </w:rPr>
              <w:t>Key study</w:t>
            </w:r>
          </w:p>
        </w:tc>
      </w:tr>
      <w:tr w:rsidR="00C018F7" w:rsidRPr="00BD2EF1" w14:paraId="4B235309" w14:textId="77777777" w:rsidTr="0023414E">
        <w:tc>
          <w:tcPr>
            <w:tcW w:w="536" w:type="pct"/>
          </w:tcPr>
          <w:p w14:paraId="5CBF56FD" w14:textId="77777777" w:rsidR="00C018F7" w:rsidRPr="00191D86" w:rsidRDefault="00C018F7" w:rsidP="0023414E">
            <w:pPr>
              <w:pStyle w:val="Standaard-Tabellen"/>
              <w:rPr>
                <w:b/>
                <w:i/>
              </w:rPr>
            </w:pPr>
            <w:r w:rsidRPr="00191D86">
              <w:rPr>
                <w:b/>
                <w:i/>
              </w:rPr>
              <w:lastRenderedPageBreak/>
              <w:t>PT19</w:t>
            </w:r>
          </w:p>
          <w:p w14:paraId="337900A0" w14:textId="77777777" w:rsidR="00C018F7" w:rsidRPr="00191D86" w:rsidRDefault="00C018F7" w:rsidP="0023414E">
            <w:pPr>
              <w:pStyle w:val="Standaard-Tabellen"/>
              <w:rPr>
                <w:b/>
                <w:i/>
              </w:rPr>
            </w:pPr>
            <w:r w:rsidRPr="00191D86">
              <w:rPr>
                <w:b/>
                <w:i/>
              </w:rPr>
              <w:t>Repellent</w:t>
            </w:r>
          </w:p>
          <w:p w14:paraId="4419D65D" w14:textId="77777777" w:rsidR="00C018F7" w:rsidRPr="00191D86" w:rsidRDefault="00C018F7" w:rsidP="0023414E">
            <w:pPr>
              <w:pStyle w:val="Standaard-Tabellen"/>
              <w:rPr>
                <w:b/>
                <w:i/>
              </w:rPr>
            </w:pPr>
          </w:p>
        </w:tc>
        <w:tc>
          <w:tcPr>
            <w:tcW w:w="617" w:type="pct"/>
          </w:tcPr>
          <w:p w14:paraId="2E417844"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20AF9150" w14:textId="77777777" w:rsidR="00C018F7" w:rsidRPr="00764794" w:rsidRDefault="00C018F7" w:rsidP="0023414E">
            <w:pPr>
              <w:pStyle w:val="Standaard-Tabellen"/>
              <w:rPr>
                <w:lang w:val="en-US"/>
              </w:rPr>
            </w:pPr>
            <w:r w:rsidRPr="00C069CF">
              <w:rPr>
                <w:lang w:val="en-US"/>
              </w:rPr>
              <w:t>- Applied on uncovered human skin</w:t>
            </w:r>
          </w:p>
        </w:tc>
        <w:tc>
          <w:tcPr>
            <w:tcW w:w="616" w:type="pct"/>
          </w:tcPr>
          <w:p w14:paraId="0A665DEB" w14:textId="77777777" w:rsidR="00C018F7" w:rsidRDefault="00C018F7" w:rsidP="0023414E">
            <w:pPr>
              <w:pStyle w:val="Standaard-Tabellen"/>
              <w:rPr>
                <w:lang w:val="fr-BE"/>
              </w:rPr>
            </w:pPr>
            <w:proofErr w:type="spellStart"/>
            <w:r w:rsidRPr="00B96867">
              <w:rPr>
                <w:lang w:val="fr-BE"/>
              </w:rPr>
              <w:t>Insect</w:t>
            </w:r>
            <w:proofErr w:type="spellEnd"/>
            <w:r w:rsidRPr="00B96867">
              <w:rPr>
                <w:lang w:val="fr-BE"/>
              </w:rPr>
              <w:t xml:space="preserve"> Repellent Lotion IR3535 10% (</w:t>
            </w:r>
            <w:proofErr w:type="spellStart"/>
            <w:r w:rsidRPr="00B96867">
              <w:rPr>
                <w:lang w:val="fr-BE"/>
              </w:rPr>
              <w:t>liquid</w:t>
            </w:r>
            <w:proofErr w:type="spellEnd"/>
            <w:r w:rsidRPr="00B96867">
              <w:rPr>
                <w:lang w:val="fr-BE"/>
              </w:rPr>
              <w:t>, 10% IR3535)</w:t>
            </w:r>
          </w:p>
          <w:p w14:paraId="142DA829" w14:textId="77777777" w:rsidR="00C018F7" w:rsidRPr="00B96867" w:rsidRDefault="00C018F7" w:rsidP="0023414E">
            <w:pPr>
              <w:pStyle w:val="Standaard-Tabellen"/>
              <w:rPr>
                <w:lang w:val="fr-BE"/>
              </w:rPr>
            </w:pPr>
          </w:p>
          <w:p w14:paraId="3698F1AE" w14:textId="77777777" w:rsidR="00C018F7" w:rsidRPr="00B96867" w:rsidRDefault="00C018F7" w:rsidP="0023414E">
            <w:pPr>
              <w:pStyle w:val="Standaard-Tabellen"/>
            </w:pPr>
            <w:r w:rsidRPr="00B96867">
              <w:t xml:space="preserve">With composition of the formulation provided </w:t>
            </w:r>
            <w:r>
              <w:t xml:space="preserve">in </w:t>
            </w:r>
            <w:r w:rsidRPr="00B96867">
              <w:t>the efficacy test report.</w:t>
            </w:r>
          </w:p>
          <w:p w14:paraId="247C7050" w14:textId="77777777" w:rsidR="00C018F7" w:rsidRPr="00B96867" w:rsidRDefault="00C018F7" w:rsidP="0023414E">
            <w:pPr>
              <w:pStyle w:val="Standaard-Tabellen"/>
            </w:pPr>
          </w:p>
        </w:tc>
        <w:tc>
          <w:tcPr>
            <w:tcW w:w="736" w:type="pct"/>
          </w:tcPr>
          <w:p w14:paraId="54ED6735" w14:textId="77777777" w:rsidR="00C018F7" w:rsidRPr="00191D86" w:rsidRDefault="00C018F7" w:rsidP="0023414E">
            <w:pPr>
              <w:pStyle w:val="Standaard-Tabellen"/>
              <w:rPr>
                <w:b/>
                <w:lang w:val="fr-BE"/>
              </w:rPr>
            </w:pPr>
            <w:r w:rsidRPr="00191D86">
              <w:rPr>
                <w:b/>
                <w:lang w:val="fr-BE"/>
              </w:rPr>
              <w:t>MOSQUITOES</w:t>
            </w:r>
          </w:p>
          <w:p w14:paraId="329D344C" w14:textId="77777777" w:rsidR="00C018F7" w:rsidRDefault="00C018F7" w:rsidP="0023414E">
            <w:pPr>
              <w:pStyle w:val="Standaard-Tabellen"/>
              <w:rPr>
                <w:i/>
                <w:iCs/>
                <w:lang w:val="fr-BE"/>
              </w:rPr>
            </w:pPr>
            <w:r w:rsidRPr="00191D86">
              <w:rPr>
                <w:i/>
                <w:iCs/>
                <w:lang w:val="fr-BE"/>
              </w:rPr>
              <w:t>Aedes</w:t>
            </w:r>
            <w:r>
              <w:rPr>
                <w:i/>
                <w:iCs/>
                <w:lang w:val="fr-BE"/>
              </w:rPr>
              <w:t xml:space="preserve"> </w:t>
            </w:r>
            <w:proofErr w:type="spellStart"/>
            <w:r>
              <w:rPr>
                <w:i/>
                <w:iCs/>
                <w:lang w:val="fr-BE"/>
              </w:rPr>
              <w:t>albopictus</w:t>
            </w:r>
            <w:proofErr w:type="spellEnd"/>
          </w:p>
          <w:p w14:paraId="53EC0B7E" w14:textId="77777777" w:rsidR="00C018F7" w:rsidRPr="00D154AD" w:rsidRDefault="00C018F7" w:rsidP="0023414E">
            <w:pPr>
              <w:pStyle w:val="Standaard-Tabellen"/>
              <w:rPr>
                <w:b/>
              </w:rPr>
            </w:pPr>
            <w:r w:rsidRPr="00D154AD">
              <w:rPr>
                <w:iCs/>
                <w:lang w:val="fr-BE"/>
              </w:rPr>
              <w:t>(</w:t>
            </w:r>
            <w:proofErr w:type="spellStart"/>
            <w:r w:rsidRPr="00D154AD">
              <w:rPr>
                <w:iCs/>
                <w:lang w:val="fr-BE"/>
              </w:rPr>
              <w:t>female</w:t>
            </w:r>
            <w:proofErr w:type="spellEnd"/>
            <w:r w:rsidRPr="00D154AD">
              <w:rPr>
                <w:iCs/>
                <w:lang w:val="fr-BE"/>
              </w:rPr>
              <w:t>)</w:t>
            </w:r>
          </w:p>
        </w:tc>
        <w:tc>
          <w:tcPr>
            <w:tcW w:w="481" w:type="pct"/>
          </w:tcPr>
          <w:p w14:paraId="000422D6" w14:textId="77777777" w:rsidR="008758E2" w:rsidRPr="00890200" w:rsidRDefault="00C018F7" w:rsidP="008758E2">
            <w:pPr>
              <w:pStyle w:val="Standaard-Tabellen"/>
              <w:rPr>
                <w:lang w:val="en-US"/>
              </w:rPr>
            </w:pPr>
            <w:r w:rsidRPr="00D43095">
              <w:rPr>
                <w:lang w:val="en-US"/>
              </w:rPr>
              <w:t>Arm-in-Cage simulated-use test</w:t>
            </w:r>
            <w:r w:rsidR="008758E2">
              <w:rPr>
                <w:lang w:val="en-US"/>
              </w:rPr>
              <w:t xml:space="preserve"> </w:t>
            </w:r>
            <w:r w:rsidR="008758E2" w:rsidRPr="00890200">
              <w:rPr>
                <w:lang w:val="en-US"/>
              </w:rPr>
              <w:t>according to</w:t>
            </w:r>
            <w:r w:rsidR="008758E2">
              <w:rPr>
                <w:lang w:val="en-US"/>
              </w:rPr>
              <w:t xml:space="preserve"> the </w:t>
            </w:r>
            <w:r w:rsidR="008758E2" w:rsidRPr="00890200">
              <w:rPr>
                <w:lang w:val="en-US"/>
              </w:rPr>
              <w:t>EPA</w:t>
            </w:r>
            <w:r w:rsidR="008758E2">
              <w:rPr>
                <w:lang w:val="en-US"/>
              </w:rPr>
              <w:t xml:space="preserve"> g</w:t>
            </w:r>
            <w:r w:rsidR="008758E2" w:rsidRPr="00890200">
              <w:rPr>
                <w:lang w:val="en-US"/>
              </w:rPr>
              <w:t>uideline</w:t>
            </w:r>
          </w:p>
          <w:p w14:paraId="2181D058" w14:textId="39B92C55" w:rsidR="00C018F7" w:rsidRPr="00C069CF" w:rsidRDefault="008758E2" w:rsidP="008758E2">
            <w:pPr>
              <w:pStyle w:val="Standaard-Tabellen"/>
              <w:rPr>
                <w:lang w:val="en-US"/>
              </w:rPr>
            </w:pPr>
            <w:r w:rsidRPr="00890200">
              <w:rPr>
                <w:lang w:val="en-US"/>
              </w:rPr>
              <w:t>OPPTS 810.3700</w:t>
            </w:r>
          </w:p>
        </w:tc>
        <w:tc>
          <w:tcPr>
            <w:tcW w:w="652" w:type="pct"/>
          </w:tcPr>
          <w:p w14:paraId="0C228535" w14:textId="77777777" w:rsidR="00C018F7" w:rsidRDefault="00C018F7" w:rsidP="0023414E">
            <w:pPr>
              <w:pStyle w:val="Standaard-Tabellen"/>
            </w:pPr>
            <w:r w:rsidRPr="00C069CF">
              <w:t xml:space="preserve">- with </w:t>
            </w:r>
            <w:r>
              <w:t>12</w:t>
            </w:r>
            <w:r w:rsidRPr="00C069CF">
              <w:t xml:space="preserve"> volunteers</w:t>
            </w:r>
          </w:p>
          <w:p w14:paraId="235CEF70" w14:textId="77777777" w:rsidR="00C018F7" w:rsidRPr="00C069CF" w:rsidRDefault="00C018F7" w:rsidP="0023414E">
            <w:pPr>
              <w:pStyle w:val="Standaard-Tabellen"/>
            </w:pPr>
            <w:r>
              <w:t>(10 + 2 control)</w:t>
            </w:r>
          </w:p>
          <w:p w14:paraId="3F5A6378" w14:textId="77777777" w:rsidR="00C018F7" w:rsidRPr="00C069CF" w:rsidRDefault="00C018F7" w:rsidP="0023414E">
            <w:pPr>
              <w:pStyle w:val="Standaard-Tabellen"/>
            </w:pPr>
            <w:r w:rsidRPr="00C069CF">
              <w:t xml:space="preserve">- </w:t>
            </w:r>
            <w:r>
              <w:t>Application rate : 2</w:t>
            </w:r>
            <w:r w:rsidRPr="005B44DC">
              <w:t xml:space="preserve"> g </w:t>
            </w:r>
            <w:r>
              <w:t>BP</w:t>
            </w:r>
            <w:r w:rsidRPr="00C069CF">
              <w:t>/</w:t>
            </w:r>
            <w:r>
              <w:t xml:space="preserve">600 </w:t>
            </w:r>
            <w:r w:rsidRPr="00C069CF">
              <w:t>cm</w:t>
            </w:r>
            <w:r w:rsidRPr="00C069CF">
              <w:rPr>
                <w:vertAlign w:val="superscript"/>
              </w:rPr>
              <w:t>2</w:t>
            </w:r>
            <w:r w:rsidRPr="00C069CF">
              <w:t xml:space="preserve"> </w:t>
            </w:r>
          </w:p>
          <w:p w14:paraId="09A6CCE3" w14:textId="77777777" w:rsidR="00C018F7" w:rsidRDefault="00C018F7" w:rsidP="0023414E">
            <w:pPr>
              <w:pStyle w:val="Standaard-Tabellen"/>
            </w:pPr>
            <w:r w:rsidRPr="00C069CF">
              <w:t xml:space="preserve">- </w:t>
            </w:r>
            <w:r>
              <w:t>in a netted cage :</w:t>
            </w:r>
          </w:p>
          <w:p w14:paraId="5F0ECF38" w14:textId="77777777" w:rsidR="00C018F7" w:rsidRDefault="00C018F7" w:rsidP="0023414E">
            <w:pPr>
              <w:pStyle w:val="Standaard-Tabellen"/>
            </w:pPr>
            <w:r>
              <w:t>V = 64.000 cm</w:t>
            </w:r>
            <w:r w:rsidRPr="00D154AD">
              <w:rPr>
                <w:vertAlign w:val="superscript"/>
              </w:rPr>
              <w:t>3</w:t>
            </w:r>
          </w:p>
          <w:p w14:paraId="56307E5E" w14:textId="77777777" w:rsidR="00C018F7" w:rsidRDefault="00C018F7" w:rsidP="0023414E">
            <w:pPr>
              <w:pStyle w:val="Standaard-Tabellen"/>
            </w:pPr>
            <w:r>
              <w:t>With 55 mosquitoes (</w:t>
            </w:r>
            <w:r w:rsidRPr="00A756EB">
              <w:rPr>
                <w:i/>
              </w:rPr>
              <w:t>as described in the OPPTS 810.3700 methodology, July 7th, 2010 &amp; within the range recommended by the WHO guidelines p.6</w:t>
            </w:r>
            <w:r>
              <w:t>)</w:t>
            </w:r>
          </w:p>
          <w:p w14:paraId="1D6CD2FD" w14:textId="6CB41232" w:rsidR="00C018F7" w:rsidRDefault="00C018F7" w:rsidP="0023414E">
            <w:pPr>
              <w:pStyle w:val="Standaard-Tabellen"/>
            </w:pPr>
            <w:r>
              <w:t xml:space="preserve">- 5 min exposure time </w:t>
            </w:r>
            <w:r w:rsidRPr="00C069CF">
              <w:t>until</w:t>
            </w:r>
            <w:r>
              <w:t xml:space="preserve"> </w:t>
            </w:r>
            <w:r w:rsidR="00024D2F">
              <w:t>9</w:t>
            </w:r>
            <w:r w:rsidR="00283AD8">
              <w:t xml:space="preserve"> </w:t>
            </w:r>
            <w:r w:rsidRPr="00C069CF">
              <w:t xml:space="preserve"> hours</w:t>
            </w:r>
          </w:p>
          <w:p w14:paraId="72E6EA88" w14:textId="77777777" w:rsidR="00C018F7" w:rsidRPr="00641C1B" w:rsidRDefault="00C018F7" w:rsidP="0023414E">
            <w:pPr>
              <w:pStyle w:val="Standaard-Tabellen"/>
            </w:pPr>
            <w:r w:rsidRPr="00C069CF">
              <w:t>- “normal” climatic conditions for temperate areas (+</w:t>
            </w:r>
            <w:r>
              <w:t>25.0 ± +2</w:t>
            </w:r>
            <w:r w:rsidRPr="00C069CF">
              <w:t xml:space="preserve">°C ; </w:t>
            </w:r>
            <w:r>
              <w:t xml:space="preserve">between 50 &amp; 70 </w:t>
            </w:r>
            <w:r w:rsidRPr="00C069CF">
              <w:t xml:space="preserve">% </w:t>
            </w:r>
            <w:r>
              <w:t>H</w:t>
            </w:r>
            <w:r w:rsidRPr="002C4257">
              <w:rPr>
                <w:vertAlign w:val="subscript"/>
              </w:rPr>
              <w:t>R</w:t>
            </w:r>
            <w:r>
              <w:t>; photoperiod 12/12</w:t>
            </w:r>
            <w:r w:rsidRPr="00C069CF">
              <w:t>)</w:t>
            </w:r>
          </w:p>
        </w:tc>
        <w:tc>
          <w:tcPr>
            <w:tcW w:w="875" w:type="pct"/>
          </w:tcPr>
          <w:p w14:paraId="1FC04D35" w14:textId="461659DC" w:rsidR="00C018F7" w:rsidRPr="000C6C40" w:rsidRDefault="00C018F7" w:rsidP="0023414E">
            <w:pPr>
              <w:pStyle w:val="Standaard-Tabellen"/>
            </w:pPr>
            <w:r w:rsidRPr="000C6C40">
              <w:t>The product used at 2g BP/</w:t>
            </w:r>
            <w:r w:rsidR="00283AD8">
              <w:t xml:space="preserve">600 </w:t>
            </w:r>
            <w:r w:rsidRPr="000C6C40">
              <w:t>cm</w:t>
            </w:r>
            <w:r w:rsidRPr="000C6C40">
              <w:rPr>
                <w:vertAlign w:val="superscript"/>
              </w:rPr>
              <w:t>2</w:t>
            </w:r>
            <w:r w:rsidRPr="000C6C40">
              <w:t xml:space="preserve"> (0.00333 g BP/cm</w:t>
            </w:r>
            <w:r w:rsidRPr="000C6C40">
              <w:rPr>
                <w:vertAlign w:val="superscript"/>
              </w:rPr>
              <w:t>2</w:t>
            </w:r>
            <w:r w:rsidRPr="000C6C40">
              <w:t xml:space="preserve"> &amp; with d = 0.989 =&gt; 0.00333 mL BP/cm</w:t>
            </w:r>
            <w:r w:rsidRPr="000C6C40">
              <w:rPr>
                <w:vertAlign w:val="superscript"/>
              </w:rPr>
              <w:t>2</w:t>
            </w:r>
            <w:r w:rsidRPr="000C6C40">
              <w:t xml:space="preserve"> or 0.000333 mL A.I./cm</w:t>
            </w:r>
            <w:r w:rsidRPr="000C6C40">
              <w:rPr>
                <w:vertAlign w:val="superscript"/>
              </w:rPr>
              <w:t>2</w:t>
            </w:r>
            <w:r w:rsidRPr="000C6C40">
              <w:t>)</w:t>
            </w:r>
          </w:p>
          <w:p w14:paraId="2F5EB003" w14:textId="144B76CD" w:rsidR="00C018F7" w:rsidRPr="009F00FA" w:rsidRDefault="00C018F7" w:rsidP="001B6665">
            <w:pPr>
              <w:pStyle w:val="Standaard-Tabellen"/>
              <w:rPr>
                <w:color w:val="0070C0"/>
              </w:rPr>
            </w:pPr>
            <w:r w:rsidRPr="000C6C40">
              <w:t xml:space="preserve">is 100% efficacious to repel female </w:t>
            </w:r>
            <w:r w:rsidRPr="000C6C40">
              <w:rPr>
                <w:i/>
              </w:rPr>
              <w:t xml:space="preserve">Aedes albopictus </w:t>
            </w:r>
            <w:r w:rsidRPr="000C6C40">
              <w:t xml:space="preserve">mosquitoes up to </w:t>
            </w:r>
            <w:r w:rsidR="00024D2F">
              <w:t xml:space="preserve">8 </w:t>
            </w:r>
            <w:r w:rsidR="001B6665" w:rsidRPr="000C6C40">
              <w:t>h</w:t>
            </w:r>
            <w:r w:rsidRPr="000C6C40">
              <w:t>.</w:t>
            </w:r>
          </w:p>
        </w:tc>
        <w:tc>
          <w:tcPr>
            <w:tcW w:w="487" w:type="pct"/>
          </w:tcPr>
          <w:p w14:paraId="2F8C10DA" w14:textId="77777777" w:rsidR="00A93E0A" w:rsidRPr="000C6C40" w:rsidRDefault="00A93E0A" w:rsidP="00A93E0A">
            <w:pPr>
              <w:pStyle w:val="Standaard-Tabellen"/>
              <w:rPr>
                <w:b/>
                <w:iCs/>
                <w:lang w:val="en-US"/>
              </w:rPr>
            </w:pPr>
            <w:r w:rsidRPr="000C6C40">
              <w:rPr>
                <w:b/>
                <w:iCs/>
                <w:lang w:val="en-US"/>
              </w:rPr>
              <w:t xml:space="preserve">P. H. </w:t>
            </w:r>
            <w:proofErr w:type="spellStart"/>
            <w:r w:rsidRPr="000C6C40">
              <w:rPr>
                <w:b/>
                <w:iCs/>
                <w:lang w:val="en-US"/>
              </w:rPr>
              <w:t>Herculano</w:t>
            </w:r>
            <w:proofErr w:type="spellEnd"/>
            <w:r w:rsidRPr="000C6C40">
              <w:rPr>
                <w:b/>
                <w:iCs/>
                <w:lang w:val="en-US"/>
              </w:rPr>
              <w:t>, &amp; G. P. Machado (2017)</w:t>
            </w:r>
          </w:p>
          <w:p w14:paraId="2B6F400E" w14:textId="77777777" w:rsidR="00A93E0A" w:rsidRPr="000C6C40" w:rsidRDefault="00A93E0A" w:rsidP="00A93E0A">
            <w:pPr>
              <w:pStyle w:val="Standaard-Tabellen"/>
              <w:rPr>
                <w:b/>
                <w:iCs/>
                <w:lang w:val="en-US"/>
              </w:rPr>
            </w:pPr>
          </w:p>
          <w:p w14:paraId="5E93410C" w14:textId="77777777" w:rsidR="00C018F7" w:rsidRPr="000C6C40" w:rsidRDefault="00C018F7" w:rsidP="0023414E">
            <w:pPr>
              <w:pStyle w:val="Standaard-Tabellen"/>
              <w:rPr>
                <w:b/>
                <w:iCs/>
                <w:lang w:val="en-US"/>
              </w:rPr>
            </w:pPr>
            <w:r w:rsidRPr="000C6C40">
              <w:rPr>
                <w:b/>
                <w:iCs/>
                <w:lang w:val="en-US"/>
              </w:rPr>
              <w:t xml:space="preserve">Document “039843 R - </w:t>
            </w:r>
            <w:proofErr w:type="spellStart"/>
            <w:r w:rsidRPr="000C6C40">
              <w:rPr>
                <w:b/>
                <w:iCs/>
                <w:lang w:val="en-US"/>
              </w:rPr>
              <w:t>RMQAAL_ing</w:t>
            </w:r>
            <w:proofErr w:type="spellEnd"/>
            <w:r w:rsidRPr="000C6C40">
              <w:rPr>
                <w:b/>
                <w:iCs/>
                <w:lang w:val="en-US"/>
              </w:rPr>
              <w:t>”</w:t>
            </w:r>
          </w:p>
          <w:p w14:paraId="52336105" w14:textId="77777777" w:rsidR="00C018F7" w:rsidRPr="000C6C40" w:rsidRDefault="00C018F7" w:rsidP="0023414E">
            <w:pPr>
              <w:pStyle w:val="Standaard-Tabellen"/>
              <w:rPr>
                <w:b/>
                <w:iCs/>
                <w:lang w:val="en-US"/>
              </w:rPr>
            </w:pPr>
          </w:p>
          <w:p w14:paraId="181DD9BB" w14:textId="77777777" w:rsidR="00C018F7" w:rsidRPr="000C6C40" w:rsidRDefault="00C018F7" w:rsidP="0023414E">
            <w:pPr>
              <w:pStyle w:val="Standaard-Tabellen"/>
              <w:rPr>
                <w:b/>
                <w:iCs/>
                <w:lang w:val="en-US"/>
              </w:rPr>
            </w:pPr>
            <w:r w:rsidRPr="000C6C40">
              <w:rPr>
                <w:b/>
                <w:iCs/>
                <w:lang w:val="en-US"/>
              </w:rPr>
              <w:t xml:space="preserve">Report N° 039843 R - </w:t>
            </w:r>
            <w:proofErr w:type="spellStart"/>
            <w:r w:rsidRPr="000C6C40">
              <w:rPr>
                <w:b/>
                <w:iCs/>
                <w:lang w:val="en-US"/>
              </w:rPr>
              <w:t>RMQAAL_ing</w:t>
            </w:r>
            <w:proofErr w:type="spellEnd"/>
          </w:p>
          <w:p w14:paraId="4C369766" w14:textId="77777777" w:rsidR="00C018F7" w:rsidRPr="000C6C40" w:rsidRDefault="00C018F7" w:rsidP="0023414E">
            <w:pPr>
              <w:pStyle w:val="Standaard-Tabellen"/>
              <w:rPr>
                <w:b/>
                <w:iCs/>
                <w:lang w:val="en-US"/>
              </w:rPr>
            </w:pPr>
          </w:p>
          <w:p w14:paraId="655B144C" w14:textId="77777777" w:rsidR="00C018F7" w:rsidRPr="00461536" w:rsidRDefault="00C018F7" w:rsidP="0023414E">
            <w:pPr>
              <w:pStyle w:val="Standaard-Tabellen"/>
              <w:rPr>
                <w:iCs/>
                <w:lang w:val="en-US"/>
              </w:rPr>
            </w:pPr>
            <w:r w:rsidRPr="00605379">
              <w:rPr>
                <w:iCs/>
                <w:lang w:val="en-US"/>
              </w:rPr>
              <w:t>“</w:t>
            </w:r>
            <w:r w:rsidRPr="00461536">
              <w:rPr>
                <w:iCs/>
                <w:lang w:val="en-US"/>
              </w:rPr>
              <w:t>EFFICACY TESTS IN A REPELLENT PRODUCT FOR MOSQUITOES</w:t>
            </w:r>
          </w:p>
          <w:p w14:paraId="72268531" w14:textId="77777777" w:rsidR="00C018F7" w:rsidRPr="00B66836" w:rsidRDefault="00C018F7" w:rsidP="0023414E">
            <w:pPr>
              <w:pStyle w:val="Standaard-Tabellen"/>
              <w:rPr>
                <w:iCs/>
                <w:lang w:val="fr-BE"/>
              </w:rPr>
            </w:pPr>
            <w:r w:rsidRPr="00B66836">
              <w:rPr>
                <w:iCs/>
                <w:lang w:val="fr-BE"/>
              </w:rPr>
              <w:t xml:space="preserve">Aedes </w:t>
            </w:r>
            <w:proofErr w:type="spellStart"/>
            <w:r w:rsidRPr="00DF3789">
              <w:rPr>
                <w:iCs/>
                <w:lang w:val="fr-BE"/>
              </w:rPr>
              <w:t>albopictus</w:t>
            </w:r>
            <w:proofErr w:type="spellEnd"/>
            <w:r w:rsidRPr="00B66836">
              <w:rPr>
                <w:iCs/>
                <w:lang w:val="fr-BE"/>
              </w:rPr>
              <w:t xml:space="preserve"> (DIPTERA: CULICIDAE)”</w:t>
            </w:r>
          </w:p>
          <w:p w14:paraId="4AD0A3FC" w14:textId="77777777" w:rsidR="00C018F7" w:rsidRPr="00B66836" w:rsidRDefault="00C018F7" w:rsidP="0023414E">
            <w:pPr>
              <w:pStyle w:val="Standaard-Tabellen"/>
              <w:rPr>
                <w:b/>
                <w:iCs/>
                <w:lang w:val="fr-BE"/>
              </w:rPr>
            </w:pPr>
          </w:p>
          <w:p w14:paraId="412FC5B3" w14:textId="77777777" w:rsidR="00C018F7" w:rsidRPr="00B66836" w:rsidRDefault="00C018F7" w:rsidP="0023414E">
            <w:pPr>
              <w:pStyle w:val="Standaard-Tabellen"/>
              <w:jc w:val="center"/>
              <w:rPr>
                <w:b/>
                <w:lang w:val="fr-BE"/>
              </w:rPr>
            </w:pPr>
            <w:r w:rsidRPr="00B66836">
              <w:rPr>
                <w:b/>
                <w:lang w:val="fr-BE"/>
              </w:rPr>
              <w:t>R.1</w:t>
            </w:r>
          </w:p>
          <w:p w14:paraId="60C044FC" w14:textId="77777777" w:rsidR="00C018F7" w:rsidRPr="00461536" w:rsidRDefault="00C018F7" w:rsidP="0023414E">
            <w:pPr>
              <w:pStyle w:val="Standaard-Tabellen"/>
              <w:jc w:val="center"/>
              <w:rPr>
                <w:b/>
                <w:iCs/>
              </w:rPr>
            </w:pPr>
            <w:r>
              <w:rPr>
                <w:b/>
              </w:rPr>
              <w:t>Key study</w:t>
            </w:r>
          </w:p>
        </w:tc>
      </w:tr>
      <w:tr w:rsidR="00C018F7" w:rsidRPr="00BD2EF1" w14:paraId="4F9E2A28" w14:textId="77777777" w:rsidTr="0023414E">
        <w:tc>
          <w:tcPr>
            <w:tcW w:w="536" w:type="pct"/>
          </w:tcPr>
          <w:p w14:paraId="253551CB" w14:textId="77777777" w:rsidR="00C018F7" w:rsidRPr="00191D86" w:rsidRDefault="00C018F7" w:rsidP="0023414E">
            <w:pPr>
              <w:pStyle w:val="Standaard-Tabellen"/>
              <w:rPr>
                <w:b/>
                <w:i/>
              </w:rPr>
            </w:pPr>
            <w:r w:rsidRPr="00191D86">
              <w:rPr>
                <w:b/>
                <w:i/>
              </w:rPr>
              <w:lastRenderedPageBreak/>
              <w:t>PT19</w:t>
            </w:r>
          </w:p>
          <w:p w14:paraId="098FA434" w14:textId="77777777" w:rsidR="00C018F7" w:rsidRPr="00191D86" w:rsidRDefault="00C018F7" w:rsidP="0023414E">
            <w:pPr>
              <w:pStyle w:val="Standaard-Tabellen"/>
              <w:rPr>
                <w:b/>
                <w:i/>
              </w:rPr>
            </w:pPr>
            <w:r w:rsidRPr="00191D86">
              <w:rPr>
                <w:b/>
                <w:i/>
              </w:rPr>
              <w:t>Repellent</w:t>
            </w:r>
          </w:p>
          <w:p w14:paraId="669B0EFE" w14:textId="77777777" w:rsidR="00C018F7" w:rsidRPr="00191D86" w:rsidRDefault="00C018F7" w:rsidP="0023414E">
            <w:pPr>
              <w:pStyle w:val="Standaard-Tabellen"/>
              <w:rPr>
                <w:b/>
                <w:i/>
              </w:rPr>
            </w:pPr>
          </w:p>
        </w:tc>
        <w:tc>
          <w:tcPr>
            <w:tcW w:w="617" w:type="pct"/>
          </w:tcPr>
          <w:p w14:paraId="659B17A3"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09E6C19A" w14:textId="77777777" w:rsidR="00C018F7" w:rsidRPr="00764794" w:rsidRDefault="00C018F7" w:rsidP="0023414E">
            <w:pPr>
              <w:pStyle w:val="Standaard-Tabellen"/>
              <w:rPr>
                <w:lang w:val="en-US"/>
              </w:rPr>
            </w:pPr>
            <w:r w:rsidRPr="00C069CF">
              <w:rPr>
                <w:lang w:val="en-US"/>
              </w:rPr>
              <w:t>- Applied on uncovered human skin</w:t>
            </w:r>
          </w:p>
        </w:tc>
        <w:tc>
          <w:tcPr>
            <w:tcW w:w="616" w:type="pct"/>
          </w:tcPr>
          <w:p w14:paraId="749DEE4F" w14:textId="77777777" w:rsidR="00C018F7" w:rsidRDefault="00C018F7" w:rsidP="0023414E">
            <w:pPr>
              <w:pStyle w:val="Standaard-Tabellen"/>
              <w:rPr>
                <w:lang w:val="fr-BE"/>
              </w:rPr>
            </w:pPr>
            <w:proofErr w:type="spellStart"/>
            <w:r w:rsidRPr="00B96867">
              <w:rPr>
                <w:lang w:val="fr-BE"/>
              </w:rPr>
              <w:t>Insect</w:t>
            </w:r>
            <w:proofErr w:type="spellEnd"/>
            <w:r w:rsidRPr="00B96867">
              <w:rPr>
                <w:lang w:val="fr-BE"/>
              </w:rPr>
              <w:t xml:space="preserve"> Repellent Lotion IR3535 10% (</w:t>
            </w:r>
            <w:proofErr w:type="spellStart"/>
            <w:r w:rsidRPr="00B96867">
              <w:rPr>
                <w:lang w:val="fr-BE"/>
              </w:rPr>
              <w:t>liquid</w:t>
            </w:r>
            <w:proofErr w:type="spellEnd"/>
            <w:r w:rsidRPr="00B96867">
              <w:rPr>
                <w:lang w:val="fr-BE"/>
              </w:rPr>
              <w:t>, 10% IR3535)</w:t>
            </w:r>
          </w:p>
          <w:p w14:paraId="69CC43D5" w14:textId="77777777" w:rsidR="00C018F7" w:rsidRPr="00B96867" w:rsidRDefault="00C018F7" w:rsidP="0023414E">
            <w:pPr>
              <w:pStyle w:val="Standaard-Tabellen"/>
              <w:rPr>
                <w:lang w:val="fr-BE"/>
              </w:rPr>
            </w:pPr>
          </w:p>
          <w:p w14:paraId="5C533B63" w14:textId="77777777" w:rsidR="00C018F7" w:rsidRPr="00B96867" w:rsidRDefault="00C018F7" w:rsidP="0023414E">
            <w:pPr>
              <w:pStyle w:val="Standaard-Tabellen"/>
            </w:pPr>
            <w:r w:rsidRPr="00B96867">
              <w:t xml:space="preserve">With composition of the formulation provided </w:t>
            </w:r>
            <w:r>
              <w:t xml:space="preserve">in </w:t>
            </w:r>
            <w:r w:rsidRPr="00B96867">
              <w:t>the efficacy test report.</w:t>
            </w:r>
          </w:p>
          <w:p w14:paraId="001A2C38" w14:textId="77777777" w:rsidR="00C018F7" w:rsidRPr="00B96867" w:rsidRDefault="00C018F7" w:rsidP="0023414E">
            <w:pPr>
              <w:pStyle w:val="Standaard-Tabellen"/>
            </w:pPr>
          </w:p>
        </w:tc>
        <w:tc>
          <w:tcPr>
            <w:tcW w:w="736" w:type="pct"/>
          </w:tcPr>
          <w:p w14:paraId="071F1F5D" w14:textId="77777777" w:rsidR="00C018F7" w:rsidRPr="00191D86" w:rsidRDefault="00C018F7" w:rsidP="0023414E">
            <w:pPr>
              <w:pStyle w:val="Standaard-Tabellen"/>
              <w:rPr>
                <w:b/>
                <w:lang w:val="fr-BE"/>
              </w:rPr>
            </w:pPr>
            <w:r w:rsidRPr="00191D86">
              <w:rPr>
                <w:b/>
                <w:lang w:val="fr-BE"/>
              </w:rPr>
              <w:t>MOSQUITOES</w:t>
            </w:r>
          </w:p>
          <w:p w14:paraId="5002DD0C" w14:textId="77777777" w:rsidR="00C018F7" w:rsidRDefault="00C018F7" w:rsidP="0023414E">
            <w:pPr>
              <w:pStyle w:val="Standaard-Tabellen"/>
              <w:rPr>
                <w:i/>
                <w:iCs/>
                <w:lang w:val="fr-BE"/>
              </w:rPr>
            </w:pPr>
            <w:proofErr w:type="spellStart"/>
            <w:r>
              <w:rPr>
                <w:i/>
                <w:iCs/>
                <w:lang w:val="fr-BE"/>
              </w:rPr>
              <w:t>Anopheles</w:t>
            </w:r>
            <w:proofErr w:type="spellEnd"/>
            <w:r>
              <w:rPr>
                <w:i/>
                <w:iCs/>
                <w:lang w:val="fr-BE"/>
              </w:rPr>
              <w:t xml:space="preserve"> </w:t>
            </w:r>
            <w:proofErr w:type="spellStart"/>
            <w:r>
              <w:rPr>
                <w:i/>
                <w:iCs/>
                <w:lang w:val="fr-BE"/>
              </w:rPr>
              <w:t>aquasalis</w:t>
            </w:r>
            <w:proofErr w:type="spellEnd"/>
          </w:p>
          <w:p w14:paraId="18E6E84C" w14:textId="77777777" w:rsidR="00C018F7" w:rsidRPr="00D154AD" w:rsidRDefault="00C018F7" w:rsidP="0023414E">
            <w:pPr>
              <w:pStyle w:val="Standaard-Tabellen"/>
              <w:rPr>
                <w:b/>
              </w:rPr>
            </w:pPr>
            <w:r w:rsidRPr="00D154AD">
              <w:rPr>
                <w:iCs/>
                <w:lang w:val="fr-BE"/>
              </w:rPr>
              <w:t>(</w:t>
            </w:r>
            <w:proofErr w:type="spellStart"/>
            <w:r w:rsidRPr="00D154AD">
              <w:rPr>
                <w:iCs/>
                <w:lang w:val="fr-BE"/>
              </w:rPr>
              <w:t>female</w:t>
            </w:r>
            <w:proofErr w:type="spellEnd"/>
            <w:r w:rsidRPr="00D154AD">
              <w:rPr>
                <w:iCs/>
                <w:lang w:val="fr-BE"/>
              </w:rPr>
              <w:t>)</w:t>
            </w:r>
          </w:p>
        </w:tc>
        <w:tc>
          <w:tcPr>
            <w:tcW w:w="481" w:type="pct"/>
          </w:tcPr>
          <w:p w14:paraId="1924D893" w14:textId="77777777" w:rsidR="008758E2" w:rsidRPr="00890200" w:rsidRDefault="00C018F7" w:rsidP="008758E2">
            <w:pPr>
              <w:pStyle w:val="Standaard-Tabellen"/>
              <w:rPr>
                <w:lang w:val="en-US"/>
              </w:rPr>
            </w:pPr>
            <w:r w:rsidRPr="00D43095">
              <w:rPr>
                <w:lang w:val="en-US"/>
              </w:rPr>
              <w:t>Arm-in-Cage simulated-use test</w:t>
            </w:r>
            <w:r w:rsidR="008758E2">
              <w:rPr>
                <w:lang w:val="en-US"/>
              </w:rPr>
              <w:t xml:space="preserve"> </w:t>
            </w:r>
            <w:r w:rsidR="008758E2" w:rsidRPr="00890200">
              <w:rPr>
                <w:lang w:val="en-US"/>
              </w:rPr>
              <w:t>according to</w:t>
            </w:r>
            <w:r w:rsidR="008758E2">
              <w:rPr>
                <w:lang w:val="en-US"/>
              </w:rPr>
              <w:t xml:space="preserve"> the </w:t>
            </w:r>
            <w:r w:rsidR="008758E2" w:rsidRPr="00890200">
              <w:rPr>
                <w:lang w:val="en-US"/>
              </w:rPr>
              <w:t>EPA</w:t>
            </w:r>
            <w:r w:rsidR="008758E2">
              <w:rPr>
                <w:lang w:val="en-US"/>
              </w:rPr>
              <w:t xml:space="preserve"> g</w:t>
            </w:r>
            <w:r w:rsidR="008758E2" w:rsidRPr="00890200">
              <w:rPr>
                <w:lang w:val="en-US"/>
              </w:rPr>
              <w:t>uideline</w:t>
            </w:r>
          </w:p>
          <w:p w14:paraId="6D6A7915" w14:textId="35953341" w:rsidR="00C018F7" w:rsidRPr="00C069CF" w:rsidRDefault="008758E2" w:rsidP="008758E2">
            <w:pPr>
              <w:pStyle w:val="Standaard-Tabellen"/>
              <w:rPr>
                <w:lang w:val="en-US"/>
              </w:rPr>
            </w:pPr>
            <w:r w:rsidRPr="00890200">
              <w:rPr>
                <w:lang w:val="en-US"/>
              </w:rPr>
              <w:t>OPPTS 810.3700</w:t>
            </w:r>
          </w:p>
        </w:tc>
        <w:tc>
          <w:tcPr>
            <w:tcW w:w="652" w:type="pct"/>
          </w:tcPr>
          <w:p w14:paraId="28B413CA" w14:textId="77777777" w:rsidR="00C018F7" w:rsidRDefault="00C018F7" w:rsidP="0023414E">
            <w:pPr>
              <w:pStyle w:val="Standaard-Tabellen"/>
            </w:pPr>
            <w:r w:rsidRPr="00C069CF">
              <w:t xml:space="preserve">- with </w:t>
            </w:r>
            <w:r>
              <w:t>12</w:t>
            </w:r>
            <w:r w:rsidRPr="00C069CF">
              <w:t xml:space="preserve"> volunteers</w:t>
            </w:r>
          </w:p>
          <w:p w14:paraId="1F67FB49" w14:textId="77777777" w:rsidR="00C018F7" w:rsidRPr="00C069CF" w:rsidRDefault="00C018F7" w:rsidP="0023414E">
            <w:pPr>
              <w:pStyle w:val="Standaard-Tabellen"/>
            </w:pPr>
            <w:r>
              <w:t>(10 + 2 control)</w:t>
            </w:r>
          </w:p>
          <w:p w14:paraId="731FDD42" w14:textId="77777777" w:rsidR="00C018F7" w:rsidRPr="00C069CF" w:rsidRDefault="00C018F7" w:rsidP="0023414E">
            <w:pPr>
              <w:pStyle w:val="Standaard-Tabellen"/>
            </w:pPr>
            <w:r w:rsidRPr="00C069CF">
              <w:t xml:space="preserve">- </w:t>
            </w:r>
            <w:r>
              <w:t>Application rate : 2</w:t>
            </w:r>
            <w:r w:rsidRPr="005B44DC">
              <w:t xml:space="preserve"> g </w:t>
            </w:r>
            <w:r>
              <w:t>BP</w:t>
            </w:r>
            <w:r w:rsidRPr="00C069CF">
              <w:t>/</w:t>
            </w:r>
            <w:r>
              <w:t xml:space="preserve">600 </w:t>
            </w:r>
            <w:r w:rsidRPr="00C069CF">
              <w:t>cm</w:t>
            </w:r>
            <w:r w:rsidRPr="00C069CF">
              <w:rPr>
                <w:vertAlign w:val="superscript"/>
              </w:rPr>
              <w:t>2</w:t>
            </w:r>
            <w:r w:rsidRPr="00C069CF">
              <w:t xml:space="preserve"> </w:t>
            </w:r>
          </w:p>
          <w:p w14:paraId="28782098" w14:textId="77777777" w:rsidR="00C018F7" w:rsidRDefault="00C018F7" w:rsidP="0023414E">
            <w:pPr>
              <w:pStyle w:val="Standaard-Tabellen"/>
            </w:pPr>
            <w:r w:rsidRPr="00C069CF">
              <w:t xml:space="preserve">- </w:t>
            </w:r>
            <w:r>
              <w:t>in a netted cage :</w:t>
            </w:r>
          </w:p>
          <w:p w14:paraId="23872530" w14:textId="77777777" w:rsidR="00C018F7" w:rsidRDefault="00C018F7" w:rsidP="0023414E">
            <w:pPr>
              <w:pStyle w:val="Standaard-Tabellen"/>
            </w:pPr>
            <w:r>
              <w:t>V = 64.000 cm</w:t>
            </w:r>
            <w:r w:rsidRPr="00D154AD">
              <w:rPr>
                <w:vertAlign w:val="superscript"/>
              </w:rPr>
              <w:t>3</w:t>
            </w:r>
          </w:p>
          <w:p w14:paraId="12AA5E3C" w14:textId="77777777" w:rsidR="00C018F7" w:rsidRDefault="00C018F7" w:rsidP="0023414E">
            <w:pPr>
              <w:pStyle w:val="Standaard-Tabellen"/>
            </w:pPr>
            <w:r>
              <w:t>With 55 mosquitoes (</w:t>
            </w:r>
            <w:r w:rsidRPr="00A756EB">
              <w:rPr>
                <w:i/>
              </w:rPr>
              <w:t>as described in the OPPTS 810.3700 methodology, July 7th, 2010 &amp; within the range recommended by the WHO guidelines p.6</w:t>
            </w:r>
            <w:r>
              <w:t>)</w:t>
            </w:r>
          </w:p>
          <w:p w14:paraId="2CEDD553" w14:textId="591737BA" w:rsidR="00C018F7" w:rsidRDefault="00C018F7" w:rsidP="0023414E">
            <w:pPr>
              <w:pStyle w:val="Standaard-Tabellen"/>
            </w:pPr>
            <w:r>
              <w:t xml:space="preserve">- 5 min exposure time </w:t>
            </w:r>
            <w:r w:rsidRPr="00C069CF">
              <w:t>until</w:t>
            </w:r>
            <w:r>
              <w:t xml:space="preserve"> </w:t>
            </w:r>
            <w:r w:rsidR="00024D2F">
              <w:t>9</w:t>
            </w:r>
            <w:r w:rsidRPr="00C069CF">
              <w:t xml:space="preserve"> hours</w:t>
            </w:r>
          </w:p>
          <w:p w14:paraId="3B1DAD77" w14:textId="77777777" w:rsidR="00C018F7" w:rsidRDefault="00C018F7" w:rsidP="0023414E">
            <w:pPr>
              <w:pStyle w:val="Standaard-Tabellen"/>
            </w:pPr>
            <w:r w:rsidRPr="00C069CF">
              <w:t>- “normal” climatic conditions for temperate areas (+</w:t>
            </w:r>
            <w:r>
              <w:t>25.0 ± +2</w:t>
            </w:r>
            <w:r w:rsidRPr="00C069CF">
              <w:t xml:space="preserve">°C ; </w:t>
            </w:r>
            <w:r>
              <w:t xml:space="preserve">between 50 &amp; 70 </w:t>
            </w:r>
            <w:r w:rsidRPr="00C069CF">
              <w:t xml:space="preserve">% </w:t>
            </w:r>
            <w:r>
              <w:t>H</w:t>
            </w:r>
            <w:r w:rsidRPr="002C4257">
              <w:rPr>
                <w:vertAlign w:val="subscript"/>
              </w:rPr>
              <w:t>R</w:t>
            </w:r>
            <w:r>
              <w:t>; photoperiod 12/12</w:t>
            </w:r>
            <w:r w:rsidRPr="00C069CF">
              <w:t>)</w:t>
            </w:r>
          </w:p>
          <w:p w14:paraId="7C947FAD" w14:textId="77777777" w:rsidR="00C018F7" w:rsidRPr="00641C1B" w:rsidRDefault="00C018F7" w:rsidP="0023414E">
            <w:pPr>
              <w:pStyle w:val="Standaard-Tabellen"/>
            </w:pPr>
          </w:p>
        </w:tc>
        <w:tc>
          <w:tcPr>
            <w:tcW w:w="875" w:type="pct"/>
          </w:tcPr>
          <w:p w14:paraId="67F2FAB1" w14:textId="1B54E3FB" w:rsidR="00C018F7" w:rsidRPr="00070345" w:rsidRDefault="00C018F7" w:rsidP="0023414E">
            <w:pPr>
              <w:pStyle w:val="Standaard-Tabellen"/>
            </w:pPr>
            <w:r w:rsidRPr="00070345">
              <w:t>The product used at 2g BP/</w:t>
            </w:r>
            <w:r w:rsidR="00283AD8">
              <w:t xml:space="preserve">600 </w:t>
            </w:r>
            <w:r w:rsidRPr="00070345">
              <w:t>cm</w:t>
            </w:r>
            <w:r w:rsidRPr="00070345">
              <w:rPr>
                <w:vertAlign w:val="superscript"/>
              </w:rPr>
              <w:t>2</w:t>
            </w:r>
            <w:r w:rsidRPr="00070345">
              <w:t xml:space="preserve"> (0.00333 g BP/cm</w:t>
            </w:r>
            <w:r w:rsidRPr="00070345">
              <w:rPr>
                <w:vertAlign w:val="superscript"/>
              </w:rPr>
              <w:t>2</w:t>
            </w:r>
            <w:r w:rsidRPr="00070345">
              <w:t xml:space="preserve"> &amp; with d = 0.989 =&gt; 0.00333 mL BP/cm</w:t>
            </w:r>
            <w:r w:rsidRPr="00070345">
              <w:rPr>
                <w:vertAlign w:val="superscript"/>
              </w:rPr>
              <w:t>2</w:t>
            </w:r>
            <w:r w:rsidRPr="00070345">
              <w:t xml:space="preserve"> or 0.000333 mL A.I./cm</w:t>
            </w:r>
            <w:r w:rsidRPr="00070345">
              <w:rPr>
                <w:vertAlign w:val="superscript"/>
              </w:rPr>
              <w:t>2</w:t>
            </w:r>
            <w:r w:rsidRPr="00070345">
              <w:t>)</w:t>
            </w:r>
          </w:p>
          <w:p w14:paraId="6F885966" w14:textId="775CA78B" w:rsidR="00C018F7" w:rsidRPr="009F00FA" w:rsidRDefault="00C018F7" w:rsidP="001B6665">
            <w:pPr>
              <w:pStyle w:val="Standaard-Tabellen"/>
              <w:rPr>
                <w:color w:val="0070C0"/>
              </w:rPr>
            </w:pPr>
            <w:r w:rsidRPr="00070345">
              <w:t xml:space="preserve">is 100% efficacious to repel female </w:t>
            </w:r>
            <w:r w:rsidRPr="00070345">
              <w:rPr>
                <w:i/>
              </w:rPr>
              <w:t xml:space="preserve">Anopheles </w:t>
            </w:r>
            <w:proofErr w:type="spellStart"/>
            <w:r w:rsidRPr="00070345">
              <w:rPr>
                <w:i/>
              </w:rPr>
              <w:t>aquasalis</w:t>
            </w:r>
            <w:proofErr w:type="spellEnd"/>
            <w:r w:rsidRPr="00070345">
              <w:rPr>
                <w:i/>
              </w:rPr>
              <w:t xml:space="preserve"> </w:t>
            </w:r>
            <w:r w:rsidRPr="00070345">
              <w:t xml:space="preserve">mosquitoes up to </w:t>
            </w:r>
            <w:r w:rsidR="00024D2F">
              <w:t xml:space="preserve">8 </w:t>
            </w:r>
            <w:r w:rsidR="001B6665" w:rsidRPr="00070345">
              <w:t>h</w:t>
            </w:r>
            <w:r w:rsidRPr="00070345">
              <w:t>.</w:t>
            </w:r>
          </w:p>
        </w:tc>
        <w:tc>
          <w:tcPr>
            <w:tcW w:w="487" w:type="pct"/>
          </w:tcPr>
          <w:p w14:paraId="10BC3401" w14:textId="77777777" w:rsidR="00A93E0A" w:rsidRPr="005A3A05" w:rsidRDefault="00A93E0A" w:rsidP="00A93E0A">
            <w:pPr>
              <w:pStyle w:val="Standaard-Tabellen"/>
              <w:rPr>
                <w:b/>
                <w:iCs/>
                <w:lang w:val="fr-BE"/>
              </w:rPr>
            </w:pPr>
            <w:r w:rsidRPr="005A3A05">
              <w:rPr>
                <w:b/>
                <w:iCs/>
                <w:lang w:val="fr-BE"/>
              </w:rPr>
              <w:t xml:space="preserve">P. H. Herculano, </w:t>
            </w:r>
            <w:r w:rsidRPr="00207FB2">
              <w:rPr>
                <w:b/>
                <w:iCs/>
                <w:lang w:val="fr-BE"/>
              </w:rPr>
              <w:t xml:space="preserve">&amp; </w:t>
            </w:r>
            <w:r w:rsidRPr="005A3A05">
              <w:rPr>
                <w:b/>
                <w:iCs/>
                <w:lang w:val="fr-BE"/>
              </w:rPr>
              <w:t xml:space="preserve">G. P. Machado </w:t>
            </w:r>
            <w:r w:rsidRPr="00207FB2">
              <w:rPr>
                <w:b/>
                <w:iCs/>
                <w:lang w:val="fr-BE"/>
              </w:rPr>
              <w:t>(2017)</w:t>
            </w:r>
          </w:p>
          <w:p w14:paraId="1F23CABB" w14:textId="77777777" w:rsidR="00A93E0A" w:rsidRPr="00070345" w:rsidRDefault="00A93E0A" w:rsidP="00A93E0A">
            <w:pPr>
              <w:pStyle w:val="Standaard-Tabellen"/>
              <w:rPr>
                <w:b/>
                <w:iCs/>
                <w:lang w:val="fr-BE"/>
              </w:rPr>
            </w:pPr>
          </w:p>
          <w:p w14:paraId="5CDA9CFB" w14:textId="77777777" w:rsidR="00C018F7" w:rsidRPr="00070345" w:rsidRDefault="00C018F7" w:rsidP="0023414E">
            <w:pPr>
              <w:pStyle w:val="Standaard-Tabellen"/>
              <w:rPr>
                <w:b/>
                <w:iCs/>
                <w:lang w:val="fr-BE"/>
              </w:rPr>
            </w:pPr>
            <w:r w:rsidRPr="00070345">
              <w:rPr>
                <w:b/>
                <w:iCs/>
                <w:lang w:val="fr-BE"/>
              </w:rPr>
              <w:t xml:space="preserve">Document “039843.R - </w:t>
            </w:r>
            <w:proofErr w:type="spellStart"/>
            <w:r w:rsidRPr="00070345">
              <w:rPr>
                <w:b/>
                <w:iCs/>
                <w:lang w:val="fr-BE"/>
              </w:rPr>
              <w:t>RMQANE_ing</w:t>
            </w:r>
            <w:proofErr w:type="spellEnd"/>
            <w:r w:rsidRPr="00070345">
              <w:rPr>
                <w:b/>
                <w:iCs/>
                <w:lang w:val="fr-BE"/>
              </w:rPr>
              <w:t> »</w:t>
            </w:r>
          </w:p>
          <w:p w14:paraId="49C53DFF" w14:textId="77777777" w:rsidR="00C018F7" w:rsidRPr="00070345" w:rsidRDefault="00C018F7" w:rsidP="0023414E">
            <w:pPr>
              <w:pStyle w:val="Standaard-Tabellen"/>
              <w:rPr>
                <w:b/>
                <w:iCs/>
                <w:lang w:val="fr-BE"/>
              </w:rPr>
            </w:pPr>
          </w:p>
          <w:p w14:paraId="2EE8404C" w14:textId="77777777" w:rsidR="00C018F7" w:rsidRPr="00FA042D" w:rsidRDefault="00C018F7" w:rsidP="0023414E">
            <w:pPr>
              <w:pStyle w:val="Standaard-Tabellen"/>
              <w:rPr>
                <w:b/>
                <w:iCs/>
              </w:rPr>
            </w:pPr>
            <w:r w:rsidRPr="00FA042D">
              <w:rPr>
                <w:b/>
                <w:iCs/>
              </w:rPr>
              <w:t>Report N° RMQANE – 039843.R</w:t>
            </w:r>
          </w:p>
          <w:p w14:paraId="1EF7633A" w14:textId="77777777" w:rsidR="00C018F7" w:rsidRPr="00FA042D" w:rsidRDefault="00C018F7" w:rsidP="0023414E">
            <w:pPr>
              <w:pStyle w:val="Standaard-Tabellen"/>
              <w:rPr>
                <w:b/>
                <w:iCs/>
              </w:rPr>
            </w:pPr>
          </w:p>
          <w:p w14:paraId="13A663B7" w14:textId="77777777" w:rsidR="00C018F7" w:rsidRPr="00461536" w:rsidRDefault="00C018F7" w:rsidP="0023414E">
            <w:pPr>
              <w:pStyle w:val="Standaard-Tabellen"/>
              <w:rPr>
                <w:iCs/>
                <w:lang w:val="en-US"/>
              </w:rPr>
            </w:pPr>
            <w:r w:rsidRPr="00605379">
              <w:rPr>
                <w:iCs/>
                <w:lang w:val="en-US"/>
              </w:rPr>
              <w:t>“</w:t>
            </w:r>
            <w:r w:rsidRPr="00461536">
              <w:rPr>
                <w:iCs/>
                <w:lang w:val="en-US"/>
              </w:rPr>
              <w:t>EFFICACY TESTS IN A REPELLENT PRODUCT FOR MOSQUITOES</w:t>
            </w:r>
          </w:p>
          <w:p w14:paraId="714C2D6F" w14:textId="77777777" w:rsidR="00C018F7" w:rsidRDefault="00C018F7" w:rsidP="0023414E">
            <w:pPr>
              <w:pStyle w:val="Standaard-Tabellen"/>
              <w:rPr>
                <w:i/>
                <w:iCs/>
                <w:lang w:val="fr-BE"/>
              </w:rPr>
            </w:pPr>
            <w:proofErr w:type="spellStart"/>
            <w:r>
              <w:rPr>
                <w:i/>
                <w:iCs/>
                <w:lang w:val="fr-BE"/>
              </w:rPr>
              <w:t>Anopheles</w:t>
            </w:r>
            <w:proofErr w:type="spellEnd"/>
            <w:r>
              <w:rPr>
                <w:i/>
                <w:iCs/>
                <w:lang w:val="fr-BE"/>
              </w:rPr>
              <w:t xml:space="preserve"> </w:t>
            </w:r>
            <w:proofErr w:type="spellStart"/>
            <w:r>
              <w:rPr>
                <w:i/>
                <w:iCs/>
                <w:lang w:val="fr-BE"/>
              </w:rPr>
              <w:t>aquasalis</w:t>
            </w:r>
            <w:proofErr w:type="spellEnd"/>
          </w:p>
          <w:p w14:paraId="1277DFE2" w14:textId="77777777" w:rsidR="00C018F7" w:rsidRPr="00B66836" w:rsidRDefault="00C018F7" w:rsidP="0023414E">
            <w:pPr>
              <w:pStyle w:val="Standaard-Tabellen"/>
              <w:rPr>
                <w:iCs/>
                <w:lang w:val="fr-BE"/>
              </w:rPr>
            </w:pPr>
            <w:r w:rsidRPr="00B66836">
              <w:rPr>
                <w:iCs/>
                <w:lang w:val="fr-BE"/>
              </w:rPr>
              <w:t xml:space="preserve"> (DIPTERA: CULICIDAE)”</w:t>
            </w:r>
          </w:p>
          <w:p w14:paraId="1BD48B97" w14:textId="77777777" w:rsidR="00C018F7" w:rsidRPr="00B66836" w:rsidRDefault="00C018F7" w:rsidP="0023414E">
            <w:pPr>
              <w:pStyle w:val="Standaard-Tabellen"/>
              <w:rPr>
                <w:b/>
                <w:iCs/>
                <w:lang w:val="fr-BE"/>
              </w:rPr>
            </w:pPr>
          </w:p>
          <w:p w14:paraId="43FBD2F5" w14:textId="77777777" w:rsidR="00C018F7" w:rsidRPr="00B66836" w:rsidRDefault="00C018F7" w:rsidP="0023414E">
            <w:pPr>
              <w:pStyle w:val="Standaard-Tabellen"/>
              <w:jc w:val="center"/>
              <w:rPr>
                <w:b/>
                <w:lang w:val="fr-BE"/>
              </w:rPr>
            </w:pPr>
            <w:r w:rsidRPr="00B66836">
              <w:rPr>
                <w:b/>
                <w:lang w:val="fr-BE"/>
              </w:rPr>
              <w:t>R.1</w:t>
            </w:r>
          </w:p>
          <w:p w14:paraId="2ED8D633" w14:textId="77777777" w:rsidR="00C018F7" w:rsidRPr="00461536" w:rsidRDefault="00C018F7" w:rsidP="0023414E">
            <w:pPr>
              <w:pStyle w:val="Standaard-Tabellen"/>
              <w:jc w:val="center"/>
              <w:rPr>
                <w:b/>
                <w:iCs/>
              </w:rPr>
            </w:pPr>
            <w:r>
              <w:rPr>
                <w:b/>
              </w:rPr>
              <w:t>Key study</w:t>
            </w:r>
          </w:p>
        </w:tc>
      </w:tr>
      <w:tr w:rsidR="00C018F7" w:rsidRPr="00BD2EF1" w14:paraId="6D460E51" w14:textId="77777777" w:rsidTr="0023414E">
        <w:tc>
          <w:tcPr>
            <w:tcW w:w="536" w:type="pct"/>
          </w:tcPr>
          <w:p w14:paraId="01C43340" w14:textId="77777777" w:rsidR="00C018F7" w:rsidRPr="00191D86" w:rsidRDefault="00C018F7" w:rsidP="0023414E">
            <w:pPr>
              <w:pStyle w:val="Standaard-Tabellen"/>
              <w:rPr>
                <w:b/>
                <w:i/>
              </w:rPr>
            </w:pPr>
            <w:r w:rsidRPr="00191D86">
              <w:rPr>
                <w:b/>
                <w:i/>
              </w:rPr>
              <w:t>PT19</w:t>
            </w:r>
          </w:p>
          <w:p w14:paraId="5EEED53F" w14:textId="77777777" w:rsidR="00C018F7" w:rsidRPr="00191D86" w:rsidRDefault="00C018F7" w:rsidP="0023414E">
            <w:pPr>
              <w:pStyle w:val="Standaard-Tabellen"/>
              <w:rPr>
                <w:b/>
                <w:i/>
              </w:rPr>
            </w:pPr>
            <w:r w:rsidRPr="00191D86">
              <w:rPr>
                <w:b/>
                <w:i/>
              </w:rPr>
              <w:t>Repellent</w:t>
            </w:r>
          </w:p>
          <w:p w14:paraId="0B77B82B" w14:textId="77777777" w:rsidR="00C018F7" w:rsidRPr="00191D86" w:rsidRDefault="00C018F7" w:rsidP="0023414E">
            <w:pPr>
              <w:pStyle w:val="Standaard-Tabellen"/>
              <w:rPr>
                <w:b/>
                <w:i/>
              </w:rPr>
            </w:pPr>
          </w:p>
        </w:tc>
        <w:tc>
          <w:tcPr>
            <w:tcW w:w="617" w:type="pct"/>
          </w:tcPr>
          <w:p w14:paraId="0AE111C8" w14:textId="77777777" w:rsidR="00C018F7" w:rsidRPr="00C069CF" w:rsidRDefault="00C018F7" w:rsidP="0023414E">
            <w:pPr>
              <w:pStyle w:val="Standaard-Tabellen"/>
              <w:rPr>
                <w:lang w:val="en-US"/>
              </w:rPr>
            </w:pPr>
            <w:r w:rsidRPr="00C069CF">
              <w:rPr>
                <w:lang w:val="en-US"/>
              </w:rPr>
              <w:t xml:space="preserve">- RTU </w:t>
            </w:r>
            <w:r>
              <w:rPr>
                <w:lang w:val="en-US"/>
              </w:rPr>
              <w:t>Lotion</w:t>
            </w:r>
            <w:r w:rsidRPr="00C069CF">
              <w:rPr>
                <w:lang w:val="en-US"/>
              </w:rPr>
              <w:t xml:space="preserve"> </w:t>
            </w:r>
          </w:p>
          <w:p w14:paraId="7773D60F" w14:textId="77777777" w:rsidR="00C018F7" w:rsidRPr="00764794" w:rsidRDefault="00C018F7" w:rsidP="0023414E">
            <w:pPr>
              <w:pStyle w:val="Standaard-Tabellen"/>
              <w:rPr>
                <w:lang w:val="en-US"/>
              </w:rPr>
            </w:pPr>
            <w:r w:rsidRPr="00C069CF">
              <w:rPr>
                <w:lang w:val="en-US"/>
              </w:rPr>
              <w:t>- Applied on uncovered human skin</w:t>
            </w:r>
          </w:p>
        </w:tc>
        <w:tc>
          <w:tcPr>
            <w:tcW w:w="616" w:type="pct"/>
          </w:tcPr>
          <w:p w14:paraId="31E7E454" w14:textId="77777777" w:rsidR="00C018F7" w:rsidRDefault="00C018F7" w:rsidP="0023414E">
            <w:pPr>
              <w:pStyle w:val="Standaard-Tabellen"/>
              <w:rPr>
                <w:lang w:val="fr-BE"/>
              </w:rPr>
            </w:pPr>
            <w:proofErr w:type="spellStart"/>
            <w:r w:rsidRPr="00B96867">
              <w:rPr>
                <w:lang w:val="fr-BE"/>
              </w:rPr>
              <w:t>Insect</w:t>
            </w:r>
            <w:proofErr w:type="spellEnd"/>
            <w:r w:rsidRPr="00B96867">
              <w:rPr>
                <w:lang w:val="fr-BE"/>
              </w:rPr>
              <w:t xml:space="preserve"> Repellent Lotion IR3535 10% (</w:t>
            </w:r>
            <w:proofErr w:type="spellStart"/>
            <w:r w:rsidRPr="00B96867">
              <w:rPr>
                <w:lang w:val="fr-BE"/>
              </w:rPr>
              <w:t>liquid</w:t>
            </w:r>
            <w:proofErr w:type="spellEnd"/>
            <w:r w:rsidRPr="00B96867">
              <w:rPr>
                <w:lang w:val="fr-BE"/>
              </w:rPr>
              <w:t>, 10% IR3535)</w:t>
            </w:r>
          </w:p>
          <w:p w14:paraId="282F2D21" w14:textId="77777777" w:rsidR="00C018F7" w:rsidRPr="00B96867" w:rsidRDefault="00C018F7" w:rsidP="0023414E">
            <w:pPr>
              <w:pStyle w:val="Standaard-Tabellen"/>
              <w:rPr>
                <w:lang w:val="fr-BE"/>
              </w:rPr>
            </w:pPr>
          </w:p>
          <w:p w14:paraId="34E310D3" w14:textId="77777777" w:rsidR="00C018F7" w:rsidRPr="00B96867" w:rsidRDefault="00C018F7" w:rsidP="0023414E">
            <w:pPr>
              <w:pStyle w:val="Standaard-Tabellen"/>
            </w:pPr>
            <w:r w:rsidRPr="00B96867">
              <w:t xml:space="preserve">With composition of the formulation provided </w:t>
            </w:r>
            <w:r>
              <w:t xml:space="preserve">in </w:t>
            </w:r>
            <w:r w:rsidRPr="00B96867">
              <w:t>the efficacy test report.</w:t>
            </w:r>
          </w:p>
          <w:p w14:paraId="06092D39" w14:textId="77777777" w:rsidR="00C018F7" w:rsidRPr="00B96867" w:rsidRDefault="00C018F7" w:rsidP="0023414E">
            <w:pPr>
              <w:pStyle w:val="Standaard-Tabellen"/>
            </w:pPr>
          </w:p>
        </w:tc>
        <w:tc>
          <w:tcPr>
            <w:tcW w:w="736" w:type="pct"/>
          </w:tcPr>
          <w:p w14:paraId="29188A86" w14:textId="77777777" w:rsidR="00C018F7" w:rsidRPr="00191D86" w:rsidRDefault="00C018F7" w:rsidP="0023414E">
            <w:pPr>
              <w:pStyle w:val="Standaard-Tabellen"/>
              <w:rPr>
                <w:b/>
                <w:lang w:val="fr-BE"/>
              </w:rPr>
            </w:pPr>
            <w:r w:rsidRPr="00191D86">
              <w:rPr>
                <w:b/>
                <w:lang w:val="fr-BE"/>
              </w:rPr>
              <w:t>MOSQUITOES</w:t>
            </w:r>
          </w:p>
          <w:p w14:paraId="2D86ED9B" w14:textId="77777777" w:rsidR="00C018F7" w:rsidRDefault="00C018F7" w:rsidP="0023414E">
            <w:pPr>
              <w:pStyle w:val="Standaard-Tabellen"/>
              <w:rPr>
                <w:i/>
                <w:iCs/>
                <w:lang w:val="fr-BE"/>
              </w:rPr>
            </w:pPr>
            <w:r>
              <w:rPr>
                <w:i/>
                <w:iCs/>
                <w:lang w:val="fr-BE"/>
              </w:rPr>
              <w:t xml:space="preserve">Culex </w:t>
            </w:r>
            <w:proofErr w:type="spellStart"/>
            <w:r>
              <w:rPr>
                <w:i/>
                <w:iCs/>
                <w:lang w:val="fr-BE"/>
              </w:rPr>
              <w:t>quinquefasciatus</w:t>
            </w:r>
            <w:proofErr w:type="spellEnd"/>
          </w:p>
          <w:p w14:paraId="2C560C41" w14:textId="77777777" w:rsidR="00C018F7" w:rsidRPr="00D154AD" w:rsidRDefault="00C018F7" w:rsidP="0023414E">
            <w:pPr>
              <w:pStyle w:val="Standaard-Tabellen"/>
              <w:rPr>
                <w:b/>
              </w:rPr>
            </w:pPr>
            <w:r w:rsidRPr="00D154AD">
              <w:rPr>
                <w:iCs/>
                <w:lang w:val="fr-BE"/>
              </w:rPr>
              <w:t>(</w:t>
            </w:r>
            <w:proofErr w:type="spellStart"/>
            <w:r w:rsidRPr="00D154AD">
              <w:rPr>
                <w:iCs/>
                <w:lang w:val="fr-BE"/>
              </w:rPr>
              <w:t>female</w:t>
            </w:r>
            <w:proofErr w:type="spellEnd"/>
            <w:r w:rsidRPr="00D154AD">
              <w:rPr>
                <w:iCs/>
                <w:lang w:val="fr-BE"/>
              </w:rPr>
              <w:t>)</w:t>
            </w:r>
          </w:p>
        </w:tc>
        <w:tc>
          <w:tcPr>
            <w:tcW w:w="481" w:type="pct"/>
          </w:tcPr>
          <w:p w14:paraId="10C8ADFE" w14:textId="77777777" w:rsidR="008758E2" w:rsidRPr="00890200" w:rsidRDefault="00C018F7" w:rsidP="008758E2">
            <w:pPr>
              <w:pStyle w:val="Standaard-Tabellen"/>
              <w:rPr>
                <w:lang w:val="en-US"/>
              </w:rPr>
            </w:pPr>
            <w:r w:rsidRPr="00D43095">
              <w:rPr>
                <w:lang w:val="en-US"/>
              </w:rPr>
              <w:t>Arm-in-Cage simulated-use test</w:t>
            </w:r>
            <w:r w:rsidR="008758E2">
              <w:rPr>
                <w:lang w:val="en-US"/>
              </w:rPr>
              <w:t xml:space="preserve"> </w:t>
            </w:r>
            <w:r w:rsidR="008758E2" w:rsidRPr="00890200">
              <w:rPr>
                <w:lang w:val="en-US"/>
              </w:rPr>
              <w:t>according to</w:t>
            </w:r>
            <w:r w:rsidR="008758E2">
              <w:rPr>
                <w:lang w:val="en-US"/>
              </w:rPr>
              <w:t xml:space="preserve"> the </w:t>
            </w:r>
            <w:r w:rsidR="008758E2" w:rsidRPr="00890200">
              <w:rPr>
                <w:lang w:val="en-US"/>
              </w:rPr>
              <w:t>EPA</w:t>
            </w:r>
            <w:r w:rsidR="008758E2">
              <w:rPr>
                <w:lang w:val="en-US"/>
              </w:rPr>
              <w:t xml:space="preserve"> g</w:t>
            </w:r>
            <w:r w:rsidR="008758E2" w:rsidRPr="00890200">
              <w:rPr>
                <w:lang w:val="en-US"/>
              </w:rPr>
              <w:t>uideline</w:t>
            </w:r>
          </w:p>
          <w:p w14:paraId="7C20F53F" w14:textId="7DC79301" w:rsidR="00C018F7" w:rsidRPr="00C069CF" w:rsidRDefault="008758E2" w:rsidP="008758E2">
            <w:pPr>
              <w:pStyle w:val="Standaard-Tabellen"/>
              <w:rPr>
                <w:lang w:val="en-US"/>
              </w:rPr>
            </w:pPr>
            <w:r w:rsidRPr="00890200">
              <w:rPr>
                <w:lang w:val="en-US"/>
              </w:rPr>
              <w:t>OPPTS 810.3700</w:t>
            </w:r>
          </w:p>
        </w:tc>
        <w:tc>
          <w:tcPr>
            <w:tcW w:w="652" w:type="pct"/>
          </w:tcPr>
          <w:p w14:paraId="176D77B6" w14:textId="77777777" w:rsidR="00C018F7" w:rsidRDefault="00C018F7" w:rsidP="0023414E">
            <w:pPr>
              <w:pStyle w:val="Standaard-Tabellen"/>
            </w:pPr>
            <w:r w:rsidRPr="00C069CF">
              <w:t xml:space="preserve">- with </w:t>
            </w:r>
            <w:r>
              <w:t>12</w:t>
            </w:r>
            <w:r w:rsidRPr="00C069CF">
              <w:t xml:space="preserve"> volunteers</w:t>
            </w:r>
          </w:p>
          <w:p w14:paraId="5D96447A" w14:textId="77777777" w:rsidR="00C018F7" w:rsidRPr="00C069CF" w:rsidRDefault="00C018F7" w:rsidP="0023414E">
            <w:pPr>
              <w:pStyle w:val="Standaard-Tabellen"/>
            </w:pPr>
            <w:r>
              <w:t>(10 + 2 control)</w:t>
            </w:r>
          </w:p>
          <w:p w14:paraId="68CDE179" w14:textId="77777777" w:rsidR="00C018F7" w:rsidRPr="00C069CF" w:rsidRDefault="00C018F7" w:rsidP="0023414E">
            <w:pPr>
              <w:pStyle w:val="Standaard-Tabellen"/>
            </w:pPr>
            <w:r w:rsidRPr="00C069CF">
              <w:t xml:space="preserve">- </w:t>
            </w:r>
            <w:r>
              <w:t>Application rate : 2</w:t>
            </w:r>
            <w:r w:rsidRPr="005B44DC">
              <w:t xml:space="preserve"> g </w:t>
            </w:r>
            <w:r>
              <w:t>BP</w:t>
            </w:r>
            <w:r w:rsidRPr="00C069CF">
              <w:t>/</w:t>
            </w:r>
            <w:r>
              <w:t xml:space="preserve">600 </w:t>
            </w:r>
            <w:r w:rsidRPr="00C069CF">
              <w:t>cm</w:t>
            </w:r>
            <w:r w:rsidRPr="00C069CF">
              <w:rPr>
                <w:vertAlign w:val="superscript"/>
              </w:rPr>
              <w:t>2</w:t>
            </w:r>
            <w:r w:rsidRPr="00C069CF">
              <w:t xml:space="preserve"> </w:t>
            </w:r>
          </w:p>
          <w:p w14:paraId="3D4FC10A" w14:textId="77777777" w:rsidR="00C018F7" w:rsidRDefault="00C018F7" w:rsidP="0023414E">
            <w:pPr>
              <w:pStyle w:val="Standaard-Tabellen"/>
            </w:pPr>
            <w:r w:rsidRPr="00C069CF">
              <w:t xml:space="preserve">- </w:t>
            </w:r>
            <w:r>
              <w:t>in a netted cage :</w:t>
            </w:r>
          </w:p>
          <w:p w14:paraId="37AD6D8E" w14:textId="77777777" w:rsidR="00C018F7" w:rsidRDefault="00C018F7" w:rsidP="0023414E">
            <w:pPr>
              <w:pStyle w:val="Standaard-Tabellen"/>
            </w:pPr>
            <w:r>
              <w:t>V = 64.000 cm</w:t>
            </w:r>
            <w:r w:rsidRPr="00D154AD">
              <w:rPr>
                <w:vertAlign w:val="superscript"/>
              </w:rPr>
              <w:t>3</w:t>
            </w:r>
          </w:p>
          <w:p w14:paraId="1350C106" w14:textId="77777777" w:rsidR="00C018F7" w:rsidRDefault="00C018F7" w:rsidP="0023414E">
            <w:pPr>
              <w:pStyle w:val="Standaard-Tabellen"/>
            </w:pPr>
            <w:r>
              <w:t>With 55 mosquitoes (</w:t>
            </w:r>
            <w:r w:rsidRPr="00A756EB">
              <w:rPr>
                <w:i/>
              </w:rPr>
              <w:t xml:space="preserve">as described in the OPPTS 810.3700 methodology, July 7th, 2010 &amp; within </w:t>
            </w:r>
            <w:r w:rsidRPr="00A756EB">
              <w:rPr>
                <w:i/>
              </w:rPr>
              <w:lastRenderedPageBreak/>
              <w:t>the range recommended by the WHO guidelines p.6</w:t>
            </w:r>
            <w:r>
              <w:t>)</w:t>
            </w:r>
          </w:p>
          <w:p w14:paraId="1C09ADE4" w14:textId="77777777" w:rsidR="00C018F7" w:rsidRDefault="00C018F7" w:rsidP="0023414E">
            <w:pPr>
              <w:pStyle w:val="Standaard-Tabellen"/>
            </w:pPr>
            <w:r>
              <w:t xml:space="preserve">- 5 min exposure time </w:t>
            </w:r>
            <w:r w:rsidRPr="00C069CF">
              <w:t>until</w:t>
            </w:r>
            <w:r>
              <w:t xml:space="preserve"> 8</w:t>
            </w:r>
            <w:r w:rsidRPr="00C069CF">
              <w:t xml:space="preserve"> hours</w:t>
            </w:r>
          </w:p>
          <w:p w14:paraId="3A60CBD6" w14:textId="77777777" w:rsidR="00C018F7" w:rsidRPr="00641C1B" w:rsidRDefault="00C018F7" w:rsidP="0023414E">
            <w:pPr>
              <w:pStyle w:val="Standaard-Tabellen"/>
            </w:pPr>
            <w:r w:rsidRPr="00C069CF">
              <w:t>- “normal” climatic conditions for temperate areas (+</w:t>
            </w:r>
            <w:r>
              <w:t>25.0 ± +2</w:t>
            </w:r>
            <w:r w:rsidRPr="00C069CF">
              <w:t xml:space="preserve">°C ; </w:t>
            </w:r>
            <w:r>
              <w:t xml:space="preserve">between 50 &amp; 70 </w:t>
            </w:r>
            <w:r w:rsidRPr="00C069CF">
              <w:t xml:space="preserve">% </w:t>
            </w:r>
            <w:r>
              <w:t>H</w:t>
            </w:r>
            <w:r w:rsidRPr="002C4257">
              <w:rPr>
                <w:vertAlign w:val="subscript"/>
              </w:rPr>
              <w:t>R</w:t>
            </w:r>
            <w:r>
              <w:t>; photoperiod 12/12</w:t>
            </w:r>
            <w:r w:rsidRPr="00C069CF">
              <w:t>)</w:t>
            </w:r>
          </w:p>
        </w:tc>
        <w:tc>
          <w:tcPr>
            <w:tcW w:w="875" w:type="pct"/>
          </w:tcPr>
          <w:p w14:paraId="2E789993" w14:textId="10BADB87" w:rsidR="00C018F7" w:rsidRPr="00070345" w:rsidRDefault="00C018F7" w:rsidP="001B6665">
            <w:pPr>
              <w:pStyle w:val="Standaard-Tabellen"/>
            </w:pPr>
            <w:r w:rsidRPr="00070345">
              <w:lastRenderedPageBreak/>
              <w:t>The product used at 2g BP/</w:t>
            </w:r>
            <w:r w:rsidR="00283AD8">
              <w:t xml:space="preserve">600 </w:t>
            </w:r>
            <w:r w:rsidRPr="00070345">
              <w:t>cm</w:t>
            </w:r>
            <w:r w:rsidRPr="00070345">
              <w:rPr>
                <w:vertAlign w:val="superscript"/>
              </w:rPr>
              <w:t>2</w:t>
            </w:r>
            <w:r w:rsidRPr="00070345">
              <w:t xml:space="preserve"> (0.00333 g BP/cm</w:t>
            </w:r>
            <w:r w:rsidRPr="00070345">
              <w:rPr>
                <w:vertAlign w:val="superscript"/>
              </w:rPr>
              <w:t>2</w:t>
            </w:r>
            <w:r w:rsidRPr="00070345">
              <w:t xml:space="preserve"> &amp; with d = 0.989 =&gt; 0.00333 mL BP/cm</w:t>
            </w:r>
            <w:r w:rsidRPr="00070345">
              <w:rPr>
                <w:vertAlign w:val="superscript"/>
              </w:rPr>
              <w:t>2</w:t>
            </w:r>
            <w:r w:rsidRPr="00070345">
              <w:t xml:space="preserve"> or 0.000333 mL A.I./cm</w:t>
            </w:r>
            <w:r w:rsidRPr="00070345">
              <w:rPr>
                <w:vertAlign w:val="superscript"/>
              </w:rPr>
              <w:t>2</w:t>
            </w:r>
            <w:r w:rsidRPr="00070345">
              <w:t xml:space="preserve">) is 100% efficacious to repel female </w:t>
            </w:r>
            <w:r w:rsidRPr="00070345">
              <w:rPr>
                <w:i/>
              </w:rPr>
              <w:t xml:space="preserve">Culex </w:t>
            </w:r>
            <w:proofErr w:type="spellStart"/>
            <w:r w:rsidRPr="00070345">
              <w:rPr>
                <w:i/>
              </w:rPr>
              <w:t>quinquefasciatus</w:t>
            </w:r>
            <w:proofErr w:type="spellEnd"/>
            <w:r w:rsidRPr="00070345">
              <w:rPr>
                <w:i/>
              </w:rPr>
              <w:t xml:space="preserve"> </w:t>
            </w:r>
            <w:r w:rsidRPr="00070345">
              <w:t xml:space="preserve">mosquitoes up to </w:t>
            </w:r>
            <w:r w:rsidR="00024D2F">
              <w:t xml:space="preserve">9 </w:t>
            </w:r>
            <w:r w:rsidR="001B6665" w:rsidRPr="00070345">
              <w:t>h</w:t>
            </w:r>
            <w:r w:rsidRPr="00070345">
              <w:t>.</w:t>
            </w:r>
          </w:p>
        </w:tc>
        <w:tc>
          <w:tcPr>
            <w:tcW w:w="487" w:type="pct"/>
          </w:tcPr>
          <w:p w14:paraId="21AACBAD" w14:textId="77777777" w:rsidR="00A93E0A" w:rsidRPr="005A3A05" w:rsidRDefault="00A93E0A" w:rsidP="00A93E0A">
            <w:pPr>
              <w:pStyle w:val="Standaard-Tabellen"/>
              <w:rPr>
                <w:b/>
                <w:iCs/>
                <w:lang w:val="fr-BE"/>
              </w:rPr>
            </w:pPr>
            <w:r w:rsidRPr="005A3A05">
              <w:rPr>
                <w:b/>
                <w:iCs/>
                <w:lang w:val="fr-BE"/>
              </w:rPr>
              <w:t xml:space="preserve">P. H. Herculano, </w:t>
            </w:r>
            <w:r w:rsidRPr="00207FB2">
              <w:rPr>
                <w:b/>
                <w:iCs/>
                <w:lang w:val="fr-BE"/>
              </w:rPr>
              <w:t xml:space="preserve">&amp; </w:t>
            </w:r>
            <w:r w:rsidRPr="005A3A05">
              <w:rPr>
                <w:b/>
                <w:iCs/>
                <w:lang w:val="fr-BE"/>
              </w:rPr>
              <w:t xml:space="preserve">G. P. Machado </w:t>
            </w:r>
            <w:r w:rsidRPr="00207FB2">
              <w:rPr>
                <w:b/>
                <w:iCs/>
                <w:lang w:val="fr-BE"/>
              </w:rPr>
              <w:t>(2017)</w:t>
            </w:r>
          </w:p>
          <w:p w14:paraId="30547FB2" w14:textId="77777777" w:rsidR="00A93E0A" w:rsidRDefault="00A93E0A" w:rsidP="00A93E0A">
            <w:pPr>
              <w:pStyle w:val="Standaard-Tabellen"/>
              <w:rPr>
                <w:b/>
                <w:iCs/>
                <w:lang w:val="fr-BE"/>
              </w:rPr>
            </w:pPr>
          </w:p>
          <w:p w14:paraId="63A86528" w14:textId="77777777" w:rsidR="00C018F7" w:rsidRPr="00DA528D" w:rsidRDefault="00C018F7" w:rsidP="0023414E">
            <w:pPr>
              <w:pStyle w:val="Standaard-Tabellen"/>
              <w:rPr>
                <w:b/>
                <w:iCs/>
                <w:lang w:val="fr-BE"/>
              </w:rPr>
            </w:pPr>
            <w:r w:rsidRPr="00DA528D">
              <w:rPr>
                <w:b/>
                <w:iCs/>
                <w:lang w:val="fr-BE"/>
              </w:rPr>
              <w:t>Document “</w:t>
            </w:r>
            <w:r w:rsidRPr="00E67629">
              <w:rPr>
                <w:b/>
                <w:iCs/>
                <w:lang w:val="fr-BE"/>
              </w:rPr>
              <w:t xml:space="preserve">039843.R - </w:t>
            </w:r>
            <w:proofErr w:type="spellStart"/>
            <w:r w:rsidRPr="00E67629">
              <w:rPr>
                <w:b/>
                <w:iCs/>
                <w:lang w:val="fr-BE"/>
              </w:rPr>
              <w:t>RMQCQ_ing</w:t>
            </w:r>
            <w:proofErr w:type="spellEnd"/>
            <w:r>
              <w:rPr>
                <w:b/>
                <w:iCs/>
                <w:lang w:val="fr-BE"/>
              </w:rPr>
              <w:t> »</w:t>
            </w:r>
          </w:p>
          <w:p w14:paraId="4E3D97AE" w14:textId="77777777" w:rsidR="00C018F7" w:rsidRPr="00DA528D" w:rsidRDefault="00C018F7" w:rsidP="0023414E">
            <w:pPr>
              <w:pStyle w:val="Standaard-Tabellen"/>
              <w:rPr>
                <w:b/>
                <w:iCs/>
                <w:lang w:val="fr-BE"/>
              </w:rPr>
            </w:pPr>
          </w:p>
          <w:p w14:paraId="2BF0DA7C" w14:textId="77777777" w:rsidR="00C018F7" w:rsidRPr="00070345" w:rsidRDefault="00C018F7" w:rsidP="0023414E">
            <w:pPr>
              <w:pStyle w:val="Standaard-Tabellen"/>
              <w:rPr>
                <w:b/>
                <w:iCs/>
                <w:lang w:val="en-US"/>
              </w:rPr>
            </w:pPr>
            <w:r w:rsidRPr="00070345">
              <w:rPr>
                <w:b/>
                <w:iCs/>
                <w:lang w:val="en-US"/>
              </w:rPr>
              <w:t>Report N° RMQCQ – 039843.R</w:t>
            </w:r>
          </w:p>
          <w:p w14:paraId="51FA8C94" w14:textId="77777777" w:rsidR="00C018F7" w:rsidRPr="00070345" w:rsidRDefault="00C018F7" w:rsidP="0023414E">
            <w:pPr>
              <w:pStyle w:val="Standaard-Tabellen"/>
              <w:rPr>
                <w:b/>
                <w:iCs/>
                <w:lang w:val="en-US"/>
              </w:rPr>
            </w:pPr>
          </w:p>
          <w:p w14:paraId="13EFF930" w14:textId="77777777" w:rsidR="00C018F7" w:rsidRPr="00461536" w:rsidRDefault="00C018F7" w:rsidP="0023414E">
            <w:pPr>
              <w:pStyle w:val="Standaard-Tabellen"/>
              <w:rPr>
                <w:iCs/>
                <w:lang w:val="en-US"/>
              </w:rPr>
            </w:pPr>
            <w:r w:rsidRPr="00605379">
              <w:rPr>
                <w:iCs/>
                <w:lang w:val="en-US"/>
              </w:rPr>
              <w:t>“</w:t>
            </w:r>
            <w:r w:rsidRPr="00461536">
              <w:rPr>
                <w:iCs/>
                <w:lang w:val="en-US"/>
              </w:rPr>
              <w:t>EFFICACY TESTS IN A REPELLENT PRODUCT FOR MOSQUITOES</w:t>
            </w:r>
          </w:p>
          <w:p w14:paraId="78375DBB" w14:textId="77777777" w:rsidR="00C018F7" w:rsidRPr="006D4E4B" w:rsidRDefault="00C018F7" w:rsidP="0023414E">
            <w:pPr>
              <w:pStyle w:val="Standaard-Tabellen"/>
              <w:rPr>
                <w:i/>
                <w:iCs/>
                <w:lang w:val="fr-BE"/>
              </w:rPr>
            </w:pPr>
            <w:r>
              <w:rPr>
                <w:i/>
                <w:iCs/>
                <w:lang w:val="fr-BE"/>
              </w:rPr>
              <w:t xml:space="preserve">Culex </w:t>
            </w:r>
            <w:proofErr w:type="spellStart"/>
            <w:r>
              <w:rPr>
                <w:i/>
                <w:iCs/>
                <w:lang w:val="fr-BE"/>
              </w:rPr>
              <w:t>quinquefasciatus</w:t>
            </w:r>
            <w:proofErr w:type="spellEnd"/>
            <w:r>
              <w:rPr>
                <w:i/>
                <w:iCs/>
                <w:lang w:val="fr-BE"/>
              </w:rPr>
              <w:t xml:space="preserve"> </w:t>
            </w:r>
            <w:r w:rsidRPr="00B66836">
              <w:rPr>
                <w:iCs/>
                <w:lang w:val="fr-BE"/>
              </w:rPr>
              <w:t>(DIPTERA: CULICIDAE)”</w:t>
            </w:r>
          </w:p>
          <w:p w14:paraId="7F13D115" w14:textId="77777777" w:rsidR="00C018F7" w:rsidRPr="00B66836" w:rsidRDefault="00C018F7" w:rsidP="0023414E">
            <w:pPr>
              <w:pStyle w:val="Standaard-Tabellen"/>
              <w:rPr>
                <w:b/>
                <w:iCs/>
                <w:lang w:val="fr-BE"/>
              </w:rPr>
            </w:pPr>
          </w:p>
          <w:p w14:paraId="3649001A" w14:textId="77777777" w:rsidR="00C018F7" w:rsidRPr="00B66836" w:rsidRDefault="00C018F7" w:rsidP="0023414E">
            <w:pPr>
              <w:pStyle w:val="Standaard-Tabellen"/>
              <w:jc w:val="center"/>
              <w:rPr>
                <w:b/>
                <w:lang w:val="fr-BE"/>
              </w:rPr>
            </w:pPr>
            <w:r w:rsidRPr="00B66836">
              <w:rPr>
                <w:b/>
                <w:lang w:val="fr-BE"/>
              </w:rPr>
              <w:t>R.1</w:t>
            </w:r>
          </w:p>
          <w:p w14:paraId="2995A775" w14:textId="77777777" w:rsidR="00C018F7" w:rsidRPr="00461536" w:rsidRDefault="00C018F7" w:rsidP="0023414E">
            <w:pPr>
              <w:pStyle w:val="Standaard-Tabellen"/>
              <w:jc w:val="center"/>
              <w:rPr>
                <w:b/>
                <w:iCs/>
              </w:rPr>
            </w:pPr>
            <w:r>
              <w:rPr>
                <w:b/>
              </w:rPr>
              <w:t>Key study</w:t>
            </w:r>
          </w:p>
        </w:tc>
      </w:tr>
    </w:tbl>
    <w:p w14:paraId="7BC064B9" w14:textId="77777777" w:rsidR="00C018F7" w:rsidRDefault="00C018F7" w:rsidP="00C018F7">
      <w:pPr>
        <w:spacing w:before="0" w:after="160" w:line="259" w:lineRule="auto"/>
        <w:rPr>
          <w:rFonts w:eastAsia="Calibri"/>
          <w:lang w:eastAsia="en-US"/>
        </w:rPr>
      </w:pPr>
      <w:bookmarkStart w:id="96" w:name="_Toc389729040"/>
      <w:bookmarkStart w:id="97" w:name="_Toc403472749"/>
      <w:bookmarkStart w:id="98" w:name="_Toc403566570"/>
      <w:bookmarkStart w:id="99" w:name="_Toc425344111"/>
    </w:p>
    <w:p w14:paraId="7072AE16" w14:textId="77777777" w:rsidR="001B6665" w:rsidRPr="00070345" w:rsidRDefault="001B6665" w:rsidP="001B6665">
      <w:pPr>
        <w:rPr>
          <w:rFonts w:eastAsia="Calibri"/>
          <w:b/>
          <w:lang w:eastAsia="en-US"/>
        </w:rPr>
      </w:pPr>
      <w:r w:rsidRPr="00070345">
        <w:rPr>
          <w:rFonts w:eastAsia="Calibri"/>
          <w:b/>
          <w:lang w:eastAsia="en-US"/>
        </w:rPr>
        <w:t>DISCUSSION &amp; CONCLUSIONS :</w:t>
      </w:r>
    </w:p>
    <w:p w14:paraId="6E559939" w14:textId="34EF5851" w:rsidR="001B6665" w:rsidRDefault="00C018F7" w:rsidP="00915E9E">
      <w:pPr>
        <w:pStyle w:val="Paragraphedeliste"/>
        <w:spacing w:line="360" w:lineRule="auto"/>
        <w:ind w:left="0"/>
        <w:rPr>
          <w:rFonts w:eastAsia="Calibri"/>
          <w:lang w:eastAsia="en-US"/>
        </w:rPr>
      </w:pPr>
      <w:r w:rsidRPr="00C018F7">
        <w:rPr>
          <w:rFonts w:eastAsia="Calibri"/>
          <w:lang w:eastAsia="en-US"/>
        </w:rPr>
        <w:t xml:space="preserve">Repellence efficacy of the product </w:t>
      </w:r>
      <w:r w:rsidRPr="00915E9E">
        <w:rPr>
          <w:rFonts w:eastAsia="Calibri"/>
          <w:b/>
          <w:i/>
          <w:lang w:eastAsia="en-US"/>
        </w:rPr>
        <w:t>Insect Repellent Lotion IR3535 10%</w:t>
      </w:r>
      <w:r w:rsidRPr="00C018F7">
        <w:rPr>
          <w:rFonts w:eastAsia="Calibri"/>
          <w:lang w:eastAsia="en-US"/>
        </w:rPr>
        <w:t xml:space="preserve"> (liquid, 10% IR3535) against mosquitoes: </w:t>
      </w:r>
    </w:p>
    <w:p w14:paraId="25F77064" w14:textId="5AEF00F9" w:rsidR="001B6665" w:rsidRDefault="001B6665" w:rsidP="00915E9E">
      <w:pPr>
        <w:pStyle w:val="Paragraphedeliste"/>
        <w:spacing w:line="360" w:lineRule="auto"/>
        <w:ind w:left="0"/>
        <w:rPr>
          <w:rFonts w:eastAsia="Calibri"/>
          <w:lang w:eastAsia="en-US"/>
        </w:rPr>
      </w:pPr>
      <w:r>
        <w:rPr>
          <w:rFonts w:eastAsia="Calibri"/>
          <w:lang w:eastAsia="en-US"/>
        </w:rPr>
        <w:t>S</w:t>
      </w:r>
      <w:r w:rsidR="00C018F7" w:rsidRPr="00C018F7">
        <w:rPr>
          <w:rFonts w:eastAsia="Calibri"/>
          <w:lang w:eastAsia="en-US"/>
        </w:rPr>
        <w:t xml:space="preserve">imulated-use tests (Arm-in-Cage tests according to WHO </w:t>
      </w:r>
      <w:r w:rsidR="00591CBC">
        <w:rPr>
          <w:rFonts w:eastAsia="Calibri"/>
          <w:lang w:eastAsia="en-US"/>
        </w:rPr>
        <w:t xml:space="preserve">or </w:t>
      </w:r>
      <w:r w:rsidR="00591CBC" w:rsidRPr="00C018F7">
        <w:rPr>
          <w:rFonts w:eastAsia="Calibri"/>
          <w:lang w:eastAsia="en-US"/>
        </w:rPr>
        <w:t>OPPTS 810.3700</w:t>
      </w:r>
      <w:r w:rsidR="00591CBC">
        <w:rPr>
          <w:rFonts w:eastAsia="Calibri"/>
          <w:lang w:eastAsia="en-US"/>
        </w:rPr>
        <w:t xml:space="preserve"> </w:t>
      </w:r>
      <w:r w:rsidR="00C018F7" w:rsidRPr="00C018F7">
        <w:rPr>
          <w:rFonts w:eastAsia="Calibri"/>
          <w:lang w:eastAsia="en-US"/>
        </w:rPr>
        <w:t xml:space="preserve">method) and a field test were submitted to support this claim. </w:t>
      </w:r>
    </w:p>
    <w:p w14:paraId="5BAE5EDB" w14:textId="143534EF" w:rsidR="001B6665" w:rsidRPr="00342636" w:rsidRDefault="001B6665" w:rsidP="00915E9E">
      <w:pPr>
        <w:pStyle w:val="Paragraphedeliste"/>
        <w:spacing w:line="360" w:lineRule="auto"/>
        <w:ind w:left="0"/>
        <w:rPr>
          <w:rFonts w:eastAsia="Calibri"/>
          <w:lang w:eastAsia="en-US"/>
        </w:rPr>
      </w:pPr>
      <w:r w:rsidRPr="00342636">
        <w:rPr>
          <w:rFonts w:eastAsia="Calibri"/>
          <w:lang w:eastAsia="en-US"/>
        </w:rPr>
        <w:t>We’re of the opinion that this test</w:t>
      </w:r>
      <w:r w:rsidRPr="00E61D7A">
        <w:rPr>
          <w:rFonts w:eastAsia="Calibri"/>
          <w:lang w:eastAsia="en-US"/>
        </w:rPr>
        <w:t xml:space="preserve"> performed in real-use conditions gives more realistic results compared to Arm-in-Cage tests. Since the field test has been considered as a </w:t>
      </w:r>
      <w:r w:rsidRPr="00CA3E95">
        <w:rPr>
          <w:rFonts w:eastAsia="Calibri"/>
          <w:lang w:eastAsia="en-US"/>
        </w:rPr>
        <w:t>reliable and acceptable test according to the comments received about the IR3535 Pump Spray</w:t>
      </w:r>
      <w:r w:rsidRPr="002B4701">
        <w:rPr>
          <w:rFonts w:eastAsia="Calibri"/>
          <w:lang w:eastAsia="en-US"/>
        </w:rPr>
        <w:t>/Aerosol products</w:t>
      </w:r>
      <w:r w:rsidRPr="0019111E">
        <w:rPr>
          <w:rFonts w:eastAsia="Calibri"/>
          <w:lang w:eastAsia="en-US"/>
        </w:rPr>
        <w:t xml:space="preserve">, the results of the field </w:t>
      </w:r>
      <w:r w:rsidRPr="00A139BC">
        <w:rPr>
          <w:rFonts w:eastAsia="Calibri"/>
          <w:lang w:eastAsia="en-US"/>
        </w:rPr>
        <w:t>test</w:t>
      </w:r>
      <w:r w:rsidRPr="00B1616F">
        <w:rPr>
          <w:rFonts w:eastAsia="Calibri"/>
          <w:lang w:eastAsia="en-US"/>
        </w:rPr>
        <w:t xml:space="preserve"> </w:t>
      </w:r>
      <w:r w:rsidRPr="00D2685E">
        <w:rPr>
          <w:rFonts w:eastAsia="Calibri"/>
          <w:lang w:eastAsia="en-US"/>
        </w:rPr>
        <w:t xml:space="preserve">submitted here are used to draw a conclusion about the repellence efficacy of the product </w:t>
      </w:r>
      <w:r w:rsidRPr="00915E9E">
        <w:rPr>
          <w:rFonts w:eastAsia="Calibri"/>
          <w:b/>
          <w:i/>
          <w:lang w:eastAsia="en-US"/>
        </w:rPr>
        <w:t xml:space="preserve">Insect Repellent Lotion IR3535 10% </w:t>
      </w:r>
      <w:r w:rsidRPr="00360794">
        <w:rPr>
          <w:rFonts w:eastAsia="Calibri"/>
          <w:lang w:eastAsia="en-US"/>
        </w:rPr>
        <w:t>against mosquitoes.</w:t>
      </w:r>
      <w:r w:rsidRPr="0086572C">
        <w:rPr>
          <w:rFonts w:eastAsia="Calibri"/>
          <w:lang w:eastAsia="en-US"/>
        </w:rPr>
        <w:t xml:space="preserve"> Then,</w:t>
      </w:r>
      <w:r w:rsidRPr="00D610E8">
        <w:rPr>
          <w:rFonts w:eastAsia="Calibri"/>
          <w:lang w:eastAsia="en-US"/>
        </w:rPr>
        <w:t xml:space="preserve"> </w:t>
      </w:r>
      <w:r w:rsidRPr="00290B4F">
        <w:rPr>
          <w:rFonts w:eastAsia="Calibri"/>
          <w:lang w:eastAsia="en-US"/>
        </w:rPr>
        <w:t>with this</w:t>
      </w:r>
      <w:r w:rsidRPr="00342636">
        <w:rPr>
          <w:rFonts w:eastAsia="Calibri"/>
          <w:lang w:eastAsia="en-US"/>
        </w:rPr>
        <w:t xml:space="preserve"> field test, the results show 100% repellence efficacy of the product </w:t>
      </w:r>
      <w:r w:rsidRPr="00915E9E">
        <w:rPr>
          <w:rFonts w:eastAsia="Calibri"/>
          <w:b/>
          <w:i/>
          <w:lang w:eastAsia="en-US"/>
        </w:rPr>
        <w:t>Insect Repellent Lotion IR3535 10%</w:t>
      </w:r>
      <w:r w:rsidRPr="00915E9E">
        <w:rPr>
          <w:rFonts w:eastAsia="Calibri"/>
          <w:lang w:eastAsia="en-US"/>
        </w:rPr>
        <w:t xml:space="preserve">  </w:t>
      </w:r>
      <w:r w:rsidRPr="00342636">
        <w:rPr>
          <w:rFonts w:eastAsia="Calibri"/>
          <w:lang w:eastAsia="en-US"/>
        </w:rPr>
        <w:t>when applied on uncovered human skin up to 8 h at the dose of 0.00115 g BP/cm</w:t>
      </w:r>
      <w:r w:rsidR="00070345">
        <w:rPr>
          <w:rFonts w:eastAsia="Calibri"/>
          <w:lang w:eastAsia="en-US"/>
        </w:rPr>
        <w:t>²</w:t>
      </w:r>
      <w:r w:rsidRPr="00342636">
        <w:rPr>
          <w:rFonts w:eastAsia="Calibri"/>
          <w:lang w:eastAsia="en-US"/>
        </w:rPr>
        <w:t xml:space="preserve"> against mosquito’s genus </w:t>
      </w:r>
      <w:r w:rsidRPr="00070345">
        <w:rPr>
          <w:rFonts w:eastAsia="Calibri"/>
          <w:i/>
          <w:lang w:eastAsia="en-US"/>
        </w:rPr>
        <w:t>Aedes, Culex</w:t>
      </w:r>
      <w:r w:rsidRPr="00342636">
        <w:rPr>
          <w:rFonts w:eastAsia="Calibri"/>
          <w:lang w:eastAsia="en-US"/>
        </w:rPr>
        <w:t xml:space="preserve"> and </w:t>
      </w:r>
      <w:r w:rsidRPr="00070345">
        <w:rPr>
          <w:rFonts w:eastAsia="Calibri"/>
          <w:i/>
          <w:lang w:eastAsia="en-US"/>
        </w:rPr>
        <w:t>Anopheles</w:t>
      </w:r>
      <w:r w:rsidRPr="00342636">
        <w:rPr>
          <w:rFonts w:eastAsia="Calibri"/>
          <w:lang w:eastAsia="en-US"/>
        </w:rPr>
        <w:t xml:space="preserve"> found in temperate areas</w:t>
      </w:r>
      <w:r w:rsidR="002924BC">
        <w:rPr>
          <w:rFonts w:eastAsia="Calibri"/>
          <w:lang w:eastAsia="en-US"/>
        </w:rPr>
        <w:t>, which is also supported by the Arm-in-Cage tests</w:t>
      </w:r>
    </w:p>
    <w:p w14:paraId="53AACD9E" w14:textId="6999B11B" w:rsidR="00C018F7" w:rsidRDefault="00C018F7" w:rsidP="00C018F7">
      <w:pPr>
        <w:rPr>
          <w:rFonts w:eastAsia="Calibri"/>
          <w:lang w:eastAsia="en-US"/>
        </w:rPr>
      </w:pPr>
    </w:p>
    <w:p w14:paraId="482C4561" w14:textId="204D6609" w:rsidR="00070345" w:rsidRDefault="00070345" w:rsidP="00C018F7">
      <w:pPr>
        <w:rPr>
          <w:rFonts w:eastAsia="Calibri"/>
          <w:lang w:eastAsia="en-US"/>
        </w:rPr>
      </w:pPr>
    </w:p>
    <w:p w14:paraId="54502921" w14:textId="77777777" w:rsidR="00070345" w:rsidRDefault="00070345" w:rsidP="00C018F7">
      <w:pPr>
        <w:rPr>
          <w:rFonts w:eastAsia="Calibri"/>
          <w:lang w:eastAsia="en-US"/>
        </w:rPr>
      </w:pPr>
    </w:p>
    <w:p w14:paraId="5A9EF6DF" w14:textId="373B3125" w:rsidR="00C018F7" w:rsidRPr="00070345" w:rsidRDefault="00C018F7" w:rsidP="00070345">
      <w:pPr>
        <w:spacing w:line="360" w:lineRule="auto"/>
        <w:rPr>
          <w:rFonts w:eastAsia="Calibri"/>
          <w:lang w:eastAsia="en-US"/>
        </w:rPr>
      </w:pPr>
      <w:r w:rsidRPr="00070345">
        <w:rPr>
          <w:rFonts w:eastAsia="Calibri"/>
          <w:lang w:eastAsia="en-US"/>
        </w:rPr>
        <w:t xml:space="preserve">Repellence efficacy of the product </w:t>
      </w:r>
      <w:r w:rsidRPr="00070345">
        <w:rPr>
          <w:rFonts w:eastAsia="Calibri"/>
          <w:b/>
          <w:i/>
          <w:lang w:eastAsia="en-US"/>
        </w:rPr>
        <w:t>Insect Repellent Lotion IR3535 10%</w:t>
      </w:r>
      <w:r w:rsidRPr="00070345">
        <w:rPr>
          <w:rFonts w:eastAsia="Calibri"/>
          <w:lang w:eastAsia="en-US"/>
        </w:rPr>
        <w:t xml:space="preserve"> (liquid, 10% IR3535) against ticks : </w:t>
      </w:r>
    </w:p>
    <w:p w14:paraId="72F95EC6" w14:textId="77777777" w:rsidR="00915E9E" w:rsidRPr="00070345" w:rsidRDefault="00915E9E" w:rsidP="00070345">
      <w:pPr>
        <w:spacing w:line="360" w:lineRule="auto"/>
        <w:rPr>
          <w:rFonts w:eastAsia="Calibri"/>
          <w:lang w:eastAsia="en-US"/>
        </w:rPr>
      </w:pPr>
      <w:r w:rsidRPr="00070345">
        <w:rPr>
          <w:rFonts w:eastAsia="Calibri"/>
          <w:lang w:eastAsia="en-US"/>
        </w:rPr>
        <w:t>Laboratory choice tests (according to OPPTS 810.3700 method) were submitted to support this claim.</w:t>
      </w:r>
    </w:p>
    <w:p w14:paraId="63B5D713" w14:textId="77777777" w:rsidR="00915E9E" w:rsidRDefault="00915E9E" w:rsidP="00915E9E">
      <w:pPr>
        <w:pStyle w:val="Paragraphedeliste"/>
        <w:numPr>
          <w:ilvl w:val="0"/>
          <w:numId w:val="10"/>
        </w:numPr>
        <w:spacing w:line="360" w:lineRule="auto"/>
        <w:rPr>
          <w:rFonts w:eastAsia="Calibri"/>
          <w:lang w:eastAsia="en-US"/>
        </w:rPr>
      </w:pPr>
      <w:r>
        <w:rPr>
          <w:rFonts w:eastAsia="Calibri"/>
          <w:lang w:eastAsia="en-US"/>
        </w:rPr>
        <w:lastRenderedPageBreak/>
        <w:t xml:space="preserve">The lab test performed with </w:t>
      </w:r>
      <w:r w:rsidRPr="00A675AC">
        <w:rPr>
          <w:rFonts w:eastAsia="Calibri"/>
          <w:i/>
          <w:lang w:eastAsia="en-US"/>
        </w:rPr>
        <w:t>Ixodes scapularis</w:t>
      </w:r>
      <w:r>
        <w:rPr>
          <w:rFonts w:eastAsia="Calibri"/>
          <w:i/>
          <w:lang w:eastAsia="en-US"/>
        </w:rPr>
        <w:t xml:space="preserve"> (similar to I. </w:t>
      </w:r>
      <w:proofErr w:type="spellStart"/>
      <w:r>
        <w:rPr>
          <w:rFonts w:eastAsia="Calibri"/>
          <w:i/>
          <w:lang w:eastAsia="en-US"/>
        </w:rPr>
        <w:t>ricinus</w:t>
      </w:r>
      <w:proofErr w:type="spellEnd"/>
      <w:r>
        <w:rPr>
          <w:rFonts w:eastAsia="Calibri"/>
          <w:i/>
          <w:lang w:eastAsia="en-US"/>
        </w:rPr>
        <w:t xml:space="preserve"> according to the scientific paper provided by the DE </w:t>
      </w:r>
      <w:proofErr w:type="spellStart"/>
      <w:r>
        <w:rPr>
          <w:rFonts w:eastAsia="Calibri"/>
          <w:i/>
          <w:lang w:eastAsia="en-US"/>
        </w:rPr>
        <w:t>eCA</w:t>
      </w:r>
      <w:proofErr w:type="spellEnd"/>
      <w:r>
        <w:rPr>
          <w:rFonts w:eastAsia="Calibri"/>
          <w:i/>
          <w:lang w:eastAsia="en-US"/>
        </w:rPr>
        <w:t xml:space="preserve">  </w:t>
      </w:r>
      <w:proofErr w:type="spellStart"/>
      <w:r w:rsidRPr="00E61D7A">
        <w:rPr>
          <w:rFonts w:eastAsia="Calibri"/>
          <w:lang w:eastAsia="en-US"/>
        </w:rPr>
        <w:t>Büchel</w:t>
      </w:r>
      <w:proofErr w:type="spellEnd"/>
      <w:r w:rsidRPr="00E61D7A">
        <w:rPr>
          <w:rFonts w:eastAsia="Calibri"/>
          <w:lang w:eastAsia="en-US"/>
        </w:rPr>
        <w:t xml:space="preserve"> </w:t>
      </w:r>
      <w:r>
        <w:rPr>
          <w:rFonts w:eastAsia="Calibri"/>
          <w:i/>
          <w:lang w:eastAsia="en-US"/>
        </w:rPr>
        <w:t>&amp;</w:t>
      </w:r>
      <w:r w:rsidRPr="00A675AC">
        <w:rPr>
          <w:rFonts w:eastAsia="Calibri"/>
          <w:i/>
          <w:lang w:eastAsia="en-US"/>
        </w:rPr>
        <w:t xml:space="preserve"> al.</w:t>
      </w:r>
      <w:r w:rsidRPr="00E61D7A">
        <w:rPr>
          <w:rFonts w:eastAsia="Calibri"/>
          <w:lang w:eastAsia="en-US"/>
        </w:rPr>
        <w:t xml:space="preserve"> </w:t>
      </w:r>
      <w:r>
        <w:rPr>
          <w:rFonts w:eastAsia="Calibri"/>
          <w:lang w:eastAsia="en-US"/>
        </w:rPr>
        <w:t>(2015) “</w:t>
      </w:r>
      <w:r w:rsidRPr="00A675AC">
        <w:rPr>
          <w:rFonts w:eastAsia="Calibri"/>
          <w:i/>
          <w:lang w:eastAsia="en-US"/>
        </w:rPr>
        <w:t xml:space="preserve">Repellent efficacy of DEET, </w:t>
      </w:r>
      <w:proofErr w:type="spellStart"/>
      <w:r w:rsidRPr="00A675AC">
        <w:rPr>
          <w:rFonts w:eastAsia="Calibri"/>
          <w:i/>
          <w:lang w:eastAsia="en-US"/>
        </w:rPr>
        <w:t>Icaridin</w:t>
      </w:r>
      <w:proofErr w:type="spellEnd"/>
      <w:r w:rsidRPr="00A675AC">
        <w:rPr>
          <w:rFonts w:eastAsia="Calibri"/>
          <w:i/>
          <w:lang w:eastAsia="en-US"/>
        </w:rPr>
        <w:t xml:space="preserve">, and EBAAP against Ixodes </w:t>
      </w:r>
      <w:proofErr w:type="spellStart"/>
      <w:r w:rsidRPr="00A675AC">
        <w:rPr>
          <w:rFonts w:eastAsia="Calibri"/>
          <w:i/>
          <w:lang w:eastAsia="en-US"/>
        </w:rPr>
        <w:t>ricinus</w:t>
      </w:r>
      <w:proofErr w:type="spellEnd"/>
      <w:r w:rsidRPr="00A675AC">
        <w:rPr>
          <w:rFonts w:eastAsia="Calibri"/>
          <w:i/>
          <w:lang w:eastAsia="en-US"/>
        </w:rPr>
        <w:t xml:space="preserve"> and Ixodes scapularis nymphs (Acari, Ixodidae)</w:t>
      </w:r>
      <w:r w:rsidRPr="00E61D7A">
        <w:rPr>
          <w:rFonts w:eastAsia="Calibri"/>
          <w:lang w:eastAsia="en-US"/>
        </w:rPr>
        <w:t>”</w:t>
      </w:r>
      <w:r>
        <w:rPr>
          <w:rFonts w:eastAsia="Calibri"/>
          <w:lang w:eastAsia="en-US"/>
        </w:rPr>
        <w:t xml:space="preserve"> showing that </w:t>
      </w:r>
      <w:r w:rsidRPr="00E61D7A">
        <w:rPr>
          <w:rFonts w:eastAsia="Calibri"/>
          <w:lang w:eastAsia="en-US"/>
        </w:rPr>
        <w:t>no significant differences in repellent efficacy were found between the two species tested (when compared the repellent efficacy of 10% IR3535)</w:t>
      </w:r>
      <w:r w:rsidRPr="00E61D7A">
        <w:rPr>
          <w:rFonts w:eastAsia="Calibri"/>
          <w:i/>
          <w:lang w:eastAsia="en-US"/>
        </w:rPr>
        <w:t xml:space="preserve">) &amp; 3 min exposure (exposure time </w:t>
      </w:r>
      <w:r w:rsidRPr="00E61D7A">
        <w:rPr>
          <w:rFonts w:eastAsia="Calibri"/>
          <w:lang w:eastAsia="en-US"/>
        </w:rPr>
        <w:t>acceptable according to the comments received about the IR3535 Pump Spray/Aerosol products</w:t>
      </w:r>
      <w:r w:rsidRPr="00A675AC">
        <w:rPr>
          <w:rFonts w:eastAsia="Calibri"/>
          <w:lang w:eastAsia="en-US"/>
        </w:rPr>
        <w:t>) show</w:t>
      </w:r>
      <w:r>
        <w:rPr>
          <w:rFonts w:eastAsia="Calibri"/>
          <w:lang w:eastAsia="en-US"/>
        </w:rPr>
        <w:t xml:space="preserve">s </w:t>
      </w:r>
      <w:r w:rsidRPr="00047C13">
        <w:rPr>
          <w:rFonts w:eastAsia="Calibri"/>
          <w:lang w:eastAsia="en-US"/>
        </w:rPr>
        <w:t>the</w:t>
      </w:r>
      <w:r w:rsidRPr="00683533">
        <w:rPr>
          <w:rFonts w:eastAsia="Calibri"/>
          <w:lang w:eastAsia="en-US"/>
        </w:rPr>
        <w:t xml:space="preserve"> </w:t>
      </w:r>
      <w:r>
        <w:rPr>
          <w:rFonts w:eastAsia="Calibri"/>
          <w:lang w:eastAsia="en-US"/>
        </w:rPr>
        <w:t xml:space="preserve">100% </w:t>
      </w:r>
      <w:r w:rsidRPr="00683533">
        <w:rPr>
          <w:rFonts w:eastAsia="Calibri"/>
          <w:lang w:eastAsia="en-US"/>
        </w:rPr>
        <w:t xml:space="preserve">repellence efficacy of the product </w:t>
      </w:r>
      <w:r w:rsidRPr="00683533">
        <w:rPr>
          <w:rFonts w:eastAsia="Calibri"/>
          <w:b/>
          <w:i/>
          <w:lang w:eastAsia="en-US"/>
        </w:rPr>
        <w:t>Insect Repellent Lotion IR3535 10%</w:t>
      </w:r>
      <w:r w:rsidRPr="00683533">
        <w:rPr>
          <w:rFonts w:eastAsia="Calibri"/>
          <w:lang w:eastAsia="en-US"/>
        </w:rPr>
        <w:t xml:space="preserve"> when applied on uncovered human skin up to </w:t>
      </w:r>
      <w:r>
        <w:rPr>
          <w:rFonts w:eastAsia="Calibri"/>
          <w:lang w:eastAsia="en-US"/>
        </w:rPr>
        <w:t>9</w:t>
      </w:r>
      <w:r w:rsidRPr="00683533">
        <w:rPr>
          <w:rFonts w:eastAsia="Calibri"/>
          <w:lang w:eastAsia="en-US"/>
        </w:rPr>
        <w:t xml:space="preserve"> h</w:t>
      </w:r>
      <w:r w:rsidRPr="00047C13">
        <w:rPr>
          <w:rFonts w:eastAsia="Calibri"/>
          <w:lang w:eastAsia="en-US"/>
        </w:rPr>
        <w:t xml:space="preserve"> at the dose of 0.001</w:t>
      </w:r>
      <w:r>
        <w:rPr>
          <w:rFonts w:eastAsia="Calibri"/>
          <w:lang w:eastAsia="en-US"/>
        </w:rPr>
        <w:t>15</w:t>
      </w:r>
      <w:r w:rsidRPr="00047C13">
        <w:rPr>
          <w:rFonts w:eastAsia="Calibri"/>
          <w:lang w:eastAsia="en-US"/>
        </w:rPr>
        <w:t xml:space="preserve"> g BP/cm</w:t>
      </w:r>
      <w:r w:rsidRPr="00047C13">
        <w:rPr>
          <w:rFonts w:eastAsia="Calibri"/>
          <w:vertAlign w:val="superscript"/>
          <w:lang w:eastAsia="en-US"/>
        </w:rPr>
        <w:t>2</w:t>
      </w:r>
      <w:r>
        <w:rPr>
          <w:rFonts w:eastAsia="Calibri"/>
          <w:lang w:eastAsia="en-US"/>
        </w:rPr>
        <w:t>.</w:t>
      </w:r>
    </w:p>
    <w:p w14:paraId="5208EB90" w14:textId="1D2966D6" w:rsidR="00915E9E" w:rsidRPr="00E61D7A" w:rsidRDefault="00915E9E" w:rsidP="00915E9E">
      <w:pPr>
        <w:pStyle w:val="Paragraphedeliste"/>
        <w:numPr>
          <w:ilvl w:val="0"/>
          <w:numId w:val="10"/>
        </w:numPr>
        <w:spacing w:line="360" w:lineRule="auto"/>
        <w:rPr>
          <w:rFonts w:eastAsia="Calibri"/>
          <w:lang w:eastAsia="en-US"/>
        </w:rPr>
      </w:pPr>
      <w:r>
        <w:rPr>
          <w:rFonts w:eastAsia="Calibri"/>
          <w:lang w:eastAsia="en-US"/>
        </w:rPr>
        <w:t xml:space="preserve">The lab test performed with </w:t>
      </w:r>
      <w:r w:rsidRPr="00CF24DA">
        <w:rPr>
          <w:rFonts w:eastAsia="Calibri"/>
          <w:i/>
          <w:lang w:eastAsia="en-US"/>
        </w:rPr>
        <w:t>Ixodes</w:t>
      </w:r>
      <w:r>
        <w:rPr>
          <w:rFonts w:eastAsia="Calibri"/>
          <w:i/>
          <w:lang w:eastAsia="en-US"/>
        </w:rPr>
        <w:t xml:space="preserve"> </w:t>
      </w:r>
      <w:proofErr w:type="spellStart"/>
      <w:r>
        <w:rPr>
          <w:rFonts w:eastAsia="Calibri"/>
          <w:i/>
          <w:lang w:eastAsia="en-US"/>
        </w:rPr>
        <w:t>ricinus</w:t>
      </w:r>
      <w:proofErr w:type="spellEnd"/>
      <w:r w:rsidRPr="00A675AC">
        <w:rPr>
          <w:rFonts w:eastAsia="Calibri"/>
          <w:lang w:eastAsia="en-US"/>
        </w:rPr>
        <w:t xml:space="preserve"> &amp; 5 min exposure</w:t>
      </w:r>
      <w:r>
        <w:rPr>
          <w:rFonts w:eastAsia="Calibri"/>
          <w:lang w:eastAsia="en-US"/>
        </w:rPr>
        <w:t xml:space="preserve"> </w:t>
      </w:r>
      <w:r w:rsidRPr="00CF24DA">
        <w:rPr>
          <w:rFonts w:eastAsia="Calibri"/>
          <w:lang w:eastAsia="en-US"/>
        </w:rPr>
        <w:t>show</w:t>
      </w:r>
      <w:r>
        <w:rPr>
          <w:rFonts w:eastAsia="Calibri"/>
          <w:lang w:eastAsia="en-US"/>
        </w:rPr>
        <w:t xml:space="preserve">s </w:t>
      </w:r>
      <w:r w:rsidRPr="00047C13">
        <w:rPr>
          <w:rFonts w:eastAsia="Calibri"/>
          <w:lang w:eastAsia="en-US"/>
        </w:rPr>
        <w:t>the</w:t>
      </w:r>
      <w:r w:rsidRPr="00683533">
        <w:rPr>
          <w:rFonts w:eastAsia="Calibri"/>
          <w:lang w:eastAsia="en-US"/>
        </w:rPr>
        <w:t xml:space="preserve"> </w:t>
      </w:r>
      <w:r w:rsidR="00D966EF">
        <w:rPr>
          <w:rFonts w:eastAsia="Calibri"/>
          <w:lang w:eastAsia="en-US"/>
        </w:rPr>
        <w:t xml:space="preserve">90 </w:t>
      </w:r>
      <w:r>
        <w:rPr>
          <w:rFonts w:eastAsia="Calibri"/>
          <w:lang w:eastAsia="en-US"/>
        </w:rPr>
        <w:t xml:space="preserve">% </w:t>
      </w:r>
      <w:r w:rsidRPr="00683533">
        <w:rPr>
          <w:rFonts w:eastAsia="Calibri"/>
          <w:lang w:eastAsia="en-US"/>
        </w:rPr>
        <w:t xml:space="preserve">repellence efficacy of the product </w:t>
      </w:r>
      <w:r w:rsidRPr="00683533">
        <w:rPr>
          <w:rFonts w:eastAsia="Calibri"/>
          <w:b/>
          <w:i/>
          <w:lang w:eastAsia="en-US"/>
        </w:rPr>
        <w:t>Insect Repellent Lotion IR3535 10%</w:t>
      </w:r>
      <w:r w:rsidRPr="00683533">
        <w:rPr>
          <w:rFonts w:eastAsia="Calibri"/>
          <w:lang w:eastAsia="en-US"/>
        </w:rPr>
        <w:t xml:space="preserve"> when applied on uncovered human skin up to </w:t>
      </w:r>
      <w:r w:rsidR="00D966EF">
        <w:rPr>
          <w:rFonts w:eastAsia="Calibri"/>
          <w:lang w:eastAsia="en-US"/>
        </w:rPr>
        <w:t xml:space="preserve"> 7</w:t>
      </w:r>
      <w:r w:rsidRPr="00683533">
        <w:rPr>
          <w:rFonts w:eastAsia="Calibri"/>
          <w:lang w:eastAsia="en-US"/>
        </w:rPr>
        <w:t xml:space="preserve"> h</w:t>
      </w:r>
      <w:r w:rsidRPr="00047C13">
        <w:rPr>
          <w:rFonts w:eastAsia="Calibri"/>
          <w:lang w:eastAsia="en-US"/>
        </w:rPr>
        <w:t xml:space="preserve"> at the dose of 0.001 g BP/cm</w:t>
      </w:r>
      <w:r w:rsidRPr="00047C13">
        <w:rPr>
          <w:rFonts w:eastAsia="Calibri"/>
          <w:vertAlign w:val="superscript"/>
          <w:lang w:eastAsia="en-US"/>
        </w:rPr>
        <w:t>2</w:t>
      </w:r>
      <w:r>
        <w:rPr>
          <w:rFonts w:eastAsia="Calibri"/>
          <w:lang w:eastAsia="en-US"/>
        </w:rPr>
        <w:t>.</w:t>
      </w:r>
    </w:p>
    <w:p w14:paraId="389B6418" w14:textId="098541C7" w:rsidR="00915E9E" w:rsidRPr="00915E9E" w:rsidRDefault="00915E9E" w:rsidP="00915E9E">
      <w:pPr>
        <w:pStyle w:val="Paragraphedeliste"/>
        <w:numPr>
          <w:ilvl w:val="0"/>
          <w:numId w:val="10"/>
        </w:numPr>
        <w:spacing w:line="360" w:lineRule="auto"/>
        <w:rPr>
          <w:rFonts w:eastAsia="Calibri"/>
          <w:lang w:eastAsia="en-US"/>
        </w:rPr>
      </w:pPr>
      <w:r w:rsidRPr="00915E9E">
        <w:rPr>
          <w:rFonts w:eastAsia="Calibri"/>
          <w:lang w:eastAsia="en-US"/>
        </w:rPr>
        <w:t xml:space="preserve">Since the test performed with </w:t>
      </w:r>
      <w:r w:rsidRPr="00070345">
        <w:rPr>
          <w:rFonts w:eastAsia="Calibri"/>
          <w:i/>
          <w:lang w:eastAsia="en-US"/>
        </w:rPr>
        <w:t xml:space="preserve">I. </w:t>
      </w:r>
      <w:proofErr w:type="spellStart"/>
      <w:r w:rsidRPr="00070345">
        <w:rPr>
          <w:rFonts w:eastAsia="Calibri"/>
          <w:i/>
          <w:lang w:eastAsia="en-US"/>
        </w:rPr>
        <w:t>ricinus</w:t>
      </w:r>
      <w:proofErr w:type="spellEnd"/>
      <w:r w:rsidRPr="00070345">
        <w:rPr>
          <w:rFonts w:eastAsia="Calibri"/>
          <w:i/>
          <w:lang w:eastAsia="en-US"/>
        </w:rPr>
        <w:t xml:space="preserve"> </w:t>
      </w:r>
      <w:r w:rsidRPr="00915E9E">
        <w:rPr>
          <w:rFonts w:eastAsia="Calibri"/>
          <w:lang w:eastAsia="en-US"/>
        </w:rPr>
        <w:t xml:space="preserve">European ticks &amp; 5 min exposure time is more in line with the </w:t>
      </w:r>
      <w:proofErr w:type="spellStart"/>
      <w:r w:rsidRPr="00915E9E">
        <w:rPr>
          <w:rFonts w:eastAsia="Calibri"/>
          <w:lang w:eastAsia="en-US"/>
        </w:rPr>
        <w:t>TNsG</w:t>
      </w:r>
      <w:proofErr w:type="spellEnd"/>
      <w:r w:rsidRPr="00915E9E">
        <w:rPr>
          <w:rFonts w:eastAsia="Calibri"/>
          <w:lang w:eastAsia="en-US"/>
        </w:rPr>
        <w:t xml:space="preserve"> PT18-19 2012 guidance about tick strain &amp; exposure time, we are of the opinion to conclude that the product </w:t>
      </w:r>
      <w:r w:rsidRPr="00915E9E">
        <w:rPr>
          <w:rFonts w:eastAsia="Calibri"/>
          <w:b/>
          <w:i/>
          <w:lang w:eastAsia="en-US"/>
        </w:rPr>
        <w:t>Insect Repellent Lotion IR3535 10%</w:t>
      </w:r>
      <w:r w:rsidRPr="00915E9E">
        <w:rPr>
          <w:rFonts w:eastAsia="Calibri"/>
          <w:lang w:eastAsia="en-US"/>
        </w:rPr>
        <w:t xml:space="preserve"> when applied on uncovered human skin up to </w:t>
      </w:r>
      <w:r w:rsidR="00D966EF">
        <w:rPr>
          <w:rFonts w:eastAsia="Calibri"/>
          <w:lang w:eastAsia="en-US"/>
        </w:rPr>
        <w:t>7</w:t>
      </w:r>
      <w:r w:rsidRPr="00915E9E">
        <w:rPr>
          <w:rFonts w:eastAsia="Calibri"/>
          <w:lang w:eastAsia="en-US"/>
        </w:rPr>
        <w:t xml:space="preserve"> h at the dose of 0.001 g BP/cm2 is 100% effective to repel ticks in temperate areas.</w:t>
      </w:r>
    </w:p>
    <w:p w14:paraId="1F71A600" w14:textId="77777777" w:rsidR="00C018F7" w:rsidRPr="00BD2EF1" w:rsidRDefault="00C018F7" w:rsidP="00C018F7">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331"/>
      </w:tblGrid>
      <w:tr w:rsidR="00C018F7" w:rsidRPr="00BD2EF1" w14:paraId="457BBB72" w14:textId="77777777" w:rsidTr="0023414E">
        <w:tc>
          <w:tcPr>
            <w:tcW w:w="5000" w:type="pct"/>
            <w:tcBorders>
              <w:top w:val="single" w:sz="4" w:space="0" w:color="auto"/>
              <w:left w:val="single" w:sz="4" w:space="0" w:color="auto"/>
              <w:bottom w:val="single" w:sz="6" w:space="0" w:color="auto"/>
              <w:right w:val="single" w:sz="6" w:space="0" w:color="auto"/>
            </w:tcBorders>
            <w:shd w:val="clear" w:color="auto" w:fill="CCFFCC"/>
          </w:tcPr>
          <w:p w14:paraId="65FA116F" w14:textId="77777777" w:rsidR="00C018F7" w:rsidRPr="00BD2EF1" w:rsidRDefault="00C018F7" w:rsidP="0023414E">
            <w:pPr>
              <w:rPr>
                <w:rFonts w:eastAsia="Calibri"/>
                <w:b/>
                <w:lang w:eastAsia="en-US"/>
              </w:rPr>
            </w:pPr>
            <w:r w:rsidRPr="00BD2EF1">
              <w:rPr>
                <w:rFonts w:eastAsia="Calibri"/>
                <w:b/>
                <w:lang w:eastAsia="en-US"/>
              </w:rPr>
              <w:t>Conclusion on the efficacy of the product</w:t>
            </w:r>
          </w:p>
        </w:tc>
      </w:tr>
      <w:tr w:rsidR="00C018F7" w:rsidRPr="00BD2EF1" w14:paraId="581ACAE5" w14:textId="77777777" w:rsidTr="0023414E">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6D2E260" w14:textId="682C8387" w:rsidR="00C018F7" w:rsidRDefault="00C018F7" w:rsidP="0023414E">
            <w:pPr>
              <w:rPr>
                <w:rFonts w:eastAsia="Calibri"/>
                <w:iCs/>
                <w:lang w:val="en-US"/>
              </w:rPr>
            </w:pPr>
            <w:r w:rsidRPr="003F1D97">
              <w:t>T</w:t>
            </w:r>
            <w:r w:rsidRPr="003F1D97">
              <w:rPr>
                <w:rFonts w:eastAsia="Calibri"/>
                <w:iCs/>
                <w:lang w:val="en-US"/>
              </w:rPr>
              <w:t xml:space="preserve">he </w:t>
            </w:r>
            <w:r w:rsidRPr="003F1D97">
              <w:t xml:space="preserve">product </w:t>
            </w:r>
            <w:r w:rsidRPr="003F1D97">
              <w:rPr>
                <w:b/>
                <w:i/>
                <w:lang w:val="en-US"/>
              </w:rPr>
              <w:t xml:space="preserve">Insect Repellent </w:t>
            </w:r>
            <w:r>
              <w:rPr>
                <w:b/>
                <w:i/>
                <w:lang w:val="en-US"/>
              </w:rPr>
              <w:t>Lotion</w:t>
            </w:r>
            <w:r w:rsidRPr="003F1D97">
              <w:rPr>
                <w:b/>
                <w:i/>
                <w:lang w:val="en-US"/>
              </w:rPr>
              <w:t xml:space="preserve"> IR3535</w:t>
            </w:r>
            <w:r>
              <w:rPr>
                <w:b/>
                <w:i/>
                <w:vertAlign w:val="superscript"/>
                <w:lang w:val="en-US"/>
              </w:rPr>
              <w:t>®</w:t>
            </w:r>
            <w:r w:rsidRPr="003F1D97">
              <w:rPr>
                <w:b/>
                <w:i/>
                <w:lang w:val="en-US"/>
              </w:rPr>
              <w:t xml:space="preserve"> </w:t>
            </w:r>
            <w:r>
              <w:rPr>
                <w:b/>
                <w:i/>
                <w:lang w:val="en-US"/>
              </w:rPr>
              <w:t>10%</w:t>
            </w:r>
            <w:r w:rsidRPr="003F1D97">
              <w:rPr>
                <w:b/>
                <w:i/>
                <w:lang w:val="en-US"/>
              </w:rPr>
              <w:t xml:space="preserve"> </w:t>
            </w:r>
            <w:r w:rsidRPr="00B92962">
              <w:rPr>
                <w:rFonts w:eastAsia="Calibri"/>
                <w:iCs/>
                <w:lang w:val="en-US"/>
              </w:rPr>
              <w:t>(liquid, 10% IR3535</w:t>
            </w:r>
            <w:r>
              <w:rPr>
                <w:rFonts w:eastAsia="Calibri"/>
                <w:vertAlign w:val="superscript"/>
                <w:lang w:eastAsia="en-US"/>
              </w:rPr>
              <w:t>®</w:t>
            </w:r>
            <w:r>
              <w:rPr>
                <w:rFonts w:eastAsia="Calibri"/>
                <w:iCs/>
                <w:lang w:val="en-US"/>
              </w:rPr>
              <w:t xml:space="preserve">) </w:t>
            </w:r>
            <w:r w:rsidRPr="00DA51D2">
              <w:rPr>
                <w:lang w:val="en-US"/>
              </w:rPr>
              <w:t xml:space="preserve">when applied on uncovered human skin </w:t>
            </w:r>
            <w:r w:rsidRPr="00915E9E">
              <w:rPr>
                <w:b/>
                <w:lang w:val="en-US"/>
              </w:rPr>
              <w:t>at the dose of</w:t>
            </w:r>
            <w:r w:rsidRPr="00915E9E">
              <w:rPr>
                <w:b/>
              </w:rPr>
              <w:t xml:space="preserve"> 0.00115 g/cm</w:t>
            </w:r>
            <w:r w:rsidRPr="00915E9E">
              <w:rPr>
                <w:b/>
                <w:vertAlign w:val="superscript"/>
              </w:rPr>
              <w:t>2</w:t>
            </w:r>
            <w:r w:rsidRPr="00AE2A11">
              <w:t xml:space="preserve"> provides up to </w:t>
            </w:r>
            <w:r w:rsidR="00915E9E">
              <w:t xml:space="preserve">8 </w:t>
            </w:r>
            <w:r>
              <w:t xml:space="preserve">hours protection time against </w:t>
            </w:r>
            <w:r w:rsidRPr="00AE2A11">
              <w:t>mosquitoes</w:t>
            </w:r>
            <w:r w:rsidRPr="00AE2A11">
              <w:rPr>
                <w:rFonts w:eastAsia="Calibri"/>
                <w:iCs/>
                <w:lang w:val="en-US"/>
              </w:rPr>
              <w:t xml:space="preserve"> found in temperate areas.</w:t>
            </w:r>
          </w:p>
          <w:p w14:paraId="53434E2C" w14:textId="223E5E46" w:rsidR="00C018F7" w:rsidRPr="00892C32" w:rsidRDefault="00C018F7" w:rsidP="00915E9E">
            <w:pPr>
              <w:rPr>
                <w:rFonts w:eastAsia="Calibri"/>
                <w:iCs/>
                <w:lang w:val="en-US"/>
              </w:rPr>
            </w:pPr>
            <w:r w:rsidRPr="003F1D97">
              <w:t>T</w:t>
            </w:r>
            <w:r w:rsidRPr="003F1D97">
              <w:rPr>
                <w:rFonts w:eastAsia="Calibri"/>
                <w:iCs/>
                <w:lang w:val="en-US"/>
              </w:rPr>
              <w:t xml:space="preserve">he </w:t>
            </w:r>
            <w:r w:rsidRPr="003F1D97">
              <w:t xml:space="preserve">product </w:t>
            </w:r>
            <w:r w:rsidRPr="003F1D97">
              <w:rPr>
                <w:b/>
                <w:i/>
                <w:lang w:val="en-US"/>
              </w:rPr>
              <w:t xml:space="preserve">Insect Repellent </w:t>
            </w:r>
            <w:r>
              <w:rPr>
                <w:b/>
                <w:i/>
                <w:lang w:val="en-US"/>
              </w:rPr>
              <w:t>Lotion</w:t>
            </w:r>
            <w:r w:rsidRPr="003F1D97">
              <w:rPr>
                <w:b/>
                <w:i/>
                <w:lang w:val="en-US"/>
              </w:rPr>
              <w:t xml:space="preserve"> IR3535</w:t>
            </w:r>
            <w:r>
              <w:rPr>
                <w:b/>
                <w:i/>
                <w:vertAlign w:val="superscript"/>
                <w:lang w:val="en-US"/>
              </w:rPr>
              <w:t>®</w:t>
            </w:r>
            <w:r w:rsidRPr="003F1D97">
              <w:rPr>
                <w:b/>
                <w:i/>
                <w:lang w:val="en-US"/>
              </w:rPr>
              <w:t xml:space="preserve"> </w:t>
            </w:r>
            <w:r>
              <w:rPr>
                <w:b/>
                <w:i/>
                <w:lang w:val="en-US"/>
              </w:rPr>
              <w:t>10%</w:t>
            </w:r>
            <w:r w:rsidRPr="003F1D97">
              <w:rPr>
                <w:b/>
                <w:i/>
                <w:lang w:val="en-US"/>
              </w:rPr>
              <w:t xml:space="preserve"> </w:t>
            </w:r>
            <w:r w:rsidRPr="00B92962">
              <w:rPr>
                <w:rFonts w:eastAsia="Calibri"/>
                <w:iCs/>
                <w:lang w:val="en-US"/>
              </w:rPr>
              <w:t>(liquid, 10% IR3535</w:t>
            </w:r>
            <w:r>
              <w:rPr>
                <w:rFonts w:eastAsia="Calibri"/>
                <w:vertAlign w:val="superscript"/>
                <w:lang w:eastAsia="en-US"/>
              </w:rPr>
              <w:t>®</w:t>
            </w:r>
            <w:r>
              <w:rPr>
                <w:rFonts w:eastAsia="Calibri"/>
                <w:iCs/>
                <w:lang w:val="en-US"/>
              </w:rPr>
              <w:t xml:space="preserve">) </w:t>
            </w:r>
            <w:r w:rsidRPr="00DA51D2">
              <w:rPr>
                <w:lang w:val="en-US"/>
              </w:rPr>
              <w:t xml:space="preserve">when applied on uncovered human skin </w:t>
            </w:r>
            <w:r w:rsidRPr="00DA51D2">
              <w:rPr>
                <w:b/>
                <w:lang w:val="en-US"/>
              </w:rPr>
              <w:t xml:space="preserve">at the dose of </w:t>
            </w:r>
            <w:r w:rsidRPr="00DA51D2">
              <w:rPr>
                <w:b/>
              </w:rPr>
              <w:t>0.001 g BP/cm</w:t>
            </w:r>
            <w:r w:rsidRPr="00DA51D2">
              <w:rPr>
                <w:b/>
                <w:vertAlign w:val="superscript"/>
              </w:rPr>
              <w:t>2</w:t>
            </w:r>
            <w:r w:rsidRPr="00DA51D2">
              <w:t xml:space="preserve"> </w:t>
            </w:r>
            <w:r w:rsidRPr="00AE2A11">
              <w:t xml:space="preserve">provides up to </w:t>
            </w:r>
            <w:r w:rsidR="00BC290C">
              <w:t xml:space="preserve">7 </w:t>
            </w:r>
            <w:r>
              <w:t xml:space="preserve">hours protection time </w:t>
            </w:r>
            <w:r w:rsidRPr="00DA51D2">
              <w:rPr>
                <w:lang w:val="en-US"/>
              </w:rPr>
              <w:t xml:space="preserve">against  ticks </w:t>
            </w:r>
            <w:r w:rsidR="001E0FD7" w:rsidRPr="00AE2A11">
              <w:rPr>
                <w:rFonts w:eastAsia="Calibri"/>
                <w:iCs/>
                <w:lang w:val="en-US"/>
              </w:rPr>
              <w:t>found in temperate areas.</w:t>
            </w:r>
          </w:p>
        </w:tc>
      </w:tr>
    </w:tbl>
    <w:p w14:paraId="16E69606" w14:textId="77777777" w:rsidR="00C018F7" w:rsidRDefault="00C018F7" w:rsidP="00C018F7"/>
    <w:p w14:paraId="4E7B4D9E" w14:textId="77777777" w:rsidR="00E70B1C" w:rsidRPr="00C018F7" w:rsidRDefault="00E70B1C" w:rsidP="00E70B1C"/>
    <w:p w14:paraId="6B5D8029" w14:textId="77777777" w:rsidR="00E70B1C" w:rsidRDefault="00E70B1C" w:rsidP="00E70B1C">
      <w:pPr>
        <w:rPr>
          <w:lang w:val="en-US"/>
        </w:rPr>
        <w:sectPr w:rsidR="00E70B1C" w:rsidSect="00E70B1C">
          <w:pgSz w:w="16838" w:h="11906" w:orient="landscape"/>
          <w:pgMar w:top="1247" w:right="1247" w:bottom="1247" w:left="1247" w:header="709" w:footer="709" w:gutter="0"/>
          <w:cols w:space="708"/>
          <w:docGrid w:linePitch="360"/>
        </w:sectPr>
      </w:pPr>
    </w:p>
    <w:p w14:paraId="7D0A95F5" w14:textId="77777777" w:rsidR="003839E7" w:rsidRPr="00BD2EF1" w:rsidRDefault="003839E7" w:rsidP="003839E7">
      <w:pPr>
        <w:pStyle w:val="Titre4"/>
      </w:pPr>
      <w:bookmarkStart w:id="100" w:name="_Toc12967144"/>
      <w:r w:rsidRPr="00BD2EF1">
        <w:lastRenderedPageBreak/>
        <w:t>Occurrence of resistance and resistance management</w:t>
      </w:r>
      <w:bookmarkEnd w:id="96"/>
      <w:bookmarkEnd w:id="97"/>
      <w:bookmarkEnd w:id="98"/>
      <w:bookmarkEnd w:id="99"/>
      <w:bookmarkEnd w:id="100"/>
    </w:p>
    <w:p w14:paraId="3BF30845" w14:textId="44EFC47B" w:rsidR="003D091C" w:rsidRDefault="00E70B1C" w:rsidP="00E70B1C">
      <w:pPr>
        <w:rPr>
          <w:lang w:val="sv-SE"/>
        </w:rPr>
      </w:pPr>
      <w:bookmarkStart w:id="101" w:name="_Toc389725203"/>
      <w:bookmarkStart w:id="102" w:name="_Toc389726195"/>
      <w:bookmarkStart w:id="103" w:name="_Toc389727247"/>
      <w:bookmarkStart w:id="104" w:name="_Toc389727605"/>
      <w:bookmarkStart w:id="105" w:name="_Toc389727964"/>
      <w:bookmarkStart w:id="106" w:name="_Toc389728323"/>
      <w:bookmarkStart w:id="107" w:name="_Toc389728683"/>
      <w:bookmarkStart w:id="108" w:name="_Toc389729041"/>
      <w:bookmarkStart w:id="109" w:name="_Toc389725204"/>
      <w:bookmarkStart w:id="110" w:name="_Toc389726196"/>
      <w:bookmarkStart w:id="111" w:name="_Toc389727248"/>
      <w:bookmarkStart w:id="112" w:name="_Toc389727606"/>
      <w:bookmarkStart w:id="113" w:name="_Toc389727965"/>
      <w:bookmarkStart w:id="114" w:name="_Toc389728324"/>
      <w:bookmarkStart w:id="115" w:name="_Toc389728684"/>
      <w:bookmarkStart w:id="116" w:name="_Toc389729042"/>
      <w:bookmarkStart w:id="117" w:name="_Toc389729043"/>
      <w:bookmarkStart w:id="118" w:name="_Toc403472750"/>
      <w:bookmarkStart w:id="119" w:name="_Toc403566571"/>
      <w:bookmarkStart w:id="120" w:name="_Toc42534411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AE2A11">
        <w:rPr>
          <w:lang w:val="sv-SE"/>
        </w:rPr>
        <w:t>As the active substance IR3535</w:t>
      </w:r>
      <w:r w:rsidRPr="00166994">
        <w:rPr>
          <w:vertAlign w:val="superscript"/>
          <w:lang w:val="sv-SE"/>
        </w:rPr>
        <w:t>®</w:t>
      </w:r>
      <w:r w:rsidRPr="00AE2A11">
        <w:rPr>
          <w:lang w:val="sv-SE"/>
        </w:rPr>
        <w:t xml:space="preserve"> is a repellent (no killing action) and does not give rise to selection pressure, no resistance </w:t>
      </w:r>
      <w:r w:rsidR="003D091C">
        <w:rPr>
          <w:lang w:val="sv-SE"/>
        </w:rPr>
        <w:t>is expected to</w:t>
      </w:r>
      <w:r w:rsidR="003D091C" w:rsidRPr="00AE2A11">
        <w:rPr>
          <w:lang w:val="sv-SE"/>
        </w:rPr>
        <w:t xml:space="preserve"> </w:t>
      </w:r>
      <w:r w:rsidRPr="00AE2A11">
        <w:rPr>
          <w:lang w:val="sv-SE"/>
        </w:rPr>
        <w:t>be developed.</w:t>
      </w:r>
      <w:r w:rsidR="003D091C">
        <w:rPr>
          <w:lang w:val="sv-SE"/>
        </w:rPr>
        <w:t xml:space="preserve"> However, given the importance of vector control, the registration holder will collect informationregistered by end users to monitor potential resistance phenomena, </w:t>
      </w:r>
      <w:r w:rsidR="003F6FF1">
        <w:rPr>
          <w:lang w:val="sv-SE"/>
        </w:rPr>
        <w:t>and report to relevand eCA ever</w:t>
      </w:r>
      <w:r w:rsidR="003D091C">
        <w:rPr>
          <w:lang w:val="sv-SE"/>
        </w:rPr>
        <w:t>y 5 years if needed. The following Risk Mitigation Measure is implemented in the SPC:</w:t>
      </w:r>
    </w:p>
    <w:p w14:paraId="2B5F185C" w14:textId="5785000D" w:rsidR="003D091C" w:rsidRPr="003D091C" w:rsidRDefault="003D091C" w:rsidP="003D091C">
      <w:pPr>
        <w:pStyle w:val="Paragraphedeliste"/>
        <w:numPr>
          <w:ilvl w:val="0"/>
          <w:numId w:val="10"/>
        </w:numPr>
        <w:rPr>
          <w:lang w:val="sv-SE"/>
        </w:rPr>
      </w:pPr>
      <w:r w:rsidRPr="003D091C">
        <w:rPr>
          <w:lang w:val="sv-SE"/>
        </w:rPr>
        <w:t>The users should inform if the treatment is ineffective and report straightforward to the registration holder.</w:t>
      </w:r>
    </w:p>
    <w:p w14:paraId="28C59BEA" w14:textId="77777777" w:rsidR="003D091C" w:rsidRPr="00AE2A11" w:rsidRDefault="003D091C" w:rsidP="00E70B1C">
      <w:pPr>
        <w:rPr>
          <w:lang w:val="sv-SE"/>
        </w:rPr>
      </w:pPr>
    </w:p>
    <w:p w14:paraId="062DF48A" w14:textId="77777777" w:rsidR="003839E7" w:rsidRPr="00BD2EF1" w:rsidRDefault="003839E7" w:rsidP="003839E7">
      <w:pPr>
        <w:pStyle w:val="Titre4"/>
      </w:pPr>
      <w:bookmarkStart w:id="121" w:name="_Toc12967145"/>
      <w:r w:rsidRPr="00BD2EF1">
        <w:t>Known limitations</w:t>
      </w:r>
      <w:bookmarkEnd w:id="117"/>
      <w:bookmarkEnd w:id="118"/>
      <w:bookmarkEnd w:id="119"/>
      <w:bookmarkEnd w:id="120"/>
      <w:bookmarkEnd w:id="121"/>
    </w:p>
    <w:p w14:paraId="2C0AFDE4" w14:textId="77777777" w:rsidR="00E70B1C" w:rsidRPr="00191D86" w:rsidRDefault="00E70B1C" w:rsidP="00D63FA7">
      <w:pPr>
        <w:pStyle w:val="Paragraphedeliste"/>
        <w:numPr>
          <w:ilvl w:val="0"/>
          <w:numId w:val="10"/>
        </w:numPr>
        <w:ind w:left="357" w:hanging="357"/>
        <w:rPr>
          <w:rFonts w:eastAsia="Calibri"/>
          <w:lang w:val="en-US"/>
        </w:rPr>
      </w:pPr>
      <w:bookmarkStart w:id="122" w:name="_Toc389725206"/>
      <w:bookmarkStart w:id="123" w:name="_Toc389726198"/>
      <w:bookmarkStart w:id="124" w:name="_Toc389727250"/>
      <w:bookmarkStart w:id="125" w:name="_Toc389727608"/>
      <w:bookmarkStart w:id="126" w:name="_Toc389727967"/>
      <w:bookmarkStart w:id="127" w:name="_Toc389728326"/>
      <w:bookmarkStart w:id="128" w:name="_Toc389728686"/>
      <w:bookmarkStart w:id="129" w:name="_Toc389729044"/>
      <w:bookmarkStart w:id="130" w:name="_Toc389729045"/>
      <w:bookmarkStart w:id="131" w:name="_Toc403472751"/>
      <w:bookmarkStart w:id="132" w:name="_Toc403566572"/>
      <w:bookmarkStart w:id="133" w:name="_Toc425344113"/>
      <w:bookmarkEnd w:id="122"/>
      <w:bookmarkEnd w:id="123"/>
      <w:bookmarkEnd w:id="124"/>
      <w:bookmarkEnd w:id="125"/>
      <w:bookmarkEnd w:id="126"/>
      <w:bookmarkEnd w:id="127"/>
      <w:bookmarkEnd w:id="128"/>
      <w:bookmarkEnd w:id="129"/>
      <w:r w:rsidRPr="00191D86">
        <w:rPr>
          <w:rFonts w:eastAsia="Calibri"/>
          <w:lang w:val="en-US"/>
        </w:rPr>
        <w:t>As stated by the applicant, the product is intended to be used in tropical areas. But, due to the absence of efficacy tests on tropical species (at more than +30°C), the use of this product in tropical areas hasn’t be authorized.</w:t>
      </w:r>
    </w:p>
    <w:p w14:paraId="6AA5F2C3" w14:textId="77777777" w:rsidR="003839E7" w:rsidRPr="00BD2EF1" w:rsidRDefault="003839E7" w:rsidP="003839E7">
      <w:pPr>
        <w:pStyle w:val="Titre4"/>
      </w:pPr>
      <w:bookmarkStart w:id="134" w:name="_Toc12967146"/>
      <w:r w:rsidRPr="00BD2EF1">
        <w:t>Evaluation of the label claims</w:t>
      </w:r>
      <w:bookmarkEnd w:id="130"/>
      <w:bookmarkEnd w:id="131"/>
      <w:bookmarkEnd w:id="132"/>
      <w:bookmarkEnd w:id="133"/>
      <w:bookmarkEnd w:id="134"/>
    </w:p>
    <w:p w14:paraId="080BB7FC" w14:textId="11A91F14" w:rsidR="00C018F7" w:rsidRDefault="00C018F7" w:rsidP="00C018F7">
      <w:pPr>
        <w:jc w:val="both"/>
      </w:pPr>
      <w:bookmarkStart w:id="135" w:name="_Toc389729046"/>
      <w:bookmarkStart w:id="136" w:name="_Toc403472752"/>
      <w:bookmarkStart w:id="137" w:name="_Toc403566573"/>
      <w:bookmarkStart w:id="138" w:name="_Toc425344114"/>
      <w:r w:rsidRPr="00AE2A11">
        <w:rPr>
          <w:rFonts w:eastAsia="Calibri"/>
          <w:lang w:val="en-US"/>
        </w:rPr>
        <w:t xml:space="preserve">According to </w:t>
      </w:r>
      <w:r w:rsidR="00291987">
        <w:rPr>
          <w:rFonts w:eastAsia="Calibri"/>
          <w:lang w:val="en-US"/>
        </w:rPr>
        <w:t>a “concept”</w:t>
      </w:r>
      <w:r w:rsidR="00291987" w:rsidRPr="00AE2A11">
        <w:rPr>
          <w:rFonts w:eastAsia="Calibri"/>
          <w:lang w:val="en-US"/>
        </w:rPr>
        <w:t xml:space="preserve"> </w:t>
      </w:r>
      <w:r w:rsidRPr="00AE2A11">
        <w:rPr>
          <w:rFonts w:eastAsia="Calibri"/>
          <w:lang w:val="en-US"/>
        </w:rPr>
        <w:t xml:space="preserve">label, </w:t>
      </w:r>
      <w:r w:rsidRPr="003F1D97">
        <w:rPr>
          <w:b/>
          <w:i/>
          <w:lang w:val="en-US"/>
        </w:rPr>
        <w:t xml:space="preserve">Insect Repellent </w:t>
      </w:r>
      <w:r>
        <w:rPr>
          <w:b/>
          <w:i/>
          <w:lang w:val="en-US"/>
        </w:rPr>
        <w:t>Lotion</w:t>
      </w:r>
      <w:r w:rsidRPr="003F1D97">
        <w:rPr>
          <w:b/>
          <w:i/>
          <w:lang w:val="en-US"/>
        </w:rPr>
        <w:t xml:space="preserve"> IR3535</w:t>
      </w:r>
      <w:r>
        <w:rPr>
          <w:b/>
          <w:i/>
          <w:vertAlign w:val="superscript"/>
          <w:lang w:val="en-US"/>
        </w:rPr>
        <w:t>®</w:t>
      </w:r>
      <w:r w:rsidRPr="003F1D97">
        <w:rPr>
          <w:b/>
          <w:i/>
          <w:lang w:val="en-US"/>
        </w:rPr>
        <w:t xml:space="preserve"> </w:t>
      </w:r>
      <w:r>
        <w:rPr>
          <w:b/>
          <w:i/>
          <w:lang w:val="en-US"/>
        </w:rPr>
        <w:t>10%</w:t>
      </w:r>
      <w:r w:rsidRPr="003F1D97">
        <w:rPr>
          <w:b/>
          <w:i/>
          <w:lang w:val="en-US"/>
        </w:rPr>
        <w:t xml:space="preserve"> </w:t>
      </w:r>
      <w:r w:rsidRPr="00B92962">
        <w:rPr>
          <w:rFonts w:eastAsia="Calibri"/>
          <w:iCs/>
          <w:lang w:val="en-US"/>
        </w:rPr>
        <w:t>(liquid, 10% IR3535</w:t>
      </w:r>
      <w:r>
        <w:rPr>
          <w:rFonts w:eastAsia="Calibri"/>
          <w:vertAlign w:val="superscript"/>
          <w:lang w:eastAsia="en-US"/>
        </w:rPr>
        <w:t>®</w:t>
      </w:r>
      <w:r>
        <w:rPr>
          <w:rFonts w:eastAsia="Calibri"/>
          <w:iCs/>
          <w:lang w:val="en-US"/>
        </w:rPr>
        <w:t xml:space="preserve">) </w:t>
      </w:r>
      <w:r w:rsidRPr="00AE2A11">
        <w:t xml:space="preserve">does provide a good protection against ticks and mosquitoes </w:t>
      </w:r>
      <w:r w:rsidR="00291987">
        <w:t>for</w:t>
      </w:r>
      <w:r w:rsidR="00291987" w:rsidRPr="00AE2A11">
        <w:t xml:space="preserve"> </w:t>
      </w:r>
      <w:r w:rsidRPr="00AE2A11">
        <w:t>8 hours in temperate</w:t>
      </w:r>
      <w:r>
        <w:t xml:space="preserve"> </w:t>
      </w:r>
      <w:r w:rsidRPr="00AE2A11">
        <w:t>areas</w:t>
      </w:r>
      <w:r>
        <w:t>.</w:t>
      </w:r>
    </w:p>
    <w:p w14:paraId="449DFB17" w14:textId="77777777" w:rsidR="00C018F7" w:rsidRPr="00AE2A11" w:rsidRDefault="00C018F7" w:rsidP="00C018F7"/>
    <w:p w14:paraId="5DF0143B" w14:textId="681515C3" w:rsidR="000C37FB" w:rsidRDefault="00C018F7" w:rsidP="00C018F7">
      <w:pPr>
        <w:jc w:val="both"/>
      </w:pPr>
      <w:r w:rsidRPr="00AE2A11">
        <w:t xml:space="preserve">Based on the efficacy tests submitted and validated, </w:t>
      </w:r>
      <w:r w:rsidRPr="00AE2A11">
        <w:rPr>
          <w:rFonts w:eastAsia="Calibri"/>
          <w:lang w:val="en-US"/>
        </w:rPr>
        <w:t xml:space="preserve">the </w:t>
      </w:r>
      <w:r w:rsidRPr="00AE2A11">
        <w:t xml:space="preserve">product </w:t>
      </w:r>
      <w:r w:rsidRPr="003F1D97">
        <w:rPr>
          <w:b/>
          <w:i/>
          <w:lang w:val="en-US"/>
        </w:rPr>
        <w:t xml:space="preserve">Insect Repellent </w:t>
      </w:r>
      <w:r>
        <w:rPr>
          <w:b/>
          <w:i/>
          <w:lang w:val="en-US"/>
        </w:rPr>
        <w:t>Lotion</w:t>
      </w:r>
      <w:r w:rsidRPr="003F1D97">
        <w:rPr>
          <w:b/>
          <w:i/>
          <w:lang w:val="en-US"/>
        </w:rPr>
        <w:t xml:space="preserve"> IR3535</w:t>
      </w:r>
      <w:r>
        <w:rPr>
          <w:b/>
          <w:i/>
          <w:vertAlign w:val="superscript"/>
          <w:lang w:val="en-US"/>
        </w:rPr>
        <w:t>®</w:t>
      </w:r>
      <w:r w:rsidRPr="003F1D97">
        <w:rPr>
          <w:b/>
          <w:i/>
          <w:lang w:val="en-US"/>
        </w:rPr>
        <w:t xml:space="preserve"> </w:t>
      </w:r>
      <w:r>
        <w:rPr>
          <w:b/>
          <w:i/>
          <w:lang w:val="en-US"/>
        </w:rPr>
        <w:t>10%</w:t>
      </w:r>
      <w:r w:rsidRPr="003F1D97">
        <w:rPr>
          <w:b/>
          <w:i/>
          <w:lang w:val="en-US"/>
        </w:rPr>
        <w:t xml:space="preserve"> </w:t>
      </w:r>
      <w:r w:rsidRPr="00B92962">
        <w:rPr>
          <w:rFonts w:eastAsia="Calibri"/>
          <w:iCs/>
          <w:lang w:val="en-US"/>
        </w:rPr>
        <w:t>(liquid, 10% IR3535</w:t>
      </w:r>
      <w:r>
        <w:rPr>
          <w:rFonts w:eastAsia="Calibri"/>
          <w:vertAlign w:val="superscript"/>
          <w:lang w:eastAsia="en-US"/>
        </w:rPr>
        <w:t>®</w:t>
      </w:r>
      <w:r>
        <w:rPr>
          <w:rFonts w:eastAsia="Calibri"/>
          <w:iCs/>
          <w:lang w:val="en-US"/>
        </w:rPr>
        <w:t xml:space="preserve">) </w:t>
      </w:r>
      <w:r w:rsidRPr="00AE2A11">
        <w:t xml:space="preserve">can be granted with the following use conditions: </w:t>
      </w:r>
    </w:p>
    <w:p w14:paraId="39DCB6B0" w14:textId="73B6BA35" w:rsidR="00291987" w:rsidRDefault="000C37FB" w:rsidP="00C018F7">
      <w:pPr>
        <w:jc w:val="both"/>
      </w:pPr>
      <w:r>
        <w:rPr>
          <w:rFonts w:eastAsia="Calibri"/>
          <w:iCs/>
          <w:lang w:val="en-US"/>
        </w:rPr>
        <w:t>W</w:t>
      </w:r>
      <w:r w:rsidR="00291987" w:rsidRPr="000C37FB">
        <w:rPr>
          <w:rFonts w:eastAsia="Calibri"/>
          <w:iCs/>
          <w:lang w:val="en-US"/>
        </w:rPr>
        <w:t xml:space="preserve">hen </w:t>
      </w:r>
      <w:r w:rsidR="00291987" w:rsidRPr="000C37FB">
        <w:t>used at 0.00115 g/cm</w:t>
      </w:r>
      <w:r w:rsidR="00291987" w:rsidRPr="000C37FB">
        <w:rPr>
          <w:vertAlign w:val="superscript"/>
        </w:rPr>
        <w:t>2</w:t>
      </w:r>
      <w:r w:rsidR="00291987" w:rsidRPr="000C37FB">
        <w:t xml:space="preserve"> in temperate areas only, </w:t>
      </w:r>
      <w:r w:rsidR="00291987" w:rsidRPr="00AE2A11">
        <w:rPr>
          <w:rFonts w:eastAsia="Calibri"/>
          <w:lang w:val="en-US"/>
        </w:rPr>
        <w:t xml:space="preserve">the </w:t>
      </w:r>
      <w:r w:rsidR="00291987" w:rsidRPr="00AE2A11">
        <w:t xml:space="preserve">product </w:t>
      </w:r>
      <w:r w:rsidR="00291987" w:rsidRPr="003F1D97">
        <w:rPr>
          <w:b/>
          <w:i/>
          <w:lang w:val="en-US"/>
        </w:rPr>
        <w:t xml:space="preserve">Insect Repellent </w:t>
      </w:r>
      <w:r w:rsidR="00291987">
        <w:rPr>
          <w:b/>
          <w:i/>
          <w:lang w:val="en-US"/>
        </w:rPr>
        <w:t>Lotion</w:t>
      </w:r>
      <w:r w:rsidR="00291987" w:rsidRPr="003F1D97">
        <w:rPr>
          <w:b/>
          <w:i/>
          <w:lang w:val="en-US"/>
        </w:rPr>
        <w:t xml:space="preserve"> IR3535</w:t>
      </w:r>
      <w:r w:rsidR="00291987">
        <w:rPr>
          <w:b/>
          <w:i/>
          <w:vertAlign w:val="superscript"/>
          <w:lang w:val="en-US"/>
        </w:rPr>
        <w:t>®</w:t>
      </w:r>
      <w:r w:rsidR="00291987" w:rsidRPr="003F1D97">
        <w:rPr>
          <w:b/>
          <w:i/>
          <w:lang w:val="en-US"/>
        </w:rPr>
        <w:t xml:space="preserve"> </w:t>
      </w:r>
      <w:r w:rsidR="00291987">
        <w:rPr>
          <w:b/>
          <w:i/>
          <w:lang w:val="en-US"/>
        </w:rPr>
        <w:t>10%</w:t>
      </w:r>
      <w:r w:rsidR="00291987" w:rsidRPr="003F1D97">
        <w:rPr>
          <w:b/>
          <w:i/>
          <w:lang w:val="en-US"/>
        </w:rPr>
        <w:t xml:space="preserve"> </w:t>
      </w:r>
      <w:r w:rsidR="00291987" w:rsidRPr="00B92962">
        <w:rPr>
          <w:rFonts w:eastAsia="Calibri"/>
          <w:iCs/>
          <w:lang w:val="en-US"/>
        </w:rPr>
        <w:t>(liquid, 10% IR3535</w:t>
      </w:r>
      <w:r w:rsidR="00291987">
        <w:rPr>
          <w:rFonts w:eastAsia="Calibri"/>
          <w:vertAlign w:val="superscript"/>
          <w:lang w:eastAsia="en-US"/>
        </w:rPr>
        <w:t>®</w:t>
      </w:r>
      <w:r w:rsidR="00291987">
        <w:rPr>
          <w:rFonts w:eastAsia="Calibri"/>
          <w:iCs/>
          <w:lang w:val="en-US"/>
        </w:rPr>
        <w:t xml:space="preserve">) </w:t>
      </w:r>
      <w:r w:rsidR="00291987" w:rsidRPr="00AE2A11">
        <w:t xml:space="preserve">does provide a good protection against ticks and mosquitoes </w:t>
      </w:r>
      <w:r w:rsidR="00291987">
        <w:t xml:space="preserve">up to </w:t>
      </w:r>
      <w:r w:rsidR="00986D06">
        <w:t>7</w:t>
      </w:r>
      <w:r w:rsidR="00291987">
        <w:t>h.</w:t>
      </w:r>
    </w:p>
    <w:p w14:paraId="1ED244AE" w14:textId="77777777" w:rsidR="00804DEE" w:rsidRPr="00AE2A11" w:rsidRDefault="00804DEE" w:rsidP="00C018F7">
      <w:pPr>
        <w:jc w:val="both"/>
      </w:pPr>
    </w:p>
    <w:p w14:paraId="6F7D8E28" w14:textId="77777777" w:rsidR="00291987" w:rsidRPr="000C37FB" w:rsidRDefault="00291987" w:rsidP="000C37FB">
      <w:r w:rsidRPr="000C37FB">
        <w:t>For products claiming only protection against mosquitoes</w:t>
      </w:r>
      <w:r w:rsidRPr="000C37FB">
        <w:rPr>
          <w:rFonts w:eastAsia="Calibri"/>
          <w:iCs/>
          <w:lang w:val="en-US"/>
        </w:rPr>
        <w:t xml:space="preserve">, the protection time </w:t>
      </w:r>
      <w:r w:rsidRPr="000C37FB">
        <w:t xml:space="preserve">against mosquitoes </w:t>
      </w:r>
      <w:r w:rsidRPr="000C37FB">
        <w:rPr>
          <w:rFonts w:eastAsia="Calibri"/>
          <w:iCs/>
          <w:lang w:val="en-US"/>
        </w:rPr>
        <w:t xml:space="preserve">found in temperate areas would be of 8h when </w:t>
      </w:r>
      <w:r w:rsidRPr="000C37FB">
        <w:t>used at 0.00115 g/cm</w:t>
      </w:r>
      <w:r w:rsidRPr="000C37FB">
        <w:rPr>
          <w:vertAlign w:val="superscript"/>
        </w:rPr>
        <w:t>2</w:t>
      </w:r>
      <w:r w:rsidRPr="000C37FB">
        <w:t>, based on the efficacy tests submitted and validated.</w:t>
      </w:r>
    </w:p>
    <w:p w14:paraId="3EC37D22" w14:textId="5F679569" w:rsidR="00291987" w:rsidRPr="000C37FB" w:rsidRDefault="00291987" w:rsidP="000C37FB">
      <w:r w:rsidRPr="000C37FB">
        <w:t>For products claiming only protection against ticks</w:t>
      </w:r>
      <w:r w:rsidRPr="000C37FB">
        <w:rPr>
          <w:rFonts w:eastAsia="Calibri"/>
          <w:iCs/>
          <w:lang w:val="en-US"/>
        </w:rPr>
        <w:t xml:space="preserve">, the protection time </w:t>
      </w:r>
      <w:r w:rsidRPr="000C37FB">
        <w:t xml:space="preserve">against ticks </w:t>
      </w:r>
      <w:r w:rsidRPr="000C37FB">
        <w:rPr>
          <w:rFonts w:eastAsia="Calibri"/>
          <w:iCs/>
          <w:lang w:val="en-US"/>
        </w:rPr>
        <w:t xml:space="preserve">found in temperate areas would be </w:t>
      </w:r>
      <w:r w:rsidR="000D2F1A">
        <w:rPr>
          <w:rFonts w:eastAsia="Calibri"/>
          <w:iCs/>
          <w:lang w:val="en-US"/>
        </w:rPr>
        <w:t>7</w:t>
      </w:r>
      <w:r w:rsidRPr="000C37FB">
        <w:rPr>
          <w:rFonts w:eastAsia="Calibri"/>
          <w:iCs/>
          <w:lang w:val="en-US"/>
        </w:rPr>
        <w:t xml:space="preserve">h when </w:t>
      </w:r>
      <w:r w:rsidRPr="000C37FB">
        <w:t>used at 0.001 g/cm</w:t>
      </w:r>
      <w:r w:rsidRPr="000C37FB">
        <w:rPr>
          <w:vertAlign w:val="superscript"/>
        </w:rPr>
        <w:t>2</w:t>
      </w:r>
      <w:r w:rsidRPr="000C37FB">
        <w:t>, based on the efficacy tests submitted and validated.</w:t>
      </w:r>
    </w:p>
    <w:p w14:paraId="222804A6" w14:textId="77777777" w:rsidR="00E70B1C" w:rsidRDefault="00E70B1C" w:rsidP="00E70B1C">
      <w:pPr>
        <w:rPr>
          <w:rFonts w:eastAsia="Calibri"/>
        </w:rPr>
      </w:pPr>
    </w:p>
    <w:p w14:paraId="645B8E66" w14:textId="3C3A63C7" w:rsidR="00C018F7" w:rsidRPr="00D469B6" w:rsidRDefault="00C018F7" w:rsidP="00E70B1C">
      <w:pPr>
        <w:pStyle w:val="Paragraphedeliste"/>
        <w:numPr>
          <w:ilvl w:val="0"/>
          <w:numId w:val="10"/>
        </w:numPr>
        <w:ind w:left="357" w:hanging="357"/>
        <w:rPr>
          <w:rFonts w:eastAsia="Calibri"/>
          <w:lang w:val="en-US"/>
        </w:rPr>
      </w:pPr>
      <w:r>
        <w:rPr>
          <w:rFonts w:eastAsia="Calibri"/>
          <w:lang w:val="en-US"/>
        </w:rPr>
        <w:t xml:space="preserve">It’s necessary to </w:t>
      </w:r>
      <w:r w:rsidRPr="00EF3340">
        <w:rPr>
          <w:rFonts w:eastAsia="Calibri"/>
          <w:lang w:val="en-US"/>
        </w:rPr>
        <w:t xml:space="preserve">inform the user to in an easily understandable form how much of the </w:t>
      </w:r>
      <w:r>
        <w:rPr>
          <w:rFonts w:eastAsia="Calibri"/>
          <w:lang w:val="en-US"/>
        </w:rPr>
        <w:t>biocidal product he should use</w:t>
      </w:r>
      <w:r w:rsidR="00A93E0A">
        <w:rPr>
          <w:rFonts w:eastAsia="Calibri"/>
          <w:lang w:val="en-US"/>
        </w:rPr>
        <w:t>. Then, p</w:t>
      </w:r>
      <w:r w:rsidRPr="00EF3340">
        <w:rPr>
          <w:rFonts w:eastAsia="Calibri"/>
          <w:lang w:val="en-US"/>
        </w:rPr>
        <w:t xml:space="preserve">lease add </w:t>
      </w:r>
      <w:r w:rsidR="00A93E0A">
        <w:rPr>
          <w:rFonts w:eastAsia="Calibri"/>
          <w:lang w:val="en-US"/>
        </w:rPr>
        <w:t>the following sentence on the label</w:t>
      </w:r>
      <w:r w:rsidR="00D469B6">
        <w:rPr>
          <w:rFonts w:eastAsia="Calibri"/>
          <w:lang w:val="en-US"/>
        </w:rPr>
        <w:t xml:space="preserve">            </w:t>
      </w:r>
      <w:r w:rsidR="00A93E0A">
        <w:rPr>
          <w:rFonts w:eastAsia="Calibri"/>
          <w:lang w:val="en-US"/>
        </w:rPr>
        <w:t xml:space="preserve"> “ </w:t>
      </w:r>
      <w:r w:rsidR="00A93E0A" w:rsidRPr="00A93E0A">
        <w:rPr>
          <w:rFonts w:eastAsia="Calibri"/>
          <w:i/>
          <w:lang w:val="en-US"/>
        </w:rPr>
        <w:t>Place a limited amount of lotion on the palm of the hand and distribute the lotion sparingly over the exposed skin. ONLY apply to uncovered parts of the body, limited to the fa</w:t>
      </w:r>
      <w:r w:rsidR="00D469B6">
        <w:rPr>
          <w:rFonts w:eastAsia="Calibri"/>
          <w:i/>
          <w:lang w:val="en-US"/>
        </w:rPr>
        <w:t>ce, hands, arms, legs and feet.</w:t>
      </w:r>
    </w:p>
    <w:p w14:paraId="65D6E03F" w14:textId="65DE049E" w:rsidR="00E70B1C" w:rsidRPr="00D469B6" w:rsidRDefault="00E70B1C" w:rsidP="00E70B1C">
      <w:pPr>
        <w:pStyle w:val="Paragraphedeliste"/>
        <w:numPr>
          <w:ilvl w:val="0"/>
          <w:numId w:val="10"/>
        </w:numPr>
        <w:ind w:left="357" w:hanging="357"/>
        <w:rPr>
          <w:rFonts w:eastAsia="Calibri"/>
          <w:lang w:val="en-US"/>
        </w:rPr>
      </w:pPr>
      <w:r w:rsidRPr="00191D86">
        <w:rPr>
          <w:rFonts w:eastAsia="Calibri"/>
          <w:lang w:val="en-US"/>
        </w:rPr>
        <w:t>References related to intended uses under tropical conditions must be removed from the label</w:t>
      </w:r>
    </w:p>
    <w:p w14:paraId="7D16936D" w14:textId="7CE3B761" w:rsidR="00E70B1C" w:rsidRPr="00D469B6" w:rsidRDefault="00E70B1C" w:rsidP="00E70B1C">
      <w:pPr>
        <w:pStyle w:val="Paragraphedeliste"/>
        <w:numPr>
          <w:ilvl w:val="0"/>
          <w:numId w:val="10"/>
        </w:numPr>
        <w:ind w:left="357" w:hanging="357"/>
        <w:rPr>
          <w:rFonts w:eastAsia="Calibri"/>
          <w:lang w:val="en-US"/>
        </w:rPr>
      </w:pPr>
      <w:r w:rsidRPr="00191D86">
        <w:rPr>
          <w:rFonts w:eastAsia="Calibri"/>
          <w:lang w:val="en-US"/>
        </w:rPr>
        <w:t>References related to intended uses on clothes must be removed from the label</w:t>
      </w:r>
    </w:p>
    <w:p w14:paraId="5B2DF330" w14:textId="4627FB25" w:rsidR="00E70B1C" w:rsidRPr="00D469B6" w:rsidRDefault="00E70B1C" w:rsidP="00E70B1C">
      <w:pPr>
        <w:pStyle w:val="Paragraphedeliste"/>
        <w:numPr>
          <w:ilvl w:val="0"/>
          <w:numId w:val="10"/>
        </w:numPr>
        <w:ind w:left="357" w:hanging="357"/>
        <w:rPr>
          <w:rFonts w:eastAsia="Calibri"/>
          <w:lang w:val="en-US"/>
        </w:rPr>
      </w:pPr>
      <w:r w:rsidRPr="00191D86">
        <w:rPr>
          <w:rFonts w:eastAsia="Calibri"/>
          <w:lang w:val="en-US"/>
        </w:rPr>
        <w:t>All references related to target organisms other than mosquitoes</w:t>
      </w:r>
      <w:r w:rsidR="00C018F7">
        <w:rPr>
          <w:rFonts w:eastAsia="Calibri"/>
          <w:lang w:val="en-US"/>
        </w:rPr>
        <w:t xml:space="preserve"> &amp; ticks</w:t>
      </w:r>
      <w:r w:rsidRPr="00191D86">
        <w:rPr>
          <w:rFonts w:eastAsia="Calibri"/>
          <w:lang w:val="en-US"/>
        </w:rPr>
        <w:t xml:space="preserve"> must be removed from the label.</w:t>
      </w:r>
    </w:p>
    <w:p w14:paraId="0CD75B32" w14:textId="77777777" w:rsidR="00E70B1C" w:rsidRPr="00191D86" w:rsidRDefault="00E70B1C" w:rsidP="00D63FA7">
      <w:pPr>
        <w:pStyle w:val="Paragraphedeliste"/>
        <w:numPr>
          <w:ilvl w:val="0"/>
          <w:numId w:val="10"/>
        </w:numPr>
        <w:ind w:left="357" w:hanging="357"/>
        <w:rPr>
          <w:lang w:val="en-US"/>
        </w:rPr>
      </w:pPr>
      <w:r w:rsidRPr="00191D86">
        <w:rPr>
          <w:lang w:val="en-US"/>
        </w:rPr>
        <w:t>All the warnings such as “Do not apply sun care products or cosmetic formulations after repellent use, the repellent can’t protect you anymore”, “Do not apply over cuts, wounds, freshly shaven or irritated skin” and “Mechanical protection (clothing, mosquito nets) is to be preferred” must be mentioned on the label.</w:t>
      </w:r>
    </w:p>
    <w:p w14:paraId="3CD25013" w14:textId="77777777" w:rsidR="003839E7" w:rsidRDefault="003839E7" w:rsidP="003839E7">
      <w:pPr>
        <w:pStyle w:val="Titre4"/>
      </w:pPr>
      <w:bookmarkStart w:id="139" w:name="_Toc12967147"/>
      <w:r w:rsidRPr="00BD2EF1">
        <w:t>Relevant information if the product is intended to be authorised for use with other biocidal product(s)</w:t>
      </w:r>
      <w:bookmarkEnd w:id="135"/>
      <w:bookmarkEnd w:id="136"/>
      <w:bookmarkEnd w:id="137"/>
      <w:bookmarkEnd w:id="138"/>
      <w:bookmarkEnd w:id="139"/>
    </w:p>
    <w:p w14:paraId="6B56CA9B" w14:textId="77777777" w:rsidR="003839E7" w:rsidRPr="00BD2EF1" w:rsidRDefault="003C5B0B" w:rsidP="003839E7">
      <w:r>
        <w:rPr>
          <w:lang w:eastAsia="en-US"/>
        </w:rPr>
        <w:t>Not relevant.</w:t>
      </w:r>
    </w:p>
    <w:p w14:paraId="675D28A5" w14:textId="5503F06E" w:rsidR="00191D86" w:rsidRPr="00BD2EF1" w:rsidRDefault="00191D86" w:rsidP="003839E7">
      <w:pPr>
        <w:sectPr w:rsidR="00191D86" w:rsidRPr="00BD2EF1" w:rsidSect="00E70B1C">
          <w:pgSz w:w="11906" w:h="16838"/>
          <w:pgMar w:top="1247" w:right="1247" w:bottom="1247" w:left="1247" w:header="709" w:footer="709" w:gutter="0"/>
          <w:cols w:space="708"/>
          <w:docGrid w:linePitch="360"/>
        </w:sectPr>
      </w:pPr>
    </w:p>
    <w:p w14:paraId="7BED3E8B" w14:textId="644623D2" w:rsidR="003839E7" w:rsidRDefault="0015701C" w:rsidP="0015701C">
      <w:pPr>
        <w:pStyle w:val="Titre3"/>
      </w:pPr>
      <w:bookmarkStart w:id="140" w:name="_Toc12967148"/>
      <w:r w:rsidRPr="00BD2EF1">
        <w:lastRenderedPageBreak/>
        <w:t>Risk assessment for human health</w:t>
      </w:r>
      <w:bookmarkEnd w:id="140"/>
    </w:p>
    <w:p w14:paraId="0DC69C5A" w14:textId="77777777" w:rsidR="00B812EE" w:rsidRDefault="00B812EE" w:rsidP="00B812EE">
      <w:pPr>
        <w:rPr>
          <w:color w:val="000000"/>
          <w:lang w:eastAsia="en-GB"/>
        </w:rPr>
      </w:pPr>
      <w:r w:rsidRPr="000D2F1A">
        <w:rPr>
          <w:color w:val="000000"/>
          <w:lang w:eastAsia="en-GB"/>
        </w:rPr>
        <w:t>For acute dermal toxicity, skin and eye irritation and skin sensitisation, a read-across from studies performed with US Lotion formulation has been performed. As the composition of the BP under evaluation is very similar to the reference formulation, read-across is considered appropriate. (see Confidential Annex section 2.1)</w:t>
      </w:r>
    </w:p>
    <w:p w14:paraId="71D91723" w14:textId="77777777" w:rsidR="00B812EE" w:rsidRPr="00B812EE" w:rsidRDefault="00B812EE" w:rsidP="00B812EE"/>
    <w:p w14:paraId="57855D52" w14:textId="77777777" w:rsidR="0015701C" w:rsidRPr="00BD2EF1" w:rsidRDefault="0015701C" w:rsidP="0015701C">
      <w:pPr>
        <w:pStyle w:val="Titre4"/>
      </w:pPr>
      <w:bookmarkStart w:id="141" w:name="_Toc12967149"/>
      <w:r w:rsidRPr="00BD2EF1">
        <w:t>Assessment of effects on Human Health</w:t>
      </w:r>
      <w:bookmarkEnd w:id="141"/>
    </w:p>
    <w:p w14:paraId="3259F253" w14:textId="77777777" w:rsidR="0015701C" w:rsidRPr="00BD2EF1" w:rsidRDefault="0015701C" w:rsidP="007E5F71">
      <w:pPr>
        <w:pStyle w:val="Titre5"/>
        <w:numPr>
          <w:ilvl w:val="0"/>
          <w:numId w:val="14"/>
        </w:numPr>
      </w:pPr>
      <w:bookmarkStart w:id="142" w:name="_Toc12967150"/>
      <w:r w:rsidRPr="00BD2EF1">
        <w:t>Skin corrosion and irritation</w:t>
      </w:r>
      <w:bookmarkEnd w:id="142"/>
    </w:p>
    <w:p w14:paraId="3FB22455" w14:textId="77777777" w:rsidR="002E0A8E" w:rsidRPr="000E7478" w:rsidRDefault="002E0A8E" w:rsidP="002E0A8E">
      <w:pPr>
        <w:spacing w:line="260" w:lineRule="atLeast"/>
        <w:rPr>
          <w:rFonts w:eastAsia="Calibri"/>
          <w:iCs/>
          <w:lang w:eastAsia="en-US"/>
        </w:rPr>
      </w:pPr>
      <w:r>
        <w:rPr>
          <w:rFonts w:eastAsia="Calibri"/>
          <w:iCs/>
          <w:lang w:eastAsia="en-US"/>
        </w:rPr>
        <w:t>New data for this section are due to differences in product composition.</w:t>
      </w:r>
    </w:p>
    <w:p w14:paraId="3028A3FA" w14:textId="77777777" w:rsidR="002E0A8E" w:rsidRPr="00BD2EF1" w:rsidRDefault="002E0A8E" w:rsidP="002E0A8E">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958"/>
        <w:gridCol w:w="2841"/>
        <w:gridCol w:w="3062"/>
        <w:gridCol w:w="2408"/>
        <w:gridCol w:w="1886"/>
      </w:tblGrid>
      <w:tr w:rsidR="002E0A8E" w:rsidRPr="00BD2EF1" w14:paraId="5E53352E" w14:textId="77777777" w:rsidTr="002E0A8E">
        <w:tc>
          <w:tcPr>
            <w:tcW w:w="5000" w:type="pct"/>
            <w:gridSpan w:val="6"/>
            <w:shd w:val="clear" w:color="auto" w:fill="FFFFCC"/>
          </w:tcPr>
          <w:p w14:paraId="22277228" w14:textId="77777777" w:rsidR="002E0A8E" w:rsidRPr="00BD2EF1" w:rsidRDefault="002E0A8E" w:rsidP="002E0A8E">
            <w:pPr>
              <w:pStyle w:val="Standaard-Tabellen"/>
              <w:jc w:val="center"/>
              <w:rPr>
                <w:rFonts w:eastAsia="Calibri"/>
                <w:b/>
                <w:highlight w:val="cyan"/>
              </w:rPr>
            </w:pPr>
            <w:r w:rsidRPr="00BD2EF1">
              <w:rPr>
                <w:rFonts w:eastAsia="Calibri"/>
                <w:b/>
              </w:rPr>
              <w:t>Summary table of animal studies on skin corrosion /irritation</w:t>
            </w:r>
          </w:p>
        </w:tc>
      </w:tr>
      <w:tr w:rsidR="002E0A8E" w:rsidRPr="00BD2EF1" w14:paraId="39F76259" w14:textId="77777777" w:rsidTr="002E0A8E">
        <w:tc>
          <w:tcPr>
            <w:tcW w:w="760" w:type="pct"/>
            <w:shd w:val="clear" w:color="auto" w:fill="BFBFBF" w:themeFill="background1" w:themeFillShade="BF"/>
          </w:tcPr>
          <w:p w14:paraId="392C1EF2" w14:textId="77777777" w:rsidR="002E0A8E" w:rsidRPr="00BD2EF1" w:rsidRDefault="002E0A8E" w:rsidP="002E0A8E">
            <w:pPr>
              <w:pStyle w:val="Standaard-Tabellen"/>
              <w:rPr>
                <w:rFonts w:eastAsia="Calibri"/>
                <w:b/>
                <w:color w:val="000000"/>
                <w:szCs w:val="18"/>
              </w:rPr>
            </w:pPr>
            <w:r w:rsidRPr="00BD2EF1">
              <w:rPr>
                <w:rFonts w:eastAsia="Calibri"/>
                <w:b/>
                <w:color w:val="000000"/>
                <w:szCs w:val="18"/>
              </w:rPr>
              <w:t>Method,</w:t>
            </w:r>
            <w:r w:rsidRPr="00BD2EF1">
              <w:rPr>
                <w:rFonts w:eastAsia="Calibri"/>
                <w:b/>
                <w:color w:val="000000"/>
                <w:szCs w:val="18"/>
              </w:rPr>
              <w:br/>
              <w:t xml:space="preserve">Guideline, </w:t>
            </w:r>
          </w:p>
          <w:p w14:paraId="6CABFFB4" w14:textId="77777777" w:rsidR="002E0A8E" w:rsidRPr="00BD2EF1" w:rsidRDefault="002E0A8E" w:rsidP="002E0A8E">
            <w:pPr>
              <w:pStyle w:val="Standaard-Tabellen"/>
              <w:rPr>
                <w:rFonts w:eastAsia="Calibri"/>
                <w:b/>
                <w:highlight w:val="cyan"/>
              </w:rPr>
            </w:pPr>
            <w:r w:rsidRPr="00BD2EF1">
              <w:rPr>
                <w:rFonts w:eastAsia="Calibri"/>
                <w:b/>
                <w:color w:val="000000"/>
                <w:szCs w:val="18"/>
              </w:rPr>
              <w:t>GLP status, Reliability</w:t>
            </w:r>
          </w:p>
        </w:tc>
        <w:tc>
          <w:tcPr>
            <w:tcW w:w="683" w:type="pct"/>
            <w:shd w:val="clear" w:color="auto" w:fill="BFBFBF" w:themeFill="background1" w:themeFillShade="BF"/>
          </w:tcPr>
          <w:p w14:paraId="1D7D9BC5" w14:textId="77777777" w:rsidR="002E0A8E" w:rsidRPr="00BD2EF1" w:rsidRDefault="002E0A8E" w:rsidP="002E0A8E">
            <w:pPr>
              <w:pStyle w:val="Standaard-Tabellen"/>
              <w:rPr>
                <w:rFonts w:eastAsia="Calibri"/>
                <w:b/>
                <w:highlight w:val="cyan"/>
              </w:rPr>
            </w:pPr>
            <w:r w:rsidRPr="00BD2EF1">
              <w:rPr>
                <w:rFonts w:eastAsia="Calibri"/>
                <w:b/>
              </w:rPr>
              <w:t>Species,</w:t>
            </w:r>
            <w:r w:rsidRPr="00BD2EF1">
              <w:rPr>
                <w:rFonts w:eastAsia="Calibri"/>
                <w:b/>
              </w:rPr>
              <w:br/>
              <w:t>Strain,</w:t>
            </w:r>
            <w:r w:rsidRPr="00BD2EF1">
              <w:rPr>
                <w:rFonts w:eastAsia="Calibri"/>
                <w:b/>
              </w:rPr>
              <w:br/>
              <w:t>Sex,</w:t>
            </w:r>
            <w:r w:rsidRPr="00BD2EF1">
              <w:rPr>
                <w:rFonts w:eastAsia="Calibri"/>
                <w:b/>
              </w:rPr>
              <w:br/>
              <w:t>No/group</w:t>
            </w:r>
          </w:p>
        </w:tc>
        <w:tc>
          <w:tcPr>
            <w:tcW w:w="991" w:type="pct"/>
            <w:shd w:val="clear" w:color="auto" w:fill="BFBFBF" w:themeFill="background1" w:themeFillShade="BF"/>
          </w:tcPr>
          <w:p w14:paraId="76CDA64F" w14:textId="77777777" w:rsidR="002E0A8E" w:rsidRPr="00BD2EF1" w:rsidRDefault="002E0A8E" w:rsidP="002E0A8E">
            <w:pPr>
              <w:pStyle w:val="Standaard-Tabellen"/>
              <w:rPr>
                <w:rFonts w:eastAsia="Calibri"/>
                <w:b/>
              </w:rPr>
            </w:pPr>
            <w:r w:rsidRPr="00BD2EF1">
              <w:rPr>
                <w:rFonts w:eastAsia="Calibri"/>
                <w:b/>
              </w:rPr>
              <w:t xml:space="preserve">Test substance, Vehicle, Dose levels, </w:t>
            </w:r>
            <w:r w:rsidRPr="00BD2EF1">
              <w:rPr>
                <w:rFonts w:eastAsia="Calibri"/>
                <w:b/>
              </w:rPr>
              <w:br/>
              <w:t>Duration of exposure</w:t>
            </w:r>
          </w:p>
        </w:tc>
        <w:tc>
          <w:tcPr>
            <w:tcW w:w="1068" w:type="pct"/>
            <w:shd w:val="clear" w:color="auto" w:fill="BFBFBF" w:themeFill="background1" w:themeFillShade="BF"/>
          </w:tcPr>
          <w:p w14:paraId="4A722B6C" w14:textId="77777777" w:rsidR="002E0A8E" w:rsidRPr="00BD2EF1" w:rsidRDefault="002E0A8E" w:rsidP="002E0A8E">
            <w:pPr>
              <w:pStyle w:val="Standaard-Tabellen"/>
              <w:rPr>
                <w:rFonts w:eastAsia="Calibri"/>
                <w:b/>
              </w:rPr>
            </w:pPr>
            <w:r w:rsidRPr="00BD2EF1">
              <w:rPr>
                <w:rFonts w:eastAsia="Calibri"/>
                <w:b/>
              </w:rPr>
              <w:t>Results</w:t>
            </w:r>
          </w:p>
          <w:p w14:paraId="18F8987E" w14:textId="77777777" w:rsidR="002E0A8E" w:rsidRPr="00BD2EF1" w:rsidRDefault="002E0A8E" w:rsidP="002E0A8E">
            <w:pPr>
              <w:pStyle w:val="Standaard-Tabellen"/>
              <w:rPr>
                <w:rFonts w:eastAsia="Calibri"/>
                <w:b/>
                <w:i/>
              </w:rPr>
            </w:pPr>
            <w:r w:rsidRPr="00BD2EF1">
              <w:rPr>
                <w:rFonts w:eastAsia="Calibri"/>
                <w:b/>
                <w:i/>
              </w:rPr>
              <w:t>Average score</w:t>
            </w:r>
            <w:r w:rsidRPr="00BD2EF1">
              <w:rPr>
                <w:rFonts w:eastAsia="Calibri"/>
                <w:b/>
              </w:rPr>
              <w:t xml:space="preserve"> </w:t>
            </w:r>
            <w:r w:rsidRPr="00BD2EF1">
              <w:rPr>
                <w:rFonts w:eastAsia="Calibri"/>
                <w:b/>
                <w:i/>
              </w:rPr>
              <w:t>(24, 48, 72h)/</w:t>
            </w:r>
          </w:p>
          <w:p w14:paraId="13FECD7A" w14:textId="77777777" w:rsidR="002E0A8E" w:rsidRPr="00BD2EF1" w:rsidRDefault="002E0A8E" w:rsidP="002E0A8E">
            <w:pPr>
              <w:pStyle w:val="Standaard-Tabellen"/>
              <w:rPr>
                <w:rFonts w:eastAsia="Calibri"/>
                <w:b/>
                <w:i/>
              </w:rPr>
            </w:pPr>
            <w:r w:rsidRPr="00BD2EF1">
              <w:rPr>
                <w:rFonts w:eastAsia="Calibri"/>
                <w:b/>
                <w:i/>
              </w:rPr>
              <w:t>observations and time point of onset,  reversibility; other adverse local / systemic effects,  histopathological</w:t>
            </w:r>
          </w:p>
          <w:p w14:paraId="311D8189" w14:textId="77777777" w:rsidR="002E0A8E" w:rsidRPr="00BD2EF1" w:rsidRDefault="002E0A8E" w:rsidP="002E0A8E">
            <w:pPr>
              <w:pStyle w:val="Standaard-Tabellen"/>
              <w:rPr>
                <w:rFonts w:eastAsia="Calibri"/>
                <w:b/>
                <w:i/>
              </w:rPr>
            </w:pPr>
            <w:r w:rsidRPr="00BD2EF1">
              <w:rPr>
                <w:rFonts w:eastAsia="Calibri"/>
                <w:b/>
                <w:i/>
              </w:rPr>
              <w:t>findings</w:t>
            </w:r>
          </w:p>
          <w:p w14:paraId="53FF31CC" w14:textId="77777777" w:rsidR="002E0A8E" w:rsidRPr="00BD2EF1" w:rsidRDefault="002E0A8E" w:rsidP="002E0A8E">
            <w:pPr>
              <w:pStyle w:val="Standaard-Tabellen"/>
              <w:rPr>
                <w:rFonts w:eastAsia="Calibri"/>
                <w:b/>
              </w:rPr>
            </w:pPr>
          </w:p>
        </w:tc>
        <w:tc>
          <w:tcPr>
            <w:tcW w:w="840" w:type="pct"/>
            <w:shd w:val="clear" w:color="auto" w:fill="BFBFBF" w:themeFill="background1" w:themeFillShade="BF"/>
          </w:tcPr>
          <w:p w14:paraId="00262E76" w14:textId="77777777" w:rsidR="002E0A8E" w:rsidRPr="00BD2EF1" w:rsidRDefault="002E0A8E" w:rsidP="002E0A8E">
            <w:pPr>
              <w:pStyle w:val="Standaard-Tabellen"/>
              <w:rPr>
                <w:rFonts w:eastAsia="Calibri"/>
                <w:b/>
              </w:rPr>
            </w:pPr>
            <w:r w:rsidRPr="00BD2EF1">
              <w:rPr>
                <w:rFonts w:eastAsia="Calibri"/>
                <w:b/>
              </w:rPr>
              <w:t xml:space="preserve">Remarks </w:t>
            </w:r>
            <w:r w:rsidRPr="00BD2EF1">
              <w:rPr>
                <w:rFonts w:eastAsia="Calibri"/>
                <w:b/>
                <w:i/>
              </w:rPr>
              <w:t>(e.g. major deviations)</w:t>
            </w:r>
          </w:p>
        </w:tc>
        <w:tc>
          <w:tcPr>
            <w:tcW w:w="658" w:type="pct"/>
            <w:shd w:val="clear" w:color="auto" w:fill="BFBFBF" w:themeFill="background1" w:themeFillShade="BF"/>
          </w:tcPr>
          <w:p w14:paraId="53D1260E" w14:textId="77777777" w:rsidR="002E0A8E" w:rsidRPr="00BD2EF1" w:rsidRDefault="002E0A8E" w:rsidP="002E0A8E">
            <w:pPr>
              <w:pStyle w:val="Standaard-Tabellen"/>
              <w:rPr>
                <w:rFonts w:eastAsia="Calibri"/>
                <w:b/>
              </w:rPr>
            </w:pPr>
            <w:r w:rsidRPr="00BD2EF1">
              <w:rPr>
                <w:rFonts w:eastAsia="Calibri"/>
                <w:b/>
              </w:rPr>
              <w:t xml:space="preserve">Reference </w:t>
            </w:r>
          </w:p>
          <w:p w14:paraId="19ADC1FA" w14:textId="77777777" w:rsidR="002E0A8E" w:rsidRPr="00BD2EF1" w:rsidRDefault="002E0A8E" w:rsidP="002E0A8E">
            <w:pPr>
              <w:pStyle w:val="Standaard-Tabellen"/>
              <w:rPr>
                <w:rFonts w:eastAsia="Calibri"/>
                <w:b/>
              </w:rPr>
            </w:pPr>
          </w:p>
        </w:tc>
      </w:tr>
      <w:tr w:rsidR="00F10CBA" w:rsidRPr="00BD2EF1" w14:paraId="077CE98A" w14:textId="77777777" w:rsidTr="002E0A8E">
        <w:tc>
          <w:tcPr>
            <w:tcW w:w="760" w:type="pct"/>
            <w:shd w:val="clear" w:color="auto" w:fill="auto"/>
          </w:tcPr>
          <w:p w14:paraId="5035E78F" w14:textId="77777777" w:rsidR="00F10CBA" w:rsidRPr="008C0D5A" w:rsidRDefault="00F10CBA" w:rsidP="00F10CBA">
            <w:pPr>
              <w:spacing w:line="260" w:lineRule="atLeast"/>
              <w:rPr>
                <w:rFonts w:eastAsia="Calibri"/>
                <w:sz w:val="18"/>
                <w:szCs w:val="18"/>
                <w:lang w:val="de-DE" w:eastAsia="en-US"/>
              </w:rPr>
            </w:pPr>
            <w:r w:rsidRPr="008C0D5A">
              <w:rPr>
                <w:rFonts w:eastAsia="Calibri"/>
                <w:sz w:val="18"/>
                <w:szCs w:val="18"/>
                <w:lang w:val="de-DE" w:eastAsia="en-US"/>
              </w:rPr>
              <w:t>OPPTS 870.2500</w:t>
            </w:r>
          </w:p>
          <w:p w14:paraId="3F014466" w14:textId="77777777" w:rsidR="00F10CBA" w:rsidRPr="008C0D5A" w:rsidRDefault="00F10CBA" w:rsidP="00F10CBA">
            <w:pPr>
              <w:spacing w:line="260" w:lineRule="atLeast"/>
              <w:rPr>
                <w:rFonts w:eastAsia="Calibri"/>
                <w:sz w:val="18"/>
                <w:szCs w:val="18"/>
                <w:lang w:val="de-DE" w:eastAsia="en-US"/>
              </w:rPr>
            </w:pPr>
            <w:r w:rsidRPr="008C0D5A">
              <w:rPr>
                <w:rFonts w:eastAsia="Calibri"/>
                <w:sz w:val="18"/>
                <w:szCs w:val="18"/>
                <w:lang w:val="de-DE" w:eastAsia="en-US"/>
              </w:rPr>
              <w:t>OECD 404</w:t>
            </w:r>
          </w:p>
          <w:p w14:paraId="2EA9C2AA" w14:textId="77777777" w:rsidR="00F10CBA" w:rsidRPr="008C0D5A" w:rsidRDefault="00F10CBA" w:rsidP="00F10CBA">
            <w:pPr>
              <w:spacing w:line="260" w:lineRule="atLeast"/>
              <w:rPr>
                <w:rFonts w:eastAsia="Calibri"/>
                <w:sz w:val="18"/>
                <w:szCs w:val="18"/>
                <w:lang w:val="de-DE" w:eastAsia="en-US"/>
              </w:rPr>
            </w:pPr>
            <w:r w:rsidRPr="008C0D5A">
              <w:rPr>
                <w:rFonts w:eastAsia="Calibri"/>
                <w:sz w:val="18"/>
                <w:szCs w:val="18"/>
                <w:lang w:val="de-DE" w:eastAsia="en-US"/>
              </w:rPr>
              <w:t>EU 92/69 Annex V, B4</w:t>
            </w:r>
          </w:p>
          <w:p w14:paraId="419DC3C8" w14:textId="77777777" w:rsidR="00F10CBA" w:rsidRPr="000E7478" w:rsidRDefault="00F10CBA" w:rsidP="00F10CBA">
            <w:pPr>
              <w:spacing w:line="260" w:lineRule="atLeast"/>
              <w:rPr>
                <w:rFonts w:eastAsia="Calibri"/>
                <w:sz w:val="18"/>
                <w:szCs w:val="18"/>
                <w:lang w:eastAsia="en-US"/>
              </w:rPr>
            </w:pPr>
            <w:r w:rsidRPr="000E7478">
              <w:rPr>
                <w:rFonts w:eastAsia="Calibri"/>
                <w:sz w:val="18"/>
                <w:szCs w:val="18"/>
                <w:lang w:eastAsia="en-US"/>
              </w:rPr>
              <w:t>GLP=yes</w:t>
            </w:r>
          </w:p>
          <w:p w14:paraId="79811F96" w14:textId="5C6CA932" w:rsidR="00F10CBA" w:rsidRPr="000E7478" w:rsidRDefault="00F10CBA" w:rsidP="00F10CBA">
            <w:pPr>
              <w:pStyle w:val="Standaard-Tabellen"/>
              <w:rPr>
                <w:rFonts w:eastAsia="Calibri"/>
                <w:szCs w:val="18"/>
              </w:rPr>
            </w:pPr>
            <w:proofErr w:type="spellStart"/>
            <w:r w:rsidRPr="000E7478">
              <w:rPr>
                <w:rFonts w:eastAsia="Calibri"/>
                <w:szCs w:val="18"/>
                <w:lang w:eastAsia="en-US"/>
              </w:rPr>
              <w:t>Rel</w:t>
            </w:r>
            <w:proofErr w:type="spellEnd"/>
            <w:r w:rsidRPr="000E7478">
              <w:rPr>
                <w:rFonts w:eastAsia="Calibri"/>
                <w:szCs w:val="18"/>
                <w:lang w:eastAsia="en-US"/>
              </w:rPr>
              <w:t>=1</w:t>
            </w:r>
          </w:p>
        </w:tc>
        <w:tc>
          <w:tcPr>
            <w:tcW w:w="683" w:type="pct"/>
            <w:shd w:val="clear" w:color="auto" w:fill="auto"/>
          </w:tcPr>
          <w:p w14:paraId="57EFBD06" w14:textId="77777777" w:rsidR="00F10CBA" w:rsidRPr="000E7478" w:rsidRDefault="00F10CBA" w:rsidP="00F10CBA">
            <w:pPr>
              <w:spacing w:line="260" w:lineRule="atLeast"/>
              <w:rPr>
                <w:rFonts w:eastAsia="Calibri"/>
                <w:sz w:val="18"/>
                <w:szCs w:val="18"/>
                <w:lang w:eastAsia="en-US"/>
              </w:rPr>
            </w:pPr>
            <w:r w:rsidRPr="000E7478">
              <w:rPr>
                <w:rFonts w:eastAsia="Calibri"/>
                <w:sz w:val="18"/>
                <w:szCs w:val="18"/>
                <w:lang w:eastAsia="en-US"/>
              </w:rPr>
              <w:t>Albino rabbit</w:t>
            </w:r>
          </w:p>
          <w:p w14:paraId="23338246" w14:textId="77777777" w:rsidR="00F10CBA" w:rsidRPr="000E7478" w:rsidRDefault="00F10CBA" w:rsidP="00F10CBA">
            <w:pPr>
              <w:spacing w:line="260" w:lineRule="atLeast"/>
              <w:rPr>
                <w:rFonts w:eastAsia="Calibri"/>
                <w:sz w:val="18"/>
                <w:szCs w:val="18"/>
                <w:lang w:eastAsia="en-US"/>
              </w:rPr>
            </w:pPr>
            <w:r w:rsidRPr="000E7478">
              <w:rPr>
                <w:rFonts w:eastAsia="Calibri"/>
                <w:sz w:val="18"/>
                <w:szCs w:val="18"/>
                <w:lang w:eastAsia="en-US"/>
              </w:rPr>
              <w:t>New Zealand White</w:t>
            </w:r>
          </w:p>
          <w:p w14:paraId="0A196AE9" w14:textId="77777777" w:rsidR="00F10CBA" w:rsidRPr="000E7478" w:rsidRDefault="00F10CBA" w:rsidP="00F10CBA">
            <w:pPr>
              <w:spacing w:line="260" w:lineRule="atLeast"/>
              <w:rPr>
                <w:rFonts w:eastAsia="Calibri"/>
                <w:sz w:val="18"/>
                <w:szCs w:val="18"/>
                <w:lang w:eastAsia="en-US"/>
              </w:rPr>
            </w:pPr>
            <w:r w:rsidRPr="000E7478">
              <w:rPr>
                <w:rFonts w:eastAsia="Calibri"/>
                <w:sz w:val="18"/>
                <w:szCs w:val="18"/>
                <w:lang w:eastAsia="en-US"/>
              </w:rPr>
              <w:t>2</w:t>
            </w:r>
            <w:r w:rsidRPr="000E7478">
              <w:rPr>
                <w:rFonts w:ascii="Segoe UI Symbol" w:eastAsia="Calibri" w:hAnsi="Segoe UI Symbol" w:cs="Segoe UI Symbol"/>
                <w:sz w:val="18"/>
                <w:szCs w:val="18"/>
                <w:lang w:eastAsia="en-US"/>
              </w:rPr>
              <w:t>♂</w:t>
            </w:r>
            <w:r w:rsidRPr="000E7478">
              <w:rPr>
                <w:rFonts w:eastAsia="Calibri"/>
                <w:sz w:val="18"/>
                <w:szCs w:val="18"/>
                <w:lang w:eastAsia="en-US"/>
              </w:rPr>
              <w:t>, 1</w:t>
            </w:r>
            <w:r w:rsidRPr="000E7478">
              <w:rPr>
                <w:rFonts w:ascii="Segoe UI Symbol" w:eastAsia="Calibri" w:hAnsi="Segoe UI Symbol" w:cs="Segoe UI Symbol"/>
                <w:sz w:val="18"/>
                <w:szCs w:val="18"/>
                <w:lang w:eastAsia="en-US"/>
              </w:rPr>
              <w:t>♀</w:t>
            </w:r>
          </w:p>
          <w:p w14:paraId="45FB5680" w14:textId="0C2717F5" w:rsidR="00F10CBA" w:rsidRPr="000E7478" w:rsidRDefault="00F10CBA" w:rsidP="00F10CBA">
            <w:pPr>
              <w:pStyle w:val="Standaard-Tabellen"/>
              <w:rPr>
                <w:rFonts w:eastAsia="Calibri"/>
                <w:szCs w:val="18"/>
              </w:rPr>
            </w:pPr>
            <w:r w:rsidRPr="000E7478">
              <w:rPr>
                <w:rFonts w:eastAsia="Calibri"/>
                <w:szCs w:val="18"/>
                <w:lang w:eastAsia="en-US"/>
              </w:rPr>
              <w:t>1 test group, 3 animals</w:t>
            </w:r>
          </w:p>
        </w:tc>
        <w:tc>
          <w:tcPr>
            <w:tcW w:w="991" w:type="pct"/>
            <w:shd w:val="clear" w:color="auto" w:fill="auto"/>
          </w:tcPr>
          <w:p w14:paraId="52CEC507" w14:textId="77777777" w:rsidR="00F10CBA" w:rsidRPr="000E7478" w:rsidRDefault="00F10CBA" w:rsidP="00F10CBA">
            <w:pPr>
              <w:keepNext/>
              <w:widowControl w:val="0"/>
              <w:tabs>
                <w:tab w:val="center" w:pos="4536"/>
                <w:tab w:val="right" w:pos="9072"/>
              </w:tabs>
              <w:spacing w:line="276" w:lineRule="auto"/>
              <w:rPr>
                <w:rFonts w:eastAsia="Calibri"/>
                <w:color w:val="000000"/>
                <w:sz w:val="18"/>
                <w:szCs w:val="18"/>
                <w:lang w:eastAsia="en-GB"/>
              </w:rPr>
            </w:pPr>
            <w:r w:rsidRPr="00393183">
              <w:rPr>
                <w:rFonts w:eastAsia="Calibri"/>
                <w:color w:val="000000"/>
                <w:sz w:val="18"/>
                <w:szCs w:val="18"/>
                <w:lang w:eastAsia="en-GB"/>
              </w:rPr>
              <w:t>US Lotion Formulation</w:t>
            </w:r>
          </w:p>
          <w:p w14:paraId="61699221" w14:textId="77777777" w:rsidR="00F10CBA" w:rsidRPr="000E7478" w:rsidRDefault="00F10CBA" w:rsidP="00F10CBA">
            <w:pPr>
              <w:spacing w:line="260" w:lineRule="atLeast"/>
              <w:rPr>
                <w:rFonts w:eastAsia="Calibri"/>
                <w:sz w:val="18"/>
                <w:szCs w:val="18"/>
                <w:lang w:eastAsia="en-US"/>
              </w:rPr>
            </w:pPr>
            <w:r w:rsidRPr="000E7478">
              <w:rPr>
                <w:rFonts w:eastAsia="Calibri"/>
                <w:sz w:val="18"/>
                <w:szCs w:val="18"/>
                <w:lang w:eastAsia="en-US"/>
              </w:rPr>
              <w:t>No vehicle</w:t>
            </w:r>
          </w:p>
          <w:p w14:paraId="2A17EE1B" w14:textId="77777777" w:rsidR="00F10CBA" w:rsidRPr="000E7478" w:rsidRDefault="00F10CBA" w:rsidP="00F10CBA">
            <w:pPr>
              <w:keepNext/>
              <w:widowControl w:val="0"/>
              <w:tabs>
                <w:tab w:val="center" w:pos="4536"/>
                <w:tab w:val="right" w:pos="9072"/>
              </w:tabs>
              <w:spacing w:line="276" w:lineRule="auto"/>
              <w:rPr>
                <w:rFonts w:eastAsia="Calibri"/>
                <w:color w:val="000000"/>
                <w:sz w:val="18"/>
                <w:szCs w:val="18"/>
                <w:lang w:eastAsia="en-GB"/>
              </w:rPr>
            </w:pPr>
            <w:r w:rsidRPr="000E7478">
              <w:rPr>
                <w:rFonts w:eastAsia="Calibri"/>
                <w:sz w:val="18"/>
                <w:szCs w:val="18"/>
                <w:lang w:eastAsia="en-US"/>
              </w:rPr>
              <w:t>0.5 ml/2.5 cm x 2.5 cm</w:t>
            </w:r>
            <w:r w:rsidRPr="000E7478">
              <w:rPr>
                <w:rFonts w:eastAsia="Calibri"/>
                <w:color w:val="000000"/>
                <w:sz w:val="18"/>
                <w:szCs w:val="18"/>
                <w:lang w:eastAsia="en-GB"/>
              </w:rPr>
              <w:t xml:space="preserve"> </w:t>
            </w:r>
          </w:p>
          <w:p w14:paraId="73164DC8" w14:textId="77777777" w:rsidR="00F10CBA" w:rsidRPr="000E7478" w:rsidRDefault="00F10CBA" w:rsidP="00F10CBA">
            <w:pPr>
              <w:keepNext/>
              <w:widowControl w:val="0"/>
              <w:tabs>
                <w:tab w:val="center" w:pos="4536"/>
                <w:tab w:val="right" w:pos="9072"/>
              </w:tabs>
              <w:spacing w:line="276" w:lineRule="auto"/>
              <w:rPr>
                <w:rFonts w:eastAsia="Calibri"/>
                <w:color w:val="000000"/>
                <w:sz w:val="18"/>
                <w:szCs w:val="18"/>
                <w:lang w:eastAsia="en-GB"/>
              </w:rPr>
            </w:pPr>
            <w:r w:rsidRPr="000E7478">
              <w:rPr>
                <w:rFonts w:eastAsia="Calibri"/>
                <w:color w:val="000000"/>
                <w:sz w:val="18"/>
                <w:szCs w:val="18"/>
                <w:lang w:eastAsia="en-GB"/>
              </w:rPr>
              <w:t>4h</w:t>
            </w:r>
          </w:p>
          <w:p w14:paraId="60C3DCBF" w14:textId="77777777" w:rsidR="00F10CBA" w:rsidRPr="000E7478" w:rsidRDefault="00F10CBA" w:rsidP="00F10CBA">
            <w:pPr>
              <w:pStyle w:val="Standaard-Tabellen"/>
              <w:rPr>
                <w:rFonts w:eastAsia="Calibri"/>
                <w:szCs w:val="18"/>
              </w:rPr>
            </w:pPr>
          </w:p>
        </w:tc>
        <w:tc>
          <w:tcPr>
            <w:tcW w:w="1068" w:type="pct"/>
            <w:shd w:val="clear" w:color="auto" w:fill="auto"/>
          </w:tcPr>
          <w:p w14:paraId="22038A84" w14:textId="77777777" w:rsidR="00F10CBA" w:rsidRPr="00756E6D" w:rsidRDefault="00F10CBA" w:rsidP="00F10CBA">
            <w:pPr>
              <w:rPr>
                <w:rFonts w:eastAsia="Calibri"/>
                <w:sz w:val="18"/>
                <w:szCs w:val="18"/>
                <w:lang w:val="en-US" w:eastAsia="en-US"/>
              </w:rPr>
            </w:pPr>
            <w:r w:rsidRPr="00756E6D">
              <w:rPr>
                <w:rFonts w:eastAsia="Calibri"/>
                <w:sz w:val="18"/>
                <w:szCs w:val="18"/>
                <w:lang w:val="en-US" w:eastAsia="en-US"/>
              </w:rPr>
              <w:t xml:space="preserve">Erythema: </w:t>
            </w:r>
          </w:p>
          <w:p w14:paraId="7CE5A033" w14:textId="77777777" w:rsidR="00F10CBA" w:rsidRPr="00756E6D" w:rsidRDefault="00F10CBA" w:rsidP="00F10CBA">
            <w:pPr>
              <w:rPr>
                <w:rFonts w:eastAsia="Calibri"/>
                <w:sz w:val="18"/>
                <w:szCs w:val="18"/>
                <w:lang w:val="en-US" w:eastAsia="en-US"/>
              </w:rPr>
            </w:pPr>
            <w:r w:rsidRPr="00756E6D">
              <w:rPr>
                <w:rFonts w:eastAsia="Calibri"/>
                <w:sz w:val="18"/>
                <w:szCs w:val="18"/>
                <w:lang w:val="en-US" w:eastAsia="en-US"/>
              </w:rPr>
              <w:t>Animal 1: 1.0</w:t>
            </w:r>
          </w:p>
          <w:p w14:paraId="103FB1DA" w14:textId="77777777" w:rsidR="00F10CBA" w:rsidRPr="00756E6D" w:rsidRDefault="00F10CBA" w:rsidP="00F10CBA">
            <w:pPr>
              <w:rPr>
                <w:rFonts w:eastAsia="Calibri"/>
                <w:sz w:val="18"/>
                <w:szCs w:val="18"/>
                <w:lang w:val="en-US" w:eastAsia="en-US"/>
              </w:rPr>
            </w:pPr>
            <w:r w:rsidRPr="00756E6D">
              <w:rPr>
                <w:rFonts w:eastAsia="Calibri"/>
                <w:sz w:val="18"/>
                <w:szCs w:val="18"/>
                <w:lang w:val="en-US" w:eastAsia="en-US"/>
              </w:rPr>
              <w:t>Animal 2: 1.0</w:t>
            </w:r>
          </w:p>
          <w:p w14:paraId="7696AC44" w14:textId="77777777" w:rsidR="00F10CBA" w:rsidRPr="00756E6D" w:rsidRDefault="00F10CBA" w:rsidP="00F10CBA">
            <w:pPr>
              <w:rPr>
                <w:rFonts w:eastAsia="Calibri"/>
                <w:sz w:val="18"/>
                <w:szCs w:val="18"/>
                <w:lang w:val="en-US" w:eastAsia="en-US"/>
              </w:rPr>
            </w:pPr>
            <w:r w:rsidRPr="00756E6D">
              <w:rPr>
                <w:rFonts w:eastAsia="Calibri"/>
                <w:sz w:val="18"/>
                <w:szCs w:val="18"/>
                <w:lang w:val="en-US" w:eastAsia="en-US"/>
              </w:rPr>
              <w:t>Animal 3: 1.0</w:t>
            </w:r>
          </w:p>
          <w:p w14:paraId="0D5BB620" w14:textId="77777777" w:rsidR="00F10CBA" w:rsidRPr="00756E6D" w:rsidRDefault="00F10CBA" w:rsidP="00F10CBA">
            <w:pPr>
              <w:rPr>
                <w:rFonts w:eastAsia="Calibri"/>
                <w:sz w:val="18"/>
                <w:szCs w:val="18"/>
                <w:lang w:val="en-US" w:eastAsia="en-US"/>
              </w:rPr>
            </w:pPr>
            <w:r w:rsidRPr="00756E6D">
              <w:rPr>
                <w:rFonts w:eastAsia="Calibri"/>
                <w:sz w:val="18"/>
                <w:szCs w:val="18"/>
                <w:lang w:val="en-US" w:eastAsia="en-US"/>
              </w:rPr>
              <w:t xml:space="preserve">Edema: </w:t>
            </w:r>
          </w:p>
          <w:p w14:paraId="1266A233" w14:textId="77777777" w:rsidR="00F10CBA" w:rsidRPr="00756E6D" w:rsidRDefault="00F10CBA" w:rsidP="00F10CBA">
            <w:pPr>
              <w:rPr>
                <w:rFonts w:eastAsia="Calibri"/>
                <w:sz w:val="18"/>
                <w:szCs w:val="18"/>
                <w:lang w:val="en-US" w:eastAsia="en-US"/>
              </w:rPr>
            </w:pPr>
            <w:r w:rsidRPr="00756E6D">
              <w:rPr>
                <w:rFonts w:eastAsia="Calibri"/>
                <w:sz w:val="18"/>
                <w:szCs w:val="18"/>
                <w:lang w:val="en-US" w:eastAsia="en-US"/>
              </w:rPr>
              <w:t>Animal 1: 0.33</w:t>
            </w:r>
          </w:p>
          <w:p w14:paraId="06693754" w14:textId="77777777" w:rsidR="00F10CBA" w:rsidRPr="00F04ED4" w:rsidRDefault="00F10CBA" w:rsidP="00F10CBA">
            <w:pPr>
              <w:rPr>
                <w:rFonts w:eastAsia="Calibri"/>
                <w:sz w:val="18"/>
                <w:szCs w:val="18"/>
                <w:lang w:val="en-US" w:eastAsia="en-US"/>
              </w:rPr>
            </w:pPr>
            <w:r w:rsidRPr="00F04ED4">
              <w:rPr>
                <w:rFonts w:eastAsia="Calibri"/>
                <w:sz w:val="18"/>
                <w:szCs w:val="18"/>
                <w:lang w:val="en-US" w:eastAsia="en-US"/>
              </w:rPr>
              <w:t>Animal 2: 0.0</w:t>
            </w:r>
          </w:p>
          <w:p w14:paraId="0D7C38DB" w14:textId="77777777" w:rsidR="00F10CBA" w:rsidRPr="00F04ED4" w:rsidRDefault="00F10CBA" w:rsidP="00F10CBA">
            <w:pPr>
              <w:spacing w:line="260" w:lineRule="atLeast"/>
              <w:rPr>
                <w:rFonts w:eastAsia="Calibri"/>
                <w:sz w:val="18"/>
                <w:szCs w:val="18"/>
                <w:lang w:val="en-US" w:eastAsia="en-US"/>
              </w:rPr>
            </w:pPr>
            <w:r w:rsidRPr="00F04ED4">
              <w:rPr>
                <w:rFonts w:eastAsia="Calibri"/>
                <w:sz w:val="18"/>
                <w:szCs w:val="18"/>
                <w:lang w:val="en-US" w:eastAsia="en-US"/>
              </w:rPr>
              <w:t>Animal 3: 0.33</w:t>
            </w:r>
          </w:p>
          <w:p w14:paraId="719DEAE5" w14:textId="77777777" w:rsidR="00F10CBA" w:rsidRPr="000E7478" w:rsidRDefault="00F10CBA" w:rsidP="00F10CBA">
            <w:pPr>
              <w:spacing w:line="260" w:lineRule="atLeast"/>
              <w:rPr>
                <w:rFonts w:eastAsia="Calibri"/>
                <w:sz w:val="18"/>
                <w:szCs w:val="18"/>
                <w:lang w:eastAsia="en-US"/>
              </w:rPr>
            </w:pPr>
            <w:r w:rsidRPr="000E7478">
              <w:rPr>
                <w:rFonts w:eastAsia="Calibri"/>
                <w:sz w:val="18"/>
                <w:szCs w:val="18"/>
                <w:lang w:eastAsia="en-US"/>
              </w:rPr>
              <w:t xml:space="preserve">Max score erythema 1, earliest onset 0.5-1h; max score </w:t>
            </w:r>
            <w:proofErr w:type="spellStart"/>
            <w:r w:rsidRPr="000E7478">
              <w:rPr>
                <w:rFonts w:eastAsia="Calibri"/>
                <w:sz w:val="18"/>
                <w:szCs w:val="18"/>
                <w:lang w:eastAsia="en-US"/>
              </w:rPr>
              <w:t>edema</w:t>
            </w:r>
            <w:proofErr w:type="spellEnd"/>
            <w:r w:rsidRPr="000E7478">
              <w:rPr>
                <w:rFonts w:eastAsia="Calibri"/>
                <w:sz w:val="18"/>
                <w:szCs w:val="18"/>
                <w:lang w:eastAsia="en-US"/>
              </w:rPr>
              <w:t xml:space="preserve"> 1, earliest onset 0.5-1h. V</w:t>
            </w:r>
            <w:r w:rsidRPr="000E7478">
              <w:rPr>
                <w:iCs/>
                <w:sz w:val="18"/>
                <w:szCs w:val="18"/>
              </w:rPr>
              <w:t xml:space="preserve">ery slight erythema </w:t>
            </w:r>
            <w:r w:rsidRPr="000E7478">
              <w:rPr>
                <w:iCs/>
                <w:sz w:val="18"/>
                <w:szCs w:val="18"/>
              </w:rPr>
              <w:lastRenderedPageBreak/>
              <w:t>and/or desquamation persisted through study termination (day 14) for 2 animals.</w:t>
            </w:r>
          </w:p>
          <w:p w14:paraId="09EA6E71" w14:textId="52493C04" w:rsidR="00F10CBA" w:rsidRPr="000E7478" w:rsidRDefault="00F10CBA" w:rsidP="00F10CBA">
            <w:pPr>
              <w:pStyle w:val="Standaard-Tabellen"/>
              <w:rPr>
                <w:rFonts w:eastAsia="Calibri"/>
                <w:szCs w:val="18"/>
              </w:rPr>
            </w:pPr>
            <w:r w:rsidRPr="000E7478">
              <w:rPr>
                <w:rFonts w:eastAsia="Calibri"/>
                <w:szCs w:val="18"/>
                <w:lang w:eastAsia="en-US"/>
              </w:rPr>
              <w:t xml:space="preserve">No deaths, no remarkable </w:t>
            </w:r>
            <w:proofErr w:type="spellStart"/>
            <w:r w:rsidRPr="000E7478">
              <w:rPr>
                <w:rFonts w:eastAsia="Calibri"/>
                <w:szCs w:val="18"/>
                <w:lang w:eastAsia="en-US"/>
              </w:rPr>
              <w:t>bw</w:t>
            </w:r>
            <w:proofErr w:type="spellEnd"/>
            <w:r w:rsidRPr="000E7478">
              <w:rPr>
                <w:rFonts w:eastAsia="Calibri"/>
                <w:szCs w:val="18"/>
                <w:lang w:eastAsia="en-US"/>
              </w:rPr>
              <w:t xml:space="preserve"> changes</w:t>
            </w:r>
          </w:p>
        </w:tc>
        <w:tc>
          <w:tcPr>
            <w:tcW w:w="840" w:type="pct"/>
          </w:tcPr>
          <w:p w14:paraId="019BA678" w14:textId="1C466F34" w:rsidR="00F10CBA" w:rsidRPr="00F10CBA" w:rsidRDefault="00F10CBA" w:rsidP="00F10CBA">
            <w:pPr>
              <w:pStyle w:val="Standaard-Tabellen"/>
              <w:rPr>
                <w:rFonts w:eastAsia="Calibri"/>
                <w:szCs w:val="18"/>
              </w:rPr>
            </w:pPr>
            <w:r w:rsidRPr="00F10CBA">
              <w:rPr>
                <w:rFonts w:eastAsia="Calibri"/>
                <w:szCs w:val="18"/>
                <w:lang w:eastAsia="en-US"/>
              </w:rPr>
              <w:lastRenderedPageBreak/>
              <w:t>Identity of test material slightly different from BP:</w:t>
            </w:r>
            <w:r w:rsidRPr="00F10CBA">
              <w:rPr>
                <w:rFonts w:eastAsia="Calibri"/>
                <w:color w:val="000000"/>
                <w:szCs w:val="18"/>
              </w:rPr>
              <w:t xml:space="preserve"> buffers added (1% in total) and omission of preservatives (1% in total)</w:t>
            </w:r>
          </w:p>
        </w:tc>
        <w:tc>
          <w:tcPr>
            <w:tcW w:w="658" w:type="pct"/>
            <w:shd w:val="clear" w:color="auto" w:fill="auto"/>
          </w:tcPr>
          <w:p w14:paraId="4B4DECA9" w14:textId="098FAD42" w:rsidR="00F10CBA" w:rsidRPr="000E7478" w:rsidRDefault="00F10CBA" w:rsidP="00F10CBA">
            <w:pPr>
              <w:pStyle w:val="Standaard-Tabellen"/>
              <w:rPr>
                <w:rFonts w:eastAsia="Calibri"/>
                <w:szCs w:val="18"/>
              </w:rPr>
            </w:pPr>
            <w:proofErr w:type="spellStart"/>
            <w:r w:rsidRPr="00BF5148">
              <w:rPr>
                <w:rFonts w:eastAsia="Calibri"/>
                <w:szCs w:val="18"/>
                <w:highlight w:val="black"/>
                <w:lang w:eastAsia="en-US"/>
              </w:rPr>
              <w:t>Hurley,J.M</w:t>
            </w:r>
            <w:proofErr w:type="spellEnd"/>
            <w:r w:rsidRPr="00BF5148">
              <w:rPr>
                <w:rFonts w:eastAsia="Calibri"/>
                <w:szCs w:val="18"/>
                <w:highlight w:val="black"/>
                <w:lang w:eastAsia="en-US"/>
              </w:rPr>
              <w:t>.</w:t>
            </w:r>
            <w:r w:rsidRPr="000E7478">
              <w:rPr>
                <w:rFonts w:eastAsia="Calibri"/>
                <w:szCs w:val="18"/>
                <w:lang w:eastAsia="en-US"/>
              </w:rPr>
              <w:t xml:space="preserve"> 2006 (a)</w:t>
            </w:r>
          </w:p>
        </w:tc>
      </w:tr>
    </w:tbl>
    <w:p w14:paraId="5E17FF6A" w14:textId="77777777" w:rsidR="00DF4781" w:rsidRDefault="00DF4781" w:rsidP="00DF4781">
      <w:pPr>
        <w:rPr>
          <w:rFonts w:eastAsia="Calibri"/>
          <w:lang w:eastAsia="en-US"/>
        </w:rPr>
      </w:pPr>
    </w:p>
    <w:tbl>
      <w:tblPr>
        <w:tblW w:w="0" w:type="auto"/>
        <w:tblLook w:val="04A0" w:firstRow="1" w:lastRow="0" w:firstColumn="1" w:lastColumn="0" w:noHBand="0" w:noVBand="1"/>
      </w:tblPr>
      <w:tblGrid>
        <w:gridCol w:w="14334"/>
      </w:tblGrid>
      <w:tr w:rsidR="007169B4" w:rsidRPr="00D63744" w14:paraId="138F33DC" w14:textId="77777777" w:rsidTr="00702526">
        <w:tc>
          <w:tcPr>
            <w:tcW w:w="14334" w:type="dxa"/>
            <w:shd w:val="clear" w:color="auto" w:fill="FFFFCC"/>
          </w:tcPr>
          <w:p w14:paraId="59AE6CC2" w14:textId="77777777" w:rsidR="007169B4" w:rsidRPr="00D63744" w:rsidRDefault="007169B4" w:rsidP="00702526">
            <w:pPr>
              <w:pStyle w:val="Standaard-Tabellen"/>
              <w:jc w:val="center"/>
              <w:rPr>
                <w:b/>
              </w:rPr>
            </w:pPr>
            <w:r>
              <w:rPr>
                <w:b/>
              </w:rPr>
              <w:t>I</w:t>
            </w:r>
            <w:r w:rsidRPr="00D63744">
              <w:rPr>
                <w:b/>
              </w:rPr>
              <w:t xml:space="preserve">ndividual and mean dermal scores for </w:t>
            </w:r>
            <w:r>
              <w:rPr>
                <w:b/>
              </w:rPr>
              <w:t xml:space="preserve">erythema and </w:t>
            </w:r>
            <w:proofErr w:type="spellStart"/>
            <w:r>
              <w:rPr>
                <w:b/>
              </w:rPr>
              <w:t>edema</w:t>
            </w:r>
            <w:proofErr w:type="spellEnd"/>
            <w:r>
              <w:rPr>
                <w:b/>
              </w:rPr>
              <w:t xml:space="preserve"> (</w:t>
            </w:r>
            <w:r w:rsidRPr="00BF5148">
              <w:rPr>
                <w:b/>
                <w:highlight w:val="black"/>
              </w:rPr>
              <w:t>Hurley, J.M.,</w:t>
            </w:r>
            <w:r>
              <w:rPr>
                <w:b/>
              </w:rPr>
              <w:t xml:space="preserve"> 2006 (a))</w:t>
            </w:r>
          </w:p>
        </w:tc>
      </w:tr>
      <w:tr w:rsidR="007169B4" w14:paraId="61C9B4A2" w14:textId="77777777" w:rsidTr="00702526">
        <w:tc>
          <w:tcPr>
            <w:tcW w:w="14334" w:type="dxa"/>
          </w:tcPr>
          <w:p w14:paraId="77C5292E" w14:textId="77777777" w:rsidR="007169B4" w:rsidRDefault="007169B4" w:rsidP="00702526">
            <w:pPr>
              <w:pStyle w:val="Standaard-Tabellen"/>
              <w:rPr>
                <w:highlight w:val="yellow"/>
              </w:rPr>
            </w:pPr>
            <w:r>
              <w:rPr>
                <w:rFonts w:eastAsia="Calibri"/>
                <w:noProof/>
                <w:lang w:val="nl-NL" w:eastAsia="nl-NL"/>
              </w:rPr>
              <w:drawing>
                <wp:inline distT="0" distB="0" distL="0" distR="0" wp14:anchorId="2D215428" wp14:editId="72A63FF8">
                  <wp:extent cx="5848350" cy="2047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48350" cy="2047875"/>
                          </a:xfrm>
                          <a:prstGeom prst="rect">
                            <a:avLst/>
                          </a:prstGeom>
                          <a:noFill/>
                          <a:ln>
                            <a:noFill/>
                          </a:ln>
                        </pic:spPr>
                      </pic:pic>
                    </a:graphicData>
                  </a:graphic>
                </wp:inline>
              </w:drawing>
            </w:r>
          </w:p>
        </w:tc>
      </w:tr>
    </w:tbl>
    <w:p w14:paraId="12238C7C" w14:textId="77777777" w:rsidR="007169B4" w:rsidRDefault="007169B4" w:rsidP="00DF4781">
      <w:pPr>
        <w:rPr>
          <w:rFonts w:eastAsia="Calibri"/>
          <w:lang w:eastAsia="en-US"/>
        </w:rPr>
      </w:pPr>
    </w:p>
    <w:p w14:paraId="1607A991" w14:textId="77777777" w:rsidR="00F10CBA" w:rsidRPr="000E7478" w:rsidRDefault="00F10CBA" w:rsidP="00F10CBA">
      <w:r w:rsidRPr="000E7478">
        <w:t xml:space="preserve">There were no deaths or remarkable body weight changes noted during the study. Dermal findings consisted of very slight erythema and/or </w:t>
      </w:r>
      <w:proofErr w:type="spellStart"/>
      <w:r w:rsidRPr="000E7478">
        <w:t>edema</w:t>
      </w:r>
      <w:proofErr w:type="spellEnd"/>
      <w:r w:rsidRPr="000E7478">
        <w:t xml:space="preserve"> for all animals. Desquamation was noted for one female rabbit on study day 7 and day 14. Very slight erythema and/or desquamation persisted through study termination (day 14).</w:t>
      </w:r>
    </w:p>
    <w:p w14:paraId="3F00E3C9" w14:textId="77777777" w:rsidR="00F10CBA" w:rsidRDefault="00F10CBA" w:rsidP="00F10CBA">
      <w:pPr>
        <w:rPr>
          <w:i/>
        </w:rPr>
      </w:pPr>
      <w:r>
        <w:t xml:space="preserve">The mean scores determined for erythema (1.0) and </w:t>
      </w:r>
      <w:proofErr w:type="spellStart"/>
      <w:r>
        <w:t>edema</w:t>
      </w:r>
      <w:proofErr w:type="spellEnd"/>
      <w:r>
        <w:t xml:space="preserve"> (0.22) do not require a classification according to the EU and GHS classification and labelling system. </w:t>
      </w:r>
    </w:p>
    <w:p w14:paraId="202F7422" w14:textId="3358DB6B" w:rsidR="00F10CBA" w:rsidRDefault="00F10CBA" w:rsidP="00F10CBA">
      <w:r>
        <w:t xml:space="preserve">Although erythema grade 1 (very slight erythema, barely perceptible, area of edges not well defined) persisted in two out of three animals with one animal therefrom showing desquamation until the end of the 14-day post-observation period, a classification as a potential skin irritant is not required. According to EU Directive 2001/59/EC or Regulation (EC) No. 1272/2008 (CLP), a classification as a skin irritant should be considered when </w:t>
      </w:r>
      <w:r>
        <w:rPr>
          <w:rFonts w:eastAsia="SimSun"/>
          <w:lang w:eastAsia="zh-CN"/>
        </w:rPr>
        <w:t>hyperplasia, hyperkeratosis, scaling, discoloration, fissures, scabs or alopecia</w:t>
      </w:r>
      <w:r>
        <w:t xml:space="preserve"> persist in two or more animals at the end of the observation period which has not been observed in the skin irritation study with the </w:t>
      </w:r>
      <w:r w:rsidRPr="00393183">
        <w:t>US Lotion Formulation</w:t>
      </w:r>
      <w:r>
        <w:t>.</w:t>
      </w:r>
    </w:p>
    <w:p w14:paraId="72E6681E" w14:textId="58A8BE8F" w:rsidR="008204E5" w:rsidRDefault="008204E5" w:rsidP="00F10CBA"/>
    <w:p w14:paraId="5CA3653D" w14:textId="787851FE" w:rsidR="008204E5" w:rsidRPr="004B7BBD" w:rsidRDefault="004B7BBD" w:rsidP="00F10CBA">
      <w:pPr>
        <w:rPr>
          <w:i/>
        </w:rPr>
      </w:pPr>
      <w:r w:rsidRPr="000D2F1A">
        <w:rPr>
          <w:i/>
        </w:rPr>
        <w:t xml:space="preserve">Note: Though the conclusions drawn from this test report were questioned during the RCOM phase for the BP under evaluation, it was agreed that the non-classification of the BP could be maintained.  Please see the confidential annex </w:t>
      </w:r>
      <w:r w:rsidR="00DC22E2" w:rsidRPr="000D2F1A">
        <w:rPr>
          <w:i/>
        </w:rPr>
        <w:t xml:space="preserve">section 2.4 </w:t>
      </w:r>
      <w:r w:rsidRPr="000D2F1A">
        <w:rPr>
          <w:i/>
        </w:rPr>
        <w:t>for details.</w:t>
      </w:r>
    </w:p>
    <w:p w14:paraId="5786F539" w14:textId="77777777" w:rsidR="00F10CBA" w:rsidRDefault="00F10CBA" w:rsidP="00F10CBA"/>
    <w:p w14:paraId="36CF6108" w14:textId="77777777" w:rsidR="007169B4" w:rsidRPr="000E7478" w:rsidRDefault="007169B4" w:rsidP="007169B4">
      <w:pPr>
        <w:rPr>
          <w:rFonts w:eastAsia="Calibri"/>
          <w:lang w:val="en-US" w:eastAsia="en-US"/>
        </w:rPr>
      </w:pPr>
      <w:r>
        <w:rPr>
          <w:rFonts w:eastAsia="Calibri"/>
          <w:iCs/>
          <w:lang w:eastAsia="en-US"/>
        </w:rPr>
        <w:lastRenderedPageBreak/>
        <w:t xml:space="preserve">No </w:t>
      </w:r>
      <w:r>
        <w:rPr>
          <w:rFonts w:eastAsia="Calibri"/>
          <w:i/>
          <w:iCs/>
          <w:lang w:eastAsia="en-US"/>
        </w:rPr>
        <w:t>in vitro</w:t>
      </w:r>
      <w:r>
        <w:rPr>
          <w:rFonts w:eastAsia="Calibri"/>
          <w:iCs/>
          <w:lang w:eastAsia="en-US"/>
        </w:rPr>
        <w:t xml:space="preserve"> or human data are available for skin corrosion/irritation.</w:t>
      </w:r>
    </w:p>
    <w:p w14:paraId="4CCA2DDF" w14:textId="77777777" w:rsidR="007169B4" w:rsidRPr="00BD2EF1" w:rsidRDefault="007169B4" w:rsidP="00DF4781">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884"/>
        <w:gridCol w:w="10447"/>
      </w:tblGrid>
      <w:tr w:rsidR="00DF4781" w:rsidRPr="00BD2EF1" w14:paraId="7B499782" w14:textId="77777777" w:rsidTr="00C76EAE">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34EA62C" w14:textId="77777777" w:rsidR="00DF4781" w:rsidRPr="00BD2EF1" w:rsidRDefault="00DF4781" w:rsidP="00DF4781">
            <w:pPr>
              <w:rPr>
                <w:rFonts w:eastAsia="Calibri"/>
                <w:b/>
                <w:lang w:eastAsia="en-US"/>
              </w:rPr>
            </w:pPr>
            <w:r w:rsidRPr="00BD2EF1">
              <w:rPr>
                <w:rFonts w:eastAsia="Calibri"/>
                <w:b/>
                <w:lang w:eastAsia="en-US"/>
              </w:rPr>
              <w:t>Conclusion used in Risk Assessment – Skin corrosion and irritation</w:t>
            </w:r>
          </w:p>
        </w:tc>
      </w:tr>
      <w:tr w:rsidR="007169B4" w:rsidRPr="00BD2EF1" w14:paraId="70789DCC" w14:textId="77777777" w:rsidTr="00C76EAE">
        <w:trPr>
          <w:trHeight w:val="298"/>
        </w:trPr>
        <w:tc>
          <w:tcPr>
            <w:tcW w:w="1355" w:type="pct"/>
            <w:tcBorders>
              <w:top w:val="single" w:sz="6" w:space="0" w:color="auto"/>
              <w:left w:val="single" w:sz="4" w:space="0" w:color="auto"/>
              <w:bottom w:val="single" w:sz="6" w:space="0" w:color="auto"/>
              <w:right w:val="single" w:sz="6" w:space="0" w:color="auto"/>
            </w:tcBorders>
            <w:shd w:val="clear" w:color="auto" w:fill="auto"/>
          </w:tcPr>
          <w:p w14:paraId="514658E7" w14:textId="77777777" w:rsidR="007169B4" w:rsidRPr="00BD2EF1" w:rsidRDefault="007169B4" w:rsidP="007169B4">
            <w:pPr>
              <w:rPr>
                <w:rFonts w:eastAsia="Calibri"/>
                <w:lang w:eastAsia="en-US"/>
              </w:rPr>
            </w:pPr>
            <w:r w:rsidRPr="00BD2EF1">
              <w:rPr>
                <w:rFonts w:eastAsia="Calibri"/>
                <w:lang w:eastAsia="en-US"/>
              </w:rPr>
              <w:t>Value/conclusion</w:t>
            </w:r>
          </w:p>
        </w:tc>
        <w:tc>
          <w:tcPr>
            <w:tcW w:w="3645" w:type="pct"/>
            <w:tcBorders>
              <w:top w:val="single" w:sz="6" w:space="0" w:color="auto"/>
              <w:left w:val="single" w:sz="6" w:space="0" w:color="auto"/>
              <w:bottom w:val="single" w:sz="6" w:space="0" w:color="auto"/>
              <w:right w:val="single" w:sz="6" w:space="0" w:color="auto"/>
            </w:tcBorders>
          </w:tcPr>
          <w:p w14:paraId="12CD7E72" w14:textId="77777777" w:rsidR="007169B4" w:rsidRPr="00BD2EF1" w:rsidRDefault="007169B4" w:rsidP="007169B4">
            <w:pPr>
              <w:rPr>
                <w:rFonts w:eastAsia="Calibri"/>
                <w:lang w:eastAsia="en-US"/>
              </w:rPr>
            </w:pPr>
            <w:r>
              <w:rPr>
                <w:rFonts w:eastAsia="Calibri"/>
                <w:lang w:eastAsia="en-US"/>
              </w:rPr>
              <w:t>Biocidal product not classified for skin corrosion/irritation according to (EU) nr. 1272/2008</w:t>
            </w:r>
          </w:p>
        </w:tc>
      </w:tr>
      <w:tr w:rsidR="007169B4" w:rsidRPr="00BD2EF1" w14:paraId="3E6B5E46" w14:textId="77777777" w:rsidTr="00C76EAE">
        <w:tc>
          <w:tcPr>
            <w:tcW w:w="1355" w:type="pct"/>
            <w:tcBorders>
              <w:top w:val="single" w:sz="6" w:space="0" w:color="auto"/>
              <w:left w:val="single" w:sz="4" w:space="0" w:color="auto"/>
              <w:bottom w:val="single" w:sz="6" w:space="0" w:color="auto"/>
              <w:right w:val="single" w:sz="6" w:space="0" w:color="auto"/>
            </w:tcBorders>
            <w:shd w:val="clear" w:color="auto" w:fill="auto"/>
          </w:tcPr>
          <w:p w14:paraId="5E4A98C3" w14:textId="77777777" w:rsidR="007169B4" w:rsidRPr="00BD2EF1" w:rsidRDefault="007169B4" w:rsidP="007169B4">
            <w:pPr>
              <w:rPr>
                <w:rFonts w:eastAsia="Calibri"/>
                <w:lang w:eastAsia="en-US"/>
              </w:rPr>
            </w:pPr>
            <w:r w:rsidRPr="00BD2EF1">
              <w:rPr>
                <w:rFonts w:eastAsia="Calibri"/>
                <w:lang w:eastAsia="en-US"/>
              </w:rPr>
              <w:t>Justification for the value/conclusion</w:t>
            </w:r>
          </w:p>
        </w:tc>
        <w:tc>
          <w:tcPr>
            <w:tcW w:w="3645" w:type="pct"/>
            <w:tcBorders>
              <w:top w:val="single" w:sz="6" w:space="0" w:color="auto"/>
              <w:left w:val="single" w:sz="6" w:space="0" w:color="auto"/>
              <w:bottom w:val="single" w:sz="6" w:space="0" w:color="auto"/>
              <w:right w:val="single" w:sz="6" w:space="0" w:color="auto"/>
            </w:tcBorders>
          </w:tcPr>
          <w:p w14:paraId="4BA90BFA" w14:textId="77777777" w:rsidR="007169B4" w:rsidRPr="000D2F1A" w:rsidRDefault="007169B4" w:rsidP="007169B4">
            <w:pPr>
              <w:rPr>
                <w:rFonts w:eastAsia="Calibri"/>
                <w:lang w:eastAsia="en-US"/>
              </w:rPr>
            </w:pPr>
            <w:r>
              <w:rPr>
                <w:rFonts w:eastAsia="Calibri"/>
                <w:lang w:eastAsia="en-US"/>
              </w:rPr>
              <w:t xml:space="preserve">Mean scores for erythema and </w:t>
            </w:r>
            <w:proofErr w:type="spellStart"/>
            <w:r>
              <w:rPr>
                <w:rFonts w:eastAsia="Calibri"/>
                <w:lang w:eastAsia="en-US"/>
              </w:rPr>
              <w:t>edema</w:t>
            </w:r>
            <w:proofErr w:type="spellEnd"/>
            <w:r>
              <w:rPr>
                <w:rFonts w:eastAsia="Calibri"/>
                <w:lang w:eastAsia="en-US"/>
              </w:rPr>
              <w:t xml:space="preserve"> do not trigger a classification. Severity of skin reactions that </w:t>
            </w:r>
            <w:r w:rsidRPr="000D2F1A">
              <w:rPr>
                <w:rFonts w:eastAsia="Calibri"/>
                <w:lang w:eastAsia="en-US"/>
              </w:rPr>
              <w:t>persisted to the end of the observation period was limited (erythema grade 1).</w:t>
            </w:r>
          </w:p>
          <w:p w14:paraId="6ED36234" w14:textId="1876C91C" w:rsidR="003F2970" w:rsidRPr="00BD2EF1" w:rsidRDefault="003F2970" w:rsidP="007169B4">
            <w:pPr>
              <w:rPr>
                <w:rFonts w:eastAsia="Calibri"/>
                <w:lang w:eastAsia="en-US"/>
              </w:rPr>
            </w:pPr>
            <w:r w:rsidRPr="000D2F1A">
              <w:rPr>
                <w:rFonts w:eastAsia="Calibri"/>
                <w:lang w:eastAsia="en-US"/>
              </w:rPr>
              <w:t>BP under evaluation does not include skin irritating co-formulants. According to the calculation method the biocidal product is not classified as skin irritating.</w:t>
            </w:r>
          </w:p>
        </w:tc>
      </w:tr>
      <w:tr w:rsidR="007169B4" w:rsidRPr="00BD2EF1" w14:paraId="3BE8729E" w14:textId="77777777" w:rsidTr="00C76EAE">
        <w:tc>
          <w:tcPr>
            <w:tcW w:w="1355" w:type="pct"/>
            <w:tcBorders>
              <w:top w:val="single" w:sz="6" w:space="0" w:color="auto"/>
              <w:left w:val="single" w:sz="4" w:space="0" w:color="auto"/>
              <w:bottom w:val="single" w:sz="6" w:space="0" w:color="auto"/>
              <w:right w:val="single" w:sz="6" w:space="0" w:color="auto"/>
            </w:tcBorders>
            <w:shd w:val="clear" w:color="auto" w:fill="auto"/>
          </w:tcPr>
          <w:p w14:paraId="380C8729" w14:textId="77777777" w:rsidR="007169B4" w:rsidRPr="00BD2EF1" w:rsidRDefault="007169B4" w:rsidP="007169B4">
            <w:pPr>
              <w:rPr>
                <w:rFonts w:eastAsia="Calibri"/>
                <w:lang w:eastAsia="en-US"/>
              </w:rPr>
            </w:pPr>
            <w:r w:rsidRPr="00BD2EF1">
              <w:rPr>
                <w:rFonts w:eastAsia="Calibri"/>
                <w:lang w:eastAsia="en-US"/>
              </w:rPr>
              <w:t>Classification of the product according to CLP and DSD</w:t>
            </w:r>
          </w:p>
        </w:tc>
        <w:tc>
          <w:tcPr>
            <w:tcW w:w="3645" w:type="pct"/>
            <w:tcBorders>
              <w:top w:val="single" w:sz="6" w:space="0" w:color="auto"/>
              <w:left w:val="single" w:sz="6" w:space="0" w:color="auto"/>
              <w:bottom w:val="single" w:sz="6" w:space="0" w:color="auto"/>
              <w:right w:val="single" w:sz="6" w:space="0" w:color="auto"/>
            </w:tcBorders>
          </w:tcPr>
          <w:p w14:paraId="53AA00AB" w14:textId="77777777" w:rsidR="007169B4" w:rsidRPr="00BD2EF1" w:rsidRDefault="007169B4" w:rsidP="007169B4">
            <w:pPr>
              <w:rPr>
                <w:rFonts w:eastAsia="Calibri"/>
                <w:lang w:eastAsia="en-US"/>
              </w:rPr>
            </w:pPr>
            <w:r>
              <w:rPr>
                <w:rFonts w:eastAsia="Calibri"/>
                <w:lang w:eastAsia="en-US"/>
              </w:rPr>
              <w:t>none</w:t>
            </w:r>
          </w:p>
        </w:tc>
      </w:tr>
    </w:tbl>
    <w:p w14:paraId="5F81F0B6" w14:textId="77777777" w:rsidR="007169B4" w:rsidRDefault="007169B4">
      <w:pPr>
        <w:spacing w:before="0" w:after="160" w:line="259" w:lineRule="auto"/>
        <w:rPr>
          <w:rFonts w:eastAsia="Calibri"/>
          <w:lang w:eastAsia="en-US"/>
        </w:rPr>
      </w:pPr>
    </w:p>
    <w:p w14:paraId="16FC63BD" w14:textId="77777777" w:rsidR="0015701C" w:rsidRPr="00BD2EF1" w:rsidRDefault="00DF4781" w:rsidP="007E5F71">
      <w:pPr>
        <w:pStyle w:val="Titre5"/>
        <w:numPr>
          <w:ilvl w:val="0"/>
          <w:numId w:val="14"/>
        </w:numPr>
      </w:pPr>
      <w:bookmarkStart w:id="143" w:name="_Toc12967151"/>
      <w:r w:rsidRPr="00BD2EF1">
        <w:t>Eye Irritation</w:t>
      </w:r>
      <w:bookmarkEnd w:id="143"/>
    </w:p>
    <w:p w14:paraId="6B8B1988" w14:textId="77777777" w:rsidR="00C76EAE" w:rsidRDefault="00C76EAE" w:rsidP="00C76EAE">
      <w:pPr>
        <w:spacing w:line="260" w:lineRule="atLeast"/>
        <w:rPr>
          <w:rFonts w:eastAsia="Calibri"/>
          <w:iCs/>
          <w:lang w:eastAsia="en-US"/>
        </w:rPr>
      </w:pPr>
      <w:r>
        <w:rPr>
          <w:rFonts w:eastAsia="Calibri"/>
          <w:iCs/>
          <w:lang w:eastAsia="en-US"/>
        </w:rPr>
        <w:t>New data for this section are due to differences in product composition.</w:t>
      </w:r>
    </w:p>
    <w:p w14:paraId="525F685F" w14:textId="77777777" w:rsidR="00C76EAE" w:rsidRPr="00BD2EF1" w:rsidRDefault="00C76EAE" w:rsidP="00C76EAE">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205"/>
        <w:gridCol w:w="2205"/>
        <w:gridCol w:w="3747"/>
        <w:gridCol w:w="1995"/>
        <w:gridCol w:w="1754"/>
      </w:tblGrid>
      <w:tr w:rsidR="00C76EAE" w:rsidRPr="00BD2EF1" w14:paraId="2F7E2201" w14:textId="77777777" w:rsidTr="00702526">
        <w:tc>
          <w:tcPr>
            <w:tcW w:w="5000" w:type="pct"/>
            <w:gridSpan w:val="6"/>
            <w:shd w:val="clear" w:color="auto" w:fill="FFFFCC"/>
          </w:tcPr>
          <w:p w14:paraId="3133E8FE" w14:textId="77777777" w:rsidR="00C76EAE" w:rsidRPr="00BD2EF1" w:rsidRDefault="00C76EAE" w:rsidP="00702526">
            <w:pPr>
              <w:pStyle w:val="Standaard-Tabellen"/>
              <w:jc w:val="center"/>
              <w:rPr>
                <w:rFonts w:eastAsia="Calibri"/>
                <w:b/>
              </w:rPr>
            </w:pPr>
            <w:r w:rsidRPr="00BD2EF1">
              <w:rPr>
                <w:rFonts w:eastAsia="Calibri"/>
                <w:b/>
              </w:rPr>
              <w:t>Summary table of animal studies on serious eye damage and eye irritation</w:t>
            </w:r>
          </w:p>
        </w:tc>
      </w:tr>
      <w:tr w:rsidR="00C76EAE" w:rsidRPr="00BD2EF1" w14:paraId="3F635D54" w14:textId="77777777" w:rsidTr="00702526">
        <w:tc>
          <w:tcPr>
            <w:tcW w:w="847" w:type="pct"/>
            <w:shd w:val="clear" w:color="auto" w:fill="BFBFBF" w:themeFill="background1" w:themeFillShade="BF"/>
          </w:tcPr>
          <w:p w14:paraId="14EB5004" w14:textId="77777777" w:rsidR="00C76EAE" w:rsidRPr="00BD2EF1" w:rsidRDefault="00C76EAE" w:rsidP="00702526">
            <w:pPr>
              <w:pStyle w:val="Standaard-Tabellen"/>
              <w:rPr>
                <w:rFonts w:eastAsia="Calibri"/>
                <w:b/>
              </w:rPr>
            </w:pPr>
            <w:r w:rsidRPr="00BD2EF1">
              <w:rPr>
                <w:rFonts w:eastAsia="Calibri"/>
                <w:b/>
              </w:rPr>
              <w:t>Method,</w:t>
            </w:r>
            <w:r w:rsidRPr="00BD2EF1">
              <w:rPr>
                <w:rFonts w:eastAsia="Calibri"/>
                <w:b/>
              </w:rPr>
              <w:br/>
              <w:t xml:space="preserve">Guideline, </w:t>
            </w:r>
          </w:p>
          <w:p w14:paraId="22696027" w14:textId="77777777" w:rsidR="00C76EAE" w:rsidRPr="00BD2EF1" w:rsidRDefault="00C76EAE" w:rsidP="00702526">
            <w:pPr>
              <w:pStyle w:val="Standaard-Tabellen"/>
              <w:rPr>
                <w:rFonts w:eastAsia="Calibri"/>
                <w:b/>
                <w:highlight w:val="cyan"/>
                <w:lang w:eastAsia="en-US"/>
              </w:rPr>
            </w:pPr>
            <w:r w:rsidRPr="00BD2EF1">
              <w:rPr>
                <w:rFonts w:eastAsia="Calibri"/>
                <w:b/>
              </w:rPr>
              <w:t>GLP status, Reliability</w:t>
            </w:r>
          </w:p>
        </w:tc>
        <w:tc>
          <w:tcPr>
            <w:tcW w:w="769" w:type="pct"/>
            <w:shd w:val="clear" w:color="auto" w:fill="BFBFBF" w:themeFill="background1" w:themeFillShade="BF"/>
          </w:tcPr>
          <w:p w14:paraId="3F9A8292" w14:textId="77777777" w:rsidR="00C76EAE" w:rsidRPr="00BD2EF1" w:rsidRDefault="00C76EAE" w:rsidP="00702526">
            <w:pPr>
              <w:pStyle w:val="Standaard-Tabellen"/>
              <w:rPr>
                <w:rFonts w:eastAsia="Calibri"/>
                <w:b/>
              </w:rPr>
            </w:pPr>
            <w:r w:rsidRPr="00BD2EF1">
              <w:rPr>
                <w:rFonts w:eastAsia="Calibri"/>
                <w:b/>
              </w:rPr>
              <w:t>Species,</w:t>
            </w:r>
            <w:r w:rsidRPr="00BD2EF1">
              <w:rPr>
                <w:rFonts w:eastAsia="Calibri"/>
                <w:b/>
              </w:rPr>
              <w:br/>
              <w:t>Strain,</w:t>
            </w:r>
            <w:r w:rsidRPr="00BD2EF1">
              <w:rPr>
                <w:rFonts w:eastAsia="Calibri"/>
                <w:b/>
              </w:rPr>
              <w:br/>
              <w:t>Sex,</w:t>
            </w:r>
            <w:r w:rsidRPr="00BD2EF1">
              <w:rPr>
                <w:rFonts w:eastAsia="Calibri"/>
                <w:b/>
              </w:rPr>
              <w:br/>
              <w:t>No/group</w:t>
            </w:r>
          </w:p>
        </w:tc>
        <w:tc>
          <w:tcPr>
            <w:tcW w:w="769" w:type="pct"/>
            <w:shd w:val="clear" w:color="auto" w:fill="BFBFBF" w:themeFill="background1" w:themeFillShade="BF"/>
          </w:tcPr>
          <w:p w14:paraId="2590030B" w14:textId="77777777" w:rsidR="00C76EAE" w:rsidRPr="00BD2EF1" w:rsidRDefault="00C76EAE" w:rsidP="00702526">
            <w:pPr>
              <w:pStyle w:val="Standaard-Tabellen"/>
              <w:rPr>
                <w:rFonts w:eastAsia="Calibri"/>
                <w:b/>
              </w:rPr>
            </w:pPr>
            <w:r w:rsidRPr="00BD2EF1">
              <w:rPr>
                <w:rFonts w:eastAsia="Calibri"/>
                <w:b/>
              </w:rPr>
              <w:t xml:space="preserve">Test </w:t>
            </w:r>
            <w:proofErr w:type="spellStart"/>
            <w:r w:rsidRPr="00BD2EF1">
              <w:rPr>
                <w:rFonts w:eastAsia="Calibri"/>
                <w:b/>
              </w:rPr>
              <w:t>substance,Dose</w:t>
            </w:r>
            <w:proofErr w:type="spellEnd"/>
            <w:r w:rsidRPr="00BD2EF1">
              <w:rPr>
                <w:rFonts w:eastAsia="Calibri"/>
                <w:b/>
              </w:rPr>
              <w:t xml:space="preserve"> levels, Duration of exposure</w:t>
            </w:r>
          </w:p>
        </w:tc>
        <w:tc>
          <w:tcPr>
            <w:tcW w:w="1307" w:type="pct"/>
            <w:shd w:val="clear" w:color="auto" w:fill="BFBFBF" w:themeFill="background1" w:themeFillShade="BF"/>
          </w:tcPr>
          <w:p w14:paraId="20D174F8" w14:textId="77777777" w:rsidR="00C76EAE" w:rsidRPr="00BD2EF1" w:rsidRDefault="00C76EAE" w:rsidP="00702526">
            <w:pPr>
              <w:pStyle w:val="Standaard-Tabellen"/>
              <w:rPr>
                <w:rFonts w:eastAsia="Calibri"/>
                <w:b/>
              </w:rPr>
            </w:pPr>
            <w:r w:rsidRPr="00BD2EF1">
              <w:rPr>
                <w:rFonts w:eastAsia="Calibri"/>
                <w:b/>
              </w:rPr>
              <w:t>Results</w:t>
            </w:r>
          </w:p>
          <w:p w14:paraId="1E811BDF" w14:textId="77777777" w:rsidR="00C76EAE" w:rsidRPr="00BD2EF1" w:rsidRDefault="00C76EAE" w:rsidP="00702526">
            <w:pPr>
              <w:pStyle w:val="Standaard-Tabellen"/>
              <w:rPr>
                <w:rFonts w:eastAsia="Calibri"/>
                <w:b/>
                <w:i/>
              </w:rPr>
            </w:pPr>
            <w:r w:rsidRPr="00BD2EF1">
              <w:rPr>
                <w:rFonts w:eastAsia="Calibri"/>
                <w:b/>
                <w:i/>
              </w:rPr>
              <w:t>Average score (24, 48, 72h)/</w:t>
            </w:r>
          </w:p>
          <w:p w14:paraId="5A170251" w14:textId="77777777" w:rsidR="00C76EAE" w:rsidRPr="00BD2EF1" w:rsidRDefault="00C76EAE" w:rsidP="00702526">
            <w:pPr>
              <w:pStyle w:val="Standaard-Tabellen"/>
              <w:rPr>
                <w:rFonts w:eastAsia="Calibri"/>
                <w:b/>
              </w:rPr>
            </w:pPr>
            <w:r w:rsidRPr="00BD2EF1">
              <w:rPr>
                <w:rFonts w:eastAsia="Calibri"/>
                <w:b/>
                <w:i/>
              </w:rPr>
              <w:t>observations and time point of onset, reversibility</w:t>
            </w:r>
          </w:p>
        </w:tc>
        <w:tc>
          <w:tcPr>
            <w:tcW w:w="696" w:type="pct"/>
            <w:shd w:val="clear" w:color="auto" w:fill="BFBFBF" w:themeFill="background1" w:themeFillShade="BF"/>
          </w:tcPr>
          <w:p w14:paraId="3FC0C221" w14:textId="77777777" w:rsidR="00C76EAE" w:rsidRPr="00BD2EF1" w:rsidRDefault="00C76EAE" w:rsidP="00702526">
            <w:pPr>
              <w:pStyle w:val="Standaard-Tabellen"/>
              <w:rPr>
                <w:rFonts w:eastAsia="Calibri"/>
                <w:b/>
              </w:rPr>
            </w:pPr>
            <w:r w:rsidRPr="00BD2EF1">
              <w:rPr>
                <w:rFonts w:eastAsia="Calibri"/>
                <w:b/>
              </w:rPr>
              <w:t xml:space="preserve">Remarks </w:t>
            </w:r>
            <w:r w:rsidRPr="00BD2EF1">
              <w:rPr>
                <w:rFonts w:eastAsia="Calibri"/>
                <w:b/>
                <w:i/>
              </w:rPr>
              <w:t>(e.g. major deviations)</w:t>
            </w:r>
          </w:p>
        </w:tc>
        <w:tc>
          <w:tcPr>
            <w:tcW w:w="612" w:type="pct"/>
            <w:shd w:val="clear" w:color="auto" w:fill="BFBFBF" w:themeFill="background1" w:themeFillShade="BF"/>
          </w:tcPr>
          <w:p w14:paraId="60E44A9F" w14:textId="77777777" w:rsidR="00C76EAE" w:rsidRPr="00BD2EF1" w:rsidRDefault="00C76EAE" w:rsidP="00702526">
            <w:pPr>
              <w:pStyle w:val="Standaard-Tabellen"/>
              <w:rPr>
                <w:rFonts w:eastAsia="Calibri"/>
                <w:b/>
              </w:rPr>
            </w:pPr>
            <w:r w:rsidRPr="00BD2EF1">
              <w:rPr>
                <w:rFonts w:eastAsia="Calibri"/>
                <w:b/>
              </w:rPr>
              <w:t xml:space="preserve">Reference </w:t>
            </w:r>
          </w:p>
          <w:p w14:paraId="310F9F69" w14:textId="77777777" w:rsidR="00C76EAE" w:rsidRPr="00BD2EF1" w:rsidRDefault="00C76EAE" w:rsidP="00702526">
            <w:pPr>
              <w:pStyle w:val="Standaard-Tabellen"/>
              <w:rPr>
                <w:rFonts w:eastAsia="Calibri"/>
                <w:b/>
              </w:rPr>
            </w:pPr>
          </w:p>
        </w:tc>
      </w:tr>
      <w:tr w:rsidR="00F10CBA" w:rsidRPr="00BD2EF1" w14:paraId="40B2F169" w14:textId="77777777" w:rsidTr="00702526">
        <w:tc>
          <w:tcPr>
            <w:tcW w:w="847" w:type="pct"/>
            <w:shd w:val="clear" w:color="auto" w:fill="auto"/>
          </w:tcPr>
          <w:p w14:paraId="5B37717A" w14:textId="77777777" w:rsidR="00F10CBA" w:rsidRPr="008C0D5A" w:rsidRDefault="00F10CBA" w:rsidP="00F10CBA">
            <w:pPr>
              <w:spacing w:line="260" w:lineRule="atLeast"/>
              <w:rPr>
                <w:rFonts w:eastAsia="Calibri"/>
                <w:lang w:val="de-DE" w:eastAsia="en-US"/>
              </w:rPr>
            </w:pPr>
            <w:r w:rsidRPr="008C0D5A">
              <w:rPr>
                <w:rFonts w:eastAsia="Calibri"/>
                <w:lang w:val="de-DE" w:eastAsia="en-US"/>
              </w:rPr>
              <w:t>OPPTS 870.2400</w:t>
            </w:r>
          </w:p>
          <w:p w14:paraId="79093573" w14:textId="77777777" w:rsidR="00F10CBA" w:rsidRPr="008C0D5A" w:rsidRDefault="00F10CBA" w:rsidP="00F10CBA">
            <w:pPr>
              <w:spacing w:line="260" w:lineRule="atLeast"/>
              <w:rPr>
                <w:rFonts w:eastAsia="Calibri"/>
                <w:lang w:val="de-DE" w:eastAsia="en-US"/>
              </w:rPr>
            </w:pPr>
            <w:r w:rsidRPr="008C0D5A">
              <w:rPr>
                <w:rFonts w:eastAsia="Calibri"/>
                <w:lang w:val="de-DE" w:eastAsia="en-US"/>
              </w:rPr>
              <w:t>OECD 405</w:t>
            </w:r>
          </w:p>
          <w:p w14:paraId="71547EB3" w14:textId="77777777" w:rsidR="00F10CBA" w:rsidRPr="008C0D5A" w:rsidRDefault="00F10CBA" w:rsidP="00F10CBA">
            <w:pPr>
              <w:spacing w:line="260" w:lineRule="atLeast"/>
              <w:rPr>
                <w:rFonts w:eastAsia="Calibri"/>
                <w:lang w:val="de-DE" w:eastAsia="en-US"/>
              </w:rPr>
            </w:pPr>
            <w:r w:rsidRPr="008C0D5A">
              <w:rPr>
                <w:rFonts w:eastAsia="Calibri"/>
                <w:lang w:val="de-DE" w:eastAsia="en-US"/>
              </w:rPr>
              <w:t>EU 92/69 Annex V, B5</w:t>
            </w:r>
          </w:p>
          <w:p w14:paraId="518D9808" w14:textId="77777777" w:rsidR="00F10CBA" w:rsidRDefault="00F10CBA" w:rsidP="00F10CBA">
            <w:pPr>
              <w:spacing w:line="260" w:lineRule="atLeast"/>
              <w:rPr>
                <w:rFonts w:eastAsia="Calibri"/>
                <w:lang w:eastAsia="en-US"/>
              </w:rPr>
            </w:pPr>
            <w:r>
              <w:rPr>
                <w:rFonts w:eastAsia="Calibri"/>
                <w:lang w:eastAsia="en-US"/>
              </w:rPr>
              <w:t>GLP=yes</w:t>
            </w:r>
          </w:p>
          <w:p w14:paraId="60218EE0" w14:textId="400E4040" w:rsidR="00F10CBA" w:rsidRPr="00BD2EF1" w:rsidRDefault="00F10CBA" w:rsidP="00F10CBA">
            <w:pPr>
              <w:pStyle w:val="Standaard-Tabellen"/>
              <w:rPr>
                <w:rFonts w:eastAsia="Calibri"/>
                <w:lang w:eastAsia="en-US"/>
              </w:rPr>
            </w:pPr>
            <w:proofErr w:type="spellStart"/>
            <w:r>
              <w:rPr>
                <w:rFonts w:eastAsia="Calibri"/>
                <w:lang w:eastAsia="en-US"/>
              </w:rPr>
              <w:t>Rel</w:t>
            </w:r>
            <w:proofErr w:type="spellEnd"/>
            <w:r>
              <w:rPr>
                <w:rFonts w:eastAsia="Calibri"/>
                <w:lang w:eastAsia="en-US"/>
              </w:rPr>
              <w:t>=1</w:t>
            </w:r>
          </w:p>
        </w:tc>
        <w:tc>
          <w:tcPr>
            <w:tcW w:w="769" w:type="pct"/>
            <w:shd w:val="clear" w:color="auto" w:fill="auto"/>
          </w:tcPr>
          <w:p w14:paraId="56C9B866" w14:textId="77777777" w:rsidR="00F10CBA" w:rsidRDefault="00F10CBA" w:rsidP="00F10CBA">
            <w:pPr>
              <w:spacing w:line="260" w:lineRule="atLeast"/>
              <w:rPr>
                <w:rFonts w:eastAsia="Calibri"/>
                <w:lang w:eastAsia="en-US"/>
              </w:rPr>
            </w:pPr>
            <w:r>
              <w:rPr>
                <w:rFonts w:eastAsia="Calibri"/>
                <w:lang w:eastAsia="en-US"/>
              </w:rPr>
              <w:t>Albino rabbit</w:t>
            </w:r>
          </w:p>
          <w:p w14:paraId="13B3FF3E" w14:textId="77777777" w:rsidR="00F10CBA" w:rsidRDefault="00F10CBA" w:rsidP="00F10CBA">
            <w:pPr>
              <w:spacing w:line="260" w:lineRule="atLeast"/>
              <w:rPr>
                <w:rFonts w:eastAsia="Calibri"/>
                <w:lang w:eastAsia="en-US"/>
              </w:rPr>
            </w:pPr>
            <w:r>
              <w:rPr>
                <w:rFonts w:eastAsia="Calibri"/>
                <w:lang w:eastAsia="en-US"/>
              </w:rPr>
              <w:t>New Zealand White</w:t>
            </w:r>
          </w:p>
          <w:p w14:paraId="7B53AD5C" w14:textId="77777777" w:rsidR="00F10CBA" w:rsidRDefault="00F10CBA" w:rsidP="00F10CBA">
            <w:pPr>
              <w:spacing w:line="260" w:lineRule="atLeast"/>
              <w:rPr>
                <w:rFonts w:eastAsia="Calibri"/>
                <w:lang w:eastAsia="en-US"/>
              </w:rPr>
            </w:pPr>
            <w:r>
              <w:rPr>
                <w:rFonts w:eastAsia="Calibri"/>
                <w:lang w:eastAsia="en-US"/>
              </w:rPr>
              <w:t>3</w:t>
            </w:r>
            <w:r>
              <w:rPr>
                <w:rFonts w:ascii="Segoe UI Symbol" w:eastAsia="Calibri" w:hAnsi="Segoe UI Symbol" w:cs="Segoe UI Symbol"/>
                <w:lang w:eastAsia="en-US"/>
              </w:rPr>
              <w:t>♂</w:t>
            </w:r>
          </w:p>
          <w:p w14:paraId="6A16D24C" w14:textId="542E9955" w:rsidR="00F10CBA" w:rsidRPr="00BD2EF1" w:rsidRDefault="00F10CBA" w:rsidP="00F10CBA">
            <w:pPr>
              <w:pStyle w:val="Standaard-Tabellen"/>
              <w:rPr>
                <w:rFonts w:eastAsia="Calibri"/>
                <w:lang w:eastAsia="en-US"/>
              </w:rPr>
            </w:pPr>
            <w:r>
              <w:rPr>
                <w:rFonts w:eastAsia="Calibri"/>
                <w:lang w:eastAsia="en-US"/>
              </w:rPr>
              <w:t>1 test group, 3 animals</w:t>
            </w:r>
          </w:p>
        </w:tc>
        <w:tc>
          <w:tcPr>
            <w:tcW w:w="769" w:type="pct"/>
            <w:shd w:val="clear" w:color="auto" w:fill="auto"/>
          </w:tcPr>
          <w:p w14:paraId="4952F979" w14:textId="77777777" w:rsidR="00F10CBA" w:rsidRDefault="00F10CBA" w:rsidP="00F10CBA">
            <w:pPr>
              <w:keepNext/>
              <w:widowControl w:val="0"/>
              <w:tabs>
                <w:tab w:val="center" w:pos="4536"/>
                <w:tab w:val="right" w:pos="9072"/>
              </w:tabs>
              <w:spacing w:line="276" w:lineRule="auto"/>
              <w:rPr>
                <w:rFonts w:eastAsia="Calibri"/>
                <w:color w:val="000000"/>
                <w:lang w:eastAsia="en-GB"/>
              </w:rPr>
            </w:pPr>
            <w:r w:rsidRPr="00393183">
              <w:rPr>
                <w:rFonts w:eastAsia="Calibri"/>
                <w:color w:val="000000"/>
                <w:lang w:eastAsia="en-GB"/>
              </w:rPr>
              <w:t>US Lotion Formulation</w:t>
            </w:r>
          </w:p>
          <w:p w14:paraId="0F3971C6" w14:textId="77777777" w:rsidR="00F10CBA" w:rsidRDefault="00F10CBA" w:rsidP="00F10CBA">
            <w:pPr>
              <w:spacing w:line="260" w:lineRule="atLeast"/>
              <w:rPr>
                <w:rFonts w:eastAsia="Calibri"/>
                <w:lang w:eastAsia="en-US"/>
              </w:rPr>
            </w:pPr>
            <w:r>
              <w:rPr>
                <w:rFonts w:eastAsia="Calibri"/>
                <w:lang w:eastAsia="en-US"/>
              </w:rPr>
              <w:t>No vehicle</w:t>
            </w:r>
          </w:p>
          <w:p w14:paraId="29CE721A" w14:textId="77777777" w:rsidR="00F10CBA" w:rsidRDefault="00F10CBA" w:rsidP="00F10CBA">
            <w:pPr>
              <w:spacing w:line="260" w:lineRule="atLeast"/>
              <w:rPr>
                <w:rFonts w:eastAsia="Calibri"/>
                <w:lang w:eastAsia="en-US"/>
              </w:rPr>
            </w:pPr>
            <w:r>
              <w:rPr>
                <w:rFonts w:eastAsia="Calibri"/>
                <w:lang w:eastAsia="en-US"/>
              </w:rPr>
              <w:t>0.1ml</w:t>
            </w:r>
          </w:p>
          <w:p w14:paraId="2C0D5AAD" w14:textId="6FFC199F" w:rsidR="00F10CBA" w:rsidRPr="00BD2EF1" w:rsidRDefault="00F10CBA" w:rsidP="00F10CBA">
            <w:pPr>
              <w:pStyle w:val="Standaard-Tabellen"/>
              <w:rPr>
                <w:rFonts w:eastAsia="Calibri"/>
                <w:lang w:eastAsia="en-US"/>
              </w:rPr>
            </w:pPr>
            <w:r>
              <w:rPr>
                <w:rFonts w:eastAsia="Calibri"/>
                <w:lang w:eastAsia="en-US"/>
              </w:rPr>
              <w:t>1 single unwashed exposure</w:t>
            </w:r>
          </w:p>
        </w:tc>
        <w:tc>
          <w:tcPr>
            <w:tcW w:w="1307" w:type="pct"/>
            <w:shd w:val="clear" w:color="auto" w:fill="auto"/>
          </w:tcPr>
          <w:p w14:paraId="2046691E"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 xml:space="preserve">- </w:t>
            </w:r>
            <w:r>
              <w:rPr>
                <w:rFonts w:ascii="Verdana" w:hAnsi="Verdana"/>
                <w:sz w:val="18"/>
                <w:szCs w:val="20"/>
              </w:rPr>
              <w:t>Conjunctival c</w:t>
            </w:r>
            <w:r w:rsidRPr="005B1EFF">
              <w:rPr>
                <w:rFonts w:ascii="Verdana" w:hAnsi="Verdana"/>
                <w:sz w:val="18"/>
                <w:szCs w:val="20"/>
              </w:rPr>
              <w:t xml:space="preserve">hemosis score </w:t>
            </w:r>
          </w:p>
          <w:p w14:paraId="483B7785"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Animal 1 :1.</w:t>
            </w:r>
            <w:r>
              <w:rPr>
                <w:rFonts w:ascii="Verdana" w:hAnsi="Verdana"/>
                <w:sz w:val="18"/>
                <w:szCs w:val="20"/>
              </w:rPr>
              <w:t>0</w:t>
            </w:r>
            <w:r w:rsidRPr="005B1EFF">
              <w:rPr>
                <w:rFonts w:ascii="Verdana" w:hAnsi="Verdana"/>
                <w:sz w:val="18"/>
                <w:szCs w:val="20"/>
              </w:rPr>
              <w:t xml:space="preserve"> </w:t>
            </w:r>
          </w:p>
          <w:p w14:paraId="2C64F811"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Animal 2 : 1.</w:t>
            </w:r>
            <w:r>
              <w:rPr>
                <w:rFonts w:ascii="Verdana" w:hAnsi="Verdana"/>
                <w:sz w:val="18"/>
                <w:szCs w:val="20"/>
              </w:rPr>
              <w:t>0</w:t>
            </w:r>
            <w:r w:rsidRPr="005B1EFF">
              <w:rPr>
                <w:rFonts w:ascii="Verdana" w:hAnsi="Verdana"/>
                <w:sz w:val="18"/>
                <w:szCs w:val="20"/>
              </w:rPr>
              <w:t xml:space="preserve"> </w:t>
            </w:r>
          </w:p>
          <w:p w14:paraId="388D7A58"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Animal 3 : 1.</w:t>
            </w:r>
            <w:r>
              <w:rPr>
                <w:rFonts w:ascii="Verdana" w:hAnsi="Verdana"/>
                <w:sz w:val="18"/>
                <w:szCs w:val="20"/>
              </w:rPr>
              <w:t>0</w:t>
            </w:r>
            <w:r w:rsidRPr="005B1EFF">
              <w:rPr>
                <w:rFonts w:ascii="Verdana" w:hAnsi="Verdana"/>
                <w:sz w:val="18"/>
                <w:szCs w:val="20"/>
              </w:rPr>
              <w:t xml:space="preserve"> </w:t>
            </w:r>
          </w:p>
          <w:p w14:paraId="269B5777" w14:textId="77777777" w:rsidR="00F10CBA" w:rsidRPr="005B1EFF" w:rsidRDefault="00F10CBA" w:rsidP="00F10CBA">
            <w:pPr>
              <w:pStyle w:val="Default"/>
              <w:rPr>
                <w:rFonts w:ascii="Verdana" w:hAnsi="Verdana"/>
                <w:sz w:val="18"/>
                <w:szCs w:val="20"/>
              </w:rPr>
            </w:pPr>
          </w:p>
          <w:p w14:paraId="30772D60"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 Conjunctiva</w:t>
            </w:r>
            <w:r>
              <w:rPr>
                <w:rFonts w:ascii="Verdana" w:hAnsi="Verdana"/>
                <w:sz w:val="18"/>
                <w:szCs w:val="20"/>
              </w:rPr>
              <w:t>l redness</w:t>
            </w:r>
            <w:r w:rsidRPr="005B1EFF">
              <w:rPr>
                <w:rFonts w:ascii="Verdana" w:hAnsi="Verdana"/>
                <w:sz w:val="18"/>
                <w:szCs w:val="20"/>
              </w:rPr>
              <w:t xml:space="preserve"> score </w:t>
            </w:r>
          </w:p>
          <w:p w14:paraId="671477BE"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Animal 1 :2.3</w:t>
            </w:r>
            <w:r>
              <w:rPr>
                <w:rFonts w:ascii="Verdana" w:hAnsi="Verdana"/>
                <w:sz w:val="18"/>
                <w:szCs w:val="20"/>
              </w:rPr>
              <w:t>3</w:t>
            </w:r>
            <w:r w:rsidRPr="005B1EFF">
              <w:rPr>
                <w:rFonts w:ascii="Verdana" w:hAnsi="Verdana"/>
                <w:sz w:val="18"/>
                <w:szCs w:val="20"/>
              </w:rPr>
              <w:t xml:space="preserve"> </w:t>
            </w:r>
          </w:p>
          <w:p w14:paraId="174292E3"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 xml:space="preserve">Animal 2 : </w:t>
            </w:r>
            <w:r>
              <w:rPr>
                <w:rFonts w:ascii="Verdana" w:hAnsi="Verdana"/>
                <w:sz w:val="18"/>
                <w:szCs w:val="20"/>
              </w:rPr>
              <w:t>1</w:t>
            </w:r>
            <w:r w:rsidRPr="005B1EFF">
              <w:rPr>
                <w:rFonts w:ascii="Verdana" w:hAnsi="Verdana"/>
                <w:sz w:val="18"/>
                <w:szCs w:val="20"/>
              </w:rPr>
              <w:t xml:space="preserve">.0 </w:t>
            </w:r>
          </w:p>
          <w:p w14:paraId="7009C04A"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 xml:space="preserve">Animal 3 : </w:t>
            </w:r>
            <w:r>
              <w:rPr>
                <w:rFonts w:ascii="Verdana" w:hAnsi="Verdana"/>
                <w:sz w:val="18"/>
                <w:szCs w:val="20"/>
              </w:rPr>
              <w:t>1</w:t>
            </w:r>
            <w:r w:rsidRPr="005B1EFF">
              <w:rPr>
                <w:rFonts w:ascii="Verdana" w:hAnsi="Verdana"/>
                <w:sz w:val="18"/>
                <w:szCs w:val="20"/>
              </w:rPr>
              <w:t>.</w:t>
            </w:r>
            <w:r>
              <w:rPr>
                <w:rFonts w:ascii="Verdana" w:hAnsi="Verdana"/>
                <w:sz w:val="18"/>
                <w:szCs w:val="20"/>
              </w:rPr>
              <w:t>0</w:t>
            </w:r>
            <w:r w:rsidRPr="005B1EFF">
              <w:rPr>
                <w:rFonts w:ascii="Verdana" w:hAnsi="Verdana"/>
                <w:sz w:val="18"/>
                <w:szCs w:val="20"/>
              </w:rPr>
              <w:t xml:space="preserve"> </w:t>
            </w:r>
          </w:p>
          <w:p w14:paraId="4122CF11" w14:textId="77777777" w:rsidR="00F10CBA" w:rsidRPr="005B1EFF" w:rsidRDefault="00F10CBA" w:rsidP="00F10CBA">
            <w:pPr>
              <w:pStyle w:val="Default"/>
              <w:rPr>
                <w:rFonts w:ascii="Verdana" w:hAnsi="Verdana"/>
                <w:sz w:val="18"/>
                <w:szCs w:val="20"/>
              </w:rPr>
            </w:pPr>
          </w:p>
          <w:p w14:paraId="6F6EA680"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 xml:space="preserve">- Iris score </w:t>
            </w:r>
          </w:p>
          <w:p w14:paraId="02F668DA"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Animal 1 :0.</w:t>
            </w:r>
            <w:r>
              <w:rPr>
                <w:rFonts w:ascii="Verdana" w:hAnsi="Verdana"/>
                <w:sz w:val="18"/>
                <w:szCs w:val="20"/>
              </w:rPr>
              <w:t>0</w:t>
            </w:r>
            <w:r w:rsidRPr="005B1EFF">
              <w:rPr>
                <w:rFonts w:ascii="Verdana" w:hAnsi="Verdana"/>
                <w:sz w:val="18"/>
                <w:szCs w:val="20"/>
              </w:rPr>
              <w:t xml:space="preserve"> </w:t>
            </w:r>
          </w:p>
          <w:p w14:paraId="4221197C"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Animal 2 : 0.</w:t>
            </w:r>
            <w:r>
              <w:rPr>
                <w:rFonts w:ascii="Verdana" w:hAnsi="Verdana"/>
                <w:sz w:val="18"/>
                <w:szCs w:val="20"/>
              </w:rPr>
              <w:t>0</w:t>
            </w:r>
            <w:r w:rsidRPr="005B1EFF">
              <w:rPr>
                <w:rFonts w:ascii="Verdana" w:hAnsi="Verdana"/>
                <w:sz w:val="18"/>
                <w:szCs w:val="20"/>
              </w:rPr>
              <w:t xml:space="preserve"> </w:t>
            </w:r>
          </w:p>
          <w:p w14:paraId="0ADB7CEC"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Animal 3 : 0.</w:t>
            </w:r>
            <w:r>
              <w:rPr>
                <w:rFonts w:ascii="Verdana" w:hAnsi="Verdana"/>
                <w:sz w:val="18"/>
                <w:szCs w:val="20"/>
              </w:rPr>
              <w:t>0</w:t>
            </w:r>
            <w:r w:rsidRPr="005B1EFF">
              <w:rPr>
                <w:rFonts w:ascii="Verdana" w:hAnsi="Verdana"/>
                <w:sz w:val="18"/>
                <w:szCs w:val="20"/>
              </w:rPr>
              <w:t xml:space="preserve"> </w:t>
            </w:r>
          </w:p>
          <w:p w14:paraId="2154302B" w14:textId="77777777" w:rsidR="00F10CBA" w:rsidRPr="005B1EFF" w:rsidRDefault="00F10CBA" w:rsidP="00F10CBA">
            <w:pPr>
              <w:pStyle w:val="Default"/>
              <w:rPr>
                <w:rFonts w:ascii="Verdana" w:hAnsi="Verdana"/>
                <w:sz w:val="18"/>
                <w:szCs w:val="20"/>
              </w:rPr>
            </w:pPr>
          </w:p>
          <w:p w14:paraId="35C8B192" w14:textId="77777777" w:rsidR="00F10CBA" w:rsidRPr="005B1EFF" w:rsidRDefault="00F10CBA" w:rsidP="00F10CBA">
            <w:pPr>
              <w:pStyle w:val="Default"/>
              <w:rPr>
                <w:rFonts w:ascii="Verdana" w:hAnsi="Verdana"/>
                <w:sz w:val="18"/>
                <w:szCs w:val="20"/>
              </w:rPr>
            </w:pPr>
            <w:r w:rsidRPr="005B1EFF">
              <w:rPr>
                <w:rFonts w:ascii="Verdana" w:hAnsi="Verdana"/>
                <w:sz w:val="18"/>
                <w:szCs w:val="20"/>
              </w:rPr>
              <w:lastRenderedPageBreak/>
              <w:t xml:space="preserve">- Cornea score </w:t>
            </w:r>
          </w:p>
          <w:p w14:paraId="6F51009C"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Animal 1 :1.</w:t>
            </w:r>
            <w:r>
              <w:rPr>
                <w:rFonts w:ascii="Verdana" w:hAnsi="Verdana"/>
                <w:sz w:val="18"/>
                <w:szCs w:val="20"/>
              </w:rPr>
              <w:t>67</w:t>
            </w:r>
            <w:r w:rsidRPr="005B1EFF">
              <w:rPr>
                <w:rFonts w:ascii="Verdana" w:hAnsi="Verdana"/>
                <w:sz w:val="18"/>
                <w:szCs w:val="20"/>
              </w:rPr>
              <w:t xml:space="preserve"> </w:t>
            </w:r>
          </w:p>
          <w:p w14:paraId="119140F5"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 xml:space="preserve">Animal 2 : </w:t>
            </w:r>
            <w:r>
              <w:rPr>
                <w:rFonts w:ascii="Verdana" w:hAnsi="Verdana"/>
                <w:sz w:val="18"/>
                <w:szCs w:val="20"/>
              </w:rPr>
              <w:t>0</w:t>
            </w:r>
            <w:r w:rsidRPr="005B1EFF">
              <w:rPr>
                <w:rFonts w:ascii="Verdana" w:hAnsi="Verdana"/>
                <w:sz w:val="18"/>
                <w:szCs w:val="20"/>
              </w:rPr>
              <w:t xml:space="preserve">.0 </w:t>
            </w:r>
          </w:p>
          <w:p w14:paraId="0C75BA38" w14:textId="77777777" w:rsidR="00F10CBA" w:rsidRPr="005B1EFF" w:rsidRDefault="00F10CBA" w:rsidP="00F10CBA">
            <w:pPr>
              <w:pStyle w:val="Default"/>
              <w:rPr>
                <w:rFonts w:ascii="Verdana" w:hAnsi="Verdana"/>
                <w:sz w:val="18"/>
                <w:szCs w:val="20"/>
              </w:rPr>
            </w:pPr>
            <w:r w:rsidRPr="005B1EFF">
              <w:rPr>
                <w:rFonts w:ascii="Verdana" w:hAnsi="Verdana"/>
                <w:sz w:val="18"/>
                <w:szCs w:val="20"/>
              </w:rPr>
              <w:t xml:space="preserve">Animal 3 : </w:t>
            </w:r>
            <w:r>
              <w:rPr>
                <w:rFonts w:ascii="Verdana" w:hAnsi="Verdana"/>
                <w:sz w:val="18"/>
                <w:szCs w:val="20"/>
              </w:rPr>
              <w:t>0</w:t>
            </w:r>
            <w:r w:rsidRPr="005B1EFF">
              <w:rPr>
                <w:rFonts w:ascii="Verdana" w:hAnsi="Verdana"/>
                <w:sz w:val="18"/>
                <w:szCs w:val="20"/>
              </w:rPr>
              <w:t xml:space="preserve">.0 </w:t>
            </w:r>
          </w:p>
          <w:p w14:paraId="1B75A733" w14:textId="77777777" w:rsidR="00F10CBA" w:rsidRDefault="00F10CBA" w:rsidP="00F10CBA">
            <w:pPr>
              <w:rPr>
                <w:rFonts w:eastAsia="Calibri"/>
                <w:lang w:eastAsia="en-US"/>
              </w:rPr>
            </w:pPr>
          </w:p>
          <w:p w14:paraId="0B9C137E" w14:textId="77777777" w:rsidR="00F10CBA" w:rsidRDefault="00F10CBA" w:rsidP="00F10CBA">
            <w:pPr>
              <w:rPr>
                <w:rFonts w:eastAsia="Calibri"/>
                <w:lang w:eastAsia="en-US"/>
              </w:rPr>
            </w:pPr>
            <w:r>
              <w:rPr>
                <w:rFonts w:eastAsia="Calibri"/>
                <w:lang w:eastAsia="en-US"/>
              </w:rPr>
              <w:t>Reversibility: Yes</w:t>
            </w:r>
          </w:p>
          <w:p w14:paraId="7DA47294" w14:textId="77777777" w:rsidR="00F10CBA" w:rsidRDefault="00F10CBA" w:rsidP="00F10CBA">
            <w:pPr>
              <w:spacing w:line="260" w:lineRule="atLeast"/>
              <w:rPr>
                <w:rFonts w:eastAsia="Calibri"/>
                <w:lang w:eastAsia="en-US"/>
              </w:rPr>
            </w:pPr>
            <w:r>
              <w:rPr>
                <w:rFonts w:eastAsia="Calibri"/>
                <w:lang w:eastAsia="en-US"/>
              </w:rPr>
              <w:t>Earliest onset for all symptoms: 1h</w:t>
            </w:r>
          </w:p>
          <w:p w14:paraId="28CCA59B" w14:textId="77777777" w:rsidR="00F10CBA" w:rsidRDefault="00F10CBA" w:rsidP="00F10CBA">
            <w:pPr>
              <w:spacing w:line="260" w:lineRule="atLeast"/>
              <w:rPr>
                <w:rFonts w:eastAsia="Calibri"/>
                <w:lang w:eastAsia="en-US"/>
              </w:rPr>
            </w:pPr>
            <w:r>
              <w:rPr>
                <w:rFonts w:eastAsia="Calibri"/>
                <w:lang w:eastAsia="en-US"/>
              </w:rPr>
              <w:t>Max scores: cornea 2, conjunctiva, redness 3, conjunctiva, chemosis 3</w:t>
            </w:r>
          </w:p>
          <w:p w14:paraId="4DF9FF4D" w14:textId="77777777" w:rsidR="00F10CBA" w:rsidRDefault="00F10CBA" w:rsidP="00F10CBA">
            <w:pPr>
              <w:spacing w:line="260" w:lineRule="atLeast"/>
              <w:rPr>
                <w:rFonts w:eastAsia="Calibri"/>
                <w:lang w:eastAsia="en-US"/>
              </w:rPr>
            </w:pPr>
            <w:r>
              <w:rPr>
                <w:rFonts w:eastAsia="Calibri"/>
                <w:lang w:eastAsia="en-US"/>
              </w:rPr>
              <w:t>Reversible at d17</w:t>
            </w:r>
          </w:p>
          <w:p w14:paraId="12808391" w14:textId="77777777" w:rsidR="00F10CBA" w:rsidRPr="00BD2EF1" w:rsidRDefault="00F10CBA" w:rsidP="00F10CBA">
            <w:pPr>
              <w:pStyle w:val="Standaard-Tabellen"/>
              <w:rPr>
                <w:rFonts w:eastAsia="Calibri"/>
                <w:lang w:eastAsia="en-US"/>
              </w:rPr>
            </w:pPr>
          </w:p>
        </w:tc>
        <w:tc>
          <w:tcPr>
            <w:tcW w:w="696" w:type="pct"/>
            <w:shd w:val="clear" w:color="auto" w:fill="auto"/>
          </w:tcPr>
          <w:p w14:paraId="67441449" w14:textId="20D5623E" w:rsidR="00F10CBA" w:rsidRPr="00BD2EF1" w:rsidRDefault="00F10CBA" w:rsidP="00F10CBA">
            <w:pPr>
              <w:pStyle w:val="Standaard-Tabellen"/>
              <w:rPr>
                <w:rFonts w:eastAsia="Calibri"/>
                <w:lang w:eastAsia="en-US"/>
              </w:rPr>
            </w:pPr>
            <w:r w:rsidRPr="00F10CBA">
              <w:rPr>
                <w:rFonts w:eastAsia="Calibri"/>
                <w:lang w:eastAsia="en-US"/>
              </w:rPr>
              <w:lastRenderedPageBreak/>
              <w:t>Identity of test material slightly different from BP:</w:t>
            </w:r>
            <w:r w:rsidRPr="00F10CBA">
              <w:rPr>
                <w:rFonts w:eastAsia="Calibri"/>
                <w:color w:val="000000"/>
              </w:rPr>
              <w:t xml:space="preserve"> buffers added (1% in total) and omission of preservatives (1% in total)</w:t>
            </w:r>
          </w:p>
        </w:tc>
        <w:tc>
          <w:tcPr>
            <w:tcW w:w="612" w:type="pct"/>
          </w:tcPr>
          <w:p w14:paraId="39CB20B7" w14:textId="24432DF1" w:rsidR="00F10CBA" w:rsidRPr="00BD2EF1" w:rsidRDefault="00F10CBA" w:rsidP="00F10CBA">
            <w:pPr>
              <w:pStyle w:val="Standaard-Tabellen"/>
              <w:rPr>
                <w:rFonts w:eastAsia="Calibri"/>
                <w:lang w:eastAsia="en-US"/>
              </w:rPr>
            </w:pPr>
            <w:r w:rsidRPr="00BF5148">
              <w:rPr>
                <w:rFonts w:eastAsia="Calibri"/>
                <w:highlight w:val="black"/>
                <w:lang w:eastAsia="en-US"/>
              </w:rPr>
              <w:t>Hurley, J.M.</w:t>
            </w:r>
            <w:r>
              <w:rPr>
                <w:rFonts w:eastAsia="Calibri"/>
                <w:lang w:eastAsia="en-US"/>
              </w:rPr>
              <w:t xml:space="preserve"> (2006) (b)</w:t>
            </w:r>
          </w:p>
        </w:tc>
      </w:tr>
    </w:tbl>
    <w:p w14:paraId="2BE41652" w14:textId="77777777" w:rsidR="00C76EAE" w:rsidRPr="00BD2EF1" w:rsidRDefault="00C76EAE" w:rsidP="00C76EAE">
      <w:pPr>
        <w:rPr>
          <w:rFonts w:eastAsia="Calibri"/>
          <w:lang w:eastAsia="en-US"/>
        </w:rPr>
      </w:pPr>
    </w:p>
    <w:tbl>
      <w:tblPr>
        <w:tblW w:w="0" w:type="auto"/>
        <w:tblLook w:val="04A0" w:firstRow="1" w:lastRow="0" w:firstColumn="1" w:lastColumn="0" w:noHBand="0" w:noVBand="1"/>
      </w:tblPr>
      <w:tblGrid>
        <w:gridCol w:w="14334"/>
      </w:tblGrid>
      <w:tr w:rsidR="00C76EAE" w:rsidRPr="00D63744" w14:paraId="73502935" w14:textId="77777777" w:rsidTr="00702526">
        <w:tc>
          <w:tcPr>
            <w:tcW w:w="14334" w:type="dxa"/>
            <w:shd w:val="clear" w:color="auto" w:fill="FFFFCC"/>
          </w:tcPr>
          <w:p w14:paraId="68392513" w14:textId="77777777" w:rsidR="00C76EAE" w:rsidRPr="00D63744" w:rsidRDefault="00C76EAE" w:rsidP="00702526">
            <w:pPr>
              <w:pStyle w:val="Standaard-Tabellen"/>
              <w:jc w:val="center"/>
              <w:rPr>
                <w:b/>
              </w:rPr>
            </w:pPr>
            <w:r>
              <w:rPr>
                <w:b/>
              </w:rPr>
              <w:t>I</w:t>
            </w:r>
            <w:r w:rsidRPr="00D63744">
              <w:rPr>
                <w:b/>
              </w:rPr>
              <w:t xml:space="preserve">ndividual </w:t>
            </w:r>
            <w:r>
              <w:rPr>
                <w:b/>
              </w:rPr>
              <w:t>Total Scores and for Ocular Irritation (</w:t>
            </w:r>
            <w:r w:rsidRPr="00BF5148">
              <w:rPr>
                <w:b/>
                <w:highlight w:val="black"/>
              </w:rPr>
              <w:t>Hurley, J.M.,</w:t>
            </w:r>
            <w:r>
              <w:rPr>
                <w:b/>
              </w:rPr>
              <w:t xml:space="preserve"> 2006 (b))</w:t>
            </w:r>
          </w:p>
        </w:tc>
      </w:tr>
      <w:tr w:rsidR="00C76EAE" w14:paraId="050CF0E5" w14:textId="77777777" w:rsidTr="00702526">
        <w:tc>
          <w:tcPr>
            <w:tcW w:w="14334" w:type="dxa"/>
          </w:tcPr>
          <w:tbl>
            <w:tblPr>
              <w:tblW w:w="907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845"/>
              <w:gridCol w:w="603"/>
              <w:gridCol w:w="602"/>
              <w:gridCol w:w="603"/>
              <w:gridCol w:w="602"/>
              <w:gridCol w:w="603"/>
              <w:gridCol w:w="602"/>
              <w:gridCol w:w="602"/>
              <w:gridCol w:w="603"/>
              <w:gridCol w:w="602"/>
              <w:gridCol w:w="603"/>
              <w:gridCol w:w="602"/>
              <w:gridCol w:w="603"/>
            </w:tblGrid>
            <w:tr w:rsidR="00C76EAE" w14:paraId="2A65F847" w14:textId="77777777" w:rsidTr="00702526">
              <w:tc>
                <w:tcPr>
                  <w:tcW w:w="1843" w:type="dxa"/>
                  <w:tcBorders>
                    <w:top w:val="double" w:sz="6" w:space="0" w:color="auto"/>
                    <w:left w:val="double" w:sz="6" w:space="0" w:color="auto"/>
                    <w:bottom w:val="nil"/>
                    <w:right w:val="single" w:sz="12" w:space="0" w:color="auto"/>
                  </w:tcBorders>
                  <w:hideMark/>
                </w:tcPr>
                <w:p w14:paraId="6549D841"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b/>
                      <w:noProof w:val="0"/>
                      <w:color w:val="000000"/>
                      <w:sz w:val="20"/>
                    </w:rPr>
                    <w:lastRenderedPageBreak/>
                    <w:t>Rabbit No/sex</w:t>
                  </w:r>
                </w:p>
              </w:tc>
              <w:tc>
                <w:tcPr>
                  <w:tcW w:w="2409" w:type="dxa"/>
                  <w:gridSpan w:val="4"/>
                  <w:tcBorders>
                    <w:top w:val="double" w:sz="6" w:space="0" w:color="auto"/>
                    <w:left w:val="single" w:sz="12" w:space="0" w:color="auto"/>
                    <w:bottom w:val="nil"/>
                    <w:right w:val="single" w:sz="12" w:space="0" w:color="auto"/>
                  </w:tcBorders>
                  <w:hideMark/>
                </w:tcPr>
                <w:p w14:paraId="5CFA1525"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No. 45157/male</w:t>
                  </w:r>
                </w:p>
              </w:tc>
              <w:tc>
                <w:tcPr>
                  <w:tcW w:w="2410" w:type="dxa"/>
                  <w:gridSpan w:val="4"/>
                  <w:tcBorders>
                    <w:top w:val="double" w:sz="6" w:space="0" w:color="auto"/>
                    <w:left w:val="single" w:sz="12" w:space="0" w:color="auto"/>
                    <w:bottom w:val="nil"/>
                    <w:right w:val="single" w:sz="12" w:space="0" w:color="auto"/>
                  </w:tcBorders>
                  <w:hideMark/>
                </w:tcPr>
                <w:p w14:paraId="010A1CFD"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No. 45160/male</w:t>
                  </w:r>
                </w:p>
              </w:tc>
              <w:tc>
                <w:tcPr>
                  <w:tcW w:w="2410" w:type="dxa"/>
                  <w:gridSpan w:val="4"/>
                  <w:tcBorders>
                    <w:top w:val="double" w:sz="6" w:space="0" w:color="auto"/>
                    <w:left w:val="single" w:sz="12" w:space="0" w:color="auto"/>
                    <w:bottom w:val="nil"/>
                    <w:right w:val="double" w:sz="6" w:space="0" w:color="auto"/>
                  </w:tcBorders>
                  <w:hideMark/>
                </w:tcPr>
                <w:p w14:paraId="7C06C2A4"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No. 45161/male</w:t>
                  </w:r>
                </w:p>
              </w:tc>
            </w:tr>
            <w:tr w:rsidR="00C76EAE" w14:paraId="793DE306" w14:textId="77777777" w:rsidTr="00702526">
              <w:tc>
                <w:tcPr>
                  <w:tcW w:w="1843" w:type="dxa"/>
                  <w:tcBorders>
                    <w:top w:val="nil"/>
                    <w:left w:val="double" w:sz="6" w:space="0" w:color="auto"/>
                    <w:bottom w:val="double" w:sz="6" w:space="0" w:color="auto"/>
                    <w:right w:val="single" w:sz="12" w:space="0" w:color="auto"/>
                  </w:tcBorders>
                  <w:hideMark/>
                </w:tcPr>
                <w:p w14:paraId="24F293FC"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b/>
                      <w:noProof w:val="0"/>
                      <w:color w:val="000000"/>
                      <w:sz w:val="20"/>
                    </w:rPr>
                    <w:t>Time after treatment [hours]</w:t>
                  </w:r>
                </w:p>
              </w:tc>
              <w:tc>
                <w:tcPr>
                  <w:tcW w:w="602" w:type="dxa"/>
                  <w:tcBorders>
                    <w:top w:val="nil"/>
                    <w:left w:val="single" w:sz="12" w:space="0" w:color="auto"/>
                    <w:bottom w:val="double" w:sz="6" w:space="0" w:color="auto"/>
                    <w:right w:val="nil"/>
                  </w:tcBorders>
                  <w:vAlign w:val="center"/>
                  <w:hideMark/>
                </w:tcPr>
                <w:p w14:paraId="0923FC5F"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1</w:t>
                  </w:r>
                </w:p>
              </w:tc>
              <w:tc>
                <w:tcPr>
                  <w:tcW w:w="602" w:type="dxa"/>
                  <w:tcBorders>
                    <w:top w:val="nil"/>
                    <w:left w:val="nil"/>
                    <w:bottom w:val="double" w:sz="6" w:space="0" w:color="auto"/>
                    <w:right w:val="nil"/>
                  </w:tcBorders>
                  <w:vAlign w:val="center"/>
                  <w:hideMark/>
                </w:tcPr>
                <w:p w14:paraId="44958979"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24</w:t>
                  </w:r>
                </w:p>
              </w:tc>
              <w:tc>
                <w:tcPr>
                  <w:tcW w:w="603" w:type="dxa"/>
                  <w:tcBorders>
                    <w:top w:val="nil"/>
                    <w:left w:val="nil"/>
                    <w:bottom w:val="double" w:sz="6" w:space="0" w:color="auto"/>
                    <w:right w:val="nil"/>
                  </w:tcBorders>
                  <w:vAlign w:val="center"/>
                  <w:hideMark/>
                </w:tcPr>
                <w:p w14:paraId="37C7D34E"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48</w:t>
                  </w:r>
                </w:p>
              </w:tc>
              <w:tc>
                <w:tcPr>
                  <w:tcW w:w="602" w:type="dxa"/>
                  <w:tcBorders>
                    <w:top w:val="nil"/>
                    <w:left w:val="nil"/>
                    <w:bottom w:val="double" w:sz="6" w:space="0" w:color="auto"/>
                    <w:right w:val="single" w:sz="12" w:space="0" w:color="auto"/>
                  </w:tcBorders>
                  <w:vAlign w:val="center"/>
                  <w:hideMark/>
                </w:tcPr>
                <w:p w14:paraId="080223D7"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72</w:t>
                  </w:r>
                </w:p>
              </w:tc>
              <w:tc>
                <w:tcPr>
                  <w:tcW w:w="603" w:type="dxa"/>
                  <w:tcBorders>
                    <w:top w:val="nil"/>
                    <w:left w:val="single" w:sz="12" w:space="0" w:color="auto"/>
                    <w:bottom w:val="double" w:sz="6" w:space="0" w:color="auto"/>
                    <w:right w:val="nil"/>
                  </w:tcBorders>
                  <w:vAlign w:val="center"/>
                  <w:hideMark/>
                </w:tcPr>
                <w:p w14:paraId="5525B40A"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1</w:t>
                  </w:r>
                </w:p>
              </w:tc>
              <w:tc>
                <w:tcPr>
                  <w:tcW w:w="602" w:type="dxa"/>
                  <w:tcBorders>
                    <w:top w:val="nil"/>
                    <w:left w:val="nil"/>
                    <w:bottom w:val="double" w:sz="6" w:space="0" w:color="auto"/>
                    <w:right w:val="nil"/>
                  </w:tcBorders>
                  <w:vAlign w:val="center"/>
                  <w:hideMark/>
                </w:tcPr>
                <w:p w14:paraId="2278C1AC"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24</w:t>
                  </w:r>
                </w:p>
              </w:tc>
              <w:tc>
                <w:tcPr>
                  <w:tcW w:w="602" w:type="dxa"/>
                  <w:tcBorders>
                    <w:top w:val="nil"/>
                    <w:left w:val="nil"/>
                    <w:bottom w:val="double" w:sz="6" w:space="0" w:color="auto"/>
                    <w:right w:val="nil"/>
                  </w:tcBorders>
                  <w:vAlign w:val="center"/>
                  <w:hideMark/>
                </w:tcPr>
                <w:p w14:paraId="0DAA9564"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48</w:t>
                  </w:r>
                </w:p>
              </w:tc>
              <w:tc>
                <w:tcPr>
                  <w:tcW w:w="603" w:type="dxa"/>
                  <w:tcBorders>
                    <w:top w:val="nil"/>
                    <w:left w:val="nil"/>
                    <w:bottom w:val="double" w:sz="6" w:space="0" w:color="auto"/>
                    <w:right w:val="single" w:sz="12" w:space="0" w:color="auto"/>
                  </w:tcBorders>
                  <w:vAlign w:val="center"/>
                  <w:hideMark/>
                </w:tcPr>
                <w:p w14:paraId="6431CFC1"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72</w:t>
                  </w:r>
                </w:p>
              </w:tc>
              <w:tc>
                <w:tcPr>
                  <w:tcW w:w="602" w:type="dxa"/>
                  <w:tcBorders>
                    <w:top w:val="nil"/>
                    <w:left w:val="single" w:sz="12" w:space="0" w:color="auto"/>
                    <w:bottom w:val="double" w:sz="6" w:space="0" w:color="auto"/>
                    <w:right w:val="nil"/>
                  </w:tcBorders>
                  <w:vAlign w:val="center"/>
                  <w:hideMark/>
                </w:tcPr>
                <w:p w14:paraId="65FC0251"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1</w:t>
                  </w:r>
                </w:p>
              </w:tc>
              <w:tc>
                <w:tcPr>
                  <w:tcW w:w="603" w:type="dxa"/>
                  <w:tcBorders>
                    <w:top w:val="nil"/>
                    <w:left w:val="nil"/>
                    <w:bottom w:val="double" w:sz="6" w:space="0" w:color="auto"/>
                    <w:right w:val="nil"/>
                  </w:tcBorders>
                  <w:vAlign w:val="center"/>
                  <w:hideMark/>
                </w:tcPr>
                <w:p w14:paraId="0FF1CA26"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24</w:t>
                  </w:r>
                </w:p>
              </w:tc>
              <w:tc>
                <w:tcPr>
                  <w:tcW w:w="602" w:type="dxa"/>
                  <w:tcBorders>
                    <w:top w:val="nil"/>
                    <w:left w:val="nil"/>
                    <w:bottom w:val="double" w:sz="6" w:space="0" w:color="auto"/>
                    <w:right w:val="nil"/>
                  </w:tcBorders>
                  <w:vAlign w:val="center"/>
                  <w:hideMark/>
                </w:tcPr>
                <w:p w14:paraId="49E4DCC9"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48</w:t>
                  </w:r>
                </w:p>
              </w:tc>
              <w:tc>
                <w:tcPr>
                  <w:tcW w:w="603" w:type="dxa"/>
                  <w:tcBorders>
                    <w:top w:val="nil"/>
                    <w:left w:val="nil"/>
                    <w:bottom w:val="double" w:sz="6" w:space="0" w:color="auto"/>
                    <w:right w:val="double" w:sz="6" w:space="0" w:color="auto"/>
                  </w:tcBorders>
                  <w:vAlign w:val="center"/>
                  <w:hideMark/>
                </w:tcPr>
                <w:p w14:paraId="6BF6E1B6" w14:textId="77777777" w:rsidR="00C76EAE" w:rsidRDefault="00C76EAE" w:rsidP="00C76EAE">
                  <w:pPr>
                    <w:pStyle w:val="Texte2"/>
                    <w:keepNext/>
                    <w:keepLines/>
                    <w:spacing w:before="20" w:after="20"/>
                    <w:ind w:left="0" w:right="-16"/>
                    <w:jc w:val="center"/>
                    <w:rPr>
                      <w:rFonts w:ascii="Times New Roman" w:hAnsi="Times New Roman"/>
                      <w:b/>
                      <w:noProof w:val="0"/>
                      <w:color w:val="000000"/>
                      <w:sz w:val="20"/>
                    </w:rPr>
                  </w:pPr>
                  <w:r>
                    <w:rPr>
                      <w:rFonts w:ascii="Times New Roman" w:hAnsi="Times New Roman"/>
                      <w:b/>
                      <w:noProof w:val="0"/>
                      <w:color w:val="000000"/>
                      <w:sz w:val="20"/>
                    </w:rPr>
                    <w:t>72</w:t>
                  </w:r>
                </w:p>
              </w:tc>
            </w:tr>
            <w:tr w:rsidR="00C76EAE" w14:paraId="3B9A6B75" w14:textId="77777777" w:rsidTr="00702526">
              <w:tc>
                <w:tcPr>
                  <w:tcW w:w="9072" w:type="dxa"/>
                  <w:gridSpan w:val="13"/>
                  <w:tcBorders>
                    <w:top w:val="nil"/>
                    <w:left w:val="single" w:sz="12" w:space="0" w:color="auto"/>
                    <w:bottom w:val="single" w:sz="12" w:space="0" w:color="auto"/>
                    <w:right w:val="single" w:sz="12" w:space="0" w:color="auto"/>
                  </w:tcBorders>
                  <w:hideMark/>
                </w:tcPr>
                <w:p w14:paraId="563B4A33"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b/>
                      <w:noProof w:val="0"/>
                      <w:color w:val="000000"/>
                      <w:sz w:val="20"/>
                    </w:rPr>
                    <w:t>Cornea</w:t>
                  </w:r>
                </w:p>
              </w:tc>
            </w:tr>
            <w:tr w:rsidR="00C76EAE" w14:paraId="16EA6EA6" w14:textId="77777777" w:rsidTr="00702526">
              <w:tc>
                <w:tcPr>
                  <w:tcW w:w="1843" w:type="dxa"/>
                  <w:tcBorders>
                    <w:top w:val="single" w:sz="12" w:space="0" w:color="auto"/>
                    <w:left w:val="single" w:sz="12" w:space="0" w:color="auto"/>
                    <w:bottom w:val="nil"/>
                    <w:right w:val="single" w:sz="12" w:space="0" w:color="auto"/>
                  </w:tcBorders>
                  <w:hideMark/>
                </w:tcPr>
                <w:p w14:paraId="2E1934AE"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b/>
                      <w:noProof w:val="0"/>
                      <w:color w:val="000000"/>
                      <w:sz w:val="20"/>
                    </w:rPr>
                    <w:t>Opacity</w:t>
                  </w:r>
                </w:p>
              </w:tc>
              <w:tc>
                <w:tcPr>
                  <w:tcW w:w="602" w:type="dxa"/>
                  <w:tcBorders>
                    <w:top w:val="single" w:sz="12" w:space="0" w:color="auto"/>
                    <w:left w:val="single" w:sz="12" w:space="0" w:color="auto"/>
                    <w:bottom w:val="nil"/>
                    <w:right w:val="nil"/>
                  </w:tcBorders>
                  <w:hideMark/>
                </w:tcPr>
                <w:p w14:paraId="1806D480"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single" w:sz="12" w:space="0" w:color="auto"/>
                    <w:left w:val="nil"/>
                    <w:bottom w:val="nil"/>
                    <w:right w:val="nil"/>
                  </w:tcBorders>
                  <w:hideMark/>
                </w:tcPr>
                <w:p w14:paraId="5912EB72"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2</w:t>
                  </w:r>
                </w:p>
              </w:tc>
              <w:tc>
                <w:tcPr>
                  <w:tcW w:w="603" w:type="dxa"/>
                  <w:tcBorders>
                    <w:top w:val="single" w:sz="12" w:space="0" w:color="auto"/>
                    <w:left w:val="nil"/>
                    <w:bottom w:val="nil"/>
                    <w:right w:val="nil"/>
                  </w:tcBorders>
                  <w:hideMark/>
                </w:tcPr>
                <w:p w14:paraId="45DF500D"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2</w:t>
                  </w:r>
                </w:p>
              </w:tc>
              <w:tc>
                <w:tcPr>
                  <w:tcW w:w="602" w:type="dxa"/>
                  <w:tcBorders>
                    <w:top w:val="nil"/>
                    <w:left w:val="nil"/>
                    <w:bottom w:val="nil"/>
                    <w:right w:val="single" w:sz="12" w:space="0" w:color="auto"/>
                  </w:tcBorders>
                  <w:hideMark/>
                </w:tcPr>
                <w:p w14:paraId="230EE22F"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3" w:type="dxa"/>
                  <w:tcBorders>
                    <w:top w:val="single" w:sz="12" w:space="0" w:color="auto"/>
                    <w:left w:val="single" w:sz="12" w:space="0" w:color="auto"/>
                    <w:bottom w:val="nil"/>
                    <w:right w:val="nil"/>
                  </w:tcBorders>
                  <w:hideMark/>
                </w:tcPr>
                <w:p w14:paraId="0D07E84A"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single" w:sz="12" w:space="0" w:color="auto"/>
                    <w:left w:val="nil"/>
                    <w:bottom w:val="nil"/>
                    <w:right w:val="nil"/>
                  </w:tcBorders>
                  <w:hideMark/>
                </w:tcPr>
                <w:p w14:paraId="03670FBD"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single" w:sz="12" w:space="0" w:color="auto"/>
                    <w:left w:val="nil"/>
                    <w:bottom w:val="nil"/>
                    <w:right w:val="nil"/>
                  </w:tcBorders>
                  <w:hideMark/>
                </w:tcPr>
                <w:p w14:paraId="23D3899F"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nil"/>
                    <w:left w:val="nil"/>
                    <w:bottom w:val="nil"/>
                    <w:right w:val="single" w:sz="12" w:space="0" w:color="auto"/>
                  </w:tcBorders>
                  <w:hideMark/>
                </w:tcPr>
                <w:p w14:paraId="055368F0"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single" w:sz="12" w:space="0" w:color="auto"/>
                    <w:left w:val="single" w:sz="12" w:space="0" w:color="auto"/>
                    <w:bottom w:val="nil"/>
                    <w:right w:val="nil"/>
                  </w:tcBorders>
                  <w:hideMark/>
                </w:tcPr>
                <w:p w14:paraId="6BED804C"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single" w:sz="12" w:space="0" w:color="auto"/>
                    <w:left w:val="nil"/>
                    <w:bottom w:val="nil"/>
                    <w:right w:val="nil"/>
                  </w:tcBorders>
                  <w:hideMark/>
                </w:tcPr>
                <w:p w14:paraId="115FDDE5"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single" w:sz="12" w:space="0" w:color="auto"/>
                    <w:left w:val="nil"/>
                    <w:bottom w:val="nil"/>
                    <w:right w:val="nil"/>
                  </w:tcBorders>
                  <w:hideMark/>
                </w:tcPr>
                <w:p w14:paraId="25D05E74"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single" w:sz="12" w:space="0" w:color="auto"/>
                    <w:left w:val="nil"/>
                    <w:bottom w:val="nil"/>
                    <w:right w:val="single" w:sz="12" w:space="0" w:color="auto"/>
                  </w:tcBorders>
                  <w:hideMark/>
                </w:tcPr>
                <w:p w14:paraId="45C44DD3"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r>
            <w:tr w:rsidR="00C76EAE" w14:paraId="63222CDC" w14:textId="77777777" w:rsidTr="00702526">
              <w:tc>
                <w:tcPr>
                  <w:tcW w:w="1843" w:type="dxa"/>
                  <w:tcBorders>
                    <w:top w:val="nil"/>
                    <w:left w:val="single" w:sz="12" w:space="0" w:color="auto"/>
                    <w:bottom w:val="single" w:sz="12" w:space="0" w:color="auto"/>
                    <w:right w:val="single" w:sz="12" w:space="0" w:color="auto"/>
                  </w:tcBorders>
                  <w:hideMark/>
                </w:tcPr>
                <w:p w14:paraId="3AA3855C"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b/>
                      <w:noProof w:val="0"/>
                      <w:color w:val="000000"/>
                      <w:sz w:val="20"/>
                    </w:rPr>
                    <w:t>Area involved</w:t>
                  </w:r>
                </w:p>
              </w:tc>
              <w:tc>
                <w:tcPr>
                  <w:tcW w:w="602" w:type="dxa"/>
                  <w:tcBorders>
                    <w:top w:val="nil"/>
                    <w:left w:val="single" w:sz="12" w:space="0" w:color="auto"/>
                    <w:bottom w:val="single" w:sz="12" w:space="0" w:color="auto"/>
                    <w:right w:val="nil"/>
                  </w:tcBorders>
                  <w:hideMark/>
                </w:tcPr>
                <w:p w14:paraId="2E3FF6F6"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nil"/>
                    <w:left w:val="nil"/>
                    <w:bottom w:val="single" w:sz="12" w:space="0" w:color="auto"/>
                    <w:right w:val="nil"/>
                  </w:tcBorders>
                  <w:hideMark/>
                </w:tcPr>
                <w:p w14:paraId="66F1FB5B"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3</w:t>
                  </w:r>
                </w:p>
              </w:tc>
              <w:tc>
                <w:tcPr>
                  <w:tcW w:w="603" w:type="dxa"/>
                  <w:tcBorders>
                    <w:top w:val="nil"/>
                    <w:left w:val="nil"/>
                    <w:bottom w:val="single" w:sz="12" w:space="0" w:color="auto"/>
                    <w:right w:val="nil"/>
                  </w:tcBorders>
                  <w:hideMark/>
                </w:tcPr>
                <w:p w14:paraId="6C44B08A"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3</w:t>
                  </w:r>
                </w:p>
              </w:tc>
              <w:tc>
                <w:tcPr>
                  <w:tcW w:w="602" w:type="dxa"/>
                  <w:tcBorders>
                    <w:top w:val="nil"/>
                    <w:left w:val="nil"/>
                    <w:bottom w:val="single" w:sz="12" w:space="0" w:color="auto"/>
                    <w:right w:val="single" w:sz="12" w:space="0" w:color="auto"/>
                  </w:tcBorders>
                  <w:hideMark/>
                </w:tcPr>
                <w:p w14:paraId="2235A036"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3" w:type="dxa"/>
                  <w:tcBorders>
                    <w:top w:val="nil"/>
                    <w:left w:val="single" w:sz="12" w:space="0" w:color="auto"/>
                    <w:bottom w:val="single" w:sz="12" w:space="0" w:color="auto"/>
                    <w:right w:val="nil"/>
                  </w:tcBorders>
                  <w:hideMark/>
                </w:tcPr>
                <w:p w14:paraId="7E4FF7AD"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nil"/>
                    <w:left w:val="nil"/>
                    <w:bottom w:val="single" w:sz="12" w:space="0" w:color="auto"/>
                    <w:right w:val="nil"/>
                  </w:tcBorders>
                  <w:hideMark/>
                </w:tcPr>
                <w:p w14:paraId="5CDDB3AA"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nil"/>
                    <w:left w:val="nil"/>
                    <w:bottom w:val="single" w:sz="12" w:space="0" w:color="auto"/>
                    <w:right w:val="nil"/>
                  </w:tcBorders>
                  <w:hideMark/>
                </w:tcPr>
                <w:p w14:paraId="40425880"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nil"/>
                    <w:left w:val="nil"/>
                    <w:bottom w:val="single" w:sz="12" w:space="0" w:color="auto"/>
                    <w:right w:val="single" w:sz="12" w:space="0" w:color="auto"/>
                  </w:tcBorders>
                  <w:hideMark/>
                </w:tcPr>
                <w:p w14:paraId="4C49F4E0"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nil"/>
                    <w:left w:val="single" w:sz="12" w:space="0" w:color="auto"/>
                    <w:bottom w:val="single" w:sz="12" w:space="0" w:color="auto"/>
                    <w:right w:val="nil"/>
                  </w:tcBorders>
                  <w:hideMark/>
                </w:tcPr>
                <w:p w14:paraId="4C440F10"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nil"/>
                    <w:left w:val="nil"/>
                    <w:bottom w:val="single" w:sz="12" w:space="0" w:color="auto"/>
                    <w:right w:val="nil"/>
                  </w:tcBorders>
                  <w:hideMark/>
                </w:tcPr>
                <w:p w14:paraId="6A02C2E9"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nil"/>
                    <w:left w:val="nil"/>
                    <w:bottom w:val="single" w:sz="12" w:space="0" w:color="auto"/>
                    <w:right w:val="nil"/>
                  </w:tcBorders>
                  <w:hideMark/>
                </w:tcPr>
                <w:p w14:paraId="06FC4648"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nil"/>
                    <w:left w:val="nil"/>
                    <w:bottom w:val="single" w:sz="12" w:space="0" w:color="auto"/>
                    <w:right w:val="single" w:sz="12" w:space="0" w:color="auto"/>
                  </w:tcBorders>
                  <w:hideMark/>
                </w:tcPr>
                <w:p w14:paraId="1720DF46"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r>
            <w:tr w:rsidR="00C76EAE" w14:paraId="77B610FE" w14:textId="77777777" w:rsidTr="00702526">
              <w:tc>
                <w:tcPr>
                  <w:tcW w:w="1843" w:type="dxa"/>
                  <w:tcBorders>
                    <w:top w:val="single" w:sz="12" w:space="0" w:color="auto"/>
                    <w:left w:val="double" w:sz="6" w:space="0" w:color="auto"/>
                    <w:bottom w:val="single" w:sz="12" w:space="0" w:color="auto"/>
                    <w:right w:val="single" w:sz="12" w:space="0" w:color="auto"/>
                  </w:tcBorders>
                  <w:hideMark/>
                </w:tcPr>
                <w:p w14:paraId="311FE91C"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b/>
                      <w:noProof w:val="0"/>
                      <w:color w:val="000000"/>
                      <w:sz w:val="20"/>
                    </w:rPr>
                    <w:t>Iris</w:t>
                  </w:r>
                </w:p>
              </w:tc>
              <w:tc>
                <w:tcPr>
                  <w:tcW w:w="602" w:type="dxa"/>
                  <w:tcBorders>
                    <w:top w:val="single" w:sz="12" w:space="0" w:color="auto"/>
                    <w:left w:val="single" w:sz="12" w:space="0" w:color="auto"/>
                    <w:bottom w:val="single" w:sz="12" w:space="0" w:color="auto"/>
                    <w:right w:val="nil"/>
                  </w:tcBorders>
                  <w:hideMark/>
                </w:tcPr>
                <w:p w14:paraId="303EB44F"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single" w:sz="12" w:space="0" w:color="auto"/>
                    <w:left w:val="nil"/>
                    <w:bottom w:val="single" w:sz="12" w:space="0" w:color="auto"/>
                    <w:right w:val="nil"/>
                  </w:tcBorders>
                  <w:hideMark/>
                </w:tcPr>
                <w:p w14:paraId="70980C12"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single" w:sz="12" w:space="0" w:color="auto"/>
                    <w:left w:val="nil"/>
                    <w:bottom w:val="single" w:sz="12" w:space="0" w:color="auto"/>
                    <w:right w:val="nil"/>
                  </w:tcBorders>
                  <w:hideMark/>
                </w:tcPr>
                <w:p w14:paraId="1413F26C"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single" w:sz="12" w:space="0" w:color="auto"/>
                    <w:left w:val="nil"/>
                    <w:bottom w:val="single" w:sz="12" w:space="0" w:color="auto"/>
                    <w:right w:val="single" w:sz="12" w:space="0" w:color="auto"/>
                  </w:tcBorders>
                  <w:hideMark/>
                </w:tcPr>
                <w:p w14:paraId="5C47D1A7"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single" w:sz="12" w:space="0" w:color="auto"/>
                    <w:left w:val="single" w:sz="12" w:space="0" w:color="auto"/>
                    <w:bottom w:val="single" w:sz="12" w:space="0" w:color="auto"/>
                    <w:right w:val="nil"/>
                  </w:tcBorders>
                  <w:hideMark/>
                </w:tcPr>
                <w:p w14:paraId="4A42EB41"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single" w:sz="12" w:space="0" w:color="auto"/>
                    <w:left w:val="nil"/>
                    <w:bottom w:val="single" w:sz="12" w:space="0" w:color="auto"/>
                    <w:right w:val="nil"/>
                  </w:tcBorders>
                  <w:hideMark/>
                </w:tcPr>
                <w:p w14:paraId="0447F28F"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single" w:sz="12" w:space="0" w:color="auto"/>
                    <w:left w:val="nil"/>
                    <w:bottom w:val="single" w:sz="12" w:space="0" w:color="auto"/>
                    <w:right w:val="nil"/>
                  </w:tcBorders>
                  <w:hideMark/>
                </w:tcPr>
                <w:p w14:paraId="57311889"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single" w:sz="12" w:space="0" w:color="auto"/>
                    <w:left w:val="nil"/>
                    <w:bottom w:val="single" w:sz="12" w:space="0" w:color="auto"/>
                    <w:right w:val="single" w:sz="12" w:space="0" w:color="auto"/>
                  </w:tcBorders>
                  <w:hideMark/>
                </w:tcPr>
                <w:p w14:paraId="11872FA4"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single" w:sz="12" w:space="0" w:color="auto"/>
                    <w:left w:val="single" w:sz="12" w:space="0" w:color="auto"/>
                    <w:bottom w:val="single" w:sz="12" w:space="0" w:color="auto"/>
                    <w:right w:val="nil"/>
                  </w:tcBorders>
                  <w:hideMark/>
                </w:tcPr>
                <w:p w14:paraId="0A3B6153"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single" w:sz="12" w:space="0" w:color="auto"/>
                    <w:left w:val="nil"/>
                    <w:bottom w:val="single" w:sz="12" w:space="0" w:color="auto"/>
                    <w:right w:val="nil"/>
                  </w:tcBorders>
                  <w:hideMark/>
                </w:tcPr>
                <w:p w14:paraId="23117037"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single" w:sz="12" w:space="0" w:color="auto"/>
                    <w:left w:val="nil"/>
                    <w:bottom w:val="single" w:sz="12" w:space="0" w:color="auto"/>
                    <w:right w:val="nil"/>
                  </w:tcBorders>
                  <w:hideMark/>
                </w:tcPr>
                <w:p w14:paraId="6F0AB742"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single" w:sz="12" w:space="0" w:color="auto"/>
                    <w:left w:val="nil"/>
                    <w:bottom w:val="single" w:sz="12" w:space="0" w:color="auto"/>
                    <w:right w:val="double" w:sz="6" w:space="0" w:color="auto"/>
                  </w:tcBorders>
                  <w:hideMark/>
                </w:tcPr>
                <w:p w14:paraId="0925518C"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r>
            <w:tr w:rsidR="00C76EAE" w14:paraId="67336C7C" w14:textId="77777777" w:rsidTr="00702526">
              <w:tc>
                <w:tcPr>
                  <w:tcW w:w="9072" w:type="dxa"/>
                  <w:gridSpan w:val="13"/>
                  <w:tcBorders>
                    <w:top w:val="single" w:sz="12" w:space="0" w:color="auto"/>
                    <w:left w:val="single" w:sz="12" w:space="0" w:color="auto"/>
                    <w:bottom w:val="nil"/>
                    <w:right w:val="single" w:sz="12" w:space="0" w:color="auto"/>
                  </w:tcBorders>
                  <w:hideMark/>
                </w:tcPr>
                <w:p w14:paraId="1EB6D5C3" w14:textId="77777777" w:rsidR="00C76EAE" w:rsidRDefault="00C76EAE" w:rsidP="00C76EAE">
                  <w:pPr>
                    <w:pStyle w:val="Texte2"/>
                    <w:keepNext/>
                    <w:keepLines/>
                    <w:spacing w:before="20" w:after="20"/>
                    <w:ind w:left="0" w:right="-16"/>
                    <w:jc w:val="left"/>
                    <w:rPr>
                      <w:rFonts w:ascii="Times New Roman" w:hAnsi="Times New Roman"/>
                      <w:noProof w:val="0"/>
                      <w:color w:val="000000"/>
                      <w:sz w:val="20"/>
                    </w:rPr>
                  </w:pPr>
                  <w:r>
                    <w:rPr>
                      <w:rFonts w:ascii="Times New Roman" w:hAnsi="Times New Roman"/>
                      <w:noProof w:val="0"/>
                      <w:color w:val="000000"/>
                      <w:sz w:val="20"/>
                    </w:rPr>
                    <w:t>Conjunctivae</w:t>
                  </w:r>
                </w:p>
              </w:tc>
            </w:tr>
            <w:tr w:rsidR="00C76EAE" w14:paraId="68C48BF2" w14:textId="77777777" w:rsidTr="00702526">
              <w:tc>
                <w:tcPr>
                  <w:tcW w:w="1843" w:type="dxa"/>
                  <w:tcBorders>
                    <w:top w:val="nil"/>
                    <w:left w:val="single" w:sz="12" w:space="0" w:color="auto"/>
                    <w:bottom w:val="nil"/>
                    <w:right w:val="single" w:sz="12" w:space="0" w:color="auto"/>
                  </w:tcBorders>
                  <w:hideMark/>
                </w:tcPr>
                <w:p w14:paraId="3AD5B84C"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b/>
                      <w:noProof w:val="0"/>
                      <w:color w:val="000000"/>
                      <w:sz w:val="20"/>
                    </w:rPr>
                    <w:t>Redness</w:t>
                  </w:r>
                </w:p>
              </w:tc>
              <w:tc>
                <w:tcPr>
                  <w:tcW w:w="602" w:type="dxa"/>
                  <w:tcBorders>
                    <w:top w:val="nil"/>
                    <w:left w:val="single" w:sz="12" w:space="0" w:color="auto"/>
                    <w:bottom w:val="nil"/>
                    <w:right w:val="nil"/>
                  </w:tcBorders>
                  <w:hideMark/>
                </w:tcPr>
                <w:p w14:paraId="340C20FD"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3</w:t>
                  </w:r>
                </w:p>
              </w:tc>
              <w:tc>
                <w:tcPr>
                  <w:tcW w:w="602" w:type="dxa"/>
                  <w:tcBorders>
                    <w:top w:val="nil"/>
                    <w:left w:val="nil"/>
                    <w:bottom w:val="nil"/>
                    <w:right w:val="nil"/>
                  </w:tcBorders>
                  <w:hideMark/>
                </w:tcPr>
                <w:p w14:paraId="505A5A88"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3</w:t>
                  </w:r>
                </w:p>
              </w:tc>
              <w:tc>
                <w:tcPr>
                  <w:tcW w:w="603" w:type="dxa"/>
                  <w:tcBorders>
                    <w:top w:val="nil"/>
                    <w:left w:val="nil"/>
                    <w:bottom w:val="nil"/>
                    <w:right w:val="nil"/>
                  </w:tcBorders>
                  <w:hideMark/>
                </w:tcPr>
                <w:p w14:paraId="354FFE54"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2</w:t>
                  </w:r>
                </w:p>
              </w:tc>
              <w:tc>
                <w:tcPr>
                  <w:tcW w:w="602" w:type="dxa"/>
                  <w:tcBorders>
                    <w:top w:val="nil"/>
                    <w:left w:val="nil"/>
                    <w:bottom w:val="nil"/>
                    <w:right w:val="single" w:sz="12" w:space="0" w:color="auto"/>
                  </w:tcBorders>
                  <w:hideMark/>
                </w:tcPr>
                <w:p w14:paraId="58DCBE12"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2</w:t>
                  </w:r>
                </w:p>
              </w:tc>
              <w:tc>
                <w:tcPr>
                  <w:tcW w:w="603" w:type="dxa"/>
                  <w:tcBorders>
                    <w:top w:val="nil"/>
                    <w:left w:val="single" w:sz="12" w:space="0" w:color="auto"/>
                    <w:bottom w:val="nil"/>
                    <w:right w:val="nil"/>
                  </w:tcBorders>
                  <w:hideMark/>
                </w:tcPr>
                <w:p w14:paraId="2774A569"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nil"/>
                    <w:left w:val="nil"/>
                    <w:bottom w:val="nil"/>
                    <w:right w:val="nil"/>
                  </w:tcBorders>
                  <w:hideMark/>
                </w:tcPr>
                <w:p w14:paraId="40FA8410"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nil"/>
                    <w:left w:val="nil"/>
                    <w:bottom w:val="nil"/>
                    <w:right w:val="nil"/>
                  </w:tcBorders>
                  <w:hideMark/>
                </w:tcPr>
                <w:p w14:paraId="65A92843"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3" w:type="dxa"/>
                  <w:tcBorders>
                    <w:top w:val="nil"/>
                    <w:left w:val="nil"/>
                    <w:bottom w:val="nil"/>
                    <w:right w:val="single" w:sz="12" w:space="0" w:color="auto"/>
                  </w:tcBorders>
                  <w:hideMark/>
                </w:tcPr>
                <w:p w14:paraId="257A7300"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nil"/>
                    <w:left w:val="single" w:sz="12" w:space="0" w:color="auto"/>
                    <w:bottom w:val="nil"/>
                    <w:right w:val="nil"/>
                  </w:tcBorders>
                  <w:hideMark/>
                </w:tcPr>
                <w:p w14:paraId="659A869D"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2</w:t>
                  </w:r>
                </w:p>
              </w:tc>
              <w:tc>
                <w:tcPr>
                  <w:tcW w:w="603" w:type="dxa"/>
                  <w:tcBorders>
                    <w:top w:val="nil"/>
                    <w:left w:val="nil"/>
                    <w:bottom w:val="nil"/>
                    <w:right w:val="nil"/>
                  </w:tcBorders>
                  <w:hideMark/>
                </w:tcPr>
                <w:p w14:paraId="742B170A"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nil"/>
                    <w:left w:val="nil"/>
                    <w:bottom w:val="nil"/>
                    <w:right w:val="nil"/>
                  </w:tcBorders>
                  <w:hideMark/>
                </w:tcPr>
                <w:p w14:paraId="341FCAF4"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3" w:type="dxa"/>
                  <w:tcBorders>
                    <w:top w:val="nil"/>
                    <w:left w:val="nil"/>
                    <w:bottom w:val="nil"/>
                    <w:right w:val="single" w:sz="12" w:space="0" w:color="auto"/>
                  </w:tcBorders>
                  <w:hideMark/>
                </w:tcPr>
                <w:p w14:paraId="42B9B0E8"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r>
            <w:tr w:rsidR="00C76EAE" w14:paraId="6E7FEA3D" w14:textId="77777777" w:rsidTr="00702526">
              <w:tc>
                <w:tcPr>
                  <w:tcW w:w="1843" w:type="dxa"/>
                  <w:tcBorders>
                    <w:top w:val="nil"/>
                    <w:left w:val="single" w:sz="12" w:space="0" w:color="auto"/>
                    <w:bottom w:val="nil"/>
                    <w:right w:val="single" w:sz="12" w:space="0" w:color="auto"/>
                  </w:tcBorders>
                  <w:hideMark/>
                </w:tcPr>
                <w:p w14:paraId="5739B0AF"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b/>
                      <w:noProof w:val="0"/>
                      <w:color w:val="000000"/>
                      <w:sz w:val="20"/>
                    </w:rPr>
                    <w:t>Chemosis</w:t>
                  </w:r>
                </w:p>
              </w:tc>
              <w:tc>
                <w:tcPr>
                  <w:tcW w:w="602" w:type="dxa"/>
                  <w:tcBorders>
                    <w:top w:val="nil"/>
                    <w:left w:val="single" w:sz="12" w:space="0" w:color="auto"/>
                    <w:bottom w:val="nil"/>
                    <w:right w:val="nil"/>
                  </w:tcBorders>
                  <w:hideMark/>
                </w:tcPr>
                <w:p w14:paraId="5B3C0762"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3</w:t>
                  </w:r>
                </w:p>
              </w:tc>
              <w:tc>
                <w:tcPr>
                  <w:tcW w:w="602" w:type="dxa"/>
                  <w:tcBorders>
                    <w:top w:val="nil"/>
                    <w:left w:val="nil"/>
                    <w:bottom w:val="nil"/>
                    <w:right w:val="nil"/>
                  </w:tcBorders>
                  <w:hideMark/>
                </w:tcPr>
                <w:p w14:paraId="28F42454"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3" w:type="dxa"/>
                  <w:tcBorders>
                    <w:top w:val="nil"/>
                    <w:left w:val="nil"/>
                    <w:bottom w:val="nil"/>
                    <w:right w:val="nil"/>
                  </w:tcBorders>
                  <w:hideMark/>
                </w:tcPr>
                <w:p w14:paraId="3922694E"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nil"/>
                    <w:left w:val="nil"/>
                    <w:bottom w:val="nil"/>
                    <w:right w:val="single" w:sz="12" w:space="0" w:color="auto"/>
                  </w:tcBorders>
                  <w:hideMark/>
                </w:tcPr>
                <w:p w14:paraId="782EB76A"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3" w:type="dxa"/>
                  <w:tcBorders>
                    <w:top w:val="nil"/>
                    <w:left w:val="single" w:sz="12" w:space="0" w:color="auto"/>
                    <w:bottom w:val="nil"/>
                    <w:right w:val="nil"/>
                  </w:tcBorders>
                  <w:hideMark/>
                </w:tcPr>
                <w:p w14:paraId="333F54CB"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nil"/>
                    <w:left w:val="nil"/>
                    <w:bottom w:val="nil"/>
                    <w:right w:val="nil"/>
                  </w:tcBorders>
                  <w:hideMark/>
                </w:tcPr>
                <w:p w14:paraId="1FA4D02E"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nil"/>
                    <w:left w:val="nil"/>
                    <w:bottom w:val="nil"/>
                    <w:right w:val="nil"/>
                  </w:tcBorders>
                  <w:hideMark/>
                </w:tcPr>
                <w:p w14:paraId="10D345C9"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3" w:type="dxa"/>
                  <w:tcBorders>
                    <w:top w:val="nil"/>
                    <w:left w:val="nil"/>
                    <w:bottom w:val="nil"/>
                    <w:right w:val="single" w:sz="12" w:space="0" w:color="auto"/>
                  </w:tcBorders>
                  <w:hideMark/>
                </w:tcPr>
                <w:p w14:paraId="1428F807"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nil"/>
                    <w:left w:val="single" w:sz="12" w:space="0" w:color="auto"/>
                    <w:bottom w:val="nil"/>
                    <w:right w:val="nil"/>
                  </w:tcBorders>
                  <w:hideMark/>
                </w:tcPr>
                <w:p w14:paraId="02BFED61"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2</w:t>
                  </w:r>
                </w:p>
              </w:tc>
              <w:tc>
                <w:tcPr>
                  <w:tcW w:w="603" w:type="dxa"/>
                  <w:tcBorders>
                    <w:top w:val="nil"/>
                    <w:left w:val="nil"/>
                    <w:bottom w:val="nil"/>
                    <w:right w:val="nil"/>
                  </w:tcBorders>
                  <w:hideMark/>
                </w:tcPr>
                <w:p w14:paraId="180244A2"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nil"/>
                    <w:left w:val="nil"/>
                    <w:bottom w:val="nil"/>
                    <w:right w:val="nil"/>
                  </w:tcBorders>
                  <w:hideMark/>
                </w:tcPr>
                <w:p w14:paraId="2A0FBCA5"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3" w:type="dxa"/>
                  <w:tcBorders>
                    <w:top w:val="nil"/>
                    <w:left w:val="nil"/>
                    <w:bottom w:val="nil"/>
                    <w:right w:val="single" w:sz="12" w:space="0" w:color="auto"/>
                  </w:tcBorders>
                  <w:hideMark/>
                </w:tcPr>
                <w:p w14:paraId="38C4BC7D"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r>
            <w:tr w:rsidR="00C76EAE" w14:paraId="1BFCDB92" w14:textId="77777777" w:rsidTr="00702526">
              <w:tc>
                <w:tcPr>
                  <w:tcW w:w="1843" w:type="dxa"/>
                  <w:tcBorders>
                    <w:top w:val="nil"/>
                    <w:left w:val="single" w:sz="12" w:space="0" w:color="auto"/>
                    <w:bottom w:val="single" w:sz="12" w:space="0" w:color="auto"/>
                    <w:right w:val="single" w:sz="12" w:space="0" w:color="auto"/>
                  </w:tcBorders>
                  <w:hideMark/>
                </w:tcPr>
                <w:p w14:paraId="3C4A1667"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b/>
                      <w:noProof w:val="0"/>
                      <w:color w:val="000000"/>
                      <w:sz w:val="20"/>
                    </w:rPr>
                    <w:t>Discharge</w:t>
                  </w:r>
                </w:p>
              </w:tc>
              <w:tc>
                <w:tcPr>
                  <w:tcW w:w="602" w:type="dxa"/>
                  <w:tcBorders>
                    <w:top w:val="nil"/>
                    <w:left w:val="single" w:sz="12" w:space="0" w:color="auto"/>
                    <w:bottom w:val="single" w:sz="12" w:space="0" w:color="auto"/>
                    <w:right w:val="nil"/>
                  </w:tcBorders>
                  <w:hideMark/>
                </w:tcPr>
                <w:p w14:paraId="014A4B28"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2</w:t>
                  </w:r>
                </w:p>
              </w:tc>
              <w:tc>
                <w:tcPr>
                  <w:tcW w:w="602" w:type="dxa"/>
                  <w:tcBorders>
                    <w:top w:val="nil"/>
                    <w:left w:val="nil"/>
                    <w:bottom w:val="single" w:sz="12" w:space="0" w:color="auto"/>
                    <w:right w:val="nil"/>
                  </w:tcBorders>
                  <w:hideMark/>
                </w:tcPr>
                <w:p w14:paraId="1A31F9ED"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nil"/>
                    <w:left w:val="nil"/>
                    <w:bottom w:val="single" w:sz="12" w:space="0" w:color="auto"/>
                    <w:right w:val="nil"/>
                  </w:tcBorders>
                  <w:hideMark/>
                </w:tcPr>
                <w:p w14:paraId="0A4DBC03"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nil"/>
                    <w:left w:val="nil"/>
                    <w:bottom w:val="single" w:sz="12" w:space="0" w:color="auto"/>
                    <w:right w:val="single" w:sz="12" w:space="0" w:color="auto"/>
                  </w:tcBorders>
                  <w:hideMark/>
                </w:tcPr>
                <w:p w14:paraId="633285EF"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nil"/>
                    <w:left w:val="single" w:sz="12" w:space="0" w:color="auto"/>
                    <w:bottom w:val="single" w:sz="12" w:space="0" w:color="auto"/>
                    <w:right w:val="nil"/>
                  </w:tcBorders>
                  <w:hideMark/>
                </w:tcPr>
                <w:p w14:paraId="244904EB"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1</w:t>
                  </w:r>
                </w:p>
              </w:tc>
              <w:tc>
                <w:tcPr>
                  <w:tcW w:w="602" w:type="dxa"/>
                  <w:tcBorders>
                    <w:top w:val="nil"/>
                    <w:left w:val="nil"/>
                    <w:bottom w:val="single" w:sz="12" w:space="0" w:color="auto"/>
                    <w:right w:val="nil"/>
                  </w:tcBorders>
                  <w:hideMark/>
                </w:tcPr>
                <w:p w14:paraId="204E7A7F"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nil"/>
                    <w:left w:val="nil"/>
                    <w:bottom w:val="single" w:sz="12" w:space="0" w:color="auto"/>
                    <w:right w:val="nil"/>
                  </w:tcBorders>
                  <w:hideMark/>
                </w:tcPr>
                <w:p w14:paraId="7DBE2CC7"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nil"/>
                    <w:left w:val="nil"/>
                    <w:bottom w:val="single" w:sz="12" w:space="0" w:color="auto"/>
                    <w:right w:val="single" w:sz="12" w:space="0" w:color="auto"/>
                  </w:tcBorders>
                  <w:hideMark/>
                </w:tcPr>
                <w:p w14:paraId="03C8DBE9"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nil"/>
                    <w:left w:val="single" w:sz="12" w:space="0" w:color="auto"/>
                    <w:bottom w:val="single" w:sz="12" w:space="0" w:color="auto"/>
                    <w:right w:val="nil"/>
                  </w:tcBorders>
                  <w:hideMark/>
                </w:tcPr>
                <w:p w14:paraId="4BA938CF"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3</w:t>
                  </w:r>
                </w:p>
              </w:tc>
              <w:tc>
                <w:tcPr>
                  <w:tcW w:w="603" w:type="dxa"/>
                  <w:tcBorders>
                    <w:top w:val="nil"/>
                    <w:left w:val="nil"/>
                    <w:bottom w:val="single" w:sz="12" w:space="0" w:color="auto"/>
                    <w:right w:val="nil"/>
                  </w:tcBorders>
                  <w:hideMark/>
                </w:tcPr>
                <w:p w14:paraId="35F53BC2"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2" w:type="dxa"/>
                  <w:tcBorders>
                    <w:top w:val="nil"/>
                    <w:left w:val="nil"/>
                    <w:bottom w:val="single" w:sz="12" w:space="0" w:color="auto"/>
                    <w:right w:val="nil"/>
                  </w:tcBorders>
                  <w:hideMark/>
                </w:tcPr>
                <w:p w14:paraId="1C026429"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c>
                <w:tcPr>
                  <w:tcW w:w="603" w:type="dxa"/>
                  <w:tcBorders>
                    <w:top w:val="nil"/>
                    <w:left w:val="nil"/>
                    <w:bottom w:val="single" w:sz="12" w:space="0" w:color="auto"/>
                    <w:right w:val="single" w:sz="12" w:space="0" w:color="auto"/>
                  </w:tcBorders>
                  <w:hideMark/>
                </w:tcPr>
                <w:p w14:paraId="22C934D7"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0</w:t>
                  </w:r>
                </w:p>
              </w:tc>
            </w:tr>
            <w:tr w:rsidR="00C76EAE" w14:paraId="1B283144" w14:textId="77777777" w:rsidTr="00702526">
              <w:tc>
                <w:tcPr>
                  <w:tcW w:w="1843" w:type="dxa"/>
                  <w:tcBorders>
                    <w:top w:val="nil"/>
                    <w:left w:val="single" w:sz="12" w:space="0" w:color="auto"/>
                    <w:bottom w:val="single" w:sz="12" w:space="0" w:color="auto"/>
                    <w:right w:val="single" w:sz="12" w:space="0" w:color="auto"/>
                  </w:tcBorders>
                  <w:hideMark/>
                </w:tcPr>
                <w:p w14:paraId="4E80441C"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color w:val="000000"/>
                      <w:sz w:val="20"/>
                    </w:rPr>
                    <w:t xml:space="preserve"> Mean of 24-72-hour </w:t>
                  </w:r>
                  <w:smartTag w:uri="urn:schemas-microsoft-com:office:smarttags" w:element="City">
                    <w:smartTag w:uri="urn:schemas-microsoft-com:office:smarttags" w:element="place">
                      <w:r>
                        <w:rPr>
                          <w:rFonts w:ascii="Times New Roman" w:hAnsi="Times New Roman"/>
                          <w:color w:val="000000"/>
                          <w:sz w:val="20"/>
                        </w:rPr>
                        <w:t>Readings</w:t>
                      </w:r>
                    </w:smartTag>
                  </w:smartTag>
                  <w:r>
                    <w:rPr>
                      <w:rFonts w:ascii="Times New Roman" w:hAnsi="Times New Roman"/>
                      <w:color w:val="000000"/>
                      <w:sz w:val="20"/>
                    </w:rPr>
                    <w:t>: individual animals</w:t>
                  </w:r>
                </w:p>
              </w:tc>
              <w:tc>
                <w:tcPr>
                  <w:tcW w:w="602" w:type="dxa"/>
                  <w:tcBorders>
                    <w:top w:val="single" w:sz="12" w:space="0" w:color="auto"/>
                    <w:left w:val="single" w:sz="12" w:space="0" w:color="auto"/>
                    <w:bottom w:val="single" w:sz="12" w:space="0" w:color="auto"/>
                    <w:right w:val="nil"/>
                  </w:tcBorders>
                </w:tcPr>
                <w:p w14:paraId="29C1B85F"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p>
              </w:tc>
              <w:tc>
                <w:tcPr>
                  <w:tcW w:w="1807" w:type="dxa"/>
                  <w:gridSpan w:val="3"/>
                  <w:tcBorders>
                    <w:top w:val="nil"/>
                    <w:left w:val="nil"/>
                    <w:bottom w:val="single" w:sz="12" w:space="0" w:color="auto"/>
                    <w:right w:val="single" w:sz="12" w:space="0" w:color="auto"/>
                  </w:tcBorders>
                  <w:hideMark/>
                </w:tcPr>
                <w:p w14:paraId="07CAD1F5" w14:textId="77777777" w:rsidR="00C76EAE" w:rsidRDefault="00C76EAE" w:rsidP="00C76EAE">
                  <w:pPr>
                    <w:pStyle w:val="Texte2"/>
                    <w:keepNext/>
                    <w:keepLines/>
                    <w:spacing w:before="20" w:after="20"/>
                    <w:ind w:left="0" w:right="-16"/>
                    <w:jc w:val="left"/>
                    <w:rPr>
                      <w:rFonts w:ascii="Times New Roman" w:hAnsi="Times New Roman"/>
                      <w:noProof w:val="0"/>
                      <w:color w:val="000000"/>
                      <w:sz w:val="20"/>
                    </w:rPr>
                  </w:pPr>
                  <w:r>
                    <w:rPr>
                      <w:rFonts w:ascii="Times New Roman" w:hAnsi="Times New Roman"/>
                      <w:noProof w:val="0"/>
                      <w:color w:val="000000"/>
                      <w:sz w:val="20"/>
                    </w:rPr>
                    <w:t>Opacity: 1.67</w:t>
                  </w:r>
                </w:p>
                <w:p w14:paraId="0AE55563" w14:textId="77777777" w:rsidR="00C76EAE" w:rsidRDefault="00C76EAE" w:rsidP="00C76EAE">
                  <w:pPr>
                    <w:pStyle w:val="Texte2"/>
                    <w:keepNext/>
                    <w:keepLines/>
                    <w:spacing w:before="20" w:after="20"/>
                    <w:ind w:left="0" w:right="-16"/>
                    <w:jc w:val="left"/>
                    <w:rPr>
                      <w:rFonts w:ascii="Times New Roman" w:hAnsi="Times New Roman"/>
                      <w:noProof w:val="0"/>
                      <w:color w:val="000000"/>
                      <w:sz w:val="20"/>
                    </w:rPr>
                  </w:pPr>
                  <w:r>
                    <w:rPr>
                      <w:rFonts w:ascii="Times New Roman" w:hAnsi="Times New Roman"/>
                      <w:noProof w:val="0"/>
                      <w:color w:val="000000"/>
                      <w:sz w:val="20"/>
                    </w:rPr>
                    <w:t>Iris: 0</w:t>
                  </w:r>
                </w:p>
                <w:p w14:paraId="1B095EFB" w14:textId="77777777" w:rsidR="00C76EAE" w:rsidRDefault="00C76EAE" w:rsidP="00C76EAE">
                  <w:pPr>
                    <w:pStyle w:val="Texte2"/>
                    <w:keepNext/>
                    <w:keepLines/>
                    <w:spacing w:before="20" w:after="20"/>
                    <w:ind w:left="0" w:right="-16"/>
                    <w:jc w:val="left"/>
                    <w:rPr>
                      <w:rFonts w:ascii="Times New Roman" w:hAnsi="Times New Roman"/>
                      <w:noProof w:val="0"/>
                      <w:color w:val="000000"/>
                      <w:sz w:val="20"/>
                    </w:rPr>
                  </w:pPr>
                  <w:r>
                    <w:rPr>
                      <w:rFonts w:ascii="Times New Roman" w:hAnsi="Times New Roman"/>
                      <w:noProof w:val="0"/>
                      <w:color w:val="000000"/>
                      <w:sz w:val="20"/>
                    </w:rPr>
                    <w:t>Redness: 2.33</w:t>
                  </w:r>
                  <w:r>
                    <w:rPr>
                      <w:rFonts w:ascii="Times New Roman" w:hAnsi="Times New Roman"/>
                      <w:noProof w:val="0"/>
                      <w:color w:val="000000"/>
                      <w:sz w:val="20"/>
                    </w:rPr>
                    <w:br/>
                    <w:t>Chemosis: 1.0</w:t>
                  </w:r>
                </w:p>
              </w:tc>
              <w:tc>
                <w:tcPr>
                  <w:tcW w:w="603" w:type="dxa"/>
                  <w:tcBorders>
                    <w:top w:val="nil"/>
                    <w:left w:val="single" w:sz="12" w:space="0" w:color="auto"/>
                    <w:bottom w:val="single" w:sz="12" w:space="0" w:color="auto"/>
                    <w:right w:val="nil"/>
                  </w:tcBorders>
                </w:tcPr>
                <w:p w14:paraId="518D7682"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p>
              </w:tc>
              <w:tc>
                <w:tcPr>
                  <w:tcW w:w="1807" w:type="dxa"/>
                  <w:gridSpan w:val="3"/>
                  <w:tcBorders>
                    <w:top w:val="nil"/>
                    <w:left w:val="nil"/>
                    <w:bottom w:val="single" w:sz="12" w:space="0" w:color="auto"/>
                    <w:right w:val="single" w:sz="12" w:space="0" w:color="auto"/>
                  </w:tcBorders>
                  <w:hideMark/>
                </w:tcPr>
                <w:p w14:paraId="3B084353" w14:textId="77777777" w:rsidR="00C76EAE" w:rsidRDefault="00C76EAE" w:rsidP="00C76EAE">
                  <w:pPr>
                    <w:pStyle w:val="Texte2"/>
                    <w:keepNext/>
                    <w:keepLines/>
                    <w:spacing w:before="20" w:after="20"/>
                    <w:ind w:left="0" w:right="-16"/>
                    <w:jc w:val="left"/>
                    <w:rPr>
                      <w:rFonts w:ascii="Times New Roman" w:hAnsi="Times New Roman"/>
                      <w:noProof w:val="0"/>
                      <w:color w:val="000000"/>
                      <w:sz w:val="20"/>
                    </w:rPr>
                  </w:pPr>
                  <w:r>
                    <w:rPr>
                      <w:rFonts w:ascii="Times New Roman" w:hAnsi="Times New Roman"/>
                      <w:noProof w:val="0"/>
                      <w:color w:val="000000"/>
                      <w:sz w:val="20"/>
                    </w:rPr>
                    <w:t>Opacity: 0</w:t>
                  </w:r>
                </w:p>
                <w:p w14:paraId="470BA8C9" w14:textId="77777777" w:rsidR="00C76EAE" w:rsidRDefault="00C76EAE" w:rsidP="00C76EAE">
                  <w:pPr>
                    <w:pStyle w:val="Texte2"/>
                    <w:keepNext/>
                    <w:keepLines/>
                    <w:spacing w:before="20" w:after="20"/>
                    <w:ind w:left="0" w:right="-16"/>
                    <w:jc w:val="left"/>
                    <w:rPr>
                      <w:rFonts w:ascii="Times New Roman" w:hAnsi="Times New Roman"/>
                      <w:noProof w:val="0"/>
                      <w:color w:val="000000"/>
                      <w:sz w:val="20"/>
                    </w:rPr>
                  </w:pPr>
                  <w:r>
                    <w:rPr>
                      <w:rFonts w:ascii="Times New Roman" w:hAnsi="Times New Roman"/>
                      <w:noProof w:val="0"/>
                      <w:color w:val="000000"/>
                      <w:sz w:val="20"/>
                    </w:rPr>
                    <w:t>Iris: 0</w:t>
                  </w:r>
                </w:p>
                <w:p w14:paraId="2556F47F" w14:textId="77777777" w:rsidR="00C76EAE" w:rsidRDefault="00C76EAE" w:rsidP="00C76EAE">
                  <w:pPr>
                    <w:pStyle w:val="Texte2"/>
                    <w:keepNext/>
                    <w:keepLines/>
                    <w:spacing w:before="20" w:after="20"/>
                    <w:ind w:left="0" w:right="-16"/>
                    <w:jc w:val="left"/>
                    <w:rPr>
                      <w:rFonts w:ascii="Times New Roman" w:hAnsi="Times New Roman"/>
                      <w:noProof w:val="0"/>
                      <w:color w:val="000000"/>
                      <w:sz w:val="20"/>
                    </w:rPr>
                  </w:pPr>
                  <w:r>
                    <w:rPr>
                      <w:rFonts w:ascii="Times New Roman" w:hAnsi="Times New Roman"/>
                      <w:noProof w:val="0"/>
                      <w:color w:val="000000"/>
                      <w:sz w:val="20"/>
                    </w:rPr>
                    <w:t>Redness: 1.0</w:t>
                  </w:r>
                  <w:r>
                    <w:rPr>
                      <w:rFonts w:ascii="Times New Roman" w:hAnsi="Times New Roman"/>
                      <w:noProof w:val="0"/>
                      <w:color w:val="000000"/>
                      <w:sz w:val="20"/>
                    </w:rPr>
                    <w:br/>
                    <w:t>Chemosis: 1.0</w:t>
                  </w:r>
                </w:p>
              </w:tc>
              <w:tc>
                <w:tcPr>
                  <w:tcW w:w="602" w:type="dxa"/>
                  <w:tcBorders>
                    <w:top w:val="nil"/>
                    <w:left w:val="single" w:sz="12" w:space="0" w:color="auto"/>
                    <w:bottom w:val="single" w:sz="12" w:space="0" w:color="auto"/>
                    <w:right w:val="nil"/>
                  </w:tcBorders>
                </w:tcPr>
                <w:p w14:paraId="13EE7EEF"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p>
              </w:tc>
              <w:tc>
                <w:tcPr>
                  <w:tcW w:w="1808" w:type="dxa"/>
                  <w:gridSpan w:val="3"/>
                  <w:tcBorders>
                    <w:top w:val="nil"/>
                    <w:left w:val="nil"/>
                    <w:bottom w:val="single" w:sz="12" w:space="0" w:color="auto"/>
                    <w:right w:val="single" w:sz="12" w:space="0" w:color="auto"/>
                  </w:tcBorders>
                  <w:hideMark/>
                </w:tcPr>
                <w:p w14:paraId="3F8865A6" w14:textId="77777777" w:rsidR="00C76EAE" w:rsidRDefault="00C76EAE" w:rsidP="00C76EAE">
                  <w:pPr>
                    <w:pStyle w:val="Texte2"/>
                    <w:keepNext/>
                    <w:keepLines/>
                    <w:spacing w:before="20" w:after="20"/>
                    <w:ind w:left="0" w:right="-16"/>
                    <w:jc w:val="left"/>
                    <w:rPr>
                      <w:rFonts w:ascii="Times New Roman" w:hAnsi="Times New Roman"/>
                      <w:noProof w:val="0"/>
                      <w:color w:val="000000"/>
                      <w:sz w:val="20"/>
                    </w:rPr>
                  </w:pPr>
                  <w:r>
                    <w:rPr>
                      <w:rFonts w:ascii="Times New Roman" w:hAnsi="Times New Roman"/>
                      <w:noProof w:val="0"/>
                      <w:color w:val="000000"/>
                      <w:sz w:val="20"/>
                    </w:rPr>
                    <w:t>Opacity: 0</w:t>
                  </w:r>
                </w:p>
                <w:p w14:paraId="6EB06E70" w14:textId="77777777" w:rsidR="00C76EAE" w:rsidRDefault="00C76EAE" w:rsidP="00C76EAE">
                  <w:pPr>
                    <w:pStyle w:val="Texte2"/>
                    <w:keepNext/>
                    <w:keepLines/>
                    <w:spacing w:before="20" w:after="20"/>
                    <w:ind w:left="0" w:right="-16"/>
                    <w:jc w:val="left"/>
                    <w:rPr>
                      <w:rFonts w:ascii="Times New Roman" w:hAnsi="Times New Roman"/>
                      <w:noProof w:val="0"/>
                      <w:color w:val="000000"/>
                      <w:sz w:val="20"/>
                    </w:rPr>
                  </w:pPr>
                  <w:r>
                    <w:rPr>
                      <w:rFonts w:ascii="Times New Roman" w:hAnsi="Times New Roman"/>
                      <w:noProof w:val="0"/>
                      <w:color w:val="000000"/>
                      <w:sz w:val="20"/>
                    </w:rPr>
                    <w:t>Iris: 0</w:t>
                  </w:r>
                </w:p>
                <w:p w14:paraId="0189B66D" w14:textId="77777777" w:rsidR="00C76EAE" w:rsidRDefault="00C76EAE" w:rsidP="00C76EAE">
                  <w:pPr>
                    <w:pStyle w:val="Texte2"/>
                    <w:keepNext/>
                    <w:keepLines/>
                    <w:spacing w:before="20" w:after="20"/>
                    <w:ind w:left="0" w:right="-16"/>
                    <w:jc w:val="left"/>
                    <w:rPr>
                      <w:rFonts w:ascii="Times New Roman" w:hAnsi="Times New Roman"/>
                      <w:noProof w:val="0"/>
                      <w:color w:val="000000"/>
                      <w:sz w:val="20"/>
                    </w:rPr>
                  </w:pPr>
                  <w:r>
                    <w:rPr>
                      <w:rFonts w:ascii="Times New Roman" w:hAnsi="Times New Roman"/>
                      <w:noProof w:val="0"/>
                      <w:color w:val="000000"/>
                      <w:sz w:val="20"/>
                    </w:rPr>
                    <w:t>Redness: 1.0</w:t>
                  </w:r>
                  <w:r>
                    <w:rPr>
                      <w:rFonts w:ascii="Times New Roman" w:hAnsi="Times New Roman"/>
                      <w:noProof w:val="0"/>
                      <w:color w:val="000000"/>
                      <w:sz w:val="20"/>
                    </w:rPr>
                    <w:br/>
                    <w:t>Chemosis: 1.0</w:t>
                  </w:r>
                </w:p>
              </w:tc>
            </w:tr>
            <w:tr w:rsidR="00C76EAE" w14:paraId="362356D5" w14:textId="77777777" w:rsidTr="00702526">
              <w:tc>
                <w:tcPr>
                  <w:tcW w:w="1843" w:type="dxa"/>
                  <w:tcBorders>
                    <w:top w:val="nil"/>
                    <w:left w:val="single" w:sz="12" w:space="0" w:color="auto"/>
                    <w:bottom w:val="single" w:sz="12" w:space="0" w:color="auto"/>
                    <w:right w:val="single" w:sz="12" w:space="0" w:color="auto"/>
                  </w:tcBorders>
                  <w:hideMark/>
                </w:tcPr>
                <w:p w14:paraId="6FF6C3FC"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color w:val="000000"/>
                      <w:sz w:val="20"/>
                    </w:rPr>
                    <w:t xml:space="preserve"> Mean of 24-72-hour </w:t>
                  </w:r>
                  <w:smartTag w:uri="urn:schemas-microsoft-com:office:smarttags" w:element="City">
                    <w:smartTag w:uri="urn:schemas-microsoft-com:office:smarttags" w:element="place">
                      <w:r>
                        <w:rPr>
                          <w:rFonts w:ascii="Times New Roman" w:hAnsi="Times New Roman"/>
                          <w:color w:val="000000"/>
                          <w:sz w:val="20"/>
                        </w:rPr>
                        <w:t>Readings</w:t>
                      </w:r>
                    </w:smartTag>
                  </w:smartTag>
                  <w:r>
                    <w:rPr>
                      <w:rFonts w:ascii="Times New Roman" w:hAnsi="Times New Roman"/>
                      <w:color w:val="000000"/>
                      <w:sz w:val="20"/>
                    </w:rPr>
                    <w:t>: all animals</w:t>
                  </w:r>
                </w:p>
              </w:tc>
              <w:tc>
                <w:tcPr>
                  <w:tcW w:w="7229" w:type="dxa"/>
                  <w:gridSpan w:val="12"/>
                  <w:tcBorders>
                    <w:top w:val="single" w:sz="12" w:space="0" w:color="auto"/>
                    <w:left w:val="single" w:sz="12" w:space="0" w:color="auto"/>
                    <w:bottom w:val="single" w:sz="12" w:space="0" w:color="auto"/>
                    <w:right w:val="single" w:sz="12" w:space="0" w:color="auto"/>
                  </w:tcBorders>
                  <w:hideMark/>
                </w:tcPr>
                <w:p w14:paraId="68C98E6C"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Opacity: 0.55</w:t>
                  </w:r>
                </w:p>
                <w:p w14:paraId="1769AED0"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Iris: 0</w:t>
                  </w:r>
                </w:p>
                <w:p w14:paraId="4C64126A"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rPr>
                  </w:pPr>
                  <w:r>
                    <w:rPr>
                      <w:rFonts w:ascii="Times New Roman" w:hAnsi="Times New Roman"/>
                      <w:noProof w:val="0"/>
                      <w:color w:val="000000"/>
                      <w:sz w:val="20"/>
                    </w:rPr>
                    <w:t>Redness: 1.44</w:t>
                  </w:r>
                  <w:r>
                    <w:rPr>
                      <w:rFonts w:ascii="Times New Roman" w:hAnsi="Times New Roman"/>
                      <w:noProof w:val="0"/>
                      <w:color w:val="000000"/>
                      <w:sz w:val="20"/>
                    </w:rPr>
                    <w:br/>
                    <w:t>Chemosis: 1.0</w:t>
                  </w:r>
                </w:p>
              </w:tc>
            </w:tr>
            <w:tr w:rsidR="00C76EAE" w14:paraId="70C30FF2" w14:textId="77777777" w:rsidTr="00702526">
              <w:tc>
                <w:tcPr>
                  <w:tcW w:w="1843" w:type="dxa"/>
                  <w:tcBorders>
                    <w:top w:val="nil"/>
                    <w:left w:val="single" w:sz="12" w:space="0" w:color="auto"/>
                    <w:bottom w:val="single" w:sz="12" w:space="0" w:color="auto"/>
                    <w:right w:val="single" w:sz="12" w:space="0" w:color="auto"/>
                  </w:tcBorders>
                  <w:hideMark/>
                </w:tcPr>
                <w:p w14:paraId="04C6F98E" w14:textId="77777777" w:rsidR="00C76EAE" w:rsidRDefault="00C76EAE" w:rsidP="00C76EAE">
                  <w:pPr>
                    <w:pStyle w:val="Texte2"/>
                    <w:keepNext/>
                    <w:keepLines/>
                    <w:spacing w:before="20" w:after="20"/>
                    <w:ind w:left="0" w:right="-16"/>
                    <w:jc w:val="left"/>
                    <w:rPr>
                      <w:rFonts w:ascii="Times New Roman" w:hAnsi="Times New Roman"/>
                      <w:b/>
                      <w:noProof w:val="0"/>
                      <w:color w:val="000000"/>
                      <w:sz w:val="20"/>
                    </w:rPr>
                  </w:pPr>
                  <w:r>
                    <w:rPr>
                      <w:rFonts w:ascii="Times New Roman" w:hAnsi="Times New Roman"/>
                      <w:b/>
                      <w:noProof w:val="0"/>
                      <w:color w:val="000000"/>
                      <w:sz w:val="20"/>
                    </w:rPr>
                    <w:t>Classification</w:t>
                  </w:r>
                </w:p>
              </w:tc>
              <w:tc>
                <w:tcPr>
                  <w:tcW w:w="7229" w:type="dxa"/>
                  <w:gridSpan w:val="12"/>
                  <w:tcBorders>
                    <w:top w:val="single" w:sz="12" w:space="0" w:color="auto"/>
                    <w:left w:val="single" w:sz="12" w:space="0" w:color="auto"/>
                    <w:bottom w:val="single" w:sz="12" w:space="0" w:color="auto"/>
                    <w:right w:val="single" w:sz="12" w:space="0" w:color="auto"/>
                  </w:tcBorders>
                  <w:hideMark/>
                </w:tcPr>
                <w:p w14:paraId="60607DB2" w14:textId="77777777" w:rsidR="00C76EAE" w:rsidRDefault="00C76EAE" w:rsidP="00C76EAE">
                  <w:pPr>
                    <w:pStyle w:val="Texte2"/>
                    <w:keepNext/>
                    <w:keepLines/>
                    <w:spacing w:before="20" w:after="20"/>
                    <w:ind w:left="0" w:right="-16"/>
                    <w:jc w:val="center"/>
                    <w:rPr>
                      <w:rFonts w:ascii="Times New Roman" w:hAnsi="Times New Roman"/>
                      <w:noProof w:val="0"/>
                      <w:color w:val="000000"/>
                      <w:sz w:val="20"/>
                      <w:lang w:val="pt-PT"/>
                    </w:rPr>
                  </w:pPr>
                  <w:r>
                    <w:rPr>
                      <w:rFonts w:ascii="Times New Roman" w:hAnsi="Times New Roman"/>
                      <w:noProof w:val="0"/>
                      <w:color w:val="000000"/>
                      <w:sz w:val="20"/>
                      <w:lang w:val="pt-PT"/>
                    </w:rPr>
                    <w:t xml:space="preserve">Non-irritant (EU: </w:t>
                  </w:r>
                  <w:r>
                    <w:rPr>
                      <w:rFonts w:ascii="Times New Roman" w:hAnsi="Times New Roman"/>
                      <w:noProof w:val="0"/>
                      <w:color w:val="000000"/>
                      <w:sz w:val="20"/>
                      <w:lang w:val="pt-PT"/>
                    </w:rPr>
                    <w:noBreakHyphen/>
                    <w:t xml:space="preserve">; GHS: </w:t>
                  </w:r>
                  <w:r>
                    <w:rPr>
                      <w:rFonts w:ascii="Times New Roman" w:hAnsi="Times New Roman"/>
                      <w:noProof w:val="0"/>
                      <w:color w:val="000000"/>
                      <w:sz w:val="20"/>
                      <w:lang w:val="pt-PT"/>
                    </w:rPr>
                    <w:noBreakHyphen/>
                    <w:t>)</w:t>
                  </w:r>
                </w:p>
              </w:tc>
            </w:tr>
          </w:tbl>
          <w:p w14:paraId="0647A18A" w14:textId="77777777" w:rsidR="00C76EAE" w:rsidRDefault="00C76EAE" w:rsidP="00702526">
            <w:pPr>
              <w:pStyle w:val="Standaard-Tabellen"/>
              <w:rPr>
                <w:highlight w:val="yellow"/>
              </w:rPr>
            </w:pPr>
          </w:p>
        </w:tc>
      </w:tr>
    </w:tbl>
    <w:p w14:paraId="5C8238C9" w14:textId="77777777" w:rsidR="00DF4781" w:rsidRDefault="00DF4781" w:rsidP="00DF4781">
      <w:pPr>
        <w:rPr>
          <w:rFonts w:eastAsia="Calibri"/>
          <w:lang w:eastAsia="en-US"/>
        </w:rPr>
      </w:pPr>
    </w:p>
    <w:p w14:paraId="64880D17" w14:textId="77777777" w:rsidR="00F10CBA" w:rsidRDefault="00F10CBA" w:rsidP="00F10CBA">
      <w:r w:rsidRPr="00BD0FEE">
        <w:t xml:space="preserve">The primary eye irritation potential of </w:t>
      </w:r>
      <w:r>
        <w:t>the US lotion formulation</w:t>
      </w:r>
      <w:r w:rsidRPr="00BD0FEE">
        <w:t xml:space="preserve"> was investigated in 3 NZW rabbits according to OECD TG 405 and under GLP. </w:t>
      </w:r>
    </w:p>
    <w:p w14:paraId="6CA7E61F" w14:textId="77777777" w:rsidR="00C76EAE" w:rsidRDefault="00C76EAE" w:rsidP="00C76EAE">
      <w:r w:rsidRPr="00BD0FEE">
        <w:t xml:space="preserve">There were no deaths or remarkable body weight changes noted during the study. Positive corneal and conjunctival irritations were noted for two animals. Corneal irritation subsided by study day 7 and conjunctival irritation subsided by study termination (study day 17). The left (control) eyes were free of evidence of ocular irritation and other findings for the duration of the study. According to EU and CLP criteria, the mean scores for corneal reactions, iritis, conjunctival redness and chemosis were 0.55, 0, 1.44 and 1.0, respectively. Based on the mean scores obtained, a classification as an eye irritant is not required. </w:t>
      </w:r>
    </w:p>
    <w:p w14:paraId="00341619" w14:textId="77777777" w:rsidR="00C76EAE" w:rsidRDefault="00C76EAE" w:rsidP="00C76EAE"/>
    <w:p w14:paraId="694060AC" w14:textId="77777777" w:rsidR="00C76EAE" w:rsidRPr="004B6127" w:rsidRDefault="00C76EAE" w:rsidP="00C76EAE">
      <w:pPr>
        <w:rPr>
          <w:sz w:val="18"/>
          <w:szCs w:val="18"/>
        </w:rPr>
      </w:pPr>
      <w:r w:rsidRPr="00BD0FEE">
        <w:rPr>
          <w:rFonts w:eastAsia="Calibri"/>
          <w:lang w:eastAsia="en-US"/>
        </w:rPr>
        <w:t>No in vitro or human data are available for eye corrosion/irritation.</w:t>
      </w:r>
    </w:p>
    <w:p w14:paraId="65C98B0A" w14:textId="77777777" w:rsidR="00C76EAE" w:rsidRPr="00BD2EF1" w:rsidRDefault="00C76EAE" w:rsidP="00DF4781">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037"/>
        <w:gridCol w:w="9294"/>
      </w:tblGrid>
      <w:tr w:rsidR="00DF4781" w:rsidRPr="00BD2EF1" w14:paraId="7D31A293" w14:textId="77777777" w:rsidTr="00C76EAE">
        <w:tc>
          <w:tcPr>
            <w:tcW w:w="0" w:type="auto"/>
            <w:gridSpan w:val="2"/>
            <w:tcBorders>
              <w:top w:val="single" w:sz="4" w:space="0" w:color="auto"/>
              <w:left w:val="single" w:sz="4" w:space="0" w:color="auto"/>
              <w:bottom w:val="single" w:sz="6" w:space="0" w:color="auto"/>
              <w:right w:val="single" w:sz="6" w:space="0" w:color="auto"/>
            </w:tcBorders>
            <w:shd w:val="clear" w:color="auto" w:fill="CCFFCC"/>
          </w:tcPr>
          <w:p w14:paraId="7FE7DDB7" w14:textId="77777777" w:rsidR="00DF4781" w:rsidRPr="00BD2EF1" w:rsidRDefault="00DF4781" w:rsidP="00DF4781">
            <w:pPr>
              <w:rPr>
                <w:rFonts w:eastAsia="Calibri"/>
                <w:b/>
                <w:lang w:eastAsia="en-US"/>
              </w:rPr>
            </w:pPr>
            <w:r w:rsidRPr="00BD2EF1">
              <w:rPr>
                <w:rFonts w:eastAsia="Calibri"/>
                <w:b/>
                <w:lang w:eastAsia="en-US"/>
              </w:rPr>
              <w:t xml:space="preserve">Conclusion used in Risk Assessment – Eye irritation </w:t>
            </w:r>
          </w:p>
        </w:tc>
      </w:tr>
      <w:tr w:rsidR="00C76EAE" w:rsidRPr="00BD2EF1" w14:paraId="48527C42" w14:textId="77777777" w:rsidTr="00C76EAE">
        <w:trPr>
          <w:trHeight w:val="298"/>
        </w:trPr>
        <w:tc>
          <w:tcPr>
            <w:tcW w:w="0" w:type="auto"/>
            <w:tcBorders>
              <w:top w:val="single" w:sz="6" w:space="0" w:color="auto"/>
              <w:left w:val="single" w:sz="4" w:space="0" w:color="auto"/>
              <w:bottom w:val="single" w:sz="6" w:space="0" w:color="auto"/>
              <w:right w:val="single" w:sz="6" w:space="0" w:color="auto"/>
            </w:tcBorders>
            <w:shd w:val="clear" w:color="auto" w:fill="auto"/>
          </w:tcPr>
          <w:p w14:paraId="7436CD39" w14:textId="77777777" w:rsidR="00C76EAE" w:rsidRPr="00BD2EF1" w:rsidRDefault="00C76EAE" w:rsidP="00C76EAE">
            <w:pPr>
              <w:rPr>
                <w:rFonts w:eastAsia="Calibri"/>
                <w:lang w:eastAsia="en-US"/>
              </w:rPr>
            </w:pPr>
            <w:r w:rsidRPr="00BD2EF1">
              <w:rPr>
                <w:rFonts w:eastAsia="Calibri"/>
                <w:lang w:eastAsia="en-US"/>
              </w:rPr>
              <w:t>Value/conclusion</w:t>
            </w:r>
          </w:p>
        </w:tc>
        <w:tc>
          <w:tcPr>
            <w:tcW w:w="0" w:type="auto"/>
            <w:tcBorders>
              <w:top w:val="single" w:sz="6" w:space="0" w:color="auto"/>
              <w:left w:val="single" w:sz="6" w:space="0" w:color="auto"/>
              <w:bottom w:val="single" w:sz="6" w:space="0" w:color="auto"/>
              <w:right w:val="single" w:sz="6" w:space="0" w:color="auto"/>
            </w:tcBorders>
          </w:tcPr>
          <w:p w14:paraId="756BEC3B" w14:textId="77777777" w:rsidR="00C76EAE" w:rsidRPr="00BD2EF1" w:rsidRDefault="00C76EAE" w:rsidP="00C76EAE">
            <w:pPr>
              <w:rPr>
                <w:rFonts w:eastAsia="Calibri"/>
                <w:lang w:eastAsia="en-US"/>
              </w:rPr>
            </w:pPr>
            <w:r>
              <w:rPr>
                <w:rFonts w:eastAsia="Calibri"/>
                <w:lang w:eastAsia="en-US"/>
              </w:rPr>
              <w:t>Biocidal product not classified for eye corrosion/irritation according to (EU) nr. 1272/2008</w:t>
            </w:r>
          </w:p>
        </w:tc>
      </w:tr>
      <w:tr w:rsidR="00C76EAE" w:rsidRPr="00BD2EF1" w14:paraId="7FBF2068" w14:textId="77777777" w:rsidTr="00C76EAE">
        <w:tc>
          <w:tcPr>
            <w:tcW w:w="0" w:type="auto"/>
            <w:tcBorders>
              <w:top w:val="single" w:sz="6" w:space="0" w:color="auto"/>
              <w:left w:val="single" w:sz="4" w:space="0" w:color="auto"/>
              <w:bottom w:val="single" w:sz="6" w:space="0" w:color="auto"/>
              <w:right w:val="single" w:sz="6" w:space="0" w:color="auto"/>
            </w:tcBorders>
            <w:shd w:val="clear" w:color="auto" w:fill="auto"/>
          </w:tcPr>
          <w:p w14:paraId="1F75CE50" w14:textId="77777777" w:rsidR="00C76EAE" w:rsidRPr="00BD2EF1" w:rsidRDefault="00C76EAE" w:rsidP="00C76EAE">
            <w:pPr>
              <w:rPr>
                <w:rFonts w:eastAsia="Calibri"/>
                <w:lang w:eastAsia="en-US"/>
              </w:rPr>
            </w:pPr>
            <w:r w:rsidRPr="00BD2EF1">
              <w:rPr>
                <w:rFonts w:eastAsia="Calibri"/>
                <w:lang w:eastAsia="en-US"/>
              </w:rPr>
              <w:lastRenderedPageBreak/>
              <w:t>Justification for the value/conclusion</w:t>
            </w:r>
          </w:p>
        </w:tc>
        <w:tc>
          <w:tcPr>
            <w:tcW w:w="0" w:type="auto"/>
            <w:tcBorders>
              <w:top w:val="single" w:sz="6" w:space="0" w:color="auto"/>
              <w:left w:val="single" w:sz="6" w:space="0" w:color="auto"/>
              <w:bottom w:val="single" w:sz="6" w:space="0" w:color="auto"/>
              <w:right w:val="single" w:sz="6" w:space="0" w:color="auto"/>
            </w:tcBorders>
          </w:tcPr>
          <w:p w14:paraId="0578A0D8" w14:textId="77777777" w:rsidR="00C76EAE" w:rsidRPr="00BD2EF1" w:rsidRDefault="00C76EAE" w:rsidP="00C76EAE">
            <w:pPr>
              <w:rPr>
                <w:rFonts w:eastAsia="Calibri"/>
                <w:lang w:eastAsia="en-US"/>
              </w:rPr>
            </w:pPr>
            <w:r>
              <w:rPr>
                <w:rFonts w:eastAsia="Calibri"/>
                <w:lang w:eastAsia="en-US"/>
              </w:rPr>
              <w:t xml:space="preserve">Mean scores for </w:t>
            </w:r>
            <w:r>
              <w:rPr>
                <w:iCs/>
              </w:rPr>
              <w:t>corneal reactions, iritis, conjunctival redness and chemosis</w:t>
            </w:r>
            <w:r>
              <w:rPr>
                <w:i/>
                <w:iCs/>
              </w:rPr>
              <w:t xml:space="preserve"> </w:t>
            </w:r>
            <w:r>
              <w:rPr>
                <w:rFonts w:eastAsia="Calibri"/>
                <w:lang w:eastAsia="en-US"/>
              </w:rPr>
              <w:t>do not trigger a classification.</w:t>
            </w:r>
          </w:p>
        </w:tc>
      </w:tr>
      <w:tr w:rsidR="00C76EAE" w:rsidRPr="00BD2EF1" w14:paraId="32A2F5E1" w14:textId="77777777" w:rsidTr="00C76EAE">
        <w:tc>
          <w:tcPr>
            <w:tcW w:w="0" w:type="auto"/>
            <w:tcBorders>
              <w:top w:val="single" w:sz="6" w:space="0" w:color="auto"/>
              <w:left w:val="single" w:sz="4" w:space="0" w:color="auto"/>
              <w:bottom w:val="single" w:sz="6" w:space="0" w:color="auto"/>
              <w:right w:val="single" w:sz="6" w:space="0" w:color="auto"/>
            </w:tcBorders>
            <w:shd w:val="clear" w:color="auto" w:fill="auto"/>
          </w:tcPr>
          <w:p w14:paraId="624B40D9" w14:textId="77777777" w:rsidR="00C76EAE" w:rsidRPr="00BD2EF1" w:rsidRDefault="00C76EAE" w:rsidP="00C76EAE">
            <w:pPr>
              <w:rPr>
                <w:rFonts w:eastAsia="Calibri"/>
                <w:lang w:eastAsia="en-US"/>
              </w:rPr>
            </w:pPr>
            <w:r w:rsidRPr="00BD2EF1">
              <w:rPr>
                <w:rFonts w:eastAsia="Calibri"/>
                <w:lang w:eastAsia="en-US"/>
              </w:rPr>
              <w:t>Classification of the product according to CLP and DSD</w:t>
            </w:r>
          </w:p>
        </w:tc>
        <w:tc>
          <w:tcPr>
            <w:tcW w:w="0" w:type="auto"/>
            <w:tcBorders>
              <w:top w:val="single" w:sz="6" w:space="0" w:color="auto"/>
              <w:left w:val="single" w:sz="6" w:space="0" w:color="auto"/>
              <w:bottom w:val="single" w:sz="6" w:space="0" w:color="auto"/>
              <w:right w:val="single" w:sz="6" w:space="0" w:color="auto"/>
            </w:tcBorders>
          </w:tcPr>
          <w:p w14:paraId="7C03A377" w14:textId="77777777" w:rsidR="00C76EAE" w:rsidRPr="00BD2EF1" w:rsidRDefault="00C76EAE" w:rsidP="00C76EAE">
            <w:pPr>
              <w:rPr>
                <w:rFonts w:eastAsia="Calibri"/>
                <w:lang w:eastAsia="en-US"/>
              </w:rPr>
            </w:pPr>
            <w:r>
              <w:rPr>
                <w:rFonts w:eastAsia="Calibri"/>
                <w:lang w:eastAsia="en-US"/>
              </w:rPr>
              <w:t>none</w:t>
            </w:r>
          </w:p>
        </w:tc>
      </w:tr>
    </w:tbl>
    <w:p w14:paraId="30BF9713" w14:textId="77777777" w:rsidR="0015701C" w:rsidRPr="00BD2EF1" w:rsidRDefault="0015701C" w:rsidP="00DF4781">
      <w:pPr>
        <w:rPr>
          <w:lang w:eastAsia="en-US"/>
        </w:rPr>
      </w:pPr>
    </w:p>
    <w:p w14:paraId="411381AE" w14:textId="77777777" w:rsidR="00653427" w:rsidRPr="00BD2EF1" w:rsidRDefault="00653427" w:rsidP="007E5F71">
      <w:pPr>
        <w:pStyle w:val="Titre5"/>
        <w:numPr>
          <w:ilvl w:val="0"/>
          <w:numId w:val="14"/>
        </w:numPr>
      </w:pPr>
      <w:bookmarkStart w:id="144" w:name="_Toc12967152"/>
      <w:r w:rsidRPr="00BD2EF1">
        <w:t>Respiratory tract irritation</w:t>
      </w:r>
      <w:bookmarkEnd w:id="144"/>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04"/>
        <w:gridCol w:w="11327"/>
      </w:tblGrid>
      <w:tr w:rsidR="00653427" w:rsidRPr="00BD2EF1" w14:paraId="7A4D84A7" w14:textId="77777777" w:rsidTr="00BD2EF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462B885" w14:textId="77777777" w:rsidR="00653427" w:rsidRPr="00BD2EF1" w:rsidRDefault="00653427" w:rsidP="007614DB">
            <w:pPr>
              <w:rPr>
                <w:rFonts w:eastAsia="Calibri"/>
                <w:b/>
                <w:lang w:eastAsia="da-DK"/>
              </w:rPr>
            </w:pPr>
            <w:r w:rsidRPr="00BD2EF1">
              <w:rPr>
                <w:rFonts w:eastAsia="Calibri"/>
                <w:b/>
                <w:lang w:eastAsia="en-US"/>
              </w:rPr>
              <w:t>Conclusion used in the Risk Assessment – Respiratory tract irritation</w:t>
            </w:r>
          </w:p>
        </w:tc>
      </w:tr>
      <w:tr w:rsidR="00C76EAE" w:rsidRPr="00BD2EF1" w14:paraId="54B8FF93" w14:textId="77777777" w:rsidTr="00BD2EF1">
        <w:tc>
          <w:tcPr>
            <w:tcW w:w="1048" w:type="pct"/>
            <w:tcBorders>
              <w:top w:val="single" w:sz="6" w:space="0" w:color="auto"/>
              <w:left w:val="single" w:sz="4" w:space="0" w:color="auto"/>
              <w:bottom w:val="single" w:sz="6" w:space="0" w:color="auto"/>
              <w:right w:val="single" w:sz="6" w:space="0" w:color="auto"/>
            </w:tcBorders>
            <w:shd w:val="clear" w:color="auto" w:fill="auto"/>
          </w:tcPr>
          <w:p w14:paraId="0AE6FFAB" w14:textId="77777777" w:rsidR="00C76EAE" w:rsidRPr="00BD2EF1" w:rsidRDefault="00C76EAE" w:rsidP="00C76EAE">
            <w:pPr>
              <w:rPr>
                <w:rFonts w:eastAsia="Calibri"/>
                <w:lang w:eastAsia="en-US"/>
              </w:rPr>
            </w:pPr>
            <w:r w:rsidRPr="00BD2EF1">
              <w:rPr>
                <w:rFonts w:eastAsia="Calibri"/>
                <w:lang w:eastAsia="en-US"/>
              </w:rPr>
              <w:t>Justification for the conclusion</w:t>
            </w:r>
          </w:p>
        </w:tc>
        <w:tc>
          <w:tcPr>
            <w:tcW w:w="3952" w:type="pct"/>
            <w:tcBorders>
              <w:top w:val="single" w:sz="6" w:space="0" w:color="auto"/>
              <w:left w:val="single" w:sz="6" w:space="0" w:color="auto"/>
              <w:bottom w:val="single" w:sz="6" w:space="0" w:color="auto"/>
              <w:right w:val="single" w:sz="6" w:space="0" w:color="auto"/>
            </w:tcBorders>
          </w:tcPr>
          <w:p w14:paraId="5AEB067B" w14:textId="77777777" w:rsidR="00C76EAE" w:rsidRPr="001A4E1D" w:rsidRDefault="00C76EAE" w:rsidP="00C76EAE">
            <w:pPr>
              <w:pStyle w:val="Standard-italics"/>
              <w:keepNext w:val="0"/>
              <w:widowControl w:val="0"/>
              <w:spacing w:after="0"/>
              <w:rPr>
                <w:i w:val="0"/>
              </w:rPr>
            </w:pPr>
            <w:r w:rsidRPr="001A4E1D">
              <w:rPr>
                <w:i w:val="0"/>
              </w:rPr>
              <w:t xml:space="preserve">Neither the active ingredient nor one of the other relevant ingredients of the biocidal product are classified with respect to respiratory tract irritation. </w:t>
            </w:r>
          </w:p>
          <w:p w14:paraId="056481D7" w14:textId="77777777" w:rsidR="00C76EAE" w:rsidRPr="001A4E1D" w:rsidRDefault="00C76EAE" w:rsidP="00C76EAE">
            <w:pPr>
              <w:spacing w:line="260" w:lineRule="atLeast"/>
              <w:rPr>
                <w:rFonts w:eastAsia="Calibri"/>
                <w:lang w:eastAsia="en-US"/>
              </w:rPr>
            </w:pPr>
            <w:r w:rsidRPr="001A4E1D">
              <w:rPr>
                <w:rFonts w:eastAsia="Calibri"/>
                <w:lang w:eastAsia="en-US"/>
              </w:rPr>
              <w:t>Insect Repellent Lotion IR3535</w:t>
            </w:r>
            <w:r w:rsidRPr="00166994">
              <w:rPr>
                <w:rFonts w:eastAsia="Calibri"/>
                <w:vertAlign w:val="superscript"/>
                <w:lang w:eastAsia="en-US"/>
              </w:rPr>
              <w:t>®</w:t>
            </w:r>
            <w:r w:rsidRPr="001A4E1D">
              <w:rPr>
                <w:rFonts w:eastAsia="Calibri"/>
                <w:lang w:eastAsia="en-US"/>
              </w:rPr>
              <w:t xml:space="preserve"> 10 % does not pose a respiratory tract irritation hazard. </w:t>
            </w:r>
          </w:p>
          <w:p w14:paraId="7BD5D0D2" w14:textId="77777777" w:rsidR="00C76EAE" w:rsidRPr="00BD2EF1" w:rsidRDefault="00C76EAE" w:rsidP="00C76EAE">
            <w:pPr>
              <w:rPr>
                <w:rFonts w:eastAsia="Calibri"/>
                <w:lang w:eastAsia="en-US"/>
              </w:rPr>
            </w:pPr>
          </w:p>
        </w:tc>
      </w:tr>
      <w:tr w:rsidR="00C76EAE" w:rsidRPr="00BD2EF1" w14:paraId="6BCD8DEE" w14:textId="77777777" w:rsidTr="00BD2EF1">
        <w:tc>
          <w:tcPr>
            <w:tcW w:w="1048" w:type="pct"/>
            <w:tcBorders>
              <w:top w:val="single" w:sz="6" w:space="0" w:color="auto"/>
              <w:left w:val="single" w:sz="4" w:space="0" w:color="auto"/>
              <w:bottom w:val="single" w:sz="6" w:space="0" w:color="auto"/>
              <w:right w:val="single" w:sz="6" w:space="0" w:color="auto"/>
            </w:tcBorders>
            <w:shd w:val="clear" w:color="auto" w:fill="auto"/>
          </w:tcPr>
          <w:p w14:paraId="58318AD5" w14:textId="77777777" w:rsidR="00C76EAE" w:rsidRPr="00BD2EF1" w:rsidRDefault="00C76EAE" w:rsidP="00C76EAE">
            <w:pPr>
              <w:rPr>
                <w:rFonts w:eastAsia="Calibri"/>
                <w:lang w:eastAsia="en-US"/>
              </w:rPr>
            </w:pPr>
            <w:r w:rsidRPr="00BD2EF1">
              <w:rPr>
                <w:rFonts w:eastAsia="Calibri"/>
                <w:lang w:eastAsia="en-US"/>
              </w:rPr>
              <w:t>Classification of the product according to CLP and DSD</w:t>
            </w:r>
          </w:p>
        </w:tc>
        <w:tc>
          <w:tcPr>
            <w:tcW w:w="3952" w:type="pct"/>
            <w:tcBorders>
              <w:top w:val="single" w:sz="6" w:space="0" w:color="auto"/>
              <w:left w:val="single" w:sz="6" w:space="0" w:color="auto"/>
              <w:bottom w:val="single" w:sz="6" w:space="0" w:color="auto"/>
              <w:right w:val="single" w:sz="6" w:space="0" w:color="auto"/>
            </w:tcBorders>
          </w:tcPr>
          <w:p w14:paraId="7FA804D0" w14:textId="77777777" w:rsidR="00C76EAE" w:rsidRPr="00BD2EF1" w:rsidRDefault="00C76EAE" w:rsidP="00C76EAE">
            <w:pPr>
              <w:rPr>
                <w:rFonts w:eastAsia="Calibri"/>
                <w:lang w:eastAsia="en-US"/>
              </w:rPr>
            </w:pPr>
            <w:r w:rsidRPr="001A4E1D">
              <w:t>There is no indication that a classification with respect to respiratory tract irritation is necessary for Insect Repellent Lotion IR3535</w:t>
            </w:r>
            <w:r w:rsidRPr="00166994">
              <w:rPr>
                <w:vertAlign w:val="superscript"/>
              </w:rPr>
              <w:t>®</w:t>
            </w:r>
            <w:r w:rsidRPr="001A4E1D">
              <w:t xml:space="preserve"> 10 %.</w:t>
            </w:r>
          </w:p>
        </w:tc>
      </w:tr>
    </w:tbl>
    <w:p w14:paraId="47CAD2BB" w14:textId="77777777" w:rsidR="00653427" w:rsidRPr="00BD2EF1" w:rsidRDefault="00653427" w:rsidP="007614DB">
      <w:pPr>
        <w:rPr>
          <w:lang w:eastAsia="en-US"/>
        </w:rPr>
      </w:pPr>
    </w:p>
    <w:p w14:paraId="4B031FBB" w14:textId="77777777" w:rsidR="00BD2EF1" w:rsidRPr="00BD2EF1" w:rsidRDefault="00BD2EF1">
      <w:pPr>
        <w:spacing w:before="0" w:after="160" w:line="259" w:lineRule="auto"/>
        <w:rPr>
          <w:lang w:eastAsia="en-US"/>
        </w:rPr>
      </w:pPr>
      <w:r w:rsidRPr="00BD2EF1">
        <w:rPr>
          <w:lang w:eastAsia="en-US"/>
        </w:rPr>
        <w:br w:type="page"/>
      </w:r>
    </w:p>
    <w:p w14:paraId="51E533EE" w14:textId="77777777" w:rsidR="00653427" w:rsidRPr="00BD2EF1" w:rsidRDefault="00BD2EF1" w:rsidP="007E5F71">
      <w:pPr>
        <w:pStyle w:val="Titre5"/>
        <w:numPr>
          <w:ilvl w:val="0"/>
          <w:numId w:val="14"/>
        </w:numPr>
      </w:pPr>
      <w:bookmarkStart w:id="145" w:name="_Toc12967153"/>
      <w:r w:rsidRPr="00BD2EF1">
        <w:lastRenderedPageBreak/>
        <w:t>Skin sensitization</w:t>
      </w:r>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2"/>
        <w:gridCol w:w="1912"/>
        <w:gridCol w:w="2296"/>
        <w:gridCol w:w="4068"/>
        <w:gridCol w:w="2130"/>
        <w:gridCol w:w="1906"/>
      </w:tblGrid>
      <w:tr w:rsidR="00702526" w:rsidRPr="00BD2EF1" w14:paraId="421FC14C" w14:textId="77777777" w:rsidTr="00702526">
        <w:trPr>
          <w:trHeight w:val="348"/>
          <w:tblHeader/>
        </w:trPr>
        <w:tc>
          <w:tcPr>
            <w:tcW w:w="5000" w:type="pct"/>
            <w:gridSpan w:val="6"/>
            <w:shd w:val="clear" w:color="auto" w:fill="FFFFCC"/>
          </w:tcPr>
          <w:p w14:paraId="610619FC" w14:textId="77777777" w:rsidR="00702526" w:rsidRPr="00BD2EF1" w:rsidRDefault="00702526" w:rsidP="00702526">
            <w:pPr>
              <w:pStyle w:val="Standaard-Tabellen"/>
              <w:jc w:val="center"/>
              <w:rPr>
                <w:rFonts w:eastAsia="Calibri"/>
                <w:b/>
              </w:rPr>
            </w:pPr>
            <w:r w:rsidRPr="00BD2EF1">
              <w:rPr>
                <w:rFonts w:eastAsia="Calibri"/>
                <w:b/>
              </w:rPr>
              <w:t>Summary table of animal studies on skin sensitisation</w:t>
            </w:r>
          </w:p>
        </w:tc>
      </w:tr>
      <w:tr w:rsidR="00702526" w:rsidRPr="00BD2EF1" w14:paraId="74C58E93" w14:textId="77777777" w:rsidTr="00F10CBA">
        <w:trPr>
          <w:trHeight w:val="651"/>
          <w:tblHeader/>
        </w:trPr>
        <w:tc>
          <w:tcPr>
            <w:tcW w:w="705" w:type="pct"/>
            <w:shd w:val="clear" w:color="auto" w:fill="BFBFBF" w:themeFill="background1" w:themeFillShade="BF"/>
            <w:tcMar>
              <w:top w:w="57" w:type="dxa"/>
              <w:bottom w:w="57" w:type="dxa"/>
            </w:tcMar>
          </w:tcPr>
          <w:p w14:paraId="574757E6" w14:textId="77777777" w:rsidR="00702526" w:rsidRPr="00BD2EF1" w:rsidRDefault="00702526" w:rsidP="00702526">
            <w:pPr>
              <w:pStyle w:val="Standaard-Tabellen"/>
              <w:rPr>
                <w:rFonts w:eastAsia="Calibri"/>
                <w:b/>
              </w:rPr>
            </w:pPr>
            <w:r w:rsidRPr="00BD2EF1">
              <w:rPr>
                <w:rFonts w:eastAsia="Calibri"/>
                <w:b/>
              </w:rPr>
              <w:t>Method,</w:t>
            </w:r>
            <w:r w:rsidRPr="00BD2EF1">
              <w:rPr>
                <w:rFonts w:eastAsia="Calibri"/>
                <w:b/>
              </w:rPr>
              <w:br/>
              <w:t xml:space="preserve">Guideline, GLP status, </w:t>
            </w:r>
            <w:r w:rsidRPr="00BD2EF1">
              <w:rPr>
                <w:rFonts w:eastAsia="Calibri"/>
                <w:b/>
                <w:color w:val="000000"/>
              </w:rPr>
              <w:t>. Reliability</w:t>
            </w:r>
          </w:p>
        </w:tc>
        <w:tc>
          <w:tcPr>
            <w:tcW w:w="667" w:type="pct"/>
            <w:shd w:val="clear" w:color="auto" w:fill="BFBFBF" w:themeFill="background1" w:themeFillShade="BF"/>
          </w:tcPr>
          <w:p w14:paraId="670403D8" w14:textId="77777777" w:rsidR="00702526" w:rsidRPr="00BD2EF1" w:rsidRDefault="00702526" w:rsidP="00702526">
            <w:pPr>
              <w:pStyle w:val="Standaard-Tabellen"/>
              <w:rPr>
                <w:rFonts w:eastAsia="Calibri"/>
                <w:b/>
              </w:rPr>
            </w:pPr>
            <w:r w:rsidRPr="00BD2EF1">
              <w:rPr>
                <w:rFonts w:eastAsia="Calibri"/>
                <w:b/>
              </w:rPr>
              <w:t>Species,</w:t>
            </w:r>
            <w:r w:rsidRPr="00BD2EF1">
              <w:rPr>
                <w:rFonts w:eastAsia="Calibri"/>
                <w:b/>
              </w:rPr>
              <w:br/>
              <w:t>Strain,</w:t>
            </w:r>
            <w:r w:rsidRPr="00BD2EF1">
              <w:rPr>
                <w:rFonts w:eastAsia="Calibri"/>
                <w:b/>
              </w:rPr>
              <w:br/>
              <w:t>Sex,</w:t>
            </w:r>
            <w:r w:rsidRPr="00BD2EF1">
              <w:rPr>
                <w:rFonts w:eastAsia="Calibri"/>
                <w:b/>
              </w:rPr>
              <w:br/>
              <w:t>No/group</w:t>
            </w:r>
          </w:p>
        </w:tc>
        <w:tc>
          <w:tcPr>
            <w:tcW w:w="801" w:type="pct"/>
            <w:shd w:val="clear" w:color="auto" w:fill="BFBFBF" w:themeFill="background1" w:themeFillShade="BF"/>
            <w:tcMar>
              <w:top w:w="57" w:type="dxa"/>
              <w:bottom w:w="57" w:type="dxa"/>
            </w:tcMar>
          </w:tcPr>
          <w:p w14:paraId="201467E3" w14:textId="77777777" w:rsidR="00702526" w:rsidRPr="00BD2EF1" w:rsidRDefault="00702526" w:rsidP="00702526">
            <w:pPr>
              <w:pStyle w:val="Standaard-Tabellen"/>
              <w:rPr>
                <w:rFonts w:eastAsia="Calibri"/>
                <w:b/>
                <w:color w:val="000000"/>
              </w:rPr>
            </w:pPr>
            <w:r w:rsidRPr="00BD2EF1">
              <w:rPr>
                <w:rFonts w:eastAsia="Calibri"/>
                <w:b/>
                <w:color w:val="000000"/>
              </w:rPr>
              <w:t>Test substance, Vehicle,</w:t>
            </w:r>
          </w:p>
          <w:p w14:paraId="49E230F4" w14:textId="77777777" w:rsidR="00702526" w:rsidRPr="00BD2EF1" w:rsidRDefault="00702526" w:rsidP="00702526">
            <w:pPr>
              <w:pStyle w:val="Standaard-Tabellen"/>
              <w:rPr>
                <w:rFonts w:eastAsia="Calibri"/>
                <w:b/>
              </w:rPr>
            </w:pPr>
            <w:r w:rsidRPr="00BD2EF1">
              <w:rPr>
                <w:rFonts w:eastAsia="Calibri"/>
                <w:b/>
                <w:color w:val="000000"/>
              </w:rPr>
              <w:t xml:space="preserve">Dose levels, </w:t>
            </w:r>
            <w:r w:rsidRPr="00BD2EF1">
              <w:rPr>
                <w:rFonts w:eastAsia="Calibri"/>
                <w:b/>
                <w:color w:val="000000"/>
              </w:rPr>
              <w:br/>
              <w:t>duration of exposure</w:t>
            </w:r>
            <w:r w:rsidRPr="00BD2EF1">
              <w:rPr>
                <w:rFonts w:eastAsia="Calibri"/>
                <w:b/>
              </w:rPr>
              <w:t xml:space="preserve"> Route of exposure </w:t>
            </w:r>
            <w:r w:rsidRPr="00BD2EF1">
              <w:rPr>
                <w:rFonts w:eastAsia="Calibri"/>
                <w:b/>
                <w:i/>
              </w:rPr>
              <w:t>(topical/intradermal, if relevant)</w:t>
            </w:r>
          </w:p>
        </w:tc>
        <w:tc>
          <w:tcPr>
            <w:tcW w:w="1419" w:type="pct"/>
            <w:shd w:val="clear" w:color="auto" w:fill="BFBFBF" w:themeFill="background1" w:themeFillShade="BF"/>
            <w:tcMar>
              <w:top w:w="57" w:type="dxa"/>
              <w:bottom w:w="57" w:type="dxa"/>
            </w:tcMar>
          </w:tcPr>
          <w:p w14:paraId="057CD10B" w14:textId="77777777" w:rsidR="00702526" w:rsidRPr="00BD2EF1" w:rsidRDefault="00702526" w:rsidP="00702526">
            <w:pPr>
              <w:pStyle w:val="Standaard-Tabellen"/>
              <w:rPr>
                <w:rFonts w:eastAsia="Calibri"/>
                <w:b/>
              </w:rPr>
            </w:pPr>
            <w:r w:rsidRPr="00BD2EF1">
              <w:rPr>
                <w:rFonts w:eastAsia="Calibri"/>
                <w:b/>
              </w:rPr>
              <w:t xml:space="preserve">Results </w:t>
            </w:r>
          </w:p>
          <w:p w14:paraId="206C42A7" w14:textId="77777777" w:rsidR="00702526" w:rsidRPr="00BD2EF1" w:rsidRDefault="00702526" w:rsidP="00702526">
            <w:pPr>
              <w:pStyle w:val="Standaard-Tabellen"/>
              <w:rPr>
                <w:rFonts w:eastAsia="Calibri"/>
                <w:b/>
              </w:rPr>
            </w:pPr>
            <w:r w:rsidRPr="00BD2EF1">
              <w:rPr>
                <w:rFonts w:eastAsia="Calibri"/>
                <w:b/>
                <w:i/>
              </w:rPr>
              <w:t>(EC3-value or amount of sensitised animals at induction dose); evidence for local or systemic toxicity (time course of onset)</w:t>
            </w:r>
          </w:p>
        </w:tc>
        <w:tc>
          <w:tcPr>
            <w:tcW w:w="743" w:type="pct"/>
            <w:shd w:val="clear" w:color="auto" w:fill="BFBFBF" w:themeFill="background1" w:themeFillShade="BF"/>
          </w:tcPr>
          <w:p w14:paraId="7445C839" w14:textId="77777777" w:rsidR="00702526" w:rsidRPr="00BD2EF1" w:rsidRDefault="00702526" w:rsidP="00702526">
            <w:pPr>
              <w:pStyle w:val="Standaard-Tabellen"/>
              <w:rPr>
                <w:rFonts w:eastAsia="Calibri"/>
                <w:b/>
              </w:rPr>
            </w:pPr>
            <w:r w:rsidRPr="00BD2EF1">
              <w:rPr>
                <w:rFonts w:eastAsia="Calibri"/>
                <w:b/>
              </w:rPr>
              <w:t>Remarks</w:t>
            </w:r>
          </w:p>
          <w:p w14:paraId="341F1E74" w14:textId="77777777" w:rsidR="00702526" w:rsidRPr="00BD2EF1" w:rsidRDefault="00702526" w:rsidP="00702526">
            <w:pPr>
              <w:pStyle w:val="Standaard-Tabellen"/>
              <w:rPr>
                <w:rFonts w:eastAsia="Calibri"/>
                <w:b/>
                <w:i/>
              </w:rPr>
            </w:pPr>
            <w:r w:rsidRPr="00BD2EF1">
              <w:rPr>
                <w:rFonts w:eastAsia="Calibri"/>
                <w:b/>
                <w:i/>
              </w:rPr>
              <w:t>(e.g. major deviations)</w:t>
            </w:r>
          </w:p>
        </w:tc>
        <w:tc>
          <w:tcPr>
            <w:tcW w:w="667" w:type="pct"/>
            <w:shd w:val="clear" w:color="auto" w:fill="BFBFBF" w:themeFill="background1" w:themeFillShade="BF"/>
            <w:tcMar>
              <w:top w:w="57" w:type="dxa"/>
              <w:bottom w:w="57" w:type="dxa"/>
            </w:tcMar>
          </w:tcPr>
          <w:p w14:paraId="28E029C6" w14:textId="77777777" w:rsidR="00702526" w:rsidRPr="00BD2EF1" w:rsidRDefault="00702526" w:rsidP="00702526">
            <w:pPr>
              <w:pStyle w:val="Standaard-Tabellen"/>
              <w:rPr>
                <w:rFonts w:eastAsia="Calibri"/>
                <w:b/>
              </w:rPr>
            </w:pPr>
            <w:r w:rsidRPr="00BD2EF1">
              <w:rPr>
                <w:rFonts w:eastAsia="Calibri"/>
                <w:b/>
              </w:rPr>
              <w:t xml:space="preserve">Reference </w:t>
            </w:r>
          </w:p>
          <w:p w14:paraId="3AAF5E68" w14:textId="77777777" w:rsidR="00702526" w:rsidRPr="00BD2EF1" w:rsidRDefault="00702526" w:rsidP="00702526">
            <w:pPr>
              <w:pStyle w:val="Standaard-Tabellen"/>
              <w:rPr>
                <w:rFonts w:eastAsia="Calibri"/>
                <w:b/>
              </w:rPr>
            </w:pPr>
          </w:p>
        </w:tc>
      </w:tr>
      <w:tr w:rsidR="00F10CBA" w:rsidRPr="00FD2055" w14:paraId="6A351DBB" w14:textId="77777777" w:rsidTr="00F10CBA">
        <w:trPr>
          <w:trHeight w:val="227"/>
          <w:tblHeader/>
        </w:trPr>
        <w:tc>
          <w:tcPr>
            <w:tcW w:w="705" w:type="pct"/>
            <w:shd w:val="clear" w:color="auto" w:fill="auto"/>
          </w:tcPr>
          <w:p w14:paraId="1CBFBF50" w14:textId="77777777" w:rsidR="00F10CBA" w:rsidRDefault="00F10CBA" w:rsidP="00F10CBA">
            <w:pPr>
              <w:spacing w:line="260" w:lineRule="atLeast"/>
              <w:rPr>
                <w:rFonts w:eastAsia="Calibri"/>
                <w:lang w:val="de-DE" w:eastAsia="en-US"/>
              </w:rPr>
            </w:pPr>
            <w:r>
              <w:rPr>
                <w:rFonts w:eastAsia="Calibri"/>
                <w:lang w:val="de-DE" w:eastAsia="en-US"/>
              </w:rPr>
              <w:t>OECD 406</w:t>
            </w:r>
          </w:p>
          <w:p w14:paraId="031B1BDC" w14:textId="77777777" w:rsidR="00F10CBA" w:rsidRDefault="00F10CBA" w:rsidP="00F10CBA">
            <w:pPr>
              <w:spacing w:line="260" w:lineRule="atLeast"/>
              <w:rPr>
                <w:rFonts w:eastAsia="Calibri"/>
                <w:lang w:val="de-DE" w:eastAsia="en-US"/>
              </w:rPr>
            </w:pPr>
            <w:r>
              <w:rPr>
                <w:rFonts w:eastAsia="Calibri"/>
                <w:lang w:val="de-DE" w:eastAsia="en-US"/>
              </w:rPr>
              <w:t>OPPTS 870.2600</w:t>
            </w:r>
          </w:p>
          <w:p w14:paraId="42087873" w14:textId="77777777" w:rsidR="00F10CBA" w:rsidRDefault="00F10CBA" w:rsidP="00F10CBA">
            <w:pPr>
              <w:spacing w:line="260" w:lineRule="atLeast"/>
              <w:rPr>
                <w:rFonts w:eastAsia="Calibri"/>
                <w:lang w:val="de-DE" w:eastAsia="en-US"/>
              </w:rPr>
            </w:pPr>
            <w:r>
              <w:rPr>
                <w:rFonts w:eastAsia="Calibri"/>
                <w:lang w:val="de-DE" w:eastAsia="en-US"/>
              </w:rPr>
              <w:t>EU 92/69 Annex V, B6</w:t>
            </w:r>
          </w:p>
          <w:p w14:paraId="5A01B017" w14:textId="77777777" w:rsidR="00F10CBA" w:rsidRDefault="00F10CBA" w:rsidP="00F10CBA">
            <w:pPr>
              <w:spacing w:line="260" w:lineRule="atLeast"/>
              <w:rPr>
                <w:rFonts w:eastAsia="Calibri"/>
                <w:lang w:val="de-DE" w:eastAsia="en-US"/>
              </w:rPr>
            </w:pPr>
            <w:r>
              <w:rPr>
                <w:rFonts w:eastAsia="Calibri"/>
                <w:lang w:val="de-DE" w:eastAsia="en-US"/>
              </w:rPr>
              <w:t>GLP=</w:t>
            </w:r>
            <w:proofErr w:type="spellStart"/>
            <w:r>
              <w:rPr>
                <w:rFonts w:eastAsia="Calibri"/>
                <w:lang w:val="de-DE" w:eastAsia="en-US"/>
              </w:rPr>
              <w:t>yes</w:t>
            </w:r>
            <w:proofErr w:type="spellEnd"/>
          </w:p>
          <w:p w14:paraId="0DADAC00" w14:textId="0DCD4ACF" w:rsidR="00F10CBA" w:rsidRPr="00FD2055" w:rsidRDefault="00F10CBA" w:rsidP="00F10CBA">
            <w:pPr>
              <w:pStyle w:val="Standaard-Tabellen"/>
              <w:rPr>
                <w:rFonts w:eastAsia="Calibri"/>
              </w:rPr>
            </w:pPr>
            <w:proofErr w:type="spellStart"/>
            <w:r>
              <w:rPr>
                <w:rFonts w:eastAsia="Calibri"/>
                <w:lang w:val="de-DE" w:eastAsia="en-US"/>
              </w:rPr>
              <w:t>Rel</w:t>
            </w:r>
            <w:proofErr w:type="spellEnd"/>
            <w:r>
              <w:rPr>
                <w:rFonts w:eastAsia="Calibri"/>
                <w:lang w:val="de-DE" w:eastAsia="en-US"/>
              </w:rPr>
              <w:t>=1</w:t>
            </w:r>
          </w:p>
        </w:tc>
        <w:tc>
          <w:tcPr>
            <w:tcW w:w="667" w:type="pct"/>
          </w:tcPr>
          <w:p w14:paraId="17BBA29F" w14:textId="77777777" w:rsidR="00F10CBA" w:rsidRDefault="00F10CBA" w:rsidP="00F10CBA">
            <w:pPr>
              <w:spacing w:line="260" w:lineRule="atLeast"/>
              <w:rPr>
                <w:rFonts w:eastAsia="Calibri"/>
                <w:lang w:val="en-US" w:eastAsia="en-US"/>
              </w:rPr>
            </w:pPr>
            <w:r>
              <w:rPr>
                <w:rFonts w:eastAsia="Calibri"/>
                <w:lang w:val="en-US" w:eastAsia="en-US"/>
              </w:rPr>
              <w:t>Guinea pig</w:t>
            </w:r>
          </w:p>
          <w:p w14:paraId="145A62D0" w14:textId="77777777" w:rsidR="00F10CBA" w:rsidRDefault="00F10CBA" w:rsidP="00F10CBA">
            <w:pPr>
              <w:spacing w:line="260" w:lineRule="atLeast"/>
              <w:rPr>
                <w:rFonts w:eastAsia="Calibri"/>
                <w:lang w:val="en-US" w:eastAsia="en-US"/>
              </w:rPr>
            </w:pPr>
            <w:r>
              <w:rPr>
                <w:rFonts w:eastAsia="Calibri"/>
                <w:lang w:val="en-US" w:eastAsia="en-US"/>
              </w:rPr>
              <w:t>Hartley [</w:t>
            </w:r>
            <w:proofErr w:type="spellStart"/>
            <w:r>
              <w:rPr>
                <w:rFonts w:eastAsia="Calibri"/>
                <w:lang w:val="en-US" w:eastAsia="en-US"/>
              </w:rPr>
              <w:t>Crl</w:t>
            </w:r>
            <w:proofErr w:type="spellEnd"/>
            <w:r>
              <w:rPr>
                <w:rFonts w:eastAsia="Calibri"/>
                <w:lang w:val="en-US" w:eastAsia="en-US"/>
              </w:rPr>
              <w:t xml:space="preserve">: HA] </w:t>
            </w:r>
          </w:p>
          <w:p w14:paraId="6A8D901D" w14:textId="77777777" w:rsidR="00F10CBA" w:rsidRDefault="00F10CBA" w:rsidP="00F10CBA">
            <w:pPr>
              <w:spacing w:line="260" w:lineRule="atLeast"/>
              <w:rPr>
                <w:rFonts w:eastAsia="Calibri"/>
                <w:lang w:val="en-US" w:eastAsia="en-US"/>
              </w:rPr>
            </w:pPr>
            <w:r>
              <w:rPr>
                <w:rFonts w:eastAsia="Calibri"/>
                <w:lang w:val="en-US" w:eastAsia="en-US"/>
              </w:rPr>
              <w:t xml:space="preserve">10 </w:t>
            </w:r>
            <w:r>
              <w:rPr>
                <w:rFonts w:ascii="Segoe UI Symbol" w:eastAsia="Calibri" w:hAnsi="Segoe UI Symbol" w:cs="Segoe UI Symbol"/>
                <w:lang w:val="en-US" w:eastAsia="en-US"/>
              </w:rPr>
              <w:t>♂</w:t>
            </w:r>
            <w:r>
              <w:rPr>
                <w:rFonts w:eastAsia="Calibri"/>
                <w:lang w:val="en-US" w:eastAsia="en-US"/>
              </w:rPr>
              <w:t xml:space="preserve"> and 10 </w:t>
            </w:r>
            <w:r>
              <w:rPr>
                <w:rFonts w:ascii="Segoe UI Symbol" w:eastAsia="Calibri" w:hAnsi="Segoe UI Symbol" w:cs="Segoe UI Symbol"/>
                <w:lang w:val="en-US" w:eastAsia="en-US"/>
              </w:rPr>
              <w:t>♀</w:t>
            </w:r>
            <w:r>
              <w:rPr>
                <w:rFonts w:eastAsia="Calibri"/>
                <w:lang w:val="en-US" w:eastAsia="en-US"/>
              </w:rPr>
              <w:t>/ test group</w:t>
            </w:r>
          </w:p>
          <w:p w14:paraId="53DE9E79" w14:textId="77777777" w:rsidR="00F10CBA" w:rsidRDefault="00F10CBA" w:rsidP="00F10CBA">
            <w:pPr>
              <w:spacing w:line="260" w:lineRule="atLeast"/>
              <w:rPr>
                <w:rFonts w:eastAsia="Calibri"/>
                <w:lang w:val="en-US" w:eastAsia="en-US"/>
              </w:rPr>
            </w:pPr>
            <w:r>
              <w:rPr>
                <w:rFonts w:eastAsia="Calibri"/>
                <w:lang w:val="en-US" w:eastAsia="en-US"/>
              </w:rPr>
              <w:t xml:space="preserve">5 </w:t>
            </w:r>
            <w:r>
              <w:rPr>
                <w:rFonts w:ascii="Segoe UI Symbol" w:eastAsia="Calibri" w:hAnsi="Segoe UI Symbol" w:cs="Segoe UI Symbol"/>
                <w:lang w:val="en-US" w:eastAsia="en-US"/>
              </w:rPr>
              <w:t>♂</w:t>
            </w:r>
            <w:r>
              <w:rPr>
                <w:rFonts w:eastAsia="Calibri"/>
                <w:lang w:val="en-US" w:eastAsia="en-US"/>
              </w:rPr>
              <w:t xml:space="preserve"> and 5 </w:t>
            </w:r>
            <w:r>
              <w:rPr>
                <w:rFonts w:ascii="Segoe UI Symbol" w:eastAsia="Calibri" w:hAnsi="Segoe UI Symbol" w:cs="Segoe UI Symbol"/>
                <w:lang w:val="en-US" w:eastAsia="en-US"/>
              </w:rPr>
              <w:t>♀</w:t>
            </w:r>
            <w:r>
              <w:rPr>
                <w:rFonts w:eastAsia="Calibri"/>
                <w:lang w:val="en-US" w:eastAsia="en-US"/>
              </w:rPr>
              <w:t>/ na</w:t>
            </w:r>
            <w:r>
              <w:rPr>
                <w:rFonts w:eastAsia="Calibri" w:cs="Verdana"/>
                <w:lang w:val="en-US" w:eastAsia="en-US"/>
              </w:rPr>
              <w:t>ï</w:t>
            </w:r>
            <w:r>
              <w:rPr>
                <w:rFonts w:eastAsia="Calibri"/>
                <w:lang w:val="en-US" w:eastAsia="en-US"/>
              </w:rPr>
              <w:t>ve control group</w:t>
            </w:r>
          </w:p>
          <w:p w14:paraId="6940E779" w14:textId="77777777" w:rsidR="00F10CBA" w:rsidRPr="007677AA" w:rsidRDefault="00F10CBA" w:rsidP="00F10CBA">
            <w:pPr>
              <w:pStyle w:val="Standaard-Tabellen"/>
              <w:rPr>
                <w:rFonts w:eastAsia="Calibri"/>
                <w:lang w:val="en-US"/>
              </w:rPr>
            </w:pPr>
          </w:p>
        </w:tc>
        <w:tc>
          <w:tcPr>
            <w:tcW w:w="801" w:type="pct"/>
          </w:tcPr>
          <w:p w14:paraId="248EE740" w14:textId="77777777" w:rsidR="00F10CBA" w:rsidRPr="00892C32" w:rsidRDefault="00F10CBA" w:rsidP="00F10CBA">
            <w:pPr>
              <w:keepNext/>
              <w:widowControl w:val="0"/>
              <w:tabs>
                <w:tab w:val="center" w:pos="4536"/>
                <w:tab w:val="right" w:pos="9072"/>
              </w:tabs>
              <w:spacing w:line="276" w:lineRule="auto"/>
              <w:rPr>
                <w:rFonts w:eastAsia="Calibri"/>
                <w:color w:val="000000"/>
                <w:sz w:val="18"/>
                <w:szCs w:val="18"/>
                <w:lang w:eastAsia="en-GB"/>
              </w:rPr>
            </w:pPr>
            <w:r w:rsidRPr="00393183">
              <w:rPr>
                <w:rFonts w:eastAsia="Calibri"/>
                <w:color w:val="000000"/>
                <w:sz w:val="18"/>
                <w:szCs w:val="18"/>
                <w:lang w:eastAsia="en-GB"/>
              </w:rPr>
              <w:t>US Lotion Formulation</w:t>
            </w:r>
          </w:p>
          <w:p w14:paraId="194A4384" w14:textId="77777777" w:rsidR="00F10CBA" w:rsidRDefault="00F10CBA" w:rsidP="00F10CBA">
            <w:pPr>
              <w:spacing w:line="260" w:lineRule="atLeast"/>
              <w:rPr>
                <w:rFonts w:eastAsia="Calibri"/>
                <w:lang w:eastAsia="en-US"/>
              </w:rPr>
            </w:pPr>
            <w:r>
              <w:rPr>
                <w:rFonts w:eastAsia="Calibri"/>
                <w:lang w:eastAsia="en-US"/>
              </w:rPr>
              <w:t>No vehicle</w:t>
            </w:r>
          </w:p>
          <w:p w14:paraId="510CDA72" w14:textId="77777777" w:rsidR="00F10CBA" w:rsidRDefault="00F10CBA" w:rsidP="00F10CBA">
            <w:pPr>
              <w:spacing w:line="260" w:lineRule="atLeast"/>
              <w:rPr>
                <w:rFonts w:eastAsia="Calibri"/>
                <w:lang w:eastAsia="en-US"/>
              </w:rPr>
            </w:pPr>
            <w:r>
              <w:rPr>
                <w:rFonts w:eastAsia="Calibri"/>
                <w:lang w:eastAsia="en-US"/>
              </w:rPr>
              <w:t>Undiluted</w:t>
            </w:r>
          </w:p>
          <w:p w14:paraId="752529CB" w14:textId="77777777" w:rsidR="00F10CBA" w:rsidRDefault="00F10CBA" w:rsidP="00F10CBA">
            <w:pPr>
              <w:spacing w:line="260" w:lineRule="atLeast"/>
              <w:rPr>
                <w:rFonts w:eastAsia="Calibri"/>
                <w:lang w:eastAsia="en-US"/>
              </w:rPr>
            </w:pPr>
            <w:r>
              <w:rPr>
                <w:rFonts w:eastAsia="Calibri"/>
                <w:lang w:eastAsia="en-US"/>
              </w:rPr>
              <w:t>0.3 ml/site</w:t>
            </w:r>
          </w:p>
          <w:p w14:paraId="2DC13D8B" w14:textId="77777777" w:rsidR="00F10CBA" w:rsidRDefault="00F10CBA" w:rsidP="00F10CBA">
            <w:pPr>
              <w:spacing w:line="260" w:lineRule="atLeast"/>
              <w:rPr>
                <w:rFonts w:eastAsia="Calibri"/>
                <w:lang w:eastAsia="en-US"/>
              </w:rPr>
            </w:pPr>
            <w:r>
              <w:rPr>
                <w:rFonts w:eastAsia="Calibri"/>
                <w:lang w:eastAsia="en-US"/>
              </w:rPr>
              <w:t>6h exposure</w:t>
            </w:r>
          </w:p>
          <w:p w14:paraId="0EC9D602" w14:textId="6962CD71" w:rsidR="00F10CBA" w:rsidRPr="00FD2055" w:rsidRDefault="00F10CBA" w:rsidP="00F10CBA">
            <w:pPr>
              <w:pStyle w:val="Standaard-Tabellen"/>
              <w:rPr>
                <w:rFonts w:eastAsia="Calibri"/>
              </w:rPr>
            </w:pPr>
            <w:proofErr w:type="spellStart"/>
            <w:r>
              <w:rPr>
                <w:rFonts w:eastAsia="Calibri"/>
                <w:lang w:eastAsia="en-US"/>
              </w:rPr>
              <w:t>Epicutaneous</w:t>
            </w:r>
            <w:proofErr w:type="spellEnd"/>
            <w:r>
              <w:rPr>
                <w:rFonts w:eastAsia="Calibri"/>
                <w:lang w:eastAsia="en-US"/>
              </w:rPr>
              <w:t>, occlusive</w:t>
            </w:r>
          </w:p>
        </w:tc>
        <w:tc>
          <w:tcPr>
            <w:tcW w:w="1419" w:type="pct"/>
            <w:shd w:val="clear" w:color="auto" w:fill="auto"/>
          </w:tcPr>
          <w:p w14:paraId="0E7060FD" w14:textId="77777777" w:rsidR="00F10CBA" w:rsidRDefault="00F10CBA" w:rsidP="00F10CBA">
            <w:pPr>
              <w:spacing w:line="260" w:lineRule="atLeast"/>
              <w:rPr>
                <w:rFonts w:eastAsia="Calibri"/>
                <w:lang w:val="en-US" w:eastAsia="en-US"/>
              </w:rPr>
            </w:pPr>
            <w:r>
              <w:rPr>
                <w:rFonts w:eastAsia="Calibri"/>
                <w:lang w:val="en-US" w:eastAsia="en-US"/>
              </w:rPr>
              <w:t>No positive dermal reactions in the test or the naive control groups</w:t>
            </w:r>
          </w:p>
          <w:p w14:paraId="084583D5" w14:textId="77777777" w:rsidR="00F10CBA" w:rsidRDefault="00F10CBA" w:rsidP="00F10CBA">
            <w:pPr>
              <w:spacing w:line="260" w:lineRule="atLeast"/>
              <w:rPr>
                <w:rFonts w:eastAsia="Calibri"/>
                <w:lang w:val="en-US" w:eastAsia="en-US"/>
              </w:rPr>
            </w:pPr>
            <w:r>
              <w:rPr>
                <w:rFonts w:eastAsia="Calibri"/>
                <w:lang w:val="en-US" w:eastAsia="en-US"/>
              </w:rPr>
              <w:t xml:space="preserve">No deaths, no test article related clinical findings, no remarkable </w:t>
            </w:r>
            <w:proofErr w:type="spellStart"/>
            <w:r>
              <w:rPr>
                <w:rFonts w:eastAsia="Calibri"/>
                <w:lang w:val="en-US" w:eastAsia="en-US"/>
              </w:rPr>
              <w:t>bw</w:t>
            </w:r>
            <w:proofErr w:type="spellEnd"/>
            <w:r>
              <w:rPr>
                <w:rFonts w:eastAsia="Calibri"/>
                <w:lang w:val="en-US" w:eastAsia="en-US"/>
              </w:rPr>
              <w:t xml:space="preserve"> changes</w:t>
            </w:r>
          </w:p>
          <w:p w14:paraId="3FABBE5D" w14:textId="77777777" w:rsidR="00F10CBA" w:rsidRPr="007677AA" w:rsidRDefault="00F10CBA" w:rsidP="00F10CBA">
            <w:pPr>
              <w:pStyle w:val="Standaard-Tabellen"/>
              <w:rPr>
                <w:rFonts w:eastAsia="Calibri"/>
                <w:lang w:val="en-US"/>
              </w:rPr>
            </w:pPr>
          </w:p>
        </w:tc>
        <w:tc>
          <w:tcPr>
            <w:tcW w:w="743" w:type="pct"/>
            <w:shd w:val="clear" w:color="auto" w:fill="auto"/>
          </w:tcPr>
          <w:p w14:paraId="3AB2CB5B" w14:textId="297AA934" w:rsidR="00F10CBA" w:rsidRPr="00FD2055" w:rsidRDefault="00F10CBA" w:rsidP="00F10CBA">
            <w:pPr>
              <w:pStyle w:val="Standaard-Tabellen"/>
              <w:rPr>
                <w:rFonts w:eastAsia="Calibri"/>
              </w:rPr>
            </w:pPr>
            <w:r w:rsidRPr="00F10CBA">
              <w:rPr>
                <w:rFonts w:eastAsia="Calibri"/>
                <w:lang w:eastAsia="en-US"/>
              </w:rPr>
              <w:t>Identity of test material slightly different from BP:</w:t>
            </w:r>
            <w:r w:rsidRPr="00F10CBA">
              <w:rPr>
                <w:rFonts w:eastAsia="Calibri"/>
                <w:color w:val="000000"/>
              </w:rPr>
              <w:t xml:space="preserve"> buffers added (1% in total) and omission of preservatives (1% in total)</w:t>
            </w:r>
          </w:p>
        </w:tc>
        <w:tc>
          <w:tcPr>
            <w:tcW w:w="667" w:type="pct"/>
          </w:tcPr>
          <w:p w14:paraId="7830262A" w14:textId="366DBB21" w:rsidR="00F10CBA" w:rsidRPr="00FD2055" w:rsidRDefault="00F10CBA" w:rsidP="00F10CBA">
            <w:pPr>
              <w:pStyle w:val="Standaard-Tabellen"/>
              <w:rPr>
                <w:rFonts w:eastAsia="Calibri"/>
              </w:rPr>
            </w:pPr>
            <w:r w:rsidRPr="00BF5148">
              <w:rPr>
                <w:rFonts w:eastAsia="Calibri"/>
                <w:highlight w:val="black"/>
                <w:lang w:val="de-DE" w:eastAsia="en-US"/>
              </w:rPr>
              <w:t>Hurley, J.M.</w:t>
            </w:r>
            <w:r>
              <w:rPr>
                <w:rFonts w:eastAsia="Calibri"/>
                <w:lang w:val="de-DE" w:eastAsia="en-US"/>
              </w:rPr>
              <w:t xml:space="preserve"> (2006) (c)</w:t>
            </w:r>
          </w:p>
        </w:tc>
      </w:tr>
    </w:tbl>
    <w:p w14:paraId="12C26E2C" w14:textId="77777777" w:rsidR="00BD2EF1" w:rsidRDefault="00BD2EF1" w:rsidP="00BD2EF1">
      <w:pPr>
        <w:rPr>
          <w:rFonts w:eastAsia="Calibri"/>
          <w:lang w:eastAsia="en-US"/>
        </w:rPr>
      </w:pPr>
    </w:p>
    <w:tbl>
      <w:tblPr>
        <w:tblW w:w="0" w:type="auto"/>
        <w:tblLook w:val="04A0" w:firstRow="1" w:lastRow="0" w:firstColumn="1" w:lastColumn="0" w:noHBand="0" w:noVBand="1"/>
      </w:tblPr>
      <w:tblGrid>
        <w:gridCol w:w="14334"/>
      </w:tblGrid>
      <w:tr w:rsidR="00702526" w:rsidRPr="00D63744" w14:paraId="255AC677" w14:textId="77777777" w:rsidTr="00702526">
        <w:tc>
          <w:tcPr>
            <w:tcW w:w="14334" w:type="dxa"/>
            <w:shd w:val="clear" w:color="auto" w:fill="FFFFCC"/>
          </w:tcPr>
          <w:p w14:paraId="48093C4A" w14:textId="77777777" w:rsidR="00702526" w:rsidRPr="00D63744" w:rsidRDefault="00702526" w:rsidP="00702526">
            <w:pPr>
              <w:pStyle w:val="Standaard-Tabellen"/>
              <w:jc w:val="center"/>
              <w:rPr>
                <w:b/>
              </w:rPr>
            </w:pPr>
            <w:r>
              <w:rPr>
                <w:b/>
              </w:rPr>
              <w:t>Dermal Observations and Severity Indices (</w:t>
            </w:r>
            <w:r w:rsidRPr="00BF5148">
              <w:rPr>
                <w:b/>
                <w:highlight w:val="black"/>
              </w:rPr>
              <w:t>Hurley, J.M.,</w:t>
            </w:r>
            <w:r>
              <w:rPr>
                <w:b/>
              </w:rPr>
              <w:t xml:space="preserve"> 2006 (c))</w:t>
            </w:r>
          </w:p>
        </w:tc>
      </w:tr>
      <w:tr w:rsidR="00702526" w14:paraId="123014EB" w14:textId="77777777" w:rsidTr="00702526">
        <w:tc>
          <w:tcPr>
            <w:tcW w:w="14334" w:type="dxa"/>
          </w:tcPr>
          <w:p w14:paraId="267C8612" w14:textId="77777777" w:rsidR="00702526" w:rsidRDefault="00702526" w:rsidP="00702526">
            <w:pPr>
              <w:pStyle w:val="Standaard-Tabellen"/>
              <w:rPr>
                <w:highlight w:val="yellow"/>
              </w:rPr>
            </w:pPr>
            <w:r>
              <w:rPr>
                <w:rFonts w:eastAsia="Calibri"/>
                <w:noProof/>
                <w:lang w:val="nl-NL" w:eastAsia="nl-NL"/>
              </w:rPr>
              <w:drawing>
                <wp:inline distT="0" distB="0" distL="0" distR="0" wp14:anchorId="6EF10B32" wp14:editId="304771FB">
                  <wp:extent cx="5848350" cy="1552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8350" cy="1552575"/>
                          </a:xfrm>
                          <a:prstGeom prst="rect">
                            <a:avLst/>
                          </a:prstGeom>
                          <a:noFill/>
                          <a:ln>
                            <a:noFill/>
                          </a:ln>
                        </pic:spPr>
                      </pic:pic>
                    </a:graphicData>
                  </a:graphic>
                </wp:inline>
              </w:drawing>
            </w:r>
          </w:p>
        </w:tc>
      </w:tr>
    </w:tbl>
    <w:p w14:paraId="599F2D92" w14:textId="77777777" w:rsidR="00702526" w:rsidRDefault="00702526" w:rsidP="00AC0612">
      <w:pPr>
        <w:rPr>
          <w:rFonts w:eastAsia="Calibri"/>
          <w:lang w:eastAsia="en-US"/>
        </w:rPr>
      </w:pPr>
    </w:p>
    <w:p w14:paraId="4AA42EB4" w14:textId="59DFBC3C" w:rsidR="00AC0612" w:rsidRPr="00F10CBA" w:rsidRDefault="00F10CBA" w:rsidP="00AC0612">
      <w:pPr>
        <w:rPr>
          <w:szCs w:val="18"/>
        </w:rPr>
      </w:pPr>
      <w:r w:rsidRPr="0033629B">
        <w:rPr>
          <w:szCs w:val="18"/>
        </w:rPr>
        <w:t xml:space="preserve">The sensitisation potential of </w:t>
      </w:r>
      <w:r>
        <w:rPr>
          <w:iCs/>
          <w:szCs w:val="18"/>
        </w:rPr>
        <w:t>the US lotion formulation</w:t>
      </w:r>
      <w:r w:rsidRPr="0033629B">
        <w:rPr>
          <w:szCs w:val="18"/>
        </w:rPr>
        <w:t xml:space="preserve"> was evaluated using the modified Buehler test method.</w:t>
      </w:r>
    </w:p>
    <w:p w14:paraId="17A0821D" w14:textId="77777777" w:rsidR="00AC0612" w:rsidRPr="0033629B" w:rsidRDefault="00AC0612" w:rsidP="00BE71A6"/>
    <w:p w14:paraId="68E42ED4" w14:textId="77777777" w:rsidR="00F10CBA" w:rsidRPr="0033629B" w:rsidRDefault="00F10CBA" w:rsidP="00F10CBA">
      <w:pPr>
        <w:rPr>
          <w:i/>
          <w:iCs/>
          <w:szCs w:val="18"/>
        </w:rPr>
      </w:pPr>
      <w:r w:rsidRPr="0033629B">
        <w:rPr>
          <w:szCs w:val="18"/>
        </w:rPr>
        <w:lastRenderedPageBreak/>
        <w:t xml:space="preserve">There were no deaths, test article-related clinical findings or remarkable body weight changes during the study period. Following challenge dosing with </w:t>
      </w:r>
      <w:r>
        <w:rPr>
          <w:iCs/>
          <w:szCs w:val="18"/>
        </w:rPr>
        <w:t>the US lotion formulation</w:t>
      </w:r>
      <w:r w:rsidRPr="0033629B">
        <w:rPr>
          <w:szCs w:val="18"/>
        </w:rPr>
        <w:t>, there were no positive dermal reactions (score ≥ 1) in the test or the naive control groups. The Incidence Index for the test group with a score ≥ 1 was 0 % (0/20) following challenge dosing</w:t>
      </w:r>
      <w:r w:rsidRPr="0033629B">
        <w:rPr>
          <w:iCs/>
          <w:szCs w:val="18"/>
        </w:rPr>
        <w:t>.</w:t>
      </w:r>
    </w:p>
    <w:p w14:paraId="14E5669E" w14:textId="77777777" w:rsidR="00F10CBA" w:rsidRPr="0033629B" w:rsidRDefault="00F10CBA" w:rsidP="00F10CBA">
      <w:pPr>
        <w:rPr>
          <w:i/>
          <w:szCs w:val="18"/>
        </w:rPr>
      </w:pPr>
      <w:r w:rsidRPr="0033629B">
        <w:rPr>
          <w:szCs w:val="18"/>
        </w:rPr>
        <w:t>In the positive control experiments which were performed as a separate study, the positive control substance HCA was a sensitizer when administered as both a 10 % concentration in 70/30 (v/v) in acetone/PEG 400 and a 20 % concentration in 70/30 (v/v) in acetone/PEG 400 under the conditions of the study, thereby demonstrating the reliability of the experimental design. The mean incidence indices for the positive controls were 20 % and 60 % at a concentration of 10 % and 20 %, respectively. This confirms the reliability of the test system as indicated by the dose-response relationship.</w:t>
      </w:r>
    </w:p>
    <w:p w14:paraId="3F9E6895" w14:textId="77777777" w:rsidR="00F10CBA" w:rsidRPr="00F10CBA" w:rsidRDefault="00F10CBA" w:rsidP="00F10CBA">
      <w:pPr>
        <w:rPr>
          <w:szCs w:val="18"/>
        </w:rPr>
      </w:pPr>
      <w:r>
        <w:rPr>
          <w:iCs/>
          <w:szCs w:val="18"/>
        </w:rPr>
        <w:t>The US lotion formulation</w:t>
      </w:r>
      <w:r w:rsidRPr="0033629B">
        <w:rPr>
          <w:szCs w:val="18"/>
        </w:rPr>
        <w:t xml:space="preserve"> induced no skin sensitisation reactions in albino guinea pigs when using the modified Buehler test method. A classification with respect to skin sensitisation is not required.</w:t>
      </w:r>
    </w:p>
    <w:p w14:paraId="58CB28CF" w14:textId="77777777" w:rsidR="00AC0612" w:rsidRPr="0033629B" w:rsidRDefault="00AC0612" w:rsidP="00AC0612"/>
    <w:p w14:paraId="04E98085" w14:textId="77777777" w:rsidR="00AC0612" w:rsidRPr="0033629B" w:rsidRDefault="00AC0612" w:rsidP="00AC0612">
      <w:pPr>
        <w:rPr>
          <w:rFonts w:eastAsia="Calibri"/>
          <w:szCs w:val="18"/>
          <w:lang w:val="en-US" w:eastAsia="en-US"/>
        </w:rPr>
      </w:pPr>
      <w:r w:rsidRPr="0033629B">
        <w:rPr>
          <w:rFonts w:eastAsia="Calibri"/>
          <w:iCs/>
          <w:szCs w:val="18"/>
          <w:lang w:eastAsia="en-US"/>
        </w:rPr>
        <w:t xml:space="preserve">No </w:t>
      </w:r>
      <w:r w:rsidRPr="0033629B">
        <w:rPr>
          <w:rFonts w:eastAsia="Calibri"/>
          <w:i/>
          <w:iCs/>
          <w:szCs w:val="18"/>
          <w:lang w:eastAsia="en-US"/>
        </w:rPr>
        <w:t>in vitro</w:t>
      </w:r>
      <w:r w:rsidRPr="0033629B">
        <w:rPr>
          <w:rFonts w:eastAsia="Calibri"/>
          <w:iCs/>
          <w:szCs w:val="18"/>
          <w:lang w:eastAsia="en-US"/>
        </w:rPr>
        <w:t xml:space="preserve"> or human data are available for skin sensitisation.</w:t>
      </w:r>
    </w:p>
    <w:p w14:paraId="0CF41056" w14:textId="77777777" w:rsidR="00702526" w:rsidRPr="00FD2055" w:rsidRDefault="00702526" w:rsidP="00BD2EF1">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71"/>
        <w:gridCol w:w="10960"/>
      </w:tblGrid>
      <w:tr w:rsidR="00BD2EF1" w:rsidRPr="00BD2EF1" w14:paraId="0DD493BD" w14:textId="77777777" w:rsidTr="00AC061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A23788E" w14:textId="77777777" w:rsidR="00BD2EF1" w:rsidRPr="00BD2EF1" w:rsidRDefault="00BD2EF1" w:rsidP="00BD2EF1">
            <w:pPr>
              <w:rPr>
                <w:rFonts w:eastAsia="Calibri"/>
                <w:b/>
                <w:lang w:eastAsia="en-US"/>
              </w:rPr>
            </w:pPr>
            <w:r w:rsidRPr="00BD2EF1">
              <w:rPr>
                <w:rFonts w:eastAsia="Calibri"/>
                <w:b/>
                <w:lang w:eastAsia="en-US"/>
              </w:rPr>
              <w:t>Conclusion used in Risk Assessment – Skin sensitisation</w:t>
            </w:r>
          </w:p>
        </w:tc>
      </w:tr>
      <w:tr w:rsidR="00AC0612" w:rsidRPr="00FD2055" w14:paraId="42176CBD" w14:textId="77777777" w:rsidTr="00AC0612">
        <w:trPr>
          <w:trHeight w:val="298"/>
        </w:trPr>
        <w:tc>
          <w:tcPr>
            <w:tcW w:w="1176" w:type="pct"/>
            <w:tcBorders>
              <w:top w:val="single" w:sz="6" w:space="0" w:color="auto"/>
              <w:left w:val="single" w:sz="4" w:space="0" w:color="auto"/>
              <w:bottom w:val="single" w:sz="6" w:space="0" w:color="auto"/>
              <w:right w:val="single" w:sz="6" w:space="0" w:color="auto"/>
            </w:tcBorders>
            <w:shd w:val="clear" w:color="auto" w:fill="auto"/>
          </w:tcPr>
          <w:p w14:paraId="2F347D52" w14:textId="77777777" w:rsidR="00AC0612" w:rsidRPr="00FD2055" w:rsidRDefault="00AC0612" w:rsidP="00AC0612">
            <w:pPr>
              <w:rPr>
                <w:rFonts w:eastAsia="Calibri"/>
                <w:lang w:eastAsia="en-US"/>
              </w:rPr>
            </w:pPr>
            <w:r w:rsidRPr="00FD2055">
              <w:rPr>
                <w:rFonts w:eastAsia="Calibri"/>
                <w:lang w:eastAsia="en-US"/>
              </w:rPr>
              <w:t>Value/conclusion</w:t>
            </w:r>
          </w:p>
        </w:tc>
        <w:tc>
          <w:tcPr>
            <w:tcW w:w="3824" w:type="pct"/>
            <w:tcBorders>
              <w:top w:val="single" w:sz="6" w:space="0" w:color="auto"/>
              <w:left w:val="single" w:sz="6" w:space="0" w:color="auto"/>
              <w:bottom w:val="single" w:sz="6" w:space="0" w:color="auto"/>
              <w:right w:val="single" w:sz="6" w:space="0" w:color="auto"/>
            </w:tcBorders>
          </w:tcPr>
          <w:p w14:paraId="0BB88D75" w14:textId="77777777" w:rsidR="00AC0612" w:rsidRPr="00FD2055" w:rsidRDefault="00AC0612" w:rsidP="00AC0612">
            <w:pPr>
              <w:rPr>
                <w:rFonts w:eastAsia="Calibri"/>
                <w:lang w:eastAsia="en-US"/>
              </w:rPr>
            </w:pPr>
            <w:r>
              <w:rPr>
                <w:rFonts w:eastAsia="Calibri"/>
                <w:lang w:eastAsia="en-US"/>
              </w:rPr>
              <w:t>Biocidal product not classified for skin sensitisation according to (EU) nr. 1272/2008</w:t>
            </w:r>
          </w:p>
        </w:tc>
      </w:tr>
      <w:tr w:rsidR="00AC0612" w:rsidRPr="00FD2055" w14:paraId="381D2633" w14:textId="77777777" w:rsidTr="00AC0612">
        <w:tc>
          <w:tcPr>
            <w:tcW w:w="1176" w:type="pct"/>
            <w:tcBorders>
              <w:top w:val="single" w:sz="6" w:space="0" w:color="auto"/>
              <w:left w:val="single" w:sz="4" w:space="0" w:color="auto"/>
              <w:bottom w:val="single" w:sz="6" w:space="0" w:color="auto"/>
              <w:right w:val="single" w:sz="6" w:space="0" w:color="auto"/>
            </w:tcBorders>
            <w:shd w:val="clear" w:color="auto" w:fill="auto"/>
          </w:tcPr>
          <w:p w14:paraId="17B36116" w14:textId="77777777" w:rsidR="00AC0612" w:rsidRPr="00FD2055" w:rsidRDefault="00AC0612" w:rsidP="00AC0612">
            <w:pPr>
              <w:rPr>
                <w:rFonts w:eastAsia="Calibri"/>
                <w:lang w:eastAsia="en-US"/>
              </w:rPr>
            </w:pPr>
            <w:r w:rsidRPr="00FD2055">
              <w:rPr>
                <w:rFonts w:eastAsia="Calibri"/>
                <w:lang w:eastAsia="en-US"/>
              </w:rPr>
              <w:t>Justification for the value/conclusion</w:t>
            </w:r>
          </w:p>
        </w:tc>
        <w:tc>
          <w:tcPr>
            <w:tcW w:w="3824" w:type="pct"/>
            <w:tcBorders>
              <w:top w:val="single" w:sz="6" w:space="0" w:color="auto"/>
              <w:left w:val="single" w:sz="6" w:space="0" w:color="auto"/>
              <w:bottom w:val="single" w:sz="6" w:space="0" w:color="auto"/>
              <w:right w:val="single" w:sz="6" w:space="0" w:color="auto"/>
            </w:tcBorders>
          </w:tcPr>
          <w:p w14:paraId="57A034F9" w14:textId="1727263E" w:rsidR="00AC0612" w:rsidRPr="00FD2055" w:rsidRDefault="00F10CBA" w:rsidP="00AC0612">
            <w:pPr>
              <w:rPr>
                <w:rFonts w:eastAsia="Calibri"/>
                <w:lang w:eastAsia="en-US"/>
              </w:rPr>
            </w:pPr>
            <w:r>
              <w:t xml:space="preserve">Following challenge dosing with </w:t>
            </w:r>
            <w:r>
              <w:rPr>
                <w:iCs/>
              </w:rPr>
              <w:t>the US lotion formulation</w:t>
            </w:r>
            <w:r>
              <w:t>, there were no positive dermal reactions (score ≥ 1) in the test or the naive control groups. The Incidence Index for the test group with a score ≥ 1 was 0 % (0/20) following challenge dosing.</w:t>
            </w:r>
          </w:p>
        </w:tc>
      </w:tr>
      <w:tr w:rsidR="00AC0612" w:rsidRPr="00FD2055" w14:paraId="16A5D3C5" w14:textId="77777777" w:rsidTr="00AC0612">
        <w:tc>
          <w:tcPr>
            <w:tcW w:w="1176" w:type="pct"/>
            <w:tcBorders>
              <w:top w:val="single" w:sz="6" w:space="0" w:color="auto"/>
              <w:left w:val="single" w:sz="4" w:space="0" w:color="auto"/>
              <w:bottom w:val="single" w:sz="6" w:space="0" w:color="auto"/>
              <w:right w:val="single" w:sz="6" w:space="0" w:color="auto"/>
            </w:tcBorders>
            <w:shd w:val="clear" w:color="auto" w:fill="auto"/>
          </w:tcPr>
          <w:p w14:paraId="514F4207" w14:textId="77777777" w:rsidR="00AC0612" w:rsidRPr="00FD2055" w:rsidRDefault="00AC0612" w:rsidP="00AC0612">
            <w:pPr>
              <w:rPr>
                <w:rFonts w:eastAsia="Calibri"/>
                <w:lang w:eastAsia="en-US"/>
              </w:rPr>
            </w:pPr>
            <w:r w:rsidRPr="00FD2055">
              <w:rPr>
                <w:rFonts w:eastAsia="Calibri"/>
                <w:lang w:eastAsia="en-US"/>
              </w:rPr>
              <w:t>Classification of the product according to CLP and DSD</w:t>
            </w:r>
          </w:p>
        </w:tc>
        <w:tc>
          <w:tcPr>
            <w:tcW w:w="3824" w:type="pct"/>
            <w:tcBorders>
              <w:top w:val="single" w:sz="6" w:space="0" w:color="auto"/>
              <w:left w:val="single" w:sz="6" w:space="0" w:color="auto"/>
              <w:bottom w:val="single" w:sz="6" w:space="0" w:color="auto"/>
              <w:right w:val="single" w:sz="6" w:space="0" w:color="auto"/>
            </w:tcBorders>
          </w:tcPr>
          <w:p w14:paraId="68A4D5AA" w14:textId="77777777" w:rsidR="00AC0612" w:rsidRPr="00FD2055" w:rsidRDefault="00AC0612" w:rsidP="00AC0612">
            <w:pPr>
              <w:rPr>
                <w:rFonts w:eastAsia="Calibri"/>
                <w:lang w:eastAsia="en-US"/>
              </w:rPr>
            </w:pPr>
            <w:r>
              <w:rPr>
                <w:rFonts w:eastAsia="Calibri"/>
                <w:lang w:eastAsia="en-US"/>
              </w:rPr>
              <w:t>none</w:t>
            </w:r>
          </w:p>
        </w:tc>
      </w:tr>
    </w:tbl>
    <w:p w14:paraId="72B9ED74" w14:textId="77777777" w:rsidR="002C597D" w:rsidRPr="00D21344" w:rsidRDefault="00D21344" w:rsidP="007E5F71">
      <w:pPr>
        <w:pStyle w:val="Titre5"/>
        <w:numPr>
          <w:ilvl w:val="0"/>
          <w:numId w:val="14"/>
        </w:numPr>
      </w:pPr>
      <w:bookmarkStart w:id="146" w:name="_Toc12967154"/>
      <w:r w:rsidRPr="00D21344">
        <w:t>Respiratory sensitization (ADS)</w:t>
      </w:r>
      <w:bookmarkEnd w:id="146"/>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07"/>
        <w:gridCol w:w="11224"/>
      </w:tblGrid>
      <w:tr w:rsidR="00EB5E7D" w:rsidRPr="00EB5E7D" w14:paraId="1E9E9F04" w14:textId="77777777" w:rsidTr="00D473EA">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61D76084" w14:textId="77777777" w:rsidR="00EB5E7D" w:rsidRPr="00EB5E7D" w:rsidRDefault="00EB5E7D" w:rsidP="00EB5E7D">
            <w:pPr>
              <w:rPr>
                <w:rFonts w:eastAsia="Calibri"/>
                <w:b/>
                <w:lang w:eastAsia="en-US"/>
              </w:rPr>
            </w:pPr>
            <w:r w:rsidRPr="00EB5E7D">
              <w:rPr>
                <w:rFonts w:eastAsia="Calibri"/>
                <w:b/>
                <w:lang w:eastAsia="en-US"/>
              </w:rPr>
              <w:t>Conclusion used in Risk Assessment – Respiratory sensitisation</w:t>
            </w:r>
          </w:p>
        </w:tc>
      </w:tr>
      <w:tr w:rsidR="00D473EA" w:rsidRPr="00FD2055" w14:paraId="493F8BA5" w14:textId="77777777" w:rsidTr="00D473EA">
        <w:trPr>
          <w:trHeight w:val="298"/>
        </w:trPr>
        <w:tc>
          <w:tcPr>
            <w:tcW w:w="1084" w:type="pct"/>
            <w:tcBorders>
              <w:top w:val="single" w:sz="6" w:space="0" w:color="auto"/>
              <w:left w:val="single" w:sz="4" w:space="0" w:color="auto"/>
              <w:bottom w:val="single" w:sz="6" w:space="0" w:color="auto"/>
              <w:right w:val="single" w:sz="6" w:space="0" w:color="auto"/>
            </w:tcBorders>
            <w:shd w:val="clear" w:color="auto" w:fill="auto"/>
          </w:tcPr>
          <w:p w14:paraId="464727FB" w14:textId="77777777" w:rsidR="00D473EA" w:rsidRPr="00FD2055" w:rsidRDefault="00D473EA" w:rsidP="00D473EA">
            <w:pPr>
              <w:rPr>
                <w:rFonts w:eastAsia="Calibri"/>
                <w:lang w:eastAsia="en-US"/>
              </w:rPr>
            </w:pPr>
            <w:r w:rsidRPr="00FD2055">
              <w:rPr>
                <w:rFonts w:eastAsia="Calibri"/>
                <w:lang w:eastAsia="en-US"/>
              </w:rPr>
              <w:t>Value/conclusion</w:t>
            </w:r>
          </w:p>
        </w:tc>
        <w:tc>
          <w:tcPr>
            <w:tcW w:w="3916" w:type="pct"/>
            <w:tcBorders>
              <w:top w:val="single" w:sz="6" w:space="0" w:color="auto"/>
              <w:left w:val="single" w:sz="6" w:space="0" w:color="auto"/>
              <w:bottom w:val="single" w:sz="6" w:space="0" w:color="auto"/>
              <w:right w:val="single" w:sz="6" w:space="0" w:color="auto"/>
            </w:tcBorders>
          </w:tcPr>
          <w:p w14:paraId="32D5A59F" w14:textId="77777777" w:rsidR="00D473EA" w:rsidRPr="00FD2055" w:rsidRDefault="00D473EA" w:rsidP="00D473EA">
            <w:pPr>
              <w:rPr>
                <w:rFonts w:eastAsia="Calibri"/>
                <w:lang w:eastAsia="en-US"/>
              </w:rPr>
            </w:pPr>
          </w:p>
        </w:tc>
      </w:tr>
      <w:tr w:rsidR="00D473EA" w:rsidRPr="00FD2055" w14:paraId="095FE812" w14:textId="77777777" w:rsidTr="00D473EA">
        <w:tc>
          <w:tcPr>
            <w:tcW w:w="1084" w:type="pct"/>
            <w:tcBorders>
              <w:top w:val="single" w:sz="6" w:space="0" w:color="auto"/>
              <w:left w:val="single" w:sz="4" w:space="0" w:color="auto"/>
              <w:bottom w:val="single" w:sz="6" w:space="0" w:color="auto"/>
              <w:right w:val="single" w:sz="6" w:space="0" w:color="auto"/>
            </w:tcBorders>
            <w:shd w:val="clear" w:color="auto" w:fill="auto"/>
          </w:tcPr>
          <w:p w14:paraId="25DD0C57" w14:textId="77777777" w:rsidR="00D473EA" w:rsidRPr="00FD2055" w:rsidRDefault="00D473EA" w:rsidP="00D473EA">
            <w:pPr>
              <w:rPr>
                <w:rFonts w:eastAsia="Calibri"/>
                <w:lang w:eastAsia="en-US"/>
              </w:rPr>
            </w:pPr>
            <w:r w:rsidRPr="00FD2055">
              <w:rPr>
                <w:rFonts w:eastAsia="Calibri"/>
                <w:lang w:eastAsia="en-US"/>
              </w:rPr>
              <w:t>Justification for the value/conclusion</w:t>
            </w:r>
          </w:p>
        </w:tc>
        <w:tc>
          <w:tcPr>
            <w:tcW w:w="3916" w:type="pct"/>
            <w:tcBorders>
              <w:top w:val="single" w:sz="6" w:space="0" w:color="auto"/>
              <w:left w:val="single" w:sz="6" w:space="0" w:color="auto"/>
              <w:bottom w:val="single" w:sz="6" w:space="0" w:color="auto"/>
              <w:right w:val="single" w:sz="6" w:space="0" w:color="auto"/>
            </w:tcBorders>
          </w:tcPr>
          <w:p w14:paraId="2C2F1F74" w14:textId="77777777" w:rsidR="00D473EA" w:rsidRPr="005A2A25" w:rsidRDefault="00D473EA" w:rsidP="00D473EA">
            <w:pPr>
              <w:spacing w:line="260" w:lineRule="atLeast"/>
              <w:rPr>
                <w:rFonts w:eastAsia="Calibri"/>
                <w:lang w:eastAsia="en-US"/>
              </w:rPr>
            </w:pPr>
            <w:r w:rsidRPr="005A2A25">
              <w:rPr>
                <w:rFonts w:eastAsia="Calibri"/>
                <w:lang w:eastAsia="en-US"/>
              </w:rPr>
              <w:t xml:space="preserve">None of the ingredients of the product </w:t>
            </w:r>
            <w:r>
              <w:rPr>
                <w:rFonts w:eastAsia="Calibri"/>
                <w:lang w:eastAsia="en-US"/>
              </w:rPr>
              <w:t>are</w:t>
            </w:r>
            <w:r w:rsidRPr="005A2A25">
              <w:rPr>
                <w:rFonts w:eastAsia="Calibri"/>
                <w:lang w:eastAsia="en-US"/>
              </w:rPr>
              <w:t xml:space="preserve"> known to be sensitizing to the respiratory tract. Moreover, from tests in guinea pigs the product was proven not to exert any skin sensitizing properties. In addition, the active ingredient IR3535</w:t>
            </w:r>
            <w:r w:rsidR="00166994">
              <w:rPr>
                <w:rFonts w:eastAsia="Calibri"/>
                <w:vertAlign w:val="superscript"/>
                <w:lang w:eastAsia="en-US"/>
              </w:rPr>
              <w:t>®</w:t>
            </w:r>
            <w:r w:rsidRPr="005A2A25">
              <w:rPr>
                <w:rFonts w:eastAsia="Calibri"/>
                <w:lang w:eastAsia="en-US"/>
              </w:rPr>
              <w:t xml:space="preserve"> did not show a sensitizing or photosensitizing potential from tests in guinea pigs. Finally, IR3535</w:t>
            </w:r>
            <w:r w:rsidR="00166994">
              <w:rPr>
                <w:rFonts w:eastAsia="Calibri"/>
                <w:vertAlign w:val="superscript"/>
                <w:lang w:eastAsia="en-US"/>
              </w:rPr>
              <w:t>®</w:t>
            </w:r>
            <w:r w:rsidRPr="005A2A25">
              <w:rPr>
                <w:rFonts w:eastAsia="Calibri"/>
                <w:lang w:eastAsia="en-US"/>
              </w:rPr>
              <w:t xml:space="preserve"> products are on the market for more than 40 years and there are no indications for any sensitizing potential neither to the skin nor to the respiratory tract. </w:t>
            </w:r>
          </w:p>
          <w:p w14:paraId="26D6614F" w14:textId="77777777" w:rsidR="00D473EA" w:rsidRPr="00FD2055" w:rsidRDefault="00D473EA" w:rsidP="00D473EA">
            <w:pPr>
              <w:rPr>
                <w:rFonts w:eastAsia="Calibri"/>
                <w:lang w:eastAsia="en-US"/>
              </w:rPr>
            </w:pPr>
            <w:r w:rsidRPr="005A2A25">
              <w:rPr>
                <w:rFonts w:eastAsia="Calibri"/>
                <w:lang w:eastAsia="en-US"/>
              </w:rPr>
              <w:t>Based on all th</w:t>
            </w:r>
            <w:r>
              <w:rPr>
                <w:rFonts w:eastAsia="Calibri"/>
                <w:lang w:eastAsia="en-US"/>
              </w:rPr>
              <w:t>ese</w:t>
            </w:r>
            <w:r w:rsidRPr="005A2A25">
              <w:rPr>
                <w:rFonts w:eastAsia="Calibri"/>
                <w:lang w:eastAsia="en-US"/>
              </w:rPr>
              <w:t xml:space="preserve"> data it is thus concluded that the product is not sensitizing to the respiratory tract.</w:t>
            </w:r>
          </w:p>
        </w:tc>
      </w:tr>
      <w:tr w:rsidR="00D473EA" w:rsidRPr="00FD2055" w14:paraId="469BD07E" w14:textId="77777777" w:rsidTr="00D473EA">
        <w:tc>
          <w:tcPr>
            <w:tcW w:w="1084" w:type="pct"/>
            <w:tcBorders>
              <w:top w:val="single" w:sz="6" w:space="0" w:color="auto"/>
              <w:left w:val="single" w:sz="4" w:space="0" w:color="auto"/>
              <w:bottom w:val="single" w:sz="6" w:space="0" w:color="auto"/>
              <w:right w:val="single" w:sz="6" w:space="0" w:color="auto"/>
            </w:tcBorders>
            <w:shd w:val="clear" w:color="auto" w:fill="auto"/>
          </w:tcPr>
          <w:p w14:paraId="3F56C23F" w14:textId="77777777" w:rsidR="00D473EA" w:rsidRPr="00FD2055" w:rsidRDefault="00D473EA" w:rsidP="00D473EA">
            <w:pPr>
              <w:rPr>
                <w:rFonts w:eastAsia="Calibri"/>
                <w:lang w:eastAsia="en-US"/>
              </w:rPr>
            </w:pPr>
            <w:r w:rsidRPr="00FD2055">
              <w:rPr>
                <w:rFonts w:eastAsia="Calibri"/>
                <w:lang w:eastAsia="en-US"/>
              </w:rPr>
              <w:lastRenderedPageBreak/>
              <w:t>Classification of the product according to CLP and DSD</w:t>
            </w:r>
          </w:p>
        </w:tc>
        <w:tc>
          <w:tcPr>
            <w:tcW w:w="3916" w:type="pct"/>
            <w:tcBorders>
              <w:top w:val="single" w:sz="6" w:space="0" w:color="auto"/>
              <w:left w:val="single" w:sz="6" w:space="0" w:color="auto"/>
              <w:bottom w:val="single" w:sz="6" w:space="0" w:color="auto"/>
              <w:right w:val="single" w:sz="6" w:space="0" w:color="auto"/>
            </w:tcBorders>
          </w:tcPr>
          <w:p w14:paraId="7E66BE34" w14:textId="77777777" w:rsidR="00D473EA" w:rsidRPr="00FD2055" w:rsidRDefault="00D473EA" w:rsidP="00D473EA">
            <w:pPr>
              <w:rPr>
                <w:rFonts w:eastAsia="Calibri"/>
                <w:lang w:eastAsia="en-US"/>
              </w:rPr>
            </w:pPr>
            <w:r>
              <w:rPr>
                <w:rFonts w:eastAsia="Calibri"/>
                <w:lang w:eastAsia="en-US"/>
              </w:rPr>
              <w:t>none</w:t>
            </w:r>
          </w:p>
        </w:tc>
      </w:tr>
    </w:tbl>
    <w:p w14:paraId="629A5880" w14:textId="77777777" w:rsidR="00BD2EF1" w:rsidRPr="00BD2EF1" w:rsidRDefault="00EF0FF2" w:rsidP="007E5F71">
      <w:pPr>
        <w:pStyle w:val="Titre5"/>
        <w:numPr>
          <w:ilvl w:val="0"/>
          <w:numId w:val="14"/>
        </w:numPr>
      </w:pPr>
      <w:bookmarkStart w:id="147" w:name="_Toc12967155"/>
      <w:r>
        <w:t>Acute toxicity</w:t>
      </w:r>
      <w:bookmarkEnd w:id="147"/>
    </w:p>
    <w:p w14:paraId="56420176" w14:textId="77777777" w:rsidR="00653427" w:rsidRDefault="00EF0FF2" w:rsidP="00D63FA7">
      <w:pPr>
        <w:pStyle w:val="Titre6"/>
        <w:numPr>
          <w:ilvl w:val="0"/>
          <w:numId w:val="2"/>
        </w:numPr>
      </w:pPr>
      <w:proofErr w:type="spellStart"/>
      <w:r>
        <w:t>Acute</w:t>
      </w:r>
      <w:proofErr w:type="spellEnd"/>
      <w:r>
        <w:t xml:space="preserve"> </w:t>
      </w:r>
      <w:proofErr w:type="spellStart"/>
      <w:r>
        <w:t>toxicity</w:t>
      </w:r>
      <w:proofErr w:type="spellEnd"/>
      <w:r>
        <w:t xml:space="preserve"> </w:t>
      </w:r>
      <w:proofErr w:type="spellStart"/>
      <w:r>
        <w:t>by</w:t>
      </w:r>
      <w:proofErr w:type="spellEnd"/>
      <w:r>
        <w:t xml:space="preserve"> oral route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41"/>
        <w:gridCol w:w="11290"/>
      </w:tblGrid>
      <w:tr w:rsidR="000F4416" w:rsidRPr="000F4416" w14:paraId="33F0408B" w14:textId="77777777" w:rsidTr="001664F0">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D3EF957" w14:textId="77777777" w:rsidR="000F4416" w:rsidRPr="000F4416" w:rsidRDefault="000F4416" w:rsidP="000F4416">
            <w:pPr>
              <w:rPr>
                <w:rFonts w:eastAsia="Calibri"/>
                <w:b/>
                <w:lang w:eastAsia="en-US"/>
              </w:rPr>
            </w:pPr>
            <w:r w:rsidRPr="000F4416">
              <w:rPr>
                <w:rFonts w:eastAsia="Calibri"/>
                <w:b/>
                <w:lang w:eastAsia="en-US"/>
              </w:rPr>
              <w:t>Value used in the Risk Assessment – Acute oral toxicity</w:t>
            </w:r>
          </w:p>
        </w:tc>
      </w:tr>
      <w:tr w:rsidR="001664F0" w:rsidRPr="00FD2055" w14:paraId="40D61525" w14:textId="77777777" w:rsidTr="001664F0">
        <w:tc>
          <w:tcPr>
            <w:tcW w:w="1061" w:type="pct"/>
            <w:tcBorders>
              <w:top w:val="single" w:sz="6" w:space="0" w:color="auto"/>
              <w:left w:val="single" w:sz="4" w:space="0" w:color="auto"/>
              <w:bottom w:val="single" w:sz="6" w:space="0" w:color="auto"/>
              <w:right w:val="single" w:sz="6" w:space="0" w:color="auto"/>
            </w:tcBorders>
            <w:shd w:val="clear" w:color="auto" w:fill="auto"/>
          </w:tcPr>
          <w:p w14:paraId="22E8E858" w14:textId="77777777" w:rsidR="001664F0" w:rsidRPr="00FD2055" w:rsidRDefault="001664F0" w:rsidP="001664F0">
            <w:pPr>
              <w:rPr>
                <w:rFonts w:eastAsia="Calibri"/>
                <w:lang w:eastAsia="en-US"/>
              </w:rPr>
            </w:pPr>
            <w:r w:rsidRPr="00FD2055">
              <w:rPr>
                <w:rFonts w:eastAsia="Calibri"/>
                <w:lang w:eastAsia="en-US"/>
              </w:rPr>
              <w:t>Value</w:t>
            </w:r>
          </w:p>
        </w:tc>
        <w:tc>
          <w:tcPr>
            <w:tcW w:w="3939" w:type="pct"/>
            <w:tcBorders>
              <w:top w:val="single" w:sz="6" w:space="0" w:color="auto"/>
              <w:left w:val="single" w:sz="6" w:space="0" w:color="auto"/>
              <w:bottom w:val="single" w:sz="6" w:space="0" w:color="auto"/>
              <w:right w:val="single" w:sz="6" w:space="0" w:color="auto"/>
            </w:tcBorders>
          </w:tcPr>
          <w:p w14:paraId="5C263542" w14:textId="77777777" w:rsidR="001664F0" w:rsidRPr="00FD2055" w:rsidRDefault="001664F0" w:rsidP="001664F0">
            <w:pPr>
              <w:rPr>
                <w:rFonts w:eastAsia="Calibri"/>
                <w:lang w:eastAsia="en-US"/>
              </w:rPr>
            </w:pPr>
            <w:r>
              <w:rPr>
                <w:rFonts w:eastAsia="Calibri"/>
                <w:lang w:eastAsia="en-US"/>
              </w:rPr>
              <w:t>Biocidal product not classified for acute oral toxicity according to (EU) nr. 1272/2008</w:t>
            </w:r>
          </w:p>
        </w:tc>
      </w:tr>
      <w:tr w:rsidR="001664F0" w:rsidRPr="00FD2055" w14:paraId="3A6D0229" w14:textId="77777777" w:rsidTr="001664F0">
        <w:tc>
          <w:tcPr>
            <w:tcW w:w="1061" w:type="pct"/>
            <w:tcBorders>
              <w:top w:val="single" w:sz="6" w:space="0" w:color="auto"/>
              <w:left w:val="single" w:sz="4" w:space="0" w:color="auto"/>
              <w:bottom w:val="single" w:sz="6" w:space="0" w:color="auto"/>
              <w:right w:val="single" w:sz="6" w:space="0" w:color="auto"/>
            </w:tcBorders>
            <w:shd w:val="clear" w:color="auto" w:fill="auto"/>
          </w:tcPr>
          <w:p w14:paraId="6FF6030E" w14:textId="77777777" w:rsidR="001664F0" w:rsidRPr="00FD2055" w:rsidRDefault="001664F0" w:rsidP="001664F0">
            <w:pPr>
              <w:rPr>
                <w:rFonts w:eastAsia="Calibri"/>
                <w:lang w:eastAsia="en-US"/>
              </w:rPr>
            </w:pPr>
            <w:r w:rsidRPr="00FD2055">
              <w:rPr>
                <w:rFonts w:eastAsia="Calibri"/>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4BE02F64" w14:textId="77777777" w:rsidR="001664F0" w:rsidRDefault="001664F0" w:rsidP="001664F0">
            <w:pPr>
              <w:spacing w:line="260" w:lineRule="atLeast"/>
              <w:rPr>
                <w:rFonts w:eastAsia="Calibri"/>
                <w:bCs/>
                <w:lang w:eastAsia="en-US"/>
              </w:rPr>
            </w:pPr>
            <w:r>
              <w:rPr>
                <w:rFonts w:eastAsia="Calibri"/>
                <w:iCs/>
                <w:lang w:eastAsia="en-US"/>
              </w:rPr>
              <w:t>Neither the active ingredient nor one of the components of the product are classified with respect to acute oral toxicity. Thus, Insect Repellent Lotion IR3535</w:t>
            </w:r>
            <w:r w:rsidRPr="00166994">
              <w:rPr>
                <w:rFonts w:eastAsia="Calibri"/>
                <w:iCs/>
                <w:vertAlign w:val="superscript"/>
                <w:lang w:eastAsia="en-US"/>
              </w:rPr>
              <w:t>®</w:t>
            </w:r>
            <w:r>
              <w:rPr>
                <w:rFonts w:eastAsia="Calibri"/>
                <w:iCs/>
                <w:lang w:eastAsia="en-US"/>
              </w:rPr>
              <w:t xml:space="preserve"> 10 % has no potential for an acute oral toxicity hazard and no classification with respect to acute oral toxicity is required.</w:t>
            </w:r>
            <w:r>
              <w:rPr>
                <w:rFonts w:eastAsia="Calibri"/>
                <w:bCs/>
                <w:lang w:eastAsia="en-US"/>
              </w:rPr>
              <w:t xml:space="preserve"> </w:t>
            </w:r>
          </w:p>
          <w:p w14:paraId="7286DA2E" w14:textId="77777777" w:rsidR="001664F0" w:rsidRPr="00FD2055" w:rsidRDefault="001664F0" w:rsidP="001664F0">
            <w:pPr>
              <w:rPr>
                <w:rFonts w:eastAsia="Calibri"/>
                <w:lang w:eastAsia="en-US"/>
              </w:rPr>
            </w:pPr>
            <w:r>
              <w:rPr>
                <w:rFonts w:eastAsia="Calibri"/>
                <w:bCs/>
                <w:lang w:eastAsia="en-US"/>
              </w:rPr>
              <w:t>No human data are available for acute oral toxicity.</w:t>
            </w:r>
          </w:p>
        </w:tc>
      </w:tr>
      <w:tr w:rsidR="001664F0" w:rsidRPr="00FD2055" w14:paraId="5A0D89C9" w14:textId="77777777" w:rsidTr="001664F0">
        <w:tc>
          <w:tcPr>
            <w:tcW w:w="1061" w:type="pct"/>
            <w:tcBorders>
              <w:top w:val="single" w:sz="6" w:space="0" w:color="auto"/>
              <w:left w:val="single" w:sz="4" w:space="0" w:color="auto"/>
              <w:bottom w:val="single" w:sz="6" w:space="0" w:color="auto"/>
              <w:right w:val="single" w:sz="6" w:space="0" w:color="auto"/>
            </w:tcBorders>
            <w:shd w:val="clear" w:color="auto" w:fill="auto"/>
          </w:tcPr>
          <w:p w14:paraId="02F8A4A8" w14:textId="77777777" w:rsidR="001664F0" w:rsidRPr="00FD2055" w:rsidRDefault="001664F0" w:rsidP="001664F0">
            <w:pPr>
              <w:rPr>
                <w:rFonts w:eastAsia="Calibri"/>
                <w:lang w:eastAsia="en-US"/>
              </w:rPr>
            </w:pPr>
            <w:r w:rsidRPr="00FD2055">
              <w:rPr>
                <w:rFonts w:eastAsia="Calibri"/>
                <w:lang w:eastAsia="en-US"/>
              </w:rPr>
              <w:t>Classification of the product according to CLP and DSD</w:t>
            </w:r>
          </w:p>
        </w:tc>
        <w:tc>
          <w:tcPr>
            <w:tcW w:w="3939" w:type="pct"/>
            <w:tcBorders>
              <w:top w:val="single" w:sz="6" w:space="0" w:color="auto"/>
              <w:left w:val="single" w:sz="6" w:space="0" w:color="auto"/>
              <w:bottom w:val="single" w:sz="6" w:space="0" w:color="auto"/>
              <w:right w:val="single" w:sz="6" w:space="0" w:color="auto"/>
            </w:tcBorders>
          </w:tcPr>
          <w:p w14:paraId="17D178A1" w14:textId="77777777" w:rsidR="001664F0" w:rsidRPr="00FD2055" w:rsidRDefault="001664F0" w:rsidP="001664F0">
            <w:pPr>
              <w:rPr>
                <w:rFonts w:eastAsia="Calibri"/>
                <w:lang w:eastAsia="en-US"/>
              </w:rPr>
            </w:pPr>
            <w:r>
              <w:rPr>
                <w:rFonts w:eastAsia="Calibri"/>
                <w:lang w:eastAsia="en-US"/>
              </w:rPr>
              <w:t>none</w:t>
            </w:r>
          </w:p>
        </w:tc>
      </w:tr>
    </w:tbl>
    <w:p w14:paraId="546BD7EF" w14:textId="77777777" w:rsidR="000F4416" w:rsidRPr="000F4416" w:rsidRDefault="000F4416" w:rsidP="000F4416">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03"/>
        <w:gridCol w:w="12428"/>
      </w:tblGrid>
      <w:tr w:rsidR="000F4416" w:rsidRPr="000F4416" w14:paraId="0473FC90" w14:textId="77777777" w:rsidTr="001664F0">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4847C597" w14:textId="77777777" w:rsidR="000F4416" w:rsidRPr="000F4416" w:rsidRDefault="000F4416" w:rsidP="000F4416">
            <w:pPr>
              <w:rPr>
                <w:rFonts w:eastAsia="Calibri"/>
                <w:b/>
                <w:lang w:eastAsia="en-US"/>
              </w:rPr>
            </w:pPr>
            <w:r w:rsidRPr="000F4416">
              <w:rPr>
                <w:rFonts w:eastAsia="Calibri"/>
                <w:b/>
                <w:lang w:eastAsia="en-US"/>
              </w:rPr>
              <w:t>Data waiving</w:t>
            </w:r>
          </w:p>
        </w:tc>
      </w:tr>
      <w:tr w:rsidR="001664F0" w:rsidRPr="00FD2055" w14:paraId="77133D31" w14:textId="77777777" w:rsidTr="001664F0">
        <w:tc>
          <w:tcPr>
            <w:tcW w:w="664" w:type="pct"/>
            <w:tcBorders>
              <w:top w:val="single" w:sz="6" w:space="0" w:color="auto"/>
              <w:left w:val="single" w:sz="4" w:space="0" w:color="auto"/>
              <w:bottom w:val="single" w:sz="6" w:space="0" w:color="auto"/>
              <w:right w:val="single" w:sz="6" w:space="0" w:color="auto"/>
            </w:tcBorders>
            <w:shd w:val="clear" w:color="auto" w:fill="auto"/>
          </w:tcPr>
          <w:p w14:paraId="70ACD775" w14:textId="77777777" w:rsidR="001664F0" w:rsidRPr="00FD2055" w:rsidRDefault="001664F0" w:rsidP="001664F0">
            <w:pPr>
              <w:rPr>
                <w:rFonts w:eastAsia="Calibri"/>
                <w:lang w:eastAsia="en-US"/>
              </w:rPr>
            </w:pPr>
            <w:r w:rsidRPr="00FD2055">
              <w:rPr>
                <w:rFonts w:eastAsia="Calibri"/>
                <w:lang w:eastAsia="en-US"/>
              </w:rPr>
              <w:t>Information requirement</w:t>
            </w:r>
          </w:p>
        </w:tc>
        <w:tc>
          <w:tcPr>
            <w:tcW w:w="4336" w:type="pct"/>
            <w:tcBorders>
              <w:top w:val="single" w:sz="6" w:space="0" w:color="auto"/>
              <w:left w:val="single" w:sz="6" w:space="0" w:color="auto"/>
              <w:bottom w:val="single" w:sz="6" w:space="0" w:color="auto"/>
              <w:right w:val="single" w:sz="6" w:space="0" w:color="auto"/>
            </w:tcBorders>
          </w:tcPr>
          <w:p w14:paraId="31D297B8" w14:textId="77777777" w:rsidR="001664F0" w:rsidRPr="00FD2055" w:rsidRDefault="001664F0" w:rsidP="001664F0">
            <w:pPr>
              <w:rPr>
                <w:rFonts w:eastAsia="Calibri"/>
                <w:lang w:eastAsia="en-US"/>
              </w:rPr>
            </w:pPr>
            <w:r>
              <w:rPr>
                <w:rFonts w:eastAsia="Calibri"/>
                <w:lang w:eastAsia="en-US"/>
              </w:rPr>
              <w:t>Acute oral toxicity: Study scientifically unjustified</w:t>
            </w:r>
          </w:p>
        </w:tc>
      </w:tr>
      <w:tr w:rsidR="001664F0" w:rsidRPr="00FD2055" w14:paraId="0AE049B2" w14:textId="77777777" w:rsidTr="001664F0">
        <w:tc>
          <w:tcPr>
            <w:tcW w:w="664" w:type="pct"/>
            <w:tcBorders>
              <w:top w:val="single" w:sz="6" w:space="0" w:color="auto"/>
              <w:left w:val="single" w:sz="4" w:space="0" w:color="auto"/>
              <w:bottom w:val="single" w:sz="6" w:space="0" w:color="auto"/>
              <w:right w:val="single" w:sz="6" w:space="0" w:color="auto"/>
            </w:tcBorders>
            <w:shd w:val="clear" w:color="auto" w:fill="auto"/>
          </w:tcPr>
          <w:p w14:paraId="381F685A" w14:textId="77777777" w:rsidR="001664F0" w:rsidRPr="00FD2055" w:rsidRDefault="001664F0" w:rsidP="001664F0">
            <w:pPr>
              <w:rPr>
                <w:rFonts w:eastAsia="Calibri"/>
                <w:lang w:eastAsia="en-US"/>
              </w:rPr>
            </w:pPr>
            <w:r w:rsidRPr="00FD2055">
              <w:rPr>
                <w:rFonts w:eastAsia="Calibri"/>
                <w:lang w:eastAsia="en-US"/>
              </w:rPr>
              <w:t>Justification</w:t>
            </w:r>
          </w:p>
        </w:tc>
        <w:tc>
          <w:tcPr>
            <w:tcW w:w="4336" w:type="pct"/>
            <w:tcBorders>
              <w:top w:val="single" w:sz="6" w:space="0" w:color="auto"/>
              <w:left w:val="single" w:sz="6" w:space="0" w:color="auto"/>
              <w:bottom w:val="single" w:sz="6" w:space="0" w:color="auto"/>
              <w:right w:val="single" w:sz="6" w:space="0" w:color="auto"/>
            </w:tcBorders>
          </w:tcPr>
          <w:p w14:paraId="27F31FBC" w14:textId="074C6E5E" w:rsidR="001664F0" w:rsidRPr="000D2F1A" w:rsidRDefault="001664F0" w:rsidP="001664F0">
            <w:pPr>
              <w:pStyle w:val="Standard-italics"/>
              <w:keepNext w:val="0"/>
              <w:widowControl w:val="0"/>
              <w:spacing w:after="0"/>
              <w:rPr>
                <w:i w:val="0"/>
              </w:rPr>
            </w:pPr>
            <w:r>
              <w:rPr>
                <w:rFonts w:eastAsia="Calibri"/>
                <w:i w:val="0"/>
                <w:iCs/>
                <w:lang w:eastAsia="en-US"/>
              </w:rPr>
              <w:t>Since the acute oral toxicity of Insect Repellent Lotion IR3535</w:t>
            </w:r>
            <w:r w:rsidRPr="00166994">
              <w:rPr>
                <w:rFonts w:eastAsia="Calibri"/>
                <w:i w:val="0"/>
                <w:iCs/>
                <w:vertAlign w:val="superscript"/>
                <w:lang w:eastAsia="en-US"/>
              </w:rPr>
              <w:t>®</w:t>
            </w:r>
            <w:r>
              <w:rPr>
                <w:rFonts w:eastAsia="Calibri"/>
                <w:i w:val="0"/>
                <w:iCs/>
                <w:lang w:eastAsia="en-US"/>
              </w:rPr>
              <w:t xml:space="preserve"> 10% can be assessed on the basis of the properties of the ingredients, the performance of an acute oral toxicity study with the biocidal product is scientifically not justified.</w:t>
            </w:r>
            <w:r>
              <w:rPr>
                <w:rFonts w:eastAsia="Calibri"/>
                <w:iCs/>
                <w:lang w:eastAsia="en-US"/>
              </w:rPr>
              <w:t xml:space="preserve"> </w:t>
            </w:r>
            <w:r w:rsidRPr="00773055">
              <w:rPr>
                <w:rFonts w:cs="36jii"/>
                <w:i w:val="0"/>
                <w:lang w:val="en-US" w:eastAsia="fr-BE"/>
              </w:rPr>
              <w:t>See IUCLID data point 8.5.1 Endpoint study r</w:t>
            </w:r>
            <w:r w:rsidR="00513A45">
              <w:rPr>
                <w:rFonts w:cs="36jii"/>
                <w:i w:val="0"/>
                <w:lang w:val="en-US" w:eastAsia="fr-BE"/>
              </w:rPr>
              <w:t>ecord: Acute toxicity: oral.</w:t>
            </w:r>
            <w:r w:rsidR="00513A45" w:rsidRPr="000D2F1A">
              <w:rPr>
                <w:rFonts w:cs="36jii"/>
                <w:i w:val="0"/>
                <w:lang w:val="en-US" w:eastAsia="fr-BE"/>
              </w:rPr>
              <w:t>001 and confidential PAR section 1.2.</w:t>
            </w:r>
          </w:p>
          <w:p w14:paraId="35153D60" w14:textId="77777777" w:rsidR="001664F0" w:rsidRPr="00FD2055" w:rsidRDefault="001664F0" w:rsidP="001664F0">
            <w:pPr>
              <w:rPr>
                <w:rFonts w:eastAsia="Calibri"/>
                <w:lang w:eastAsia="en-US"/>
              </w:rPr>
            </w:pPr>
            <w:r w:rsidRPr="000D2F1A">
              <w:rPr>
                <w:rFonts w:cs="Verdana"/>
                <w:color w:val="000000"/>
                <w:lang w:val="en-US" w:eastAsia="fr-BE"/>
              </w:rPr>
              <w:t>There are valid data available on each of the components in the mixture sufficient to allow classification of the mixture</w:t>
            </w:r>
            <w:r>
              <w:rPr>
                <w:rFonts w:cs="Verdana"/>
                <w:color w:val="000000"/>
                <w:lang w:val="en-US" w:eastAsia="fr-BE"/>
              </w:rPr>
              <w:t xml:space="preserve"> according to the rules laid down in Regulation (EC) No 1272/2008 (CLP), and synergistic effects between any of the components are not expected.</w:t>
            </w:r>
          </w:p>
        </w:tc>
      </w:tr>
    </w:tbl>
    <w:p w14:paraId="5977DF85" w14:textId="77777777" w:rsidR="000F4416" w:rsidRPr="000F4416" w:rsidRDefault="000F4416" w:rsidP="000F4416">
      <w:pPr>
        <w:rPr>
          <w:rFonts w:eastAsia="Calibri"/>
          <w:lang w:eastAsia="en-US"/>
        </w:rPr>
      </w:pPr>
    </w:p>
    <w:p w14:paraId="66C6D173" w14:textId="77777777" w:rsidR="000F4416" w:rsidRPr="000F4416" w:rsidRDefault="000F4416" w:rsidP="00D63FA7">
      <w:pPr>
        <w:pStyle w:val="Titre6"/>
        <w:numPr>
          <w:ilvl w:val="0"/>
          <w:numId w:val="2"/>
        </w:numPr>
      </w:pPr>
      <w:bookmarkStart w:id="148" w:name="_Toc389729056"/>
      <w:r w:rsidRPr="008A3D8E">
        <w:rPr>
          <w:lang w:val="en-US"/>
        </w:rPr>
        <w:br w:type="page"/>
      </w:r>
      <w:proofErr w:type="spellStart"/>
      <w:r w:rsidRPr="000F4416">
        <w:lastRenderedPageBreak/>
        <w:t>Acute</w:t>
      </w:r>
      <w:proofErr w:type="spellEnd"/>
      <w:r w:rsidRPr="000F4416">
        <w:t xml:space="preserve"> </w:t>
      </w:r>
      <w:proofErr w:type="spellStart"/>
      <w:r w:rsidRPr="000F4416">
        <w:t>toxicity</w:t>
      </w:r>
      <w:proofErr w:type="spellEnd"/>
      <w:r w:rsidRPr="000F4416">
        <w:t xml:space="preserve"> </w:t>
      </w:r>
      <w:proofErr w:type="spellStart"/>
      <w:r w:rsidRPr="000F4416">
        <w:t>by</w:t>
      </w:r>
      <w:proofErr w:type="spellEnd"/>
      <w:r w:rsidRPr="000F4416">
        <w:t xml:space="preserve"> </w:t>
      </w:r>
      <w:proofErr w:type="spellStart"/>
      <w:r w:rsidRPr="000F4416">
        <w:t>inhalation</w:t>
      </w:r>
      <w:bookmarkEnd w:id="148"/>
      <w:proofErr w:type="spellEnd"/>
    </w:p>
    <w:p w14:paraId="745E0456" w14:textId="77777777" w:rsidR="001072F3" w:rsidRPr="001072F3" w:rsidRDefault="001072F3" w:rsidP="001072F3">
      <w:pPr>
        <w:rPr>
          <w:rFonts w:eastAsia="Calibri"/>
          <w:lang w:eastAsia="en-US"/>
        </w:rPr>
      </w:pPr>
      <w:r w:rsidRPr="001072F3">
        <w:rPr>
          <w:rFonts w:eastAsia="Calibri"/>
          <w:lang w:eastAsia="en-US"/>
        </w:rPr>
        <w:t>No human data are available for acute inhalation toxicity.</w:t>
      </w:r>
    </w:p>
    <w:p w14:paraId="55D95618" w14:textId="77777777" w:rsidR="000F4416" w:rsidRPr="00C574E1" w:rsidRDefault="000F4416" w:rsidP="00C574E1">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09"/>
        <w:gridCol w:w="9722"/>
      </w:tblGrid>
      <w:tr w:rsidR="000F4416" w:rsidRPr="00C574E1" w14:paraId="6A26CD38" w14:textId="77777777" w:rsidTr="001072F3">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DC8C47E" w14:textId="77777777" w:rsidR="000F4416" w:rsidRPr="00C574E1" w:rsidRDefault="000F4416" w:rsidP="00C574E1">
            <w:pPr>
              <w:rPr>
                <w:rFonts w:eastAsia="Calibri"/>
                <w:b/>
                <w:lang w:eastAsia="en-US"/>
              </w:rPr>
            </w:pPr>
            <w:r w:rsidRPr="00C574E1">
              <w:rPr>
                <w:rFonts w:eastAsia="Calibri"/>
                <w:b/>
                <w:lang w:eastAsia="en-US"/>
              </w:rPr>
              <w:t>Value used in the Risk Assessment – Acute inhalation toxicity</w:t>
            </w:r>
          </w:p>
        </w:tc>
      </w:tr>
      <w:tr w:rsidR="001072F3" w:rsidRPr="00FD2055" w14:paraId="44B5C4BF" w14:textId="77777777" w:rsidTr="001072F3">
        <w:tc>
          <w:tcPr>
            <w:tcW w:w="1608" w:type="pct"/>
            <w:tcBorders>
              <w:top w:val="single" w:sz="6" w:space="0" w:color="auto"/>
              <w:left w:val="single" w:sz="4" w:space="0" w:color="auto"/>
              <w:bottom w:val="single" w:sz="6" w:space="0" w:color="auto"/>
              <w:right w:val="single" w:sz="6" w:space="0" w:color="auto"/>
            </w:tcBorders>
            <w:shd w:val="clear" w:color="auto" w:fill="auto"/>
          </w:tcPr>
          <w:p w14:paraId="6D9BC711" w14:textId="77777777" w:rsidR="001072F3" w:rsidRPr="00FD2055" w:rsidRDefault="001072F3" w:rsidP="001072F3">
            <w:pPr>
              <w:rPr>
                <w:rFonts w:eastAsia="Calibri"/>
                <w:lang w:eastAsia="en-US"/>
              </w:rPr>
            </w:pPr>
            <w:r w:rsidRPr="00FD2055">
              <w:rPr>
                <w:rFonts w:eastAsia="Calibri"/>
                <w:lang w:eastAsia="en-US"/>
              </w:rPr>
              <w:t>Value</w:t>
            </w:r>
          </w:p>
        </w:tc>
        <w:tc>
          <w:tcPr>
            <w:tcW w:w="3392" w:type="pct"/>
            <w:tcBorders>
              <w:top w:val="single" w:sz="6" w:space="0" w:color="auto"/>
              <w:left w:val="single" w:sz="6" w:space="0" w:color="auto"/>
              <w:bottom w:val="single" w:sz="6" w:space="0" w:color="auto"/>
              <w:right w:val="single" w:sz="6" w:space="0" w:color="auto"/>
            </w:tcBorders>
          </w:tcPr>
          <w:p w14:paraId="0C30BC55" w14:textId="77777777" w:rsidR="001072F3" w:rsidRPr="00FD2055" w:rsidRDefault="001072F3" w:rsidP="001072F3">
            <w:pPr>
              <w:rPr>
                <w:rFonts w:eastAsia="Calibri"/>
                <w:lang w:eastAsia="en-US"/>
              </w:rPr>
            </w:pPr>
            <w:r>
              <w:rPr>
                <w:rFonts w:eastAsia="Calibri"/>
                <w:lang w:eastAsia="en-US"/>
              </w:rPr>
              <w:t>Biocidal product not classified for acute toxicity (inhalation) according to (EU) nr. 1272/2008</w:t>
            </w:r>
          </w:p>
        </w:tc>
      </w:tr>
      <w:tr w:rsidR="001072F3" w:rsidRPr="00FD2055" w14:paraId="7EB9EB51" w14:textId="77777777" w:rsidTr="001072F3">
        <w:tc>
          <w:tcPr>
            <w:tcW w:w="1608" w:type="pct"/>
            <w:tcBorders>
              <w:top w:val="single" w:sz="6" w:space="0" w:color="auto"/>
              <w:left w:val="single" w:sz="4" w:space="0" w:color="auto"/>
              <w:bottom w:val="single" w:sz="6" w:space="0" w:color="auto"/>
              <w:right w:val="single" w:sz="6" w:space="0" w:color="auto"/>
            </w:tcBorders>
            <w:shd w:val="clear" w:color="auto" w:fill="auto"/>
          </w:tcPr>
          <w:p w14:paraId="0C49B240" w14:textId="77777777" w:rsidR="001072F3" w:rsidRPr="00FD2055" w:rsidRDefault="001072F3" w:rsidP="001072F3">
            <w:pPr>
              <w:rPr>
                <w:rFonts w:eastAsia="Calibri"/>
                <w:lang w:eastAsia="en-US"/>
              </w:rPr>
            </w:pPr>
            <w:r w:rsidRPr="00FD2055">
              <w:rPr>
                <w:rFonts w:eastAsia="Calibri"/>
                <w:lang w:eastAsia="en-US"/>
              </w:rPr>
              <w:t>Justification for the selected value</w:t>
            </w:r>
          </w:p>
        </w:tc>
        <w:tc>
          <w:tcPr>
            <w:tcW w:w="3392" w:type="pct"/>
            <w:tcBorders>
              <w:top w:val="single" w:sz="6" w:space="0" w:color="auto"/>
              <w:left w:val="single" w:sz="6" w:space="0" w:color="auto"/>
              <w:bottom w:val="single" w:sz="6" w:space="0" w:color="auto"/>
              <w:right w:val="single" w:sz="6" w:space="0" w:color="auto"/>
            </w:tcBorders>
          </w:tcPr>
          <w:p w14:paraId="0247F315" w14:textId="77777777" w:rsidR="001072F3" w:rsidRPr="00304EFE" w:rsidRDefault="001072F3" w:rsidP="001072F3">
            <w:pPr>
              <w:spacing w:line="260" w:lineRule="atLeast"/>
              <w:rPr>
                <w:rFonts w:eastAsia="Calibri"/>
                <w:bCs/>
                <w:lang w:eastAsia="en-US"/>
              </w:rPr>
            </w:pPr>
            <w:r w:rsidRPr="00304EFE">
              <w:rPr>
                <w:rFonts w:eastAsia="Calibri"/>
                <w:lang w:eastAsia="en-US"/>
              </w:rPr>
              <w:t>None of the relevant components of the biocide are classified for  acute inhalation toxicity according to (EU) nr. 1272/2008.</w:t>
            </w:r>
            <w:r>
              <w:rPr>
                <w:rFonts w:eastAsia="Calibri"/>
                <w:lang w:eastAsia="en-US"/>
              </w:rPr>
              <w:t xml:space="preserve"> </w:t>
            </w:r>
          </w:p>
          <w:p w14:paraId="1D451817" w14:textId="77777777" w:rsidR="001072F3" w:rsidRPr="00FD2055" w:rsidRDefault="001072F3" w:rsidP="001072F3">
            <w:pPr>
              <w:rPr>
                <w:rFonts w:eastAsia="Calibri"/>
                <w:lang w:eastAsia="en-US"/>
              </w:rPr>
            </w:pPr>
          </w:p>
        </w:tc>
      </w:tr>
      <w:tr w:rsidR="001072F3" w:rsidRPr="00FD2055" w14:paraId="67C8398F" w14:textId="77777777" w:rsidTr="001072F3">
        <w:tc>
          <w:tcPr>
            <w:tcW w:w="1608" w:type="pct"/>
            <w:tcBorders>
              <w:top w:val="single" w:sz="6" w:space="0" w:color="auto"/>
              <w:left w:val="single" w:sz="4" w:space="0" w:color="auto"/>
              <w:bottom w:val="single" w:sz="6" w:space="0" w:color="auto"/>
              <w:right w:val="single" w:sz="6" w:space="0" w:color="auto"/>
            </w:tcBorders>
            <w:shd w:val="clear" w:color="auto" w:fill="auto"/>
          </w:tcPr>
          <w:p w14:paraId="3D8585C7" w14:textId="77777777" w:rsidR="001072F3" w:rsidRPr="00FD2055" w:rsidRDefault="001072F3" w:rsidP="001072F3">
            <w:pPr>
              <w:rPr>
                <w:rFonts w:eastAsia="Calibri"/>
                <w:lang w:eastAsia="en-US"/>
              </w:rPr>
            </w:pPr>
            <w:r w:rsidRPr="00FD2055">
              <w:rPr>
                <w:rFonts w:eastAsia="Calibri"/>
                <w:lang w:eastAsia="en-US"/>
              </w:rPr>
              <w:t>Classification of the product according to CLP and DSD</w:t>
            </w:r>
          </w:p>
        </w:tc>
        <w:tc>
          <w:tcPr>
            <w:tcW w:w="3392" w:type="pct"/>
            <w:tcBorders>
              <w:top w:val="single" w:sz="6" w:space="0" w:color="auto"/>
              <w:left w:val="single" w:sz="6" w:space="0" w:color="auto"/>
              <w:bottom w:val="single" w:sz="6" w:space="0" w:color="auto"/>
              <w:right w:val="single" w:sz="6" w:space="0" w:color="auto"/>
            </w:tcBorders>
          </w:tcPr>
          <w:p w14:paraId="4669E6CE" w14:textId="77777777" w:rsidR="001072F3" w:rsidRPr="00FD2055" w:rsidRDefault="001072F3" w:rsidP="001072F3">
            <w:pPr>
              <w:rPr>
                <w:rFonts w:eastAsia="Calibri"/>
                <w:lang w:eastAsia="en-US"/>
              </w:rPr>
            </w:pPr>
            <w:r>
              <w:rPr>
                <w:rFonts w:eastAsia="Calibri"/>
                <w:lang w:eastAsia="en-US"/>
              </w:rPr>
              <w:t>none</w:t>
            </w:r>
          </w:p>
        </w:tc>
      </w:tr>
    </w:tbl>
    <w:p w14:paraId="07552328" w14:textId="77777777" w:rsidR="000F4416" w:rsidRPr="00C574E1" w:rsidRDefault="000F4416" w:rsidP="00C574E1">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97"/>
        <w:gridCol w:w="12434"/>
      </w:tblGrid>
      <w:tr w:rsidR="000F4416" w:rsidRPr="00C574E1" w14:paraId="6FB9F17E" w14:textId="77777777" w:rsidTr="001072F3">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683260D6" w14:textId="77777777" w:rsidR="000F4416" w:rsidRPr="00C574E1" w:rsidRDefault="000F4416" w:rsidP="00C574E1">
            <w:pPr>
              <w:rPr>
                <w:rFonts w:eastAsia="Calibri"/>
                <w:b/>
                <w:lang w:eastAsia="en-US"/>
              </w:rPr>
            </w:pPr>
            <w:r w:rsidRPr="00C574E1">
              <w:rPr>
                <w:rFonts w:eastAsia="Calibri"/>
                <w:b/>
                <w:lang w:eastAsia="en-US"/>
              </w:rPr>
              <w:t>Data waiving</w:t>
            </w:r>
          </w:p>
        </w:tc>
      </w:tr>
      <w:tr w:rsidR="001072F3" w:rsidRPr="00FD2055" w14:paraId="7880241B" w14:textId="77777777" w:rsidTr="001072F3">
        <w:tc>
          <w:tcPr>
            <w:tcW w:w="662" w:type="pct"/>
            <w:tcBorders>
              <w:top w:val="single" w:sz="6" w:space="0" w:color="auto"/>
              <w:left w:val="single" w:sz="4" w:space="0" w:color="auto"/>
              <w:bottom w:val="single" w:sz="6" w:space="0" w:color="auto"/>
              <w:right w:val="single" w:sz="6" w:space="0" w:color="auto"/>
            </w:tcBorders>
            <w:shd w:val="clear" w:color="auto" w:fill="auto"/>
          </w:tcPr>
          <w:p w14:paraId="4B72635D" w14:textId="77777777" w:rsidR="001072F3" w:rsidRPr="00FD2055" w:rsidRDefault="001072F3" w:rsidP="001072F3">
            <w:pPr>
              <w:rPr>
                <w:rFonts w:eastAsia="Calibri"/>
                <w:lang w:eastAsia="en-US"/>
              </w:rPr>
            </w:pPr>
            <w:r w:rsidRPr="00FD2055">
              <w:rPr>
                <w:rFonts w:eastAsia="Calibri"/>
                <w:lang w:eastAsia="en-US"/>
              </w:rPr>
              <w:t>Information requirement</w:t>
            </w:r>
          </w:p>
        </w:tc>
        <w:tc>
          <w:tcPr>
            <w:tcW w:w="4338" w:type="pct"/>
            <w:tcBorders>
              <w:top w:val="single" w:sz="6" w:space="0" w:color="auto"/>
              <w:left w:val="single" w:sz="6" w:space="0" w:color="auto"/>
              <w:bottom w:val="single" w:sz="6" w:space="0" w:color="auto"/>
              <w:right w:val="single" w:sz="6" w:space="0" w:color="auto"/>
            </w:tcBorders>
          </w:tcPr>
          <w:p w14:paraId="7E5AB289" w14:textId="77777777" w:rsidR="001072F3" w:rsidRPr="00FD2055" w:rsidRDefault="001072F3" w:rsidP="001072F3">
            <w:pPr>
              <w:rPr>
                <w:rFonts w:eastAsia="Calibri"/>
                <w:lang w:eastAsia="en-US"/>
              </w:rPr>
            </w:pPr>
            <w:r>
              <w:rPr>
                <w:rFonts w:eastAsia="Calibri"/>
                <w:lang w:eastAsia="en-US"/>
              </w:rPr>
              <w:t>Acute inhalation toxicity: Study scientifically unjustified</w:t>
            </w:r>
          </w:p>
        </w:tc>
      </w:tr>
      <w:tr w:rsidR="001072F3" w:rsidRPr="00FD2055" w14:paraId="535BB104" w14:textId="77777777" w:rsidTr="001072F3">
        <w:tc>
          <w:tcPr>
            <w:tcW w:w="662" w:type="pct"/>
            <w:tcBorders>
              <w:top w:val="single" w:sz="6" w:space="0" w:color="auto"/>
              <w:left w:val="single" w:sz="4" w:space="0" w:color="auto"/>
              <w:bottom w:val="single" w:sz="6" w:space="0" w:color="auto"/>
              <w:right w:val="single" w:sz="6" w:space="0" w:color="auto"/>
            </w:tcBorders>
            <w:shd w:val="clear" w:color="auto" w:fill="auto"/>
          </w:tcPr>
          <w:p w14:paraId="66F62734" w14:textId="77777777" w:rsidR="001072F3" w:rsidRPr="00FD2055" w:rsidRDefault="001072F3" w:rsidP="001072F3">
            <w:pPr>
              <w:rPr>
                <w:rFonts w:eastAsia="Calibri"/>
                <w:lang w:eastAsia="en-US"/>
              </w:rPr>
            </w:pPr>
            <w:r w:rsidRPr="00FD2055">
              <w:rPr>
                <w:rFonts w:eastAsia="Calibri"/>
                <w:lang w:eastAsia="en-US"/>
              </w:rPr>
              <w:t>Justification</w:t>
            </w:r>
          </w:p>
        </w:tc>
        <w:tc>
          <w:tcPr>
            <w:tcW w:w="4338" w:type="pct"/>
            <w:tcBorders>
              <w:top w:val="single" w:sz="6" w:space="0" w:color="auto"/>
              <w:left w:val="single" w:sz="6" w:space="0" w:color="auto"/>
              <w:bottom w:val="single" w:sz="6" w:space="0" w:color="auto"/>
              <w:right w:val="single" w:sz="6" w:space="0" w:color="auto"/>
            </w:tcBorders>
          </w:tcPr>
          <w:p w14:paraId="0C4AD86D" w14:textId="72957509" w:rsidR="001072F3" w:rsidRPr="000D2F1A" w:rsidRDefault="001072F3" w:rsidP="001072F3">
            <w:pPr>
              <w:rPr>
                <w:rFonts w:eastAsia="Calibri"/>
                <w:lang w:eastAsia="en-US"/>
              </w:rPr>
            </w:pPr>
            <w:r>
              <w:rPr>
                <w:rFonts w:eastAsia="Calibri"/>
                <w:lang w:eastAsia="en-US"/>
              </w:rPr>
              <w:t xml:space="preserve">Since the acute inhalation toxicity of Insect Repellent </w:t>
            </w:r>
            <w:r>
              <w:rPr>
                <w:rFonts w:eastAsia="Calibri"/>
                <w:bCs/>
                <w:lang w:eastAsia="en-US"/>
              </w:rPr>
              <w:t>Lotion IR3535</w:t>
            </w:r>
            <w:r w:rsidRPr="00166994">
              <w:rPr>
                <w:rFonts w:eastAsia="Calibri"/>
                <w:bCs/>
                <w:vertAlign w:val="superscript"/>
                <w:lang w:eastAsia="en-US"/>
              </w:rPr>
              <w:t>®</w:t>
            </w:r>
            <w:r>
              <w:rPr>
                <w:rFonts w:eastAsia="Calibri"/>
                <w:bCs/>
                <w:lang w:eastAsia="en-US"/>
              </w:rPr>
              <w:t xml:space="preserve"> 10% </w:t>
            </w:r>
            <w:r>
              <w:rPr>
                <w:rFonts w:eastAsia="Calibri"/>
                <w:lang w:eastAsia="en-US"/>
              </w:rPr>
              <w:t xml:space="preserve"> can be assessed on the basis of the properties of the ingredients, the performance of an acute inhalation toxicity study with the biocidal product is </w:t>
            </w:r>
            <w:r w:rsidRPr="000D2F1A">
              <w:rPr>
                <w:rFonts w:eastAsia="Calibri"/>
                <w:lang w:eastAsia="en-US"/>
              </w:rPr>
              <w:t xml:space="preserve">scientifically not justified. </w:t>
            </w:r>
            <w:r w:rsidRPr="000D2F1A">
              <w:rPr>
                <w:rFonts w:cs="36jii"/>
                <w:lang w:val="en-US" w:eastAsia="fr-BE"/>
              </w:rPr>
              <w:t>See IUCLID data point 8.5.2 Endpoint study record: Acute toxicity: inhalation.001</w:t>
            </w:r>
            <w:r w:rsidR="001F193A" w:rsidRPr="000D2F1A">
              <w:rPr>
                <w:rFonts w:cs="36jii"/>
                <w:i/>
                <w:lang w:val="en-US" w:eastAsia="fr-BE"/>
              </w:rPr>
              <w:t xml:space="preserve"> </w:t>
            </w:r>
            <w:r w:rsidR="001F193A" w:rsidRPr="000D2F1A">
              <w:rPr>
                <w:rFonts w:cs="36jii"/>
                <w:lang w:val="en-US" w:eastAsia="fr-BE"/>
              </w:rPr>
              <w:t>and confidential PAR section 1.2.</w:t>
            </w:r>
          </w:p>
          <w:p w14:paraId="2E5D7B9B" w14:textId="77777777" w:rsidR="001072F3" w:rsidRPr="00FD2055" w:rsidRDefault="001072F3" w:rsidP="001072F3">
            <w:pPr>
              <w:rPr>
                <w:rFonts w:eastAsia="Calibri"/>
                <w:lang w:eastAsia="en-US"/>
              </w:rPr>
            </w:pPr>
            <w:r w:rsidRPr="000D2F1A">
              <w:rPr>
                <w:rFonts w:cs="Verdana"/>
                <w:color w:val="000000"/>
                <w:lang w:val="en-US" w:eastAsia="fr-BE"/>
              </w:rPr>
              <w:t>There are valid data available on each of</w:t>
            </w:r>
            <w:r>
              <w:rPr>
                <w:rFonts w:cs="Verdana"/>
                <w:color w:val="000000"/>
                <w:lang w:val="en-US" w:eastAsia="fr-BE"/>
              </w:rPr>
              <w:t xml:space="preserve"> the components in the mixture sufficient to allow classification of the mixture according to the rules laid down in Regulation (EC) No 1272/2008 (CLP), and synergistic effects between any of the components are not expected.</w:t>
            </w:r>
          </w:p>
        </w:tc>
      </w:tr>
    </w:tbl>
    <w:p w14:paraId="7FA2B9C5" w14:textId="77777777" w:rsidR="000F4416" w:rsidRPr="00C574E1" w:rsidRDefault="000F4416" w:rsidP="00C574E1">
      <w:pPr>
        <w:rPr>
          <w:rFonts w:eastAsia="Calibri"/>
          <w:lang w:eastAsia="en-US"/>
        </w:rPr>
      </w:pPr>
    </w:p>
    <w:p w14:paraId="20BDBA2C" w14:textId="77777777" w:rsidR="00C574E1" w:rsidRDefault="00C574E1">
      <w:pPr>
        <w:spacing w:before="0" w:after="160" w:line="259" w:lineRule="auto"/>
        <w:rPr>
          <w:rFonts w:eastAsia="Calibri"/>
          <w:lang w:eastAsia="en-US"/>
        </w:rPr>
      </w:pPr>
      <w:r>
        <w:rPr>
          <w:rFonts w:eastAsia="Calibri"/>
          <w:lang w:eastAsia="en-US"/>
        </w:rPr>
        <w:br w:type="page"/>
      </w:r>
    </w:p>
    <w:p w14:paraId="299BEA59" w14:textId="77777777" w:rsidR="000F4416" w:rsidRPr="000F4416" w:rsidRDefault="000F4416" w:rsidP="00D63FA7">
      <w:pPr>
        <w:pStyle w:val="Titre6"/>
        <w:numPr>
          <w:ilvl w:val="0"/>
          <w:numId w:val="2"/>
        </w:numPr>
      </w:pPr>
      <w:bookmarkStart w:id="149" w:name="_Toc389729057"/>
      <w:proofErr w:type="spellStart"/>
      <w:r w:rsidRPr="000F4416">
        <w:lastRenderedPageBreak/>
        <w:t>Acute</w:t>
      </w:r>
      <w:proofErr w:type="spellEnd"/>
      <w:r w:rsidRPr="000F4416">
        <w:t xml:space="preserve"> </w:t>
      </w:r>
      <w:proofErr w:type="spellStart"/>
      <w:r w:rsidRPr="000F4416">
        <w:t>toxicity</w:t>
      </w:r>
      <w:proofErr w:type="spellEnd"/>
      <w:r w:rsidRPr="000F4416">
        <w:t xml:space="preserve"> </w:t>
      </w:r>
      <w:proofErr w:type="spellStart"/>
      <w:r w:rsidRPr="000F4416">
        <w:t>by</w:t>
      </w:r>
      <w:proofErr w:type="spellEnd"/>
      <w:r w:rsidRPr="000F4416">
        <w:t xml:space="preserve"> dermal route</w:t>
      </w:r>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97"/>
        <w:gridCol w:w="2348"/>
        <w:gridCol w:w="2454"/>
        <w:gridCol w:w="1044"/>
        <w:gridCol w:w="3678"/>
        <w:gridCol w:w="1482"/>
      </w:tblGrid>
      <w:tr w:rsidR="00D75097" w:rsidRPr="00C574E1" w14:paraId="340EB1B8" w14:textId="77777777" w:rsidTr="00D75097">
        <w:trPr>
          <w:trHeight w:val="253"/>
        </w:trPr>
        <w:tc>
          <w:tcPr>
            <w:tcW w:w="5000" w:type="pct"/>
            <w:gridSpan w:val="7"/>
            <w:shd w:val="clear" w:color="auto" w:fill="FFFFCC"/>
          </w:tcPr>
          <w:p w14:paraId="5D7A334B" w14:textId="77777777" w:rsidR="00D75097" w:rsidRPr="00C574E1" w:rsidRDefault="00D75097" w:rsidP="00BE71A6">
            <w:pPr>
              <w:pStyle w:val="Standaard-Tabellen"/>
              <w:jc w:val="center"/>
              <w:rPr>
                <w:rFonts w:eastAsia="Calibri"/>
                <w:b/>
              </w:rPr>
            </w:pPr>
            <w:r w:rsidRPr="00C574E1">
              <w:rPr>
                <w:rFonts w:eastAsia="Calibri"/>
                <w:b/>
              </w:rPr>
              <w:t>Summary table of animal studies on acute dermal toxicity</w:t>
            </w:r>
          </w:p>
        </w:tc>
      </w:tr>
      <w:tr w:rsidR="00D75097" w:rsidRPr="00C574E1" w14:paraId="14BA1E1F" w14:textId="77777777" w:rsidTr="00D75097">
        <w:trPr>
          <w:trHeight w:val="2519"/>
        </w:trPr>
        <w:tc>
          <w:tcPr>
            <w:tcW w:w="534" w:type="pct"/>
            <w:shd w:val="clear" w:color="auto" w:fill="BFBFBF" w:themeFill="background1" w:themeFillShade="BF"/>
          </w:tcPr>
          <w:p w14:paraId="32C4A1C8" w14:textId="77777777" w:rsidR="00D75097" w:rsidRPr="00C574E1" w:rsidRDefault="00D75097" w:rsidP="00BE71A6">
            <w:pPr>
              <w:pStyle w:val="Standaard-Tabellen"/>
              <w:rPr>
                <w:rFonts w:eastAsia="Calibri"/>
                <w:b/>
              </w:rPr>
            </w:pPr>
            <w:r w:rsidRPr="00C574E1">
              <w:rPr>
                <w:rFonts w:eastAsia="Calibri"/>
                <w:b/>
              </w:rPr>
              <w:t>Method, Guideline,</w:t>
            </w:r>
          </w:p>
          <w:p w14:paraId="3C7F4980" w14:textId="77777777" w:rsidR="00D75097" w:rsidRPr="00C574E1" w:rsidRDefault="00D75097" w:rsidP="00BE71A6">
            <w:pPr>
              <w:pStyle w:val="Standaard-Tabellen"/>
              <w:rPr>
                <w:rFonts w:eastAsia="Calibri"/>
                <w:b/>
              </w:rPr>
            </w:pPr>
            <w:r w:rsidRPr="00C574E1">
              <w:rPr>
                <w:rFonts w:eastAsia="Calibri"/>
                <w:b/>
              </w:rPr>
              <w:t>GLP status,</w:t>
            </w:r>
          </w:p>
          <w:p w14:paraId="7A339727" w14:textId="77777777" w:rsidR="00D75097" w:rsidRPr="00C574E1" w:rsidRDefault="00D75097" w:rsidP="00BE71A6">
            <w:pPr>
              <w:pStyle w:val="Standaard-Tabellen"/>
              <w:rPr>
                <w:rFonts w:eastAsia="Calibri"/>
                <w:b/>
              </w:rPr>
            </w:pPr>
            <w:r w:rsidRPr="00C574E1">
              <w:rPr>
                <w:rFonts w:eastAsia="Calibri"/>
                <w:b/>
              </w:rPr>
              <w:t>Reliability</w:t>
            </w:r>
          </w:p>
        </w:tc>
        <w:tc>
          <w:tcPr>
            <w:tcW w:w="627" w:type="pct"/>
            <w:shd w:val="clear" w:color="auto" w:fill="BFBFBF" w:themeFill="background1" w:themeFillShade="BF"/>
          </w:tcPr>
          <w:p w14:paraId="283AA356" w14:textId="77777777" w:rsidR="00D75097" w:rsidRPr="00C574E1" w:rsidDel="0048714C" w:rsidRDefault="00D75097" w:rsidP="00BE71A6">
            <w:pPr>
              <w:pStyle w:val="Standaard-Tabellen"/>
              <w:rPr>
                <w:rFonts w:eastAsia="Calibri"/>
                <w:b/>
              </w:rPr>
            </w:pPr>
            <w:r w:rsidRPr="00C574E1">
              <w:rPr>
                <w:rFonts w:eastAsia="Calibri"/>
                <w:b/>
              </w:rPr>
              <w:t>Species, strain, Sex, No/group</w:t>
            </w:r>
          </w:p>
        </w:tc>
        <w:tc>
          <w:tcPr>
            <w:tcW w:w="819" w:type="pct"/>
            <w:shd w:val="clear" w:color="auto" w:fill="BFBFBF" w:themeFill="background1" w:themeFillShade="BF"/>
          </w:tcPr>
          <w:p w14:paraId="6C98F0EF" w14:textId="77777777" w:rsidR="00D75097" w:rsidRPr="00C574E1" w:rsidRDefault="00D75097" w:rsidP="00BE71A6">
            <w:pPr>
              <w:pStyle w:val="Standaard-Tabellen"/>
              <w:rPr>
                <w:rFonts w:eastAsia="Calibri"/>
                <w:b/>
              </w:rPr>
            </w:pPr>
            <w:r w:rsidRPr="00C574E1">
              <w:rPr>
                <w:rFonts w:eastAsia="Calibri"/>
                <w:b/>
              </w:rPr>
              <w:t>Test substance, Vehicle, Dose levels, Surface area</w:t>
            </w:r>
          </w:p>
        </w:tc>
        <w:tc>
          <w:tcPr>
            <w:tcW w:w="856" w:type="pct"/>
            <w:shd w:val="clear" w:color="auto" w:fill="BFBFBF" w:themeFill="background1" w:themeFillShade="BF"/>
          </w:tcPr>
          <w:p w14:paraId="425FE0BC" w14:textId="77777777" w:rsidR="00D75097" w:rsidRPr="00C574E1" w:rsidRDefault="00D75097" w:rsidP="00BE71A6">
            <w:pPr>
              <w:pStyle w:val="Standaard-Tabellen"/>
              <w:rPr>
                <w:rFonts w:eastAsia="Calibri"/>
                <w:b/>
              </w:rPr>
            </w:pPr>
            <w:r w:rsidRPr="00C574E1">
              <w:rPr>
                <w:rFonts w:eastAsia="Calibri"/>
                <w:b/>
              </w:rPr>
              <w:t xml:space="preserve">Signs of toxicity </w:t>
            </w:r>
            <w:r w:rsidRPr="00C574E1">
              <w:rPr>
                <w:rFonts w:eastAsia="Calibri"/>
                <w:i/>
              </w:rPr>
              <w:t>(nature, onset, duration, severity, reversibility)</w:t>
            </w:r>
          </w:p>
        </w:tc>
        <w:tc>
          <w:tcPr>
            <w:tcW w:w="364" w:type="pct"/>
            <w:shd w:val="clear" w:color="auto" w:fill="BFBFBF" w:themeFill="background1" w:themeFillShade="BF"/>
          </w:tcPr>
          <w:p w14:paraId="733D52F4" w14:textId="77777777" w:rsidR="00D75097" w:rsidRPr="00C574E1" w:rsidRDefault="00D75097" w:rsidP="00BE71A6">
            <w:pPr>
              <w:pStyle w:val="Standaard-Tabellen"/>
              <w:rPr>
                <w:rFonts w:eastAsia="Calibri"/>
                <w:b/>
              </w:rPr>
            </w:pPr>
            <w:r w:rsidRPr="00C574E1">
              <w:rPr>
                <w:rFonts w:eastAsia="Calibri"/>
                <w:b/>
              </w:rPr>
              <w:t>LD50</w:t>
            </w:r>
          </w:p>
        </w:tc>
        <w:tc>
          <w:tcPr>
            <w:tcW w:w="1283" w:type="pct"/>
            <w:shd w:val="clear" w:color="auto" w:fill="BFBFBF" w:themeFill="background1" w:themeFillShade="BF"/>
          </w:tcPr>
          <w:p w14:paraId="12A43F7F" w14:textId="77777777" w:rsidR="00D75097" w:rsidRPr="00C574E1" w:rsidRDefault="00D75097" w:rsidP="00BE71A6">
            <w:pPr>
              <w:pStyle w:val="Standaard-Tabellen"/>
              <w:rPr>
                <w:rFonts w:eastAsia="Calibri"/>
                <w:b/>
              </w:rPr>
            </w:pPr>
            <w:r w:rsidRPr="00C574E1">
              <w:rPr>
                <w:rFonts w:eastAsia="Calibri"/>
                <w:b/>
              </w:rPr>
              <w:t xml:space="preserve">Remarks </w:t>
            </w:r>
            <w:r w:rsidRPr="00C574E1">
              <w:rPr>
                <w:rFonts w:eastAsia="Calibri"/>
                <w:i/>
              </w:rPr>
              <w:t>(e.g. major deviations)</w:t>
            </w:r>
          </w:p>
        </w:tc>
        <w:tc>
          <w:tcPr>
            <w:tcW w:w="517" w:type="pct"/>
            <w:shd w:val="clear" w:color="auto" w:fill="BFBFBF" w:themeFill="background1" w:themeFillShade="BF"/>
          </w:tcPr>
          <w:p w14:paraId="4224B17F" w14:textId="77777777" w:rsidR="00D75097" w:rsidRPr="00C574E1" w:rsidRDefault="00D75097" w:rsidP="00BE71A6">
            <w:pPr>
              <w:pStyle w:val="Standaard-Tabellen"/>
              <w:rPr>
                <w:rFonts w:eastAsia="Calibri"/>
                <w:b/>
              </w:rPr>
            </w:pPr>
            <w:r w:rsidRPr="00C574E1">
              <w:rPr>
                <w:rFonts w:eastAsia="Calibri"/>
                <w:b/>
              </w:rPr>
              <w:t>Reference</w:t>
            </w:r>
          </w:p>
        </w:tc>
      </w:tr>
      <w:tr w:rsidR="00F10CBA" w:rsidRPr="00C574E1" w14:paraId="7A103A58" w14:textId="77777777" w:rsidTr="00D75097">
        <w:trPr>
          <w:trHeight w:val="362"/>
        </w:trPr>
        <w:tc>
          <w:tcPr>
            <w:tcW w:w="534" w:type="pct"/>
            <w:shd w:val="clear" w:color="auto" w:fill="auto"/>
          </w:tcPr>
          <w:p w14:paraId="23223B00" w14:textId="77777777" w:rsidR="00F10CBA" w:rsidRDefault="00F10CBA" w:rsidP="00F10CBA">
            <w:pPr>
              <w:spacing w:line="260" w:lineRule="atLeast"/>
              <w:rPr>
                <w:rFonts w:eastAsia="Calibri"/>
                <w:lang w:val="de-DE" w:eastAsia="en-US"/>
              </w:rPr>
            </w:pPr>
            <w:r>
              <w:rPr>
                <w:rFonts w:eastAsia="Calibri"/>
                <w:lang w:val="de-DE" w:eastAsia="en-US"/>
              </w:rPr>
              <w:t>OECD 402</w:t>
            </w:r>
          </w:p>
          <w:p w14:paraId="733E392D" w14:textId="77777777" w:rsidR="00F10CBA" w:rsidRDefault="00F10CBA" w:rsidP="00F10CBA">
            <w:pPr>
              <w:spacing w:line="260" w:lineRule="atLeast"/>
              <w:rPr>
                <w:rFonts w:eastAsia="Calibri"/>
                <w:lang w:val="de-DE" w:eastAsia="en-US"/>
              </w:rPr>
            </w:pPr>
            <w:r>
              <w:rPr>
                <w:rFonts w:eastAsia="Calibri"/>
                <w:lang w:val="de-DE" w:eastAsia="en-US"/>
              </w:rPr>
              <w:t>EU 92/69 Annex V, B.3</w:t>
            </w:r>
          </w:p>
          <w:p w14:paraId="35246CCF" w14:textId="77777777" w:rsidR="00F10CBA" w:rsidRPr="008C0D5A" w:rsidRDefault="00F10CBA" w:rsidP="00F10CBA">
            <w:pPr>
              <w:spacing w:line="260" w:lineRule="atLeast"/>
              <w:rPr>
                <w:rFonts w:eastAsia="Calibri"/>
                <w:lang w:eastAsia="en-US"/>
              </w:rPr>
            </w:pPr>
            <w:r w:rsidRPr="008C0D5A">
              <w:rPr>
                <w:rFonts w:eastAsia="Calibri"/>
                <w:lang w:eastAsia="en-US"/>
              </w:rPr>
              <w:t>EPA OPPTS 870.1200</w:t>
            </w:r>
          </w:p>
          <w:p w14:paraId="516F059C" w14:textId="77777777" w:rsidR="00F10CBA" w:rsidRPr="008C0D5A" w:rsidRDefault="00F10CBA" w:rsidP="00F10CBA">
            <w:pPr>
              <w:spacing w:line="260" w:lineRule="atLeast"/>
              <w:rPr>
                <w:rFonts w:eastAsia="Calibri"/>
                <w:lang w:eastAsia="en-US"/>
              </w:rPr>
            </w:pPr>
            <w:r w:rsidRPr="008C0D5A">
              <w:rPr>
                <w:rFonts w:eastAsia="Calibri"/>
                <w:lang w:eastAsia="en-US"/>
              </w:rPr>
              <w:t>GLP=yes</w:t>
            </w:r>
          </w:p>
          <w:p w14:paraId="0E443C81" w14:textId="2B37054B" w:rsidR="00F10CBA" w:rsidRPr="00C574E1" w:rsidRDefault="00F10CBA" w:rsidP="00F10CBA">
            <w:pPr>
              <w:pStyle w:val="Standaard-Tabellen"/>
              <w:rPr>
                <w:rFonts w:eastAsia="Calibri"/>
              </w:rPr>
            </w:pPr>
            <w:proofErr w:type="spellStart"/>
            <w:r w:rsidRPr="008C0D5A">
              <w:rPr>
                <w:rFonts w:eastAsia="Calibri"/>
                <w:lang w:eastAsia="en-US"/>
              </w:rPr>
              <w:t>Rel</w:t>
            </w:r>
            <w:proofErr w:type="spellEnd"/>
            <w:r w:rsidRPr="008C0D5A">
              <w:rPr>
                <w:rFonts w:eastAsia="Calibri"/>
                <w:lang w:eastAsia="en-US"/>
              </w:rPr>
              <w:t>=1</w:t>
            </w:r>
          </w:p>
        </w:tc>
        <w:tc>
          <w:tcPr>
            <w:tcW w:w="627" w:type="pct"/>
          </w:tcPr>
          <w:p w14:paraId="78D2DCFE" w14:textId="77777777" w:rsidR="00F10CBA" w:rsidRDefault="00F10CBA" w:rsidP="00F10CBA">
            <w:pPr>
              <w:spacing w:line="260" w:lineRule="atLeast"/>
              <w:rPr>
                <w:rFonts w:eastAsia="Calibri"/>
                <w:lang w:val="de-DE" w:eastAsia="en-US"/>
              </w:rPr>
            </w:pPr>
            <w:r>
              <w:rPr>
                <w:rFonts w:eastAsia="Calibri"/>
                <w:lang w:val="de-DE" w:eastAsia="en-US"/>
              </w:rPr>
              <w:t>Rat</w:t>
            </w:r>
          </w:p>
          <w:p w14:paraId="4C74F8CE" w14:textId="77777777" w:rsidR="00F10CBA" w:rsidRDefault="00F10CBA" w:rsidP="00F10CBA">
            <w:pPr>
              <w:spacing w:line="260" w:lineRule="atLeast"/>
              <w:rPr>
                <w:rFonts w:eastAsia="Calibri"/>
                <w:lang w:val="de-DE" w:eastAsia="en-US"/>
              </w:rPr>
            </w:pPr>
            <w:proofErr w:type="spellStart"/>
            <w:r>
              <w:rPr>
                <w:rFonts w:eastAsia="Calibri"/>
                <w:lang w:val="de-DE" w:eastAsia="en-US"/>
              </w:rPr>
              <w:t>Crl:CD</w:t>
            </w:r>
            <w:proofErr w:type="spellEnd"/>
            <w:r>
              <w:rPr>
                <w:rFonts w:eastAsia="Calibri"/>
                <w:lang w:val="de-DE" w:eastAsia="en-US"/>
              </w:rPr>
              <w:t>(SD)</w:t>
            </w:r>
          </w:p>
          <w:p w14:paraId="3E79CC7B" w14:textId="77777777" w:rsidR="00F10CBA" w:rsidRDefault="00F10CBA" w:rsidP="00F10CBA">
            <w:pPr>
              <w:spacing w:line="260" w:lineRule="atLeast"/>
              <w:rPr>
                <w:rFonts w:eastAsia="Calibri"/>
                <w:lang w:val="de-DE" w:eastAsia="en-US"/>
              </w:rPr>
            </w:pPr>
            <w:r>
              <w:rPr>
                <w:rFonts w:eastAsia="Calibri"/>
                <w:lang w:val="de-DE" w:eastAsia="en-US"/>
              </w:rPr>
              <w:t>5</w:t>
            </w:r>
            <w:r>
              <w:rPr>
                <w:rFonts w:ascii="Arial" w:eastAsia="Calibri" w:hAnsi="Arial" w:cs="Arial"/>
                <w:lang w:val="de-DE" w:eastAsia="en-US"/>
              </w:rPr>
              <w:t>♀</w:t>
            </w:r>
            <w:r>
              <w:rPr>
                <w:rFonts w:eastAsia="Calibri"/>
                <w:lang w:val="de-DE" w:eastAsia="en-US"/>
              </w:rPr>
              <w:t>, 5</w:t>
            </w:r>
            <w:r>
              <w:rPr>
                <w:rFonts w:ascii="Arial" w:eastAsia="Calibri" w:hAnsi="Arial" w:cs="Arial"/>
                <w:lang w:val="de-DE" w:eastAsia="en-US"/>
              </w:rPr>
              <w:t>♂</w:t>
            </w:r>
            <w:r>
              <w:rPr>
                <w:rFonts w:eastAsia="Calibri"/>
                <w:lang w:val="de-DE" w:eastAsia="en-US"/>
              </w:rPr>
              <w:t>/dose</w:t>
            </w:r>
          </w:p>
          <w:p w14:paraId="42474DFB" w14:textId="77777777" w:rsidR="00F10CBA" w:rsidRPr="00C574E1" w:rsidRDefault="00F10CBA" w:rsidP="00F10CBA">
            <w:pPr>
              <w:pStyle w:val="Standaard-Tabellen"/>
              <w:rPr>
                <w:rFonts w:eastAsia="Calibri"/>
              </w:rPr>
            </w:pPr>
          </w:p>
        </w:tc>
        <w:tc>
          <w:tcPr>
            <w:tcW w:w="819" w:type="pct"/>
            <w:shd w:val="clear" w:color="auto" w:fill="auto"/>
          </w:tcPr>
          <w:p w14:paraId="4534F3D4" w14:textId="77777777" w:rsidR="00F10CBA" w:rsidRPr="00892C32" w:rsidRDefault="00F10CBA" w:rsidP="00F10CBA">
            <w:pPr>
              <w:keepNext/>
              <w:widowControl w:val="0"/>
              <w:tabs>
                <w:tab w:val="center" w:pos="4536"/>
                <w:tab w:val="right" w:pos="9072"/>
              </w:tabs>
              <w:spacing w:line="276" w:lineRule="auto"/>
              <w:rPr>
                <w:rFonts w:eastAsia="Calibri"/>
                <w:color w:val="000000"/>
                <w:sz w:val="18"/>
                <w:szCs w:val="18"/>
                <w:lang w:eastAsia="en-GB"/>
              </w:rPr>
            </w:pPr>
            <w:r w:rsidRPr="00393183">
              <w:rPr>
                <w:rFonts w:eastAsia="Calibri"/>
                <w:color w:val="000000"/>
                <w:sz w:val="18"/>
                <w:szCs w:val="18"/>
                <w:lang w:eastAsia="en-GB"/>
              </w:rPr>
              <w:t>US Lotion Formulation</w:t>
            </w:r>
          </w:p>
          <w:p w14:paraId="1B7AEBA0" w14:textId="77777777" w:rsidR="00F10CBA" w:rsidRDefault="00F10CBA" w:rsidP="00F10CBA">
            <w:pPr>
              <w:spacing w:line="260" w:lineRule="atLeast"/>
              <w:rPr>
                <w:rFonts w:eastAsia="Calibri"/>
                <w:lang w:val="en-US" w:eastAsia="en-US"/>
              </w:rPr>
            </w:pPr>
            <w:r>
              <w:rPr>
                <w:rFonts w:eastAsia="Calibri"/>
                <w:lang w:val="en-US" w:eastAsia="en-US"/>
              </w:rPr>
              <w:t>Undiluted</w:t>
            </w:r>
          </w:p>
          <w:p w14:paraId="55AE2A45" w14:textId="77777777" w:rsidR="00F10CBA" w:rsidRDefault="00F10CBA" w:rsidP="00F10CBA">
            <w:pPr>
              <w:spacing w:line="260" w:lineRule="atLeast"/>
              <w:rPr>
                <w:rFonts w:eastAsia="Calibri"/>
                <w:lang w:val="en-US" w:eastAsia="en-US"/>
              </w:rPr>
            </w:pPr>
            <w:r>
              <w:rPr>
                <w:rFonts w:eastAsia="Calibri"/>
                <w:lang w:val="en-US" w:eastAsia="en-US"/>
              </w:rPr>
              <w:t xml:space="preserve">5000 mg/kg </w:t>
            </w:r>
            <w:proofErr w:type="spellStart"/>
            <w:r>
              <w:rPr>
                <w:rFonts w:eastAsia="Calibri"/>
                <w:lang w:val="en-US" w:eastAsia="en-US"/>
              </w:rPr>
              <w:t>bw</w:t>
            </w:r>
            <w:proofErr w:type="spellEnd"/>
          </w:p>
          <w:p w14:paraId="15988E68" w14:textId="77777777" w:rsidR="00F10CBA" w:rsidRDefault="00F10CBA" w:rsidP="00F10CBA">
            <w:pPr>
              <w:spacing w:line="260" w:lineRule="atLeast"/>
              <w:rPr>
                <w:rFonts w:eastAsia="Calibri"/>
                <w:lang w:val="en-US" w:eastAsia="en-US"/>
              </w:rPr>
            </w:pPr>
            <w:r>
              <w:rPr>
                <w:rFonts w:eastAsia="Calibri"/>
                <w:lang w:val="en-US" w:eastAsia="en-US"/>
              </w:rPr>
              <w:t>10% of body area</w:t>
            </w:r>
          </w:p>
          <w:p w14:paraId="763723A5" w14:textId="189BF07E" w:rsidR="00F10CBA" w:rsidRPr="00C574E1" w:rsidRDefault="00F10CBA" w:rsidP="00F10CBA">
            <w:pPr>
              <w:pStyle w:val="Standaard-Tabellen"/>
              <w:rPr>
                <w:rFonts w:eastAsia="Calibri"/>
              </w:rPr>
            </w:pPr>
            <w:proofErr w:type="spellStart"/>
            <w:r>
              <w:rPr>
                <w:rFonts w:eastAsia="Calibri"/>
                <w:lang w:val="en-US" w:eastAsia="en-US"/>
              </w:rPr>
              <w:t>Semiocclusive</w:t>
            </w:r>
            <w:proofErr w:type="spellEnd"/>
          </w:p>
        </w:tc>
        <w:tc>
          <w:tcPr>
            <w:tcW w:w="856" w:type="pct"/>
            <w:shd w:val="clear" w:color="auto" w:fill="auto"/>
          </w:tcPr>
          <w:p w14:paraId="3C5F6E26" w14:textId="2B8BB48C" w:rsidR="00F10CBA" w:rsidRPr="00C574E1" w:rsidRDefault="00F10CBA" w:rsidP="00F10CBA">
            <w:pPr>
              <w:pStyle w:val="Standaard-Tabellen"/>
              <w:rPr>
                <w:rFonts w:eastAsia="Calibri"/>
              </w:rPr>
            </w:pPr>
            <w:r>
              <w:rPr>
                <w:rFonts w:eastAsia="Calibri"/>
              </w:rPr>
              <w:t>See below</w:t>
            </w:r>
          </w:p>
        </w:tc>
        <w:tc>
          <w:tcPr>
            <w:tcW w:w="364" w:type="pct"/>
            <w:shd w:val="clear" w:color="auto" w:fill="auto"/>
          </w:tcPr>
          <w:p w14:paraId="34116F5D" w14:textId="1C2AA074" w:rsidR="00F10CBA" w:rsidRPr="00C574E1" w:rsidRDefault="00F10CBA" w:rsidP="00F10CBA">
            <w:pPr>
              <w:pStyle w:val="Standaard-Tabellen"/>
              <w:rPr>
                <w:rFonts w:eastAsia="Calibri"/>
              </w:rPr>
            </w:pPr>
            <w:r>
              <w:rPr>
                <w:rFonts w:eastAsia="Calibri"/>
                <w:lang w:val="en-US" w:eastAsia="en-US"/>
              </w:rPr>
              <w:t xml:space="preserve">&gt;5000 mg/kg </w:t>
            </w:r>
            <w:proofErr w:type="spellStart"/>
            <w:r>
              <w:rPr>
                <w:rFonts w:eastAsia="Calibri"/>
                <w:lang w:val="en-US" w:eastAsia="en-US"/>
              </w:rPr>
              <w:t>bw</w:t>
            </w:r>
            <w:proofErr w:type="spellEnd"/>
          </w:p>
        </w:tc>
        <w:tc>
          <w:tcPr>
            <w:tcW w:w="1283" w:type="pct"/>
          </w:tcPr>
          <w:p w14:paraId="1BEA082C" w14:textId="62601937" w:rsidR="00F10CBA" w:rsidRPr="00C574E1" w:rsidRDefault="00F10CBA" w:rsidP="00F10CBA">
            <w:pPr>
              <w:pStyle w:val="Standaard-Tabellen"/>
              <w:rPr>
                <w:rFonts w:eastAsia="Calibri"/>
              </w:rPr>
            </w:pPr>
            <w:r w:rsidRPr="00F10CBA">
              <w:rPr>
                <w:rFonts w:eastAsia="Calibri"/>
                <w:lang w:eastAsia="en-US"/>
              </w:rPr>
              <w:t>Identity of test material slightly different from BP:</w:t>
            </w:r>
            <w:r w:rsidRPr="00F10CBA">
              <w:rPr>
                <w:rFonts w:eastAsia="Calibri"/>
                <w:color w:val="000000"/>
              </w:rPr>
              <w:t xml:space="preserve"> buffers added (1% in total) and omission of preservatives (1% in total)</w:t>
            </w:r>
          </w:p>
        </w:tc>
        <w:tc>
          <w:tcPr>
            <w:tcW w:w="517" w:type="pct"/>
            <w:shd w:val="clear" w:color="auto" w:fill="auto"/>
          </w:tcPr>
          <w:p w14:paraId="7C483B19" w14:textId="6BDA526E" w:rsidR="00F10CBA" w:rsidRPr="00C574E1" w:rsidRDefault="00F10CBA" w:rsidP="00F10CBA">
            <w:pPr>
              <w:pStyle w:val="Standaard-Tabellen"/>
              <w:rPr>
                <w:rFonts w:eastAsia="Calibri"/>
              </w:rPr>
            </w:pPr>
            <w:r w:rsidRPr="00BF5148">
              <w:rPr>
                <w:rFonts w:eastAsia="Calibri"/>
                <w:highlight w:val="black"/>
                <w:lang w:val="en-US" w:eastAsia="en-US"/>
              </w:rPr>
              <w:t>Hurley, J.M.</w:t>
            </w:r>
            <w:r>
              <w:rPr>
                <w:rFonts w:eastAsia="Calibri"/>
                <w:lang w:val="en-US" w:eastAsia="en-US"/>
              </w:rPr>
              <w:t xml:space="preserve"> (2006) (d)</w:t>
            </w:r>
          </w:p>
        </w:tc>
      </w:tr>
    </w:tbl>
    <w:p w14:paraId="5B9B435E" w14:textId="77777777" w:rsidR="000F4416" w:rsidRDefault="000F4416" w:rsidP="00C574E1">
      <w:pPr>
        <w:rPr>
          <w:rFonts w:eastAsia="Calibri"/>
          <w:lang w:eastAsia="en-US"/>
        </w:rPr>
      </w:pPr>
    </w:p>
    <w:p w14:paraId="5121224A" w14:textId="77777777" w:rsidR="00F10CBA" w:rsidRPr="00A20B1F" w:rsidRDefault="00F10CBA" w:rsidP="00F10CBA">
      <w:r w:rsidRPr="00A20B1F">
        <w:t xml:space="preserve">There were no deaths, remarkable body weight changes or macroscopic findings at the scheduled necropsy. Clinical findings included abnormal excretion, various discoloured areas due to discharges/excretions and hair loss on the forelimbs, and persisted until study termination on day 14. Dermal findings noted during the study consisted of very slight (grade 1) erythema, very slight (grade 1) </w:t>
      </w:r>
      <w:proofErr w:type="spellStart"/>
      <w:r w:rsidRPr="00A20B1F">
        <w:t>edema</w:t>
      </w:r>
      <w:proofErr w:type="spellEnd"/>
      <w:r w:rsidRPr="00A20B1F">
        <w:t>, pinpoint scabbing and yellow discoloration at the dose sites. Very slight erythema (grade 1) persisted to study termination (study at day 14). Macroscopic findings consisted of a dilated pelvis of the right kidney for 1 male, multiple irregularly shaped white areas on the spleen of 1 male, and enlarged medial lymph node for 2 females.</w:t>
      </w:r>
    </w:p>
    <w:p w14:paraId="7F2D6013" w14:textId="77777777" w:rsidR="00F10CBA" w:rsidRDefault="00F10CBA" w:rsidP="00F10CBA">
      <w:r>
        <w:t>Based on the results of this study, the LD</w:t>
      </w:r>
      <w:r>
        <w:rPr>
          <w:vertAlign w:val="subscript"/>
        </w:rPr>
        <w:t>50</w:t>
      </w:r>
      <w:r>
        <w:t xml:space="preserve"> of the US lotion formulation was greater than 5000 mg/kg </w:t>
      </w:r>
      <w:proofErr w:type="spellStart"/>
      <w:r>
        <w:t>bw</w:t>
      </w:r>
      <w:proofErr w:type="spellEnd"/>
      <w:r>
        <w:t xml:space="preserve"> when administered once for 24 hours to the clipped, unabraded skin of male and female albino rats. A classification of the biocidal product with respect to acute dermal toxicity is not required.</w:t>
      </w:r>
    </w:p>
    <w:p w14:paraId="293753BF" w14:textId="77777777" w:rsidR="00D75097" w:rsidRDefault="00D75097" w:rsidP="00D75097"/>
    <w:p w14:paraId="4A948E78" w14:textId="77777777" w:rsidR="00D75097" w:rsidRDefault="00D75097" w:rsidP="00D75097">
      <w:pPr>
        <w:spacing w:line="260" w:lineRule="atLeast"/>
        <w:rPr>
          <w:rFonts w:eastAsia="Calibri"/>
          <w:bCs/>
          <w:lang w:eastAsia="en-US"/>
        </w:rPr>
      </w:pPr>
      <w:r>
        <w:rPr>
          <w:rFonts w:eastAsia="Calibri"/>
          <w:bCs/>
          <w:lang w:eastAsia="en-US"/>
        </w:rPr>
        <w:t>No human data are available for acute dermal toxicity.</w:t>
      </w:r>
    </w:p>
    <w:p w14:paraId="402A7865" w14:textId="77777777" w:rsidR="00D75097" w:rsidRPr="00A20B1F" w:rsidRDefault="00D75097" w:rsidP="00D75097">
      <w:pPr>
        <w:spacing w:line="260" w:lineRule="atLeast"/>
        <w:rPr>
          <w:rFonts w:eastAsia="Calibri"/>
          <w:bCs/>
          <w:lang w:eastAsia="en-US"/>
        </w:rPr>
      </w:pPr>
    </w:p>
    <w:p w14:paraId="38599CA0" w14:textId="77777777" w:rsidR="00D75097" w:rsidRPr="00C574E1" w:rsidRDefault="00D75097" w:rsidP="00C574E1">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01"/>
        <w:gridCol w:w="9530"/>
      </w:tblGrid>
      <w:tr w:rsidR="000F4416" w:rsidRPr="00C574E1" w14:paraId="35FF3FD9" w14:textId="77777777" w:rsidTr="00D75097">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60DA691C" w14:textId="77777777" w:rsidR="000F4416" w:rsidRPr="00C574E1" w:rsidRDefault="000F4416" w:rsidP="00C574E1">
            <w:pPr>
              <w:rPr>
                <w:rFonts w:eastAsia="Calibri"/>
                <w:b/>
                <w:lang w:eastAsia="en-US"/>
              </w:rPr>
            </w:pPr>
            <w:r w:rsidRPr="00C574E1">
              <w:rPr>
                <w:rFonts w:eastAsia="Calibri"/>
                <w:b/>
                <w:lang w:eastAsia="en-US"/>
              </w:rPr>
              <w:lastRenderedPageBreak/>
              <w:t>Value used in the Risk Assessment – Acute dermal toxicity</w:t>
            </w:r>
          </w:p>
        </w:tc>
      </w:tr>
      <w:tr w:rsidR="00D75097" w:rsidRPr="00FD2055" w14:paraId="58F290CE" w14:textId="77777777" w:rsidTr="00D75097">
        <w:tc>
          <w:tcPr>
            <w:tcW w:w="1675" w:type="pct"/>
            <w:tcBorders>
              <w:top w:val="single" w:sz="6" w:space="0" w:color="auto"/>
              <w:left w:val="single" w:sz="4" w:space="0" w:color="auto"/>
              <w:bottom w:val="single" w:sz="6" w:space="0" w:color="auto"/>
              <w:right w:val="single" w:sz="6" w:space="0" w:color="auto"/>
            </w:tcBorders>
            <w:shd w:val="clear" w:color="auto" w:fill="auto"/>
          </w:tcPr>
          <w:p w14:paraId="1C413828" w14:textId="77777777" w:rsidR="00D75097" w:rsidRPr="00FD2055" w:rsidRDefault="00D75097" w:rsidP="00D75097">
            <w:pPr>
              <w:rPr>
                <w:rFonts w:eastAsia="Calibri"/>
                <w:lang w:eastAsia="en-US"/>
              </w:rPr>
            </w:pPr>
            <w:r w:rsidRPr="00FD2055">
              <w:rPr>
                <w:rFonts w:eastAsia="Calibri"/>
                <w:lang w:eastAsia="en-US"/>
              </w:rPr>
              <w:t>Value</w:t>
            </w:r>
          </w:p>
        </w:tc>
        <w:tc>
          <w:tcPr>
            <w:tcW w:w="3325" w:type="pct"/>
            <w:tcBorders>
              <w:top w:val="single" w:sz="6" w:space="0" w:color="auto"/>
              <w:left w:val="single" w:sz="6" w:space="0" w:color="auto"/>
              <w:bottom w:val="single" w:sz="6" w:space="0" w:color="auto"/>
              <w:right w:val="single" w:sz="6" w:space="0" w:color="auto"/>
            </w:tcBorders>
          </w:tcPr>
          <w:p w14:paraId="0D142596" w14:textId="77777777" w:rsidR="00D75097" w:rsidRPr="00FD2055" w:rsidRDefault="00D75097" w:rsidP="00D75097">
            <w:pPr>
              <w:rPr>
                <w:rFonts w:eastAsia="Calibri"/>
                <w:lang w:eastAsia="en-US"/>
              </w:rPr>
            </w:pPr>
            <w:r>
              <w:rPr>
                <w:rFonts w:eastAsia="Calibri"/>
                <w:lang w:eastAsia="en-US"/>
              </w:rPr>
              <w:t>Biocidal product not classified for acute dermal toxicity according to (EU) nr. 1272/2008</w:t>
            </w:r>
          </w:p>
        </w:tc>
      </w:tr>
      <w:tr w:rsidR="00F10CBA" w:rsidRPr="00FD2055" w14:paraId="562CE01F" w14:textId="77777777" w:rsidTr="00D75097">
        <w:tc>
          <w:tcPr>
            <w:tcW w:w="1675" w:type="pct"/>
            <w:tcBorders>
              <w:top w:val="single" w:sz="6" w:space="0" w:color="auto"/>
              <w:left w:val="single" w:sz="4" w:space="0" w:color="auto"/>
              <w:bottom w:val="single" w:sz="6" w:space="0" w:color="auto"/>
              <w:right w:val="single" w:sz="6" w:space="0" w:color="auto"/>
            </w:tcBorders>
            <w:shd w:val="clear" w:color="auto" w:fill="auto"/>
          </w:tcPr>
          <w:p w14:paraId="6CAA1A35" w14:textId="77777777" w:rsidR="00F10CBA" w:rsidRPr="00FD2055" w:rsidRDefault="00F10CBA" w:rsidP="00F10CBA">
            <w:pPr>
              <w:rPr>
                <w:rFonts w:eastAsia="Calibri"/>
                <w:lang w:eastAsia="en-US"/>
              </w:rPr>
            </w:pPr>
            <w:r w:rsidRPr="00FD2055">
              <w:rPr>
                <w:rFonts w:eastAsia="Calibri"/>
                <w:lang w:eastAsia="en-US"/>
              </w:rPr>
              <w:t>Justification for the selected value</w:t>
            </w:r>
          </w:p>
        </w:tc>
        <w:tc>
          <w:tcPr>
            <w:tcW w:w="3325" w:type="pct"/>
            <w:tcBorders>
              <w:top w:val="single" w:sz="6" w:space="0" w:color="auto"/>
              <w:left w:val="single" w:sz="6" w:space="0" w:color="auto"/>
              <w:bottom w:val="single" w:sz="6" w:space="0" w:color="auto"/>
              <w:right w:val="single" w:sz="6" w:space="0" w:color="auto"/>
            </w:tcBorders>
          </w:tcPr>
          <w:p w14:paraId="54BC4842" w14:textId="1A0F5EFD" w:rsidR="00F10CBA" w:rsidRPr="00FD2055" w:rsidRDefault="00F10CBA" w:rsidP="00F10CBA">
            <w:pPr>
              <w:rPr>
                <w:rFonts w:eastAsia="Calibri"/>
                <w:lang w:eastAsia="en-US"/>
              </w:rPr>
            </w:pPr>
            <w:r>
              <w:t>In an acute dermal toxicity study, the LD</w:t>
            </w:r>
            <w:r>
              <w:rPr>
                <w:vertAlign w:val="subscript"/>
              </w:rPr>
              <w:t>50</w:t>
            </w:r>
            <w:r>
              <w:t xml:space="preserve"> of the US lotion formulation was greater than 5000 mg/kg </w:t>
            </w:r>
            <w:proofErr w:type="spellStart"/>
            <w:r>
              <w:t>bw</w:t>
            </w:r>
            <w:proofErr w:type="spellEnd"/>
            <w:r>
              <w:t>.</w:t>
            </w:r>
          </w:p>
        </w:tc>
      </w:tr>
      <w:tr w:rsidR="00D75097" w:rsidRPr="00FD2055" w14:paraId="55343145" w14:textId="77777777" w:rsidTr="00D75097">
        <w:tc>
          <w:tcPr>
            <w:tcW w:w="1675" w:type="pct"/>
            <w:tcBorders>
              <w:top w:val="single" w:sz="6" w:space="0" w:color="auto"/>
              <w:left w:val="single" w:sz="4" w:space="0" w:color="auto"/>
              <w:bottom w:val="single" w:sz="6" w:space="0" w:color="auto"/>
              <w:right w:val="single" w:sz="6" w:space="0" w:color="auto"/>
            </w:tcBorders>
            <w:shd w:val="clear" w:color="auto" w:fill="auto"/>
          </w:tcPr>
          <w:p w14:paraId="129EDE6E" w14:textId="77777777" w:rsidR="00D75097" w:rsidRPr="00FD2055" w:rsidRDefault="00D75097" w:rsidP="00D75097">
            <w:pPr>
              <w:rPr>
                <w:rFonts w:eastAsia="Calibri"/>
                <w:lang w:eastAsia="en-US"/>
              </w:rPr>
            </w:pPr>
            <w:r w:rsidRPr="00FD2055">
              <w:rPr>
                <w:rFonts w:eastAsia="Calibri"/>
                <w:lang w:eastAsia="en-US"/>
              </w:rPr>
              <w:t>Classification of the product according to CLP and DSD</w:t>
            </w:r>
          </w:p>
        </w:tc>
        <w:tc>
          <w:tcPr>
            <w:tcW w:w="3325" w:type="pct"/>
            <w:tcBorders>
              <w:top w:val="single" w:sz="6" w:space="0" w:color="auto"/>
              <w:left w:val="single" w:sz="6" w:space="0" w:color="auto"/>
              <w:bottom w:val="single" w:sz="6" w:space="0" w:color="auto"/>
              <w:right w:val="single" w:sz="6" w:space="0" w:color="auto"/>
            </w:tcBorders>
          </w:tcPr>
          <w:p w14:paraId="73C7DB47" w14:textId="77777777" w:rsidR="00D75097" w:rsidRPr="00FD2055" w:rsidRDefault="00D75097" w:rsidP="00D75097">
            <w:pPr>
              <w:rPr>
                <w:rFonts w:eastAsia="Calibri"/>
                <w:lang w:eastAsia="en-US"/>
              </w:rPr>
            </w:pPr>
            <w:r>
              <w:rPr>
                <w:rFonts w:eastAsia="Calibri"/>
                <w:lang w:eastAsia="en-US"/>
              </w:rPr>
              <w:t>none</w:t>
            </w:r>
          </w:p>
        </w:tc>
      </w:tr>
    </w:tbl>
    <w:p w14:paraId="4E531548" w14:textId="77777777" w:rsidR="00EF0FF2" w:rsidRDefault="008459ED" w:rsidP="007E5F71">
      <w:pPr>
        <w:pStyle w:val="Titre5"/>
        <w:numPr>
          <w:ilvl w:val="0"/>
          <w:numId w:val="14"/>
        </w:numPr>
      </w:pPr>
      <w:bookmarkStart w:id="150" w:name="_Toc12967156"/>
      <w:r>
        <w:t>Information on dermal absorption</w:t>
      </w:r>
      <w:bookmarkEnd w:id="150"/>
    </w:p>
    <w:p w14:paraId="6464569A" w14:textId="77777777" w:rsidR="00264F86" w:rsidRDefault="00264F86" w:rsidP="00264F86">
      <w:pPr>
        <w:jc w:val="both"/>
      </w:pPr>
      <w:r>
        <w:t>A dermal penetration study has not been performed with Insect Repellent Lotion IR3535</w:t>
      </w:r>
      <w:r w:rsidRPr="00166994">
        <w:rPr>
          <w:vertAlign w:val="superscript"/>
        </w:rPr>
        <w:t>®</w:t>
      </w:r>
      <w:r>
        <w:t xml:space="preserve"> 10%. However, there is other data available that can be used.</w:t>
      </w:r>
    </w:p>
    <w:p w14:paraId="785B3DEA" w14:textId="77777777" w:rsidR="00264F86" w:rsidRDefault="00264F86" w:rsidP="00264F86">
      <w:pPr>
        <w:jc w:val="both"/>
      </w:pPr>
      <w:r>
        <w:t xml:space="preserve">In a dermal </w:t>
      </w:r>
      <w:proofErr w:type="spellStart"/>
      <w:r>
        <w:t>toxicokinetics</w:t>
      </w:r>
      <w:proofErr w:type="spellEnd"/>
      <w:r>
        <w:t>/metabolism study with 5 male and 5 female human volunteers, the dermal absorption of the active substance IR3535</w:t>
      </w:r>
      <w:r w:rsidRPr="00C45200">
        <w:rPr>
          <w:vertAlign w:val="superscript"/>
        </w:rPr>
        <w:t>®</w:t>
      </w:r>
      <w:r>
        <w:t xml:space="preserve"> from a pump spray containing 20 % IR3535</w:t>
      </w:r>
      <w:r w:rsidRPr="00C45200">
        <w:rPr>
          <w:vertAlign w:val="superscript"/>
        </w:rPr>
        <w:t>®</w:t>
      </w:r>
      <w:r>
        <w:t xml:space="preserve"> has been determined in parallel. In this study, approx. 3 grams of the formulation were applied once to hands, arms, legs, feet, face and neck of each volunteer (ca. 50 % of total body area). The total amount of IR3535</w:t>
      </w:r>
      <w:r w:rsidRPr="00C45200">
        <w:rPr>
          <w:vertAlign w:val="superscript"/>
        </w:rPr>
        <w:t>®</w:t>
      </w:r>
      <w:r>
        <w:t xml:space="preserve"> and its metabolite IR3535</w:t>
      </w:r>
      <w:r w:rsidRPr="00C45200">
        <w:rPr>
          <w:vertAlign w:val="superscript"/>
        </w:rPr>
        <w:t>®</w:t>
      </w:r>
      <w:r>
        <w:t>-free acid excreted with the urine over a period of 48 hours presented 13.3% of the dermal dose of IR3535</w:t>
      </w:r>
      <w:r w:rsidRPr="00C45200">
        <w:rPr>
          <w:vertAlign w:val="superscript"/>
        </w:rPr>
        <w:t>®</w:t>
      </w:r>
      <w:r>
        <w:t xml:space="preserve"> applied. Since IR3535</w:t>
      </w:r>
      <w:r w:rsidRPr="00C45200">
        <w:rPr>
          <w:vertAlign w:val="superscript"/>
        </w:rPr>
        <w:t>®</w:t>
      </w:r>
      <w:r>
        <w:t xml:space="preserve"> is rapidly and extensively metabolized and as IR3535</w:t>
      </w:r>
      <w:r w:rsidRPr="00C45200">
        <w:rPr>
          <w:vertAlign w:val="superscript"/>
        </w:rPr>
        <w:t>®</w:t>
      </w:r>
      <w:r>
        <w:t>-free acid has a low molecular weight and high water solubility, it is expected that urinary excretion of IR3535</w:t>
      </w:r>
      <w:r w:rsidRPr="00C45200">
        <w:rPr>
          <w:vertAlign w:val="superscript"/>
        </w:rPr>
        <w:t>®</w:t>
      </w:r>
      <w:r>
        <w:t>-free acid and IR3535</w:t>
      </w:r>
      <w:r w:rsidRPr="00C45200">
        <w:rPr>
          <w:vertAlign w:val="superscript"/>
        </w:rPr>
        <w:t>®</w:t>
      </w:r>
      <w:r>
        <w:t xml:space="preserve"> represents the total extent of absorption of IR3535</w:t>
      </w:r>
      <w:r w:rsidRPr="00C45200">
        <w:rPr>
          <w:vertAlign w:val="superscript"/>
        </w:rPr>
        <w:t>®</w:t>
      </w:r>
      <w:r>
        <w:t xml:space="preserve"> in humans and a distribution to organs and tissues is considered to be negligible.</w:t>
      </w:r>
    </w:p>
    <w:p w14:paraId="5F633065" w14:textId="77777777" w:rsidR="00264F86" w:rsidRDefault="00264F86" w:rsidP="00264F86">
      <w:pPr>
        <w:jc w:val="both"/>
      </w:pPr>
      <w:r>
        <w:t>The results of this study have been summarized in in the active substance dossier and were assessed for the approval of IR3535</w:t>
      </w:r>
      <w:r w:rsidRPr="00C45200">
        <w:rPr>
          <w:vertAlign w:val="superscript"/>
        </w:rPr>
        <w:t>®</w:t>
      </w:r>
      <w:r>
        <w:t>.</w:t>
      </w:r>
    </w:p>
    <w:p w14:paraId="7B446C3A" w14:textId="77777777" w:rsidR="00264F86" w:rsidRDefault="00264F86" w:rsidP="00264F86">
      <w:pPr>
        <w:jc w:val="both"/>
      </w:pPr>
      <w:r>
        <w:t>The assessment of this study resulted in an overall dermal penetration of 14% IR3535</w:t>
      </w:r>
      <w:r w:rsidRPr="00C45200">
        <w:rPr>
          <w:vertAlign w:val="superscript"/>
        </w:rPr>
        <w:t>®</w:t>
      </w:r>
      <w:r>
        <w:t>.</w:t>
      </w:r>
    </w:p>
    <w:p w14:paraId="0AF8EF99" w14:textId="6EAE7FBD" w:rsidR="00264F86" w:rsidRDefault="00264F86" w:rsidP="00264F86">
      <w:pPr>
        <w:jc w:val="both"/>
      </w:pPr>
      <w:r>
        <w:t>In contrast to Insect Repellent Pump Spray IR3535</w:t>
      </w:r>
      <w:r w:rsidRPr="00C45200">
        <w:rPr>
          <w:vertAlign w:val="superscript"/>
        </w:rPr>
        <w:t>®</w:t>
      </w:r>
      <w:r>
        <w:t xml:space="preserve"> 20% which contains a large amount of ethanol, Tween 20 and polyethylene glycols, all of which are known to enhance the skin penetration of substance, Insect Repellent Lotion IR3535</w:t>
      </w:r>
      <w:r w:rsidRPr="00C45200">
        <w:rPr>
          <w:vertAlign w:val="superscript"/>
        </w:rPr>
        <w:t>®</w:t>
      </w:r>
      <w:r>
        <w:t xml:space="preserve"> 10 contains only a few ingredients which might slightly influence the penetration of substances; the concentration of these skin penetration enhancing compounds is much lower compared to the concentration in the Pump Spray.  The use of a skin absorption of 14% as derived from the dermal </w:t>
      </w:r>
      <w:proofErr w:type="spellStart"/>
      <w:r>
        <w:t>toxicokinetics</w:t>
      </w:r>
      <w:proofErr w:type="spellEnd"/>
      <w:r>
        <w:t>/metabolism study performed with the pump spray represents, thus, a worst case for Insect Repellent Lotion IR3535</w:t>
      </w:r>
      <w:r w:rsidRPr="00C45200">
        <w:rPr>
          <w:vertAlign w:val="superscript"/>
        </w:rPr>
        <w:t>®</w:t>
      </w:r>
      <w:r>
        <w:t xml:space="preserve"> 10 and </w:t>
      </w:r>
      <w:r w:rsidRPr="004350E6">
        <w:t>will be</w:t>
      </w:r>
      <w:r>
        <w:t xml:space="preserve"> used in the human exposure assessments for the intended use of the biocidal product. </w:t>
      </w:r>
    </w:p>
    <w:p w14:paraId="0B0C843F" w14:textId="77777777" w:rsidR="00264F86" w:rsidRDefault="00264F86" w:rsidP="00264F86">
      <w:pPr>
        <w:jc w:val="both"/>
      </w:pPr>
    </w:p>
    <w:p w14:paraId="7A3A192F" w14:textId="6916DB53" w:rsidR="00264F86" w:rsidRDefault="00264F86" w:rsidP="00264F86">
      <w:pPr>
        <w:autoSpaceDE w:val="0"/>
        <w:autoSpaceDN w:val="0"/>
        <w:adjustRightInd w:val="0"/>
        <w:rPr>
          <w:rFonts w:cs="36jii"/>
          <w:lang w:val="en-US" w:eastAsia="fr-BE"/>
        </w:rPr>
      </w:pPr>
      <w:r>
        <w:rPr>
          <w:rFonts w:cs="36jii"/>
          <w:lang w:val="en-US" w:eastAsia="fr-BE"/>
        </w:rPr>
        <w:t>See IUCLID datapoint 8.6 Dermal absorption Endpoint study record: Dermal absorption.001.</w:t>
      </w:r>
    </w:p>
    <w:p w14:paraId="2CE8DD30" w14:textId="653D30A1" w:rsidR="00DC22E2" w:rsidRDefault="00DC22E2" w:rsidP="00264F86">
      <w:pPr>
        <w:autoSpaceDE w:val="0"/>
        <w:autoSpaceDN w:val="0"/>
        <w:adjustRightInd w:val="0"/>
        <w:rPr>
          <w:rFonts w:cs="36jii"/>
          <w:lang w:val="en-US" w:eastAsia="fr-BE"/>
        </w:rPr>
      </w:pPr>
    </w:p>
    <w:p w14:paraId="1BB91B21" w14:textId="158CBF0A" w:rsidR="00DC22E2" w:rsidRPr="004B7BBD" w:rsidRDefault="00DC22E2" w:rsidP="00DC22E2">
      <w:pPr>
        <w:rPr>
          <w:i/>
        </w:rPr>
      </w:pPr>
      <w:r w:rsidRPr="000D2F1A">
        <w:rPr>
          <w:i/>
        </w:rPr>
        <w:t xml:space="preserve">Note: During the RCOM it became apparent that there was a divergence in opinions between </w:t>
      </w:r>
      <w:proofErr w:type="spellStart"/>
      <w:r w:rsidRPr="000D2F1A">
        <w:rPr>
          <w:i/>
        </w:rPr>
        <w:t>cMS</w:t>
      </w:r>
      <w:proofErr w:type="spellEnd"/>
      <w:r w:rsidRPr="000D2F1A">
        <w:rPr>
          <w:i/>
        </w:rPr>
        <w:t xml:space="preserve"> on the correct value to be used</w:t>
      </w:r>
      <w:r w:rsidR="00BC6810" w:rsidRPr="000D2F1A">
        <w:rPr>
          <w:i/>
        </w:rPr>
        <w:t xml:space="preserve"> in the risk assessment</w:t>
      </w:r>
      <w:r w:rsidRPr="000D2F1A">
        <w:rPr>
          <w:i/>
        </w:rPr>
        <w:t xml:space="preserve">. BE decided to use the highest of the 2 values discussed, which is the 14% value proposed above. We refer to the confidential annex section 2.6 for a comparison between </w:t>
      </w:r>
      <w:r w:rsidR="00BC6810" w:rsidRPr="000D2F1A">
        <w:rPr>
          <w:i/>
        </w:rPr>
        <w:t xml:space="preserve">the </w:t>
      </w:r>
      <w:r w:rsidRPr="000D2F1A">
        <w:rPr>
          <w:i/>
        </w:rPr>
        <w:t>BP under evaluation and the formula from which the 14% value was derived.</w:t>
      </w:r>
    </w:p>
    <w:p w14:paraId="777F83E0" w14:textId="465DE8CF" w:rsidR="00DC22E2" w:rsidRPr="004350E6" w:rsidRDefault="00DC22E2" w:rsidP="00264F86">
      <w:pPr>
        <w:autoSpaceDE w:val="0"/>
        <w:autoSpaceDN w:val="0"/>
        <w:adjustRightInd w:val="0"/>
        <w:rPr>
          <w:rFonts w:cs="36jii"/>
          <w:lang w:val="en-US" w:eastAsia="fr-BE"/>
        </w:rPr>
      </w:pPr>
      <w:r>
        <w:rPr>
          <w:rFonts w:cs="36jii"/>
          <w:lang w:val="en-US" w:eastAsia="fr-BE"/>
        </w:rPr>
        <w:t xml:space="preserve"> </w:t>
      </w:r>
    </w:p>
    <w:p w14:paraId="21E51809" w14:textId="77777777" w:rsidR="00264F86" w:rsidRPr="00F37E95" w:rsidRDefault="00264F86" w:rsidP="00264F86">
      <w:pPr>
        <w:rPr>
          <w:rFonts w:eastAsia="Calibri"/>
          <w:lang w:val="en-US"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610"/>
        <w:gridCol w:w="10275"/>
        <w:gridCol w:w="222"/>
        <w:gridCol w:w="224"/>
      </w:tblGrid>
      <w:tr w:rsidR="008459ED" w:rsidRPr="008F144D" w14:paraId="3149AF85" w14:textId="77777777" w:rsidTr="00264F86">
        <w:tc>
          <w:tcPr>
            <w:tcW w:w="5000" w:type="pct"/>
            <w:gridSpan w:val="4"/>
            <w:tcBorders>
              <w:top w:val="single" w:sz="4" w:space="0" w:color="auto"/>
              <w:left w:val="single" w:sz="4" w:space="0" w:color="auto"/>
              <w:bottom w:val="single" w:sz="6" w:space="0" w:color="auto"/>
              <w:right w:val="single" w:sz="6" w:space="0" w:color="auto"/>
            </w:tcBorders>
            <w:shd w:val="clear" w:color="auto" w:fill="CCFFCC"/>
          </w:tcPr>
          <w:p w14:paraId="6CD7E3C3" w14:textId="77777777" w:rsidR="008459ED" w:rsidRPr="008F144D" w:rsidRDefault="008459ED" w:rsidP="008F144D">
            <w:pPr>
              <w:rPr>
                <w:rFonts w:eastAsia="Calibri"/>
                <w:b/>
                <w:lang w:eastAsia="en-US"/>
              </w:rPr>
            </w:pPr>
            <w:r w:rsidRPr="008F144D">
              <w:rPr>
                <w:rFonts w:eastAsia="Calibri"/>
                <w:b/>
                <w:lang w:eastAsia="en-US"/>
              </w:rPr>
              <w:t>Value(s) used in the Risk Assessment – Dermal absorption</w:t>
            </w:r>
          </w:p>
        </w:tc>
      </w:tr>
      <w:tr w:rsidR="00264F86" w:rsidRPr="00FD2055" w14:paraId="7019E27E" w14:textId="77777777" w:rsidTr="00264F86">
        <w:tc>
          <w:tcPr>
            <w:tcW w:w="1260" w:type="pct"/>
            <w:tcBorders>
              <w:top w:val="single" w:sz="6" w:space="0" w:color="auto"/>
              <w:left w:val="single" w:sz="4" w:space="0" w:color="auto"/>
              <w:bottom w:val="single" w:sz="6" w:space="0" w:color="auto"/>
              <w:right w:val="single" w:sz="6" w:space="0" w:color="auto"/>
            </w:tcBorders>
            <w:shd w:val="clear" w:color="auto" w:fill="auto"/>
          </w:tcPr>
          <w:p w14:paraId="72DF4892" w14:textId="77777777" w:rsidR="00264F86" w:rsidRPr="00FD2055" w:rsidRDefault="00264F86" w:rsidP="00264F86">
            <w:pPr>
              <w:rPr>
                <w:rFonts w:eastAsia="Calibri"/>
                <w:lang w:eastAsia="en-US"/>
              </w:rPr>
            </w:pPr>
            <w:r w:rsidRPr="00FD2055">
              <w:rPr>
                <w:rFonts w:eastAsia="Calibri"/>
                <w:lang w:eastAsia="en-US"/>
              </w:rPr>
              <w:t>Substance</w:t>
            </w:r>
          </w:p>
        </w:tc>
        <w:tc>
          <w:tcPr>
            <w:tcW w:w="3585" w:type="pct"/>
            <w:tcBorders>
              <w:top w:val="single" w:sz="6" w:space="0" w:color="auto"/>
              <w:left w:val="single" w:sz="6" w:space="0" w:color="auto"/>
              <w:bottom w:val="single" w:sz="6" w:space="0" w:color="auto"/>
              <w:right w:val="single" w:sz="4" w:space="0" w:color="auto"/>
            </w:tcBorders>
          </w:tcPr>
          <w:p w14:paraId="7AEFFF46" w14:textId="77777777" w:rsidR="00264F86" w:rsidRPr="00FD2055" w:rsidRDefault="00264F86" w:rsidP="00264F86">
            <w:pPr>
              <w:rPr>
                <w:rFonts w:eastAsia="Calibri"/>
                <w:lang w:eastAsia="en-US"/>
              </w:rPr>
            </w:pPr>
            <w:r>
              <w:rPr>
                <w:rFonts w:eastAsia="Calibri"/>
                <w:lang w:eastAsia="en-US"/>
              </w:rPr>
              <w:t>IR3535</w:t>
            </w:r>
            <w:r w:rsidR="00C45200">
              <w:rPr>
                <w:rFonts w:eastAsia="Calibri"/>
                <w:vertAlign w:val="superscript"/>
                <w:lang w:eastAsia="en-US"/>
              </w:rPr>
              <w:t>®</w:t>
            </w:r>
            <w:r>
              <w:rPr>
                <w:rFonts w:eastAsia="Calibri"/>
                <w:lang w:eastAsia="en-US"/>
              </w:rPr>
              <w:t xml:space="preserve"> in </w:t>
            </w:r>
            <w:r>
              <w:rPr>
                <w:rFonts w:eastAsia="Calibri"/>
                <w:iCs/>
                <w:lang w:eastAsia="en-US"/>
              </w:rPr>
              <w:t>Insect Repellent Pump Spray IR3535</w:t>
            </w:r>
            <w:r>
              <w:rPr>
                <w:rFonts w:eastAsia="Calibri"/>
                <w:iCs/>
                <w:vertAlign w:val="superscript"/>
                <w:lang w:eastAsia="en-US"/>
              </w:rPr>
              <w:t>®</w:t>
            </w:r>
            <w:r>
              <w:rPr>
                <w:rFonts w:eastAsia="Calibri"/>
                <w:iCs/>
                <w:lang w:eastAsia="en-US"/>
              </w:rPr>
              <w:t xml:space="preserve"> 20%</w:t>
            </w:r>
          </w:p>
        </w:tc>
        <w:tc>
          <w:tcPr>
            <w:tcW w:w="77" w:type="pct"/>
            <w:tcBorders>
              <w:top w:val="single" w:sz="6" w:space="0" w:color="auto"/>
              <w:left w:val="single" w:sz="4" w:space="0" w:color="auto"/>
              <w:bottom w:val="single" w:sz="6" w:space="0" w:color="auto"/>
              <w:right w:val="single" w:sz="4" w:space="0" w:color="auto"/>
            </w:tcBorders>
          </w:tcPr>
          <w:p w14:paraId="6421128B" w14:textId="77777777" w:rsidR="00264F86" w:rsidRPr="00FD2055" w:rsidRDefault="00264F86" w:rsidP="00264F86">
            <w:pPr>
              <w:rPr>
                <w:rFonts w:eastAsia="Calibri"/>
                <w:lang w:eastAsia="en-US"/>
              </w:rPr>
            </w:pPr>
          </w:p>
        </w:tc>
        <w:tc>
          <w:tcPr>
            <w:tcW w:w="77" w:type="pct"/>
            <w:tcBorders>
              <w:top w:val="single" w:sz="6" w:space="0" w:color="auto"/>
              <w:left w:val="single" w:sz="4" w:space="0" w:color="auto"/>
              <w:bottom w:val="single" w:sz="6" w:space="0" w:color="auto"/>
              <w:right w:val="single" w:sz="6" w:space="0" w:color="auto"/>
            </w:tcBorders>
          </w:tcPr>
          <w:p w14:paraId="63D150E9" w14:textId="77777777" w:rsidR="00264F86" w:rsidRPr="00FD2055" w:rsidRDefault="00264F86" w:rsidP="00264F86">
            <w:pPr>
              <w:rPr>
                <w:rFonts w:eastAsia="Calibri"/>
                <w:lang w:eastAsia="en-US"/>
              </w:rPr>
            </w:pPr>
          </w:p>
        </w:tc>
      </w:tr>
      <w:tr w:rsidR="00264F86" w:rsidRPr="00FD2055" w14:paraId="6B97EB82" w14:textId="77777777" w:rsidTr="00264F86">
        <w:tc>
          <w:tcPr>
            <w:tcW w:w="1260" w:type="pct"/>
            <w:tcBorders>
              <w:top w:val="single" w:sz="6" w:space="0" w:color="auto"/>
              <w:left w:val="single" w:sz="4" w:space="0" w:color="auto"/>
              <w:bottom w:val="single" w:sz="6" w:space="0" w:color="auto"/>
              <w:right w:val="single" w:sz="6" w:space="0" w:color="auto"/>
            </w:tcBorders>
            <w:shd w:val="clear" w:color="auto" w:fill="auto"/>
          </w:tcPr>
          <w:p w14:paraId="2C12F289" w14:textId="77777777" w:rsidR="00264F86" w:rsidRPr="00FD2055" w:rsidRDefault="00264F86" w:rsidP="00264F86">
            <w:pPr>
              <w:rPr>
                <w:rFonts w:eastAsia="Calibri"/>
                <w:lang w:eastAsia="en-US"/>
              </w:rPr>
            </w:pPr>
            <w:r w:rsidRPr="00FD2055">
              <w:rPr>
                <w:rFonts w:eastAsia="Calibri"/>
                <w:lang w:eastAsia="en-US"/>
              </w:rPr>
              <w:t>Value(s)*</w:t>
            </w:r>
          </w:p>
        </w:tc>
        <w:tc>
          <w:tcPr>
            <w:tcW w:w="3585" w:type="pct"/>
            <w:tcBorders>
              <w:top w:val="single" w:sz="6" w:space="0" w:color="auto"/>
              <w:left w:val="single" w:sz="6" w:space="0" w:color="auto"/>
              <w:bottom w:val="single" w:sz="6" w:space="0" w:color="auto"/>
              <w:right w:val="single" w:sz="4" w:space="0" w:color="auto"/>
            </w:tcBorders>
          </w:tcPr>
          <w:p w14:paraId="6DEF47DC" w14:textId="77777777" w:rsidR="00264F86" w:rsidRPr="00FD2055" w:rsidRDefault="00264F86" w:rsidP="00264F86">
            <w:pPr>
              <w:rPr>
                <w:rFonts w:eastAsia="Calibri"/>
                <w:lang w:eastAsia="en-US"/>
              </w:rPr>
            </w:pPr>
            <w:r>
              <w:rPr>
                <w:rFonts w:eastAsia="Calibri"/>
                <w:lang w:eastAsia="en-US"/>
              </w:rPr>
              <w:t>14% dermal absorption</w:t>
            </w:r>
          </w:p>
        </w:tc>
        <w:tc>
          <w:tcPr>
            <w:tcW w:w="77" w:type="pct"/>
            <w:tcBorders>
              <w:top w:val="single" w:sz="6" w:space="0" w:color="auto"/>
              <w:left w:val="single" w:sz="4" w:space="0" w:color="auto"/>
              <w:bottom w:val="single" w:sz="6" w:space="0" w:color="auto"/>
              <w:right w:val="single" w:sz="4" w:space="0" w:color="auto"/>
            </w:tcBorders>
          </w:tcPr>
          <w:p w14:paraId="0FA4B7D0" w14:textId="77777777" w:rsidR="00264F86" w:rsidRPr="00FD2055" w:rsidRDefault="00264F86" w:rsidP="00264F86">
            <w:pPr>
              <w:rPr>
                <w:rFonts w:eastAsia="Calibri"/>
                <w:lang w:eastAsia="en-US"/>
              </w:rPr>
            </w:pPr>
          </w:p>
        </w:tc>
        <w:tc>
          <w:tcPr>
            <w:tcW w:w="77" w:type="pct"/>
            <w:tcBorders>
              <w:top w:val="single" w:sz="6" w:space="0" w:color="auto"/>
              <w:left w:val="single" w:sz="4" w:space="0" w:color="auto"/>
              <w:bottom w:val="single" w:sz="6" w:space="0" w:color="auto"/>
              <w:right w:val="single" w:sz="6" w:space="0" w:color="auto"/>
            </w:tcBorders>
          </w:tcPr>
          <w:p w14:paraId="3D2C67D3" w14:textId="77777777" w:rsidR="00264F86" w:rsidRPr="00FD2055" w:rsidRDefault="00264F86" w:rsidP="00264F86">
            <w:pPr>
              <w:rPr>
                <w:rFonts w:eastAsia="Calibri"/>
                <w:lang w:eastAsia="en-US"/>
              </w:rPr>
            </w:pPr>
          </w:p>
        </w:tc>
      </w:tr>
      <w:tr w:rsidR="00264F86" w:rsidRPr="00FD2055" w14:paraId="67B85FD8" w14:textId="77777777" w:rsidTr="00264F86">
        <w:tc>
          <w:tcPr>
            <w:tcW w:w="1260" w:type="pct"/>
            <w:tcBorders>
              <w:top w:val="single" w:sz="6" w:space="0" w:color="auto"/>
              <w:left w:val="single" w:sz="4" w:space="0" w:color="auto"/>
              <w:bottom w:val="single" w:sz="6" w:space="0" w:color="auto"/>
              <w:right w:val="single" w:sz="6" w:space="0" w:color="auto"/>
            </w:tcBorders>
            <w:shd w:val="clear" w:color="auto" w:fill="auto"/>
          </w:tcPr>
          <w:p w14:paraId="3E32BC9C" w14:textId="77777777" w:rsidR="00264F86" w:rsidRPr="00FD2055" w:rsidRDefault="00264F86" w:rsidP="00264F86">
            <w:pPr>
              <w:rPr>
                <w:rFonts w:eastAsia="Calibri"/>
                <w:lang w:eastAsia="en-US"/>
              </w:rPr>
            </w:pPr>
            <w:r w:rsidRPr="00FD2055">
              <w:rPr>
                <w:rFonts w:eastAsia="Calibri"/>
                <w:lang w:eastAsia="en-US"/>
              </w:rPr>
              <w:t>Justification for the selected value(s)</w:t>
            </w:r>
          </w:p>
        </w:tc>
        <w:tc>
          <w:tcPr>
            <w:tcW w:w="3585" w:type="pct"/>
            <w:tcBorders>
              <w:top w:val="single" w:sz="6" w:space="0" w:color="auto"/>
              <w:left w:val="single" w:sz="6" w:space="0" w:color="auto"/>
              <w:bottom w:val="single" w:sz="6" w:space="0" w:color="auto"/>
              <w:right w:val="single" w:sz="4" w:space="0" w:color="auto"/>
            </w:tcBorders>
          </w:tcPr>
          <w:p w14:paraId="3B7A732E" w14:textId="77777777" w:rsidR="00264F86" w:rsidRPr="00FD2055" w:rsidRDefault="00264F86" w:rsidP="00264F86">
            <w:pPr>
              <w:rPr>
                <w:rFonts w:eastAsia="Calibri"/>
                <w:lang w:eastAsia="en-US"/>
              </w:rPr>
            </w:pPr>
            <w:r>
              <w:rPr>
                <w:rFonts w:eastAsia="Calibri"/>
                <w:lang w:eastAsia="en-US"/>
              </w:rPr>
              <w:t>Read-across from human volunteer study on a water/ethanol-based 20 % IR3535</w:t>
            </w:r>
            <w:r w:rsidRPr="00C45200">
              <w:rPr>
                <w:rFonts w:eastAsia="Calibri"/>
                <w:vertAlign w:val="superscript"/>
                <w:lang w:eastAsia="en-US"/>
              </w:rPr>
              <w:t>®</w:t>
            </w:r>
            <w:r>
              <w:rPr>
                <w:rFonts w:eastAsia="Calibri"/>
                <w:lang w:eastAsia="en-US"/>
              </w:rPr>
              <w:t xml:space="preserve"> formulation (</w:t>
            </w:r>
            <w:proofErr w:type="spellStart"/>
            <w:r>
              <w:rPr>
                <w:rFonts w:eastAsia="Calibri"/>
                <w:lang w:eastAsia="en-US"/>
              </w:rPr>
              <w:t>Dekant</w:t>
            </w:r>
            <w:proofErr w:type="spellEnd"/>
            <w:r>
              <w:rPr>
                <w:rFonts w:eastAsia="Calibri"/>
                <w:lang w:eastAsia="en-US"/>
              </w:rPr>
              <w:t>, 2010)</w:t>
            </w:r>
          </w:p>
        </w:tc>
        <w:tc>
          <w:tcPr>
            <w:tcW w:w="77" w:type="pct"/>
            <w:tcBorders>
              <w:top w:val="single" w:sz="6" w:space="0" w:color="auto"/>
              <w:left w:val="single" w:sz="4" w:space="0" w:color="auto"/>
              <w:bottom w:val="single" w:sz="6" w:space="0" w:color="auto"/>
              <w:right w:val="single" w:sz="4" w:space="0" w:color="auto"/>
            </w:tcBorders>
          </w:tcPr>
          <w:p w14:paraId="63A182A0" w14:textId="77777777" w:rsidR="00264F86" w:rsidRPr="00FD2055" w:rsidRDefault="00264F86" w:rsidP="00264F86">
            <w:pPr>
              <w:rPr>
                <w:rFonts w:eastAsia="Calibri"/>
                <w:lang w:eastAsia="en-US"/>
              </w:rPr>
            </w:pPr>
          </w:p>
        </w:tc>
        <w:tc>
          <w:tcPr>
            <w:tcW w:w="77" w:type="pct"/>
            <w:tcBorders>
              <w:top w:val="single" w:sz="6" w:space="0" w:color="auto"/>
              <w:left w:val="single" w:sz="4" w:space="0" w:color="auto"/>
              <w:bottom w:val="single" w:sz="6" w:space="0" w:color="auto"/>
              <w:right w:val="single" w:sz="6" w:space="0" w:color="auto"/>
            </w:tcBorders>
          </w:tcPr>
          <w:p w14:paraId="461D28F0" w14:textId="77777777" w:rsidR="00264F86" w:rsidRPr="00FD2055" w:rsidRDefault="00264F86" w:rsidP="00264F86">
            <w:pPr>
              <w:rPr>
                <w:rFonts w:eastAsia="Calibri"/>
                <w:lang w:eastAsia="en-US"/>
              </w:rPr>
            </w:pPr>
          </w:p>
        </w:tc>
      </w:tr>
    </w:tbl>
    <w:p w14:paraId="2741C773" w14:textId="77777777" w:rsidR="008459ED" w:rsidRPr="00FD2055" w:rsidRDefault="008459ED" w:rsidP="008F144D">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75"/>
        <w:gridCol w:w="11256"/>
      </w:tblGrid>
      <w:tr w:rsidR="008459ED" w:rsidRPr="008F144D" w14:paraId="4339F330" w14:textId="77777777" w:rsidTr="00264F86">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218D426C" w14:textId="77777777" w:rsidR="008459ED" w:rsidRPr="008F144D" w:rsidRDefault="008459ED" w:rsidP="008F144D">
            <w:pPr>
              <w:rPr>
                <w:rFonts w:eastAsia="Calibri"/>
                <w:b/>
                <w:lang w:eastAsia="en-US"/>
              </w:rPr>
            </w:pPr>
            <w:r w:rsidRPr="008F144D">
              <w:rPr>
                <w:rFonts w:eastAsia="Calibri"/>
                <w:b/>
                <w:lang w:eastAsia="en-US"/>
              </w:rPr>
              <w:t>Data waiving</w:t>
            </w:r>
          </w:p>
        </w:tc>
      </w:tr>
      <w:tr w:rsidR="00264F86" w:rsidRPr="00FD2055" w14:paraId="2A2CB7FD" w14:textId="77777777" w:rsidTr="00264F86">
        <w:tc>
          <w:tcPr>
            <w:tcW w:w="1073" w:type="pct"/>
            <w:tcBorders>
              <w:top w:val="single" w:sz="6" w:space="0" w:color="auto"/>
              <w:left w:val="single" w:sz="4" w:space="0" w:color="auto"/>
              <w:bottom w:val="single" w:sz="6" w:space="0" w:color="auto"/>
              <w:right w:val="single" w:sz="6" w:space="0" w:color="auto"/>
            </w:tcBorders>
            <w:shd w:val="clear" w:color="auto" w:fill="auto"/>
          </w:tcPr>
          <w:p w14:paraId="21335CFE" w14:textId="77777777" w:rsidR="00264F86" w:rsidRPr="00FD2055" w:rsidRDefault="00264F86" w:rsidP="00264F86">
            <w:pPr>
              <w:rPr>
                <w:rFonts w:eastAsia="Calibri"/>
                <w:lang w:eastAsia="en-US"/>
              </w:rPr>
            </w:pPr>
            <w:r w:rsidRPr="00FD2055">
              <w:rPr>
                <w:rFonts w:eastAsia="Calibri"/>
                <w:lang w:eastAsia="en-US"/>
              </w:rPr>
              <w:t>Information requirement</w:t>
            </w:r>
          </w:p>
        </w:tc>
        <w:tc>
          <w:tcPr>
            <w:tcW w:w="3927" w:type="pct"/>
            <w:tcBorders>
              <w:top w:val="single" w:sz="6" w:space="0" w:color="auto"/>
              <w:left w:val="single" w:sz="6" w:space="0" w:color="auto"/>
              <w:bottom w:val="single" w:sz="6" w:space="0" w:color="auto"/>
              <w:right w:val="single" w:sz="6" w:space="0" w:color="auto"/>
            </w:tcBorders>
          </w:tcPr>
          <w:p w14:paraId="4A834CF9" w14:textId="77777777" w:rsidR="00264F86" w:rsidRPr="00FD2055" w:rsidRDefault="00264F86" w:rsidP="00264F86">
            <w:pPr>
              <w:rPr>
                <w:rFonts w:eastAsia="Calibri"/>
                <w:lang w:eastAsia="en-US"/>
              </w:rPr>
            </w:pPr>
            <w:r>
              <w:rPr>
                <w:rFonts w:eastAsia="Calibri"/>
                <w:lang w:eastAsia="en-US"/>
              </w:rPr>
              <w:t>Skin absorption study</w:t>
            </w:r>
          </w:p>
        </w:tc>
      </w:tr>
      <w:tr w:rsidR="00264F86" w:rsidRPr="00FD2055" w14:paraId="2EACA45C" w14:textId="77777777" w:rsidTr="00264F86">
        <w:tc>
          <w:tcPr>
            <w:tcW w:w="1073" w:type="pct"/>
            <w:tcBorders>
              <w:top w:val="single" w:sz="6" w:space="0" w:color="auto"/>
              <w:left w:val="single" w:sz="4" w:space="0" w:color="auto"/>
              <w:bottom w:val="single" w:sz="6" w:space="0" w:color="auto"/>
              <w:right w:val="single" w:sz="6" w:space="0" w:color="auto"/>
            </w:tcBorders>
            <w:shd w:val="clear" w:color="auto" w:fill="auto"/>
          </w:tcPr>
          <w:p w14:paraId="109B1BFC" w14:textId="77777777" w:rsidR="00264F86" w:rsidRPr="00FD2055" w:rsidRDefault="00264F86" w:rsidP="00264F86">
            <w:pPr>
              <w:rPr>
                <w:rFonts w:eastAsia="Calibri"/>
                <w:lang w:eastAsia="en-US"/>
              </w:rPr>
            </w:pPr>
            <w:r w:rsidRPr="00FD2055">
              <w:rPr>
                <w:rFonts w:eastAsia="Calibri"/>
                <w:lang w:eastAsia="en-US"/>
              </w:rPr>
              <w:t>Justification</w:t>
            </w:r>
          </w:p>
        </w:tc>
        <w:tc>
          <w:tcPr>
            <w:tcW w:w="3927" w:type="pct"/>
            <w:tcBorders>
              <w:top w:val="single" w:sz="6" w:space="0" w:color="auto"/>
              <w:left w:val="single" w:sz="6" w:space="0" w:color="auto"/>
              <w:bottom w:val="single" w:sz="6" w:space="0" w:color="auto"/>
              <w:right w:val="single" w:sz="6" w:space="0" w:color="auto"/>
            </w:tcBorders>
          </w:tcPr>
          <w:p w14:paraId="298D596E" w14:textId="2D08AD09" w:rsidR="00264F86" w:rsidRPr="00FD2055" w:rsidRDefault="00264F86" w:rsidP="00264F86">
            <w:pPr>
              <w:rPr>
                <w:rFonts w:eastAsia="Calibri"/>
                <w:lang w:eastAsia="en-US"/>
              </w:rPr>
            </w:pPr>
            <w:r>
              <w:rPr>
                <w:rFonts w:eastAsia="Calibri"/>
                <w:lang w:eastAsia="en-US"/>
              </w:rPr>
              <w:t>Read-across from human volunteer study on a water/ethanol-based 20% IR3535</w:t>
            </w:r>
            <w:r w:rsidRPr="00C45200">
              <w:rPr>
                <w:rFonts w:eastAsia="Calibri"/>
                <w:vertAlign w:val="superscript"/>
                <w:lang w:eastAsia="en-US"/>
              </w:rPr>
              <w:t>®</w:t>
            </w:r>
            <w:r>
              <w:rPr>
                <w:rFonts w:eastAsia="Calibri"/>
                <w:lang w:eastAsia="en-US"/>
              </w:rPr>
              <w:t xml:space="preserve"> formulation</w:t>
            </w:r>
          </w:p>
        </w:tc>
      </w:tr>
    </w:tbl>
    <w:p w14:paraId="302A1745" w14:textId="77777777" w:rsidR="00653427" w:rsidRDefault="00957052" w:rsidP="007E5F71">
      <w:pPr>
        <w:pStyle w:val="Titre5"/>
        <w:numPr>
          <w:ilvl w:val="0"/>
          <w:numId w:val="14"/>
        </w:numPr>
      </w:pPr>
      <w:bookmarkStart w:id="151" w:name="_Toc12967157"/>
      <w:r>
        <w:t>Available toxicological data relating to non active substance(s) (i.e. substance(s) of concern)</w:t>
      </w:r>
      <w:bookmarkEnd w:id="151"/>
    </w:p>
    <w:p w14:paraId="59CB6E3C" w14:textId="6C82BABD" w:rsidR="00565DAF" w:rsidRPr="000D2F1A" w:rsidRDefault="00565DAF" w:rsidP="00565DAF">
      <w:pPr>
        <w:autoSpaceDE w:val="0"/>
        <w:autoSpaceDN w:val="0"/>
        <w:adjustRightInd w:val="0"/>
        <w:rPr>
          <w:rFonts w:cs="36jii"/>
          <w:lang w:val="en-US" w:eastAsia="fr-BE"/>
        </w:rPr>
      </w:pPr>
      <w:r w:rsidRPr="00423BA9">
        <w:rPr>
          <w:rFonts w:cs="36jii"/>
          <w:lang w:val="en-US" w:eastAsia="fr-BE"/>
        </w:rPr>
        <w:t xml:space="preserve">There are valid data available on each of the components in the mixture sufficient to allow classification of the mixture according to the rules laid down in Directive 1999/45/EC and Regulation (EC) No 1272/2008 (CLP), and synergistic effects between any of the components are not </w:t>
      </w:r>
      <w:r w:rsidRPr="000D2F1A">
        <w:rPr>
          <w:rFonts w:cs="36jii"/>
          <w:lang w:val="en-US" w:eastAsia="fr-BE"/>
        </w:rPr>
        <w:t>expected.</w:t>
      </w:r>
    </w:p>
    <w:p w14:paraId="6E42E4C9" w14:textId="274C7C5F" w:rsidR="00E51EA0" w:rsidRPr="000D2F1A" w:rsidRDefault="00E51EA0" w:rsidP="00565DAF">
      <w:pPr>
        <w:autoSpaceDE w:val="0"/>
        <w:autoSpaceDN w:val="0"/>
        <w:adjustRightInd w:val="0"/>
        <w:rPr>
          <w:rFonts w:cs="36jii"/>
          <w:lang w:val="en-US" w:eastAsia="fr-BE"/>
        </w:rPr>
      </w:pPr>
      <w:r w:rsidRPr="000D2F1A">
        <w:rPr>
          <w:rFonts w:cs="36jii"/>
          <w:lang w:val="en-US" w:eastAsia="fr-BE"/>
        </w:rPr>
        <w:t>For endpoints beyond acute toxicity, irritation and sensitization, we refer to the confidential PAR, section 1.2, which includes a breakdown of the formula under evaluation indicating the classification of each component in the formula.</w:t>
      </w:r>
    </w:p>
    <w:p w14:paraId="3C4C1E9B" w14:textId="47D3E5F6" w:rsidR="00673EEC" w:rsidRDefault="00673EEC" w:rsidP="00565DAF">
      <w:pPr>
        <w:autoSpaceDE w:val="0"/>
        <w:autoSpaceDN w:val="0"/>
        <w:adjustRightInd w:val="0"/>
        <w:rPr>
          <w:rFonts w:cs="36jii"/>
          <w:lang w:val="en-US" w:eastAsia="fr-BE"/>
        </w:rPr>
      </w:pPr>
      <w:r w:rsidRPr="000D2F1A">
        <w:rPr>
          <w:rFonts w:cs="36jii"/>
          <w:lang w:val="en-US" w:eastAsia="fr-BE"/>
        </w:rPr>
        <w:t>For an overview of the formula and the potential presence of substances of concern, we refer to section 2.5 of the confidential PAR.</w:t>
      </w:r>
    </w:p>
    <w:p w14:paraId="0C8B200D" w14:textId="77777777" w:rsidR="00673EEC" w:rsidRPr="00423BA9" w:rsidRDefault="00673EEC" w:rsidP="00565DAF">
      <w:pPr>
        <w:autoSpaceDE w:val="0"/>
        <w:autoSpaceDN w:val="0"/>
        <w:adjustRightInd w:val="0"/>
        <w:rPr>
          <w:rFonts w:cs="36jii"/>
          <w:lang w:val="en-US" w:eastAsia="fr-BE"/>
        </w:rPr>
      </w:pPr>
    </w:p>
    <w:p w14:paraId="6C50C82A" w14:textId="77777777" w:rsidR="00957052" w:rsidRDefault="00957052" w:rsidP="007E5F71">
      <w:pPr>
        <w:pStyle w:val="Titre5"/>
        <w:numPr>
          <w:ilvl w:val="0"/>
          <w:numId w:val="14"/>
        </w:numPr>
      </w:pPr>
      <w:bookmarkStart w:id="152" w:name="_Toc12967158"/>
      <w:r>
        <w:t>Available toxicological data relating to a mixture</w:t>
      </w:r>
      <w:bookmarkEnd w:id="152"/>
    </w:p>
    <w:p w14:paraId="721BE153" w14:textId="77777777" w:rsidR="00565DAF" w:rsidRPr="00423BA9" w:rsidRDefault="00565DAF" w:rsidP="00565DAF">
      <w:pPr>
        <w:rPr>
          <w:rFonts w:eastAsia="Calibri"/>
          <w:lang w:eastAsia="en-US"/>
        </w:rPr>
      </w:pPr>
      <w:r w:rsidRPr="00423BA9">
        <w:rPr>
          <w:rFonts w:eastAsia="Calibri"/>
          <w:lang w:eastAsia="en-US"/>
        </w:rPr>
        <w:t>Available toxicological data relating to a mixture that a substance(s) of concern is a component of</w:t>
      </w:r>
    </w:p>
    <w:p w14:paraId="32A026E9" w14:textId="77777777" w:rsidR="00565DAF" w:rsidRPr="00423BA9" w:rsidRDefault="00565DAF" w:rsidP="00565DAF">
      <w:pPr>
        <w:rPr>
          <w:rFonts w:eastAsia="Calibri"/>
          <w:lang w:eastAsia="en-US"/>
        </w:rPr>
      </w:pPr>
    </w:p>
    <w:p w14:paraId="450198ED" w14:textId="77777777" w:rsidR="00565DAF" w:rsidRDefault="00565DAF" w:rsidP="00565DAF">
      <w:pPr>
        <w:autoSpaceDE w:val="0"/>
        <w:autoSpaceDN w:val="0"/>
        <w:adjustRightInd w:val="0"/>
        <w:rPr>
          <w:rFonts w:cs="36jii"/>
          <w:lang w:val="en-US" w:eastAsia="fr-BE"/>
        </w:rPr>
      </w:pPr>
      <w:r w:rsidRPr="00423BA9">
        <w:rPr>
          <w:rFonts w:cs="36jii"/>
          <w:lang w:val="en-US" w:eastAsia="fr-BE"/>
        </w:rPr>
        <w:t>There are valid data available on each of the components in the mixture sufficient to allow classification of the mixture according to the rules laid down in Directive 1999/45/EC and Regulation (EC) No 1272/2008 (CLP), and synergistic effects between any of the components are not expected.</w:t>
      </w:r>
    </w:p>
    <w:p w14:paraId="6954A598" w14:textId="77777777" w:rsidR="00957052" w:rsidRPr="00FD2055" w:rsidRDefault="00957052" w:rsidP="007E5F71">
      <w:pPr>
        <w:pStyle w:val="Titre5"/>
        <w:numPr>
          <w:ilvl w:val="0"/>
          <w:numId w:val="14"/>
        </w:numPr>
      </w:pPr>
      <w:bookmarkStart w:id="153" w:name="_Toc389729061"/>
      <w:bookmarkStart w:id="154" w:name="_Toc403472763"/>
      <w:bookmarkStart w:id="155" w:name="_Toc12967159"/>
      <w:r w:rsidRPr="00FD2055">
        <w:t>Other</w:t>
      </w:r>
      <w:bookmarkEnd w:id="153"/>
      <w:bookmarkEnd w:id="154"/>
      <w:bookmarkEnd w:id="155"/>
    </w:p>
    <w:p w14:paraId="6F61AED4" w14:textId="77777777" w:rsidR="00565DAF" w:rsidRPr="00423BA9" w:rsidRDefault="00565DAF" w:rsidP="00565DAF">
      <w:pPr>
        <w:pStyle w:val="Explanatorynotes"/>
        <w:rPr>
          <w:rFonts w:ascii="Verdana" w:eastAsia="Calibri" w:hAnsi="Verdana"/>
          <w:i w:val="0"/>
          <w:lang w:eastAsia="en-US"/>
        </w:rPr>
      </w:pPr>
      <w:r w:rsidRPr="00423BA9">
        <w:rPr>
          <w:rFonts w:ascii="Verdana" w:eastAsia="Calibri" w:hAnsi="Verdana"/>
          <w:i w:val="0"/>
          <w:lang w:eastAsia="en-US"/>
        </w:rPr>
        <w:t>Not applicable.</w:t>
      </w:r>
    </w:p>
    <w:p w14:paraId="001523D2" w14:textId="174C70D5" w:rsidR="00881426" w:rsidRDefault="00881426" w:rsidP="00881426">
      <w:pPr>
        <w:spacing w:before="0" w:after="160" w:line="259" w:lineRule="auto"/>
        <w:rPr>
          <w:lang w:val="en-US" w:eastAsia="en-US"/>
        </w:rPr>
        <w:sectPr w:rsidR="00881426" w:rsidSect="00BE71A6">
          <w:pgSz w:w="16838" w:h="11906" w:orient="landscape"/>
          <w:pgMar w:top="1247" w:right="1247" w:bottom="1247" w:left="1247" w:header="709" w:footer="709" w:gutter="0"/>
          <w:cols w:space="708"/>
          <w:docGrid w:linePitch="360"/>
        </w:sectPr>
      </w:pPr>
    </w:p>
    <w:p w14:paraId="460BDB7F" w14:textId="77777777" w:rsidR="00957052" w:rsidRDefault="003249B1" w:rsidP="003249B1">
      <w:pPr>
        <w:pStyle w:val="Titre4"/>
        <w:rPr>
          <w:lang w:val="en-US"/>
        </w:rPr>
      </w:pPr>
      <w:bookmarkStart w:id="156" w:name="_Toc12967160"/>
      <w:r>
        <w:rPr>
          <w:lang w:val="en-US"/>
        </w:rPr>
        <w:lastRenderedPageBreak/>
        <w:t>Exposure assessment</w:t>
      </w:r>
      <w:bookmarkEnd w:id="156"/>
    </w:p>
    <w:p w14:paraId="4FF0776C" w14:textId="0F203455" w:rsidR="00881426" w:rsidRPr="0035013C" w:rsidRDefault="00881426" w:rsidP="00881426">
      <w:pPr>
        <w:rPr>
          <w:rFonts w:eastAsia="Calibri"/>
          <w:lang w:val="en-US" w:eastAsia="en-US"/>
        </w:rPr>
      </w:pPr>
      <w:r w:rsidRPr="0035013C">
        <w:rPr>
          <w:rFonts w:eastAsia="Calibri"/>
          <w:lang w:val="en-US" w:eastAsia="en-US"/>
        </w:rPr>
        <w:t xml:space="preserve">The composition of the representative product from the CAR </w:t>
      </w:r>
      <w:r w:rsidRPr="00C24744">
        <w:rPr>
          <w:rFonts w:eastAsia="Calibri"/>
          <w:lang w:val="en-US" w:eastAsia="en-US"/>
        </w:rPr>
        <w:t>for IR3535</w:t>
      </w:r>
      <w:r w:rsidRPr="00C24744">
        <w:rPr>
          <w:rFonts w:eastAsia="Calibri"/>
          <w:vertAlign w:val="superscript"/>
          <w:lang w:val="en-US" w:eastAsia="en-US"/>
        </w:rPr>
        <w:t xml:space="preserve">® </w:t>
      </w:r>
      <w:r>
        <w:rPr>
          <w:rFonts w:eastAsia="Calibri"/>
          <w:lang w:val="en-US" w:eastAsia="en-US"/>
        </w:rPr>
        <w:t xml:space="preserve"> </w:t>
      </w:r>
      <w:r w:rsidRPr="0035013C">
        <w:rPr>
          <w:rFonts w:eastAsia="Calibri"/>
          <w:lang w:val="en-US" w:eastAsia="en-US"/>
        </w:rPr>
        <w:t xml:space="preserve">is not identical to that of Insect Repellent </w:t>
      </w:r>
      <w:r>
        <w:rPr>
          <w:rFonts w:eastAsia="Calibri"/>
          <w:lang w:val="en-US" w:eastAsia="en-US"/>
        </w:rPr>
        <w:t>Lotion IR3535</w:t>
      </w:r>
      <w:r w:rsidRPr="00187666">
        <w:rPr>
          <w:rFonts w:eastAsia="Calibri"/>
          <w:vertAlign w:val="superscript"/>
          <w:lang w:val="en-US" w:eastAsia="en-US"/>
        </w:rPr>
        <w:t>®</w:t>
      </w:r>
      <w:r>
        <w:rPr>
          <w:rFonts w:eastAsia="Calibri"/>
          <w:lang w:val="en-US" w:eastAsia="en-US"/>
        </w:rPr>
        <w:t xml:space="preserve"> 1</w:t>
      </w:r>
      <w:r w:rsidRPr="0035013C">
        <w:rPr>
          <w:rFonts w:eastAsia="Calibri"/>
          <w:lang w:val="en-US" w:eastAsia="en-US"/>
        </w:rPr>
        <w:t xml:space="preserve">0%. </w:t>
      </w:r>
      <w:r>
        <w:rPr>
          <w:rFonts w:eastAsia="Calibri"/>
          <w:lang w:val="en-US" w:eastAsia="en-US"/>
        </w:rPr>
        <w:t xml:space="preserve">The representative product from the CAR contains 20% of active substance while Insect Repellent Lotion contains 10%. </w:t>
      </w:r>
      <w:r w:rsidRPr="00DA532B">
        <w:rPr>
          <w:rFonts w:eastAsia="Calibri"/>
          <w:lang w:val="en-US" w:eastAsia="en-US"/>
        </w:rPr>
        <w:t>It does not contain substances of toxicological concern</w:t>
      </w:r>
      <w:r w:rsidRPr="008349A9">
        <w:rPr>
          <w:rFonts w:eastAsia="Calibri"/>
          <w:lang w:val="en-US" w:eastAsia="en-US"/>
        </w:rPr>
        <w:t xml:space="preserve"> apart IR3535</w:t>
      </w:r>
      <w:r w:rsidRPr="00363957">
        <w:rPr>
          <w:rFonts w:eastAsia="Calibri"/>
          <w:vertAlign w:val="superscript"/>
          <w:lang w:val="en-US" w:eastAsia="en-US"/>
        </w:rPr>
        <w:t>®</w:t>
      </w:r>
      <w:r w:rsidRPr="008349A9">
        <w:rPr>
          <w:rFonts w:eastAsia="Calibri"/>
          <w:lang w:val="en-US" w:eastAsia="en-US"/>
        </w:rPr>
        <w:t>.</w:t>
      </w:r>
    </w:p>
    <w:p w14:paraId="57223B02" w14:textId="77777777" w:rsidR="006F2452" w:rsidRDefault="006F2452" w:rsidP="00CA153C">
      <w:pPr>
        <w:pStyle w:val="Titre5"/>
        <w:numPr>
          <w:ilvl w:val="0"/>
          <w:numId w:val="0"/>
        </w:numPr>
      </w:pPr>
      <w:bookmarkStart w:id="157" w:name="_Toc12967161"/>
      <w:r w:rsidRPr="00FD2055">
        <w:t>Identification of main paths of human exposure towards active substance(s) and substances of concern from its use in biocidal product</w:t>
      </w:r>
      <w:bookmarkEnd w:id="15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12"/>
        <w:gridCol w:w="1139"/>
        <w:gridCol w:w="1404"/>
        <w:gridCol w:w="1439"/>
        <w:gridCol w:w="1188"/>
        <w:gridCol w:w="1379"/>
        <w:gridCol w:w="853"/>
        <w:gridCol w:w="782"/>
      </w:tblGrid>
      <w:tr w:rsidR="00881426" w:rsidRPr="006F2452" w14:paraId="15E2FA06" w14:textId="77777777" w:rsidTr="00BE71A6">
        <w:trPr>
          <w:tblHeader/>
        </w:trPr>
        <w:tc>
          <w:tcPr>
            <w:tcW w:w="5000" w:type="pct"/>
            <w:gridSpan w:val="8"/>
            <w:shd w:val="clear" w:color="auto" w:fill="FFFFCC"/>
          </w:tcPr>
          <w:p w14:paraId="573E8E39" w14:textId="77777777" w:rsidR="00881426" w:rsidRPr="006F2452" w:rsidRDefault="00881426" w:rsidP="00BE71A6">
            <w:pPr>
              <w:pStyle w:val="Standaard-Tabellen"/>
              <w:jc w:val="center"/>
              <w:rPr>
                <w:rFonts w:eastAsia="Calibri"/>
                <w:b/>
              </w:rPr>
            </w:pPr>
            <w:r w:rsidRPr="006F2452">
              <w:rPr>
                <w:rFonts w:eastAsia="Calibri"/>
                <w:b/>
              </w:rPr>
              <w:t>Summary table: relevant paths of human exposure</w:t>
            </w:r>
          </w:p>
        </w:tc>
      </w:tr>
      <w:tr w:rsidR="00881426" w:rsidRPr="00FD2055" w14:paraId="5A8B4B69" w14:textId="77777777" w:rsidTr="00BE71A6">
        <w:trPr>
          <w:tblHeader/>
        </w:trPr>
        <w:tc>
          <w:tcPr>
            <w:tcW w:w="645" w:type="pct"/>
            <w:vMerge w:val="restart"/>
            <w:shd w:val="clear" w:color="auto" w:fill="BFBFBF" w:themeFill="background1" w:themeFillShade="BF"/>
            <w:tcMar>
              <w:top w:w="57" w:type="dxa"/>
              <w:bottom w:w="57" w:type="dxa"/>
            </w:tcMar>
            <w:vAlign w:val="center"/>
          </w:tcPr>
          <w:p w14:paraId="3F9E7F70" w14:textId="77777777" w:rsidR="00881426" w:rsidRPr="006F2452" w:rsidRDefault="00881426" w:rsidP="00BE71A6">
            <w:pPr>
              <w:pStyle w:val="Standaard-Tabellen"/>
              <w:rPr>
                <w:rFonts w:eastAsia="Calibri"/>
                <w:b/>
              </w:rPr>
            </w:pPr>
            <w:r w:rsidRPr="006F2452">
              <w:rPr>
                <w:rFonts w:eastAsia="Calibri"/>
                <w:b/>
              </w:rPr>
              <w:t>Exposure path</w:t>
            </w:r>
          </w:p>
        </w:tc>
        <w:tc>
          <w:tcPr>
            <w:tcW w:w="2119" w:type="pct"/>
            <w:gridSpan w:val="3"/>
            <w:shd w:val="clear" w:color="auto" w:fill="BFBFBF" w:themeFill="background1" w:themeFillShade="BF"/>
            <w:tcMar>
              <w:top w:w="57" w:type="dxa"/>
              <w:bottom w:w="57" w:type="dxa"/>
            </w:tcMar>
            <w:vAlign w:val="center"/>
          </w:tcPr>
          <w:p w14:paraId="3E8BBB90" w14:textId="77777777" w:rsidR="00881426" w:rsidRPr="006F2452" w:rsidRDefault="00881426" w:rsidP="00BE71A6">
            <w:pPr>
              <w:pStyle w:val="Standaard-Tabellen"/>
              <w:rPr>
                <w:rFonts w:eastAsia="Calibri"/>
                <w:b/>
              </w:rPr>
            </w:pPr>
            <w:r w:rsidRPr="006F2452">
              <w:rPr>
                <w:rFonts w:eastAsia="Calibri"/>
                <w:b/>
              </w:rPr>
              <w:t xml:space="preserve">Primary (direct) exposure </w:t>
            </w:r>
          </w:p>
        </w:tc>
        <w:tc>
          <w:tcPr>
            <w:tcW w:w="2236" w:type="pct"/>
            <w:gridSpan w:val="4"/>
            <w:shd w:val="clear" w:color="auto" w:fill="BFBFBF" w:themeFill="background1" w:themeFillShade="BF"/>
          </w:tcPr>
          <w:p w14:paraId="11A74EEB" w14:textId="77777777" w:rsidR="00881426" w:rsidRPr="006F2452" w:rsidRDefault="00881426" w:rsidP="00BE71A6">
            <w:pPr>
              <w:pStyle w:val="Standaard-Tabellen"/>
              <w:rPr>
                <w:rFonts w:eastAsia="Calibri"/>
                <w:b/>
              </w:rPr>
            </w:pPr>
            <w:r w:rsidRPr="006F2452">
              <w:rPr>
                <w:rFonts w:eastAsia="Calibri"/>
                <w:b/>
              </w:rPr>
              <w:t xml:space="preserve">Secondary (indirect) exposure </w:t>
            </w:r>
          </w:p>
        </w:tc>
      </w:tr>
      <w:tr w:rsidR="00881426" w:rsidRPr="00FD2055" w14:paraId="1179B1C8" w14:textId="77777777" w:rsidTr="00BE71A6">
        <w:trPr>
          <w:tblHeader/>
        </w:trPr>
        <w:tc>
          <w:tcPr>
            <w:tcW w:w="645" w:type="pct"/>
            <w:vMerge/>
            <w:shd w:val="clear" w:color="auto" w:fill="BFBFBF" w:themeFill="background1" w:themeFillShade="BF"/>
            <w:tcMar>
              <w:top w:w="57" w:type="dxa"/>
              <w:bottom w:w="57" w:type="dxa"/>
            </w:tcMar>
          </w:tcPr>
          <w:p w14:paraId="2CD8E445" w14:textId="77777777" w:rsidR="00881426" w:rsidRPr="006F2452" w:rsidRDefault="00881426" w:rsidP="00BE71A6">
            <w:pPr>
              <w:pStyle w:val="Standaard-Tabellen"/>
              <w:rPr>
                <w:rFonts w:eastAsia="Calibri"/>
                <w:b/>
              </w:rPr>
            </w:pPr>
          </w:p>
        </w:tc>
        <w:tc>
          <w:tcPr>
            <w:tcW w:w="606" w:type="pct"/>
            <w:shd w:val="clear" w:color="auto" w:fill="BFBFBF" w:themeFill="background1" w:themeFillShade="BF"/>
            <w:tcMar>
              <w:top w:w="57" w:type="dxa"/>
              <w:bottom w:w="57" w:type="dxa"/>
            </w:tcMar>
          </w:tcPr>
          <w:p w14:paraId="17B9FED7" w14:textId="77777777" w:rsidR="00881426" w:rsidRPr="006F2452" w:rsidRDefault="00881426" w:rsidP="00BE71A6">
            <w:pPr>
              <w:pStyle w:val="Standaard-Tabellen"/>
              <w:rPr>
                <w:rFonts w:eastAsia="Calibri"/>
                <w:b/>
              </w:rPr>
            </w:pPr>
            <w:r w:rsidRPr="006F2452">
              <w:rPr>
                <w:rFonts w:eastAsia="Calibri"/>
                <w:b/>
              </w:rPr>
              <w:t>Industrial use</w:t>
            </w:r>
          </w:p>
        </w:tc>
        <w:tc>
          <w:tcPr>
            <w:tcW w:w="747" w:type="pct"/>
            <w:shd w:val="clear" w:color="auto" w:fill="BFBFBF" w:themeFill="background1" w:themeFillShade="BF"/>
            <w:tcMar>
              <w:top w:w="57" w:type="dxa"/>
              <w:bottom w:w="57" w:type="dxa"/>
            </w:tcMar>
          </w:tcPr>
          <w:p w14:paraId="5572346D" w14:textId="77777777" w:rsidR="00881426" w:rsidRPr="006F2452" w:rsidRDefault="00881426" w:rsidP="00BE71A6">
            <w:pPr>
              <w:pStyle w:val="Standaard-Tabellen"/>
              <w:rPr>
                <w:rFonts w:eastAsia="Calibri"/>
                <w:b/>
              </w:rPr>
            </w:pPr>
            <w:r w:rsidRPr="006F2452">
              <w:rPr>
                <w:rFonts w:eastAsia="Calibri"/>
                <w:b/>
              </w:rPr>
              <w:t>Professional use</w:t>
            </w:r>
          </w:p>
        </w:tc>
        <w:tc>
          <w:tcPr>
            <w:tcW w:w="766" w:type="pct"/>
            <w:shd w:val="clear" w:color="auto" w:fill="BFBFBF" w:themeFill="background1" w:themeFillShade="BF"/>
            <w:tcMar>
              <w:top w:w="57" w:type="dxa"/>
              <w:bottom w:w="57" w:type="dxa"/>
            </w:tcMar>
          </w:tcPr>
          <w:p w14:paraId="19522DE4" w14:textId="77777777" w:rsidR="00881426" w:rsidRPr="006F2452" w:rsidRDefault="00881426" w:rsidP="00BE71A6">
            <w:pPr>
              <w:pStyle w:val="Standaard-Tabellen"/>
              <w:rPr>
                <w:rFonts w:eastAsia="Calibri"/>
                <w:b/>
              </w:rPr>
            </w:pPr>
            <w:r w:rsidRPr="006F2452">
              <w:rPr>
                <w:rFonts w:eastAsia="Calibri"/>
                <w:b/>
              </w:rPr>
              <w:t>Non-professional use</w:t>
            </w:r>
          </w:p>
        </w:tc>
        <w:tc>
          <w:tcPr>
            <w:tcW w:w="632" w:type="pct"/>
            <w:shd w:val="clear" w:color="auto" w:fill="BFBFBF" w:themeFill="background1" w:themeFillShade="BF"/>
          </w:tcPr>
          <w:p w14:paraId="00B733B6" w14:textId="77777777" w:rsidR="00881426" w:rsidRPr="006F2452" w:rsidRDefault="00881426" w:rsidP="00BE71A6">
            <w:pPr>
              <w:pStyle w:val="Standaard-Tabellen"/>
              <w:rPr>
                <w:rFonts w:eastAsia="Calibri"/>
                <w:b/>
              </w:rPr>
            </w:pPr>
            <w:r w:rsidRPr="006F2452">
              <w:rPr>
                <w:rFonts w:eastAsia="Calibri"/>
                <w:b/>
              </w:rPr>
              <w:t>Industrial use</w:t>
            </w:r>
          </w:p>
        </w:tc>
        <w:tc>
          <w:tcPr>
            <w:tcW w:w="734" w:type="pct"/>
            <w:shd w:val="clear" w:color="auto" w:fill="BFBFBF" w:themeFill="background1" w:themeFillShade="BF"/>
          </w:tcPr>
          <w:p w14:paraId="0F478338" w14:textId="77777777" w:rsidR="00881426" w:rsidRPr="006F2452" w:rsidRDefault="00881426" w:rsidP="00BE71A6">
            <w:pPr>
              <w:pStyle w:val="Standaard-Tabellen"/>
              <w:rPr>
                <w:rFonts w:eastAsia="Calibri"/>
                <w:b/>
              </w:rPr>
            </w:pPr>
            <w:r w:rsidRPr="006F2452">
              <w:rPr>
                <w:rFonts w:eastAsia="Calibri"/>
                <w:b/>
              </w:rPr>
              <w:t>Professional use</w:t>
            </w:r>
          </w:p>
        </w:tc>
        <w:tc>
          <w:tcPr>
            <w:tcW w:w="454" w:type="pct"/>
            <w:shd w:val="clear" w:color="auto" w:fill="BFBFBF" w:themeFill="background1" w:themeFillShade="BF"/>
          </w:tcPr>
          <w:p w14:paraId="4581B45E" w14:textId="77777777" w:rsidR="00881426" w:rsidRPr="006F2452" w:rsidRDefault="00881426" w:rsidP="00BE71A6">
            <w:pPr>
              <w:pStyle w:val="Standaard-Tabellen"/>
              <w:rPr>
                <w:rFonts w:eastAsia="Calibri"/>
                <w:b/>
              </w:rPr>
            </w:pPr>
            <w:r w:rsidRPr="006F2452">
              <w:rPr>
                <w:rFonts w:eastAsia="Calibri"/>
                <w:b/>
              </w:rPr>
              <w:t>General public</w:t>
            </w:r>
          </w:p>
        </w:tc>
        <w:tc>
          <w:tcPr>
            <w:tcW w:w="416" w:type="pct"/>
            <w:shd w:val="clear" w:color="auto" w:fill="BFBFBF" w:themeFill="background1" w:themeFillShade="BF"/>
          </w:tcPr>
          <w:p w14:paraId="1BF141E5" w14:textId="77777777" w:rsidR="00881426" w:rsidRPr="006F2452" w:rsidRDefault="00881426" w:rsidP="00BE71A6">
            <w:pPr>
              <w:pStyle w:val="Standaard-Tabellen"/>
              <w:rPr>
                <w:rFonts w:eastAsia="Calibri"/>
                <w:b/>
              </w:rPr>
            </w:pPr>
            <w:r w:rsidRPr="006F2452">
              <w:rPr>
                <w:rFonts w:eastAsia="Calibri"/>
                <w:b/>
              </w:rPr>
              <w:t>Via food</w:t>
            </w:r>
          </w:p>
        </w:tc>
      </w:tr>
      <w:tr w:rsidR="00881426" w:rsidRPr="00FD2055" w14:paraId="0EF6D497" w14:textId="77777777" w:rsidTr="00BE71A6">
        <w:trPr>
          <w:tblHeader/>
        </w:trPr>
        <w:tc>
          <w:tcPr>
            <w:tcW w:w="645" w:type="pct"/>
            <w:shd w:val="clear" w:color="auto" w:fill="auto"/>
            <w:tcMar>
              <w:top w:w="57" w:type="dxa"/>
              <w:bottom w:w="57" w:type="dxa"/>
            </w:tcMar>
          </w:tcPr>
          <w:p w14:paraId="04A5F2FE" w14:textId="77777777" w:rsidR="00881426" w:rsidRPr="00FD2055" w:rsidRDefault="00881426" w:rsidP="00BE71A6">
            <w:pPr>
              <w:pStyle w:val="Standaard-Tabellen"/>
              <w:rPr>
                <w:rFonts w:eastAsia="Calibri"/>
              </w:rPr>
            </w:pPr>
            <w:r w:rsidRPr="00FD2055">
              <w:rPr>
                <w:rFonts w:eastAsia="Calibri"/>
              </w:rPr>
              <w:t>Inhalation</w:t>
            </w:r>
          </w:p>
        </w:tc>
        <w:tc>
          <w:tcPr>
            <w:tcW w:w="606" w:type="pct"/>
            <w:tcMar>
              <w:top w:w="57" w:type="dxa"/>
              <w:bottom w:w="57" w:type="dxa"/>
            </w:tcMar>
          </w:tcPr>
          <w:p w14:paraId="6D67A9A0"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747" w:type="pct"/>
            <w:shd w:val="clear" w:color="auto" w:fill="auto"/>
            <w:tcMar>
              <w:top w:w="57" w:type="dxa"/>
              <w:bottom w:w="57" w:type="dxa"/>
            </w:tcMar>
          </w:tcPr>
          <w:p w14:paraId="3CE35789"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766" w:type="pct"/>
            <w:shd w:val="clear" w:color="auto" w:fill="auto"/>
            <w:tcMar>
              <w:top w:w="57" w:type="dxa"/>
              <w:bottom w:w="57" w:type="dxa"/>
            </w:tcMar>
          </w:tcPr>
          <w:p w14:paraId="78A1F8B6"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632" w:type="pct"/>
          </w:tcPr>
          <w:p w14:paraId="78CF4511"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734" w:type="pct"/>
          </w:tcPr>
          <w:p w14:paraId="42998D32"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454" w:type="pct"/>
          </w:tcPr>
          <w:p w14:paraId="17CA7FEC" w14:textId="7271258B" w:rsidR="00881426" w:rsidRPr="00FD2055" w:rsidRDefault="00F10CBA" w:rsidP="00BE71A6">
            <w:pPr>
              <w:pStyle w:val="Standaard-Tabellen"/>
              <w:rPr>
                <w:rFonts w:eastAsia="Calibri"/>
              </w:rPr>
            </w:pPr>
            <w:r>
              <w:rPr>
                <w:rFonts w:eastAsia="Calibri"/>
              </w:rPr>
              <w:t>Yes</w:t>
            </w:r>
          </w:p>
        </w:tc>
        <w:tc>
          <w:tcPr>
            <w:tcW w:w="416" w:type="pct"/>
          </w:tcPr>
          <w:p w14:paraId="4E9A4285" w14:textId="77777777" w:rsidR="00881426" w:rsidRPr="00FD2055" w:rsidRDefault="00881426" w:rsidP="00BE71A6">
            <w:pPr>
              <w:pStyle w:val="Standaard-Tabellen"/>
              <w:rPr>
                <w:rFonts w:eastAsia="Calibri"/>
              </w:rPr>
            </w:pPr>
            <w:proofErr w:type="spellStart"/>
            <w:r w:rsidRPr="00E26C7F">
              <w:rPr>
                <w:rFonts w:eastAsia="Calibri"/>
              </w:rPr>
              <w:t>n.a.</w:t>
            </w:r>
            <w:proofErr w:type="spellEnd"/>
          </w:p>
        </w:tc>
      </w:tr>
      <w:tr w:rsidR="00881426" w:rsidRPr="00FD2055" w14:paraId="59723687" w14:textId="77777777" w:rsidTr="00BE71A6">
        <w:trPr>
          <w:tblHeader/>
        </w:trPr>
        <w:tc>
          <w:tcPr>
            <w:tcW w:w="645" w:type="pct"/>
            <w:shd w:val="clear" w:color="auto" w:fill="auto"/>
            <w:tcMar>
              <w:top w:w="57" w:type="dxa"/>
              <w:bottom w:w="57" w:type="dxa"/>
            </w:tcMar>
          </w:tcPr>
          <w:p w14:paraId="2E466A64" w14:textId="77777777" w:rsidR="00881426" w:rsidRPr="00FD2055" w:rsidRDefault="00881426" w:rsidP="00BE71A6">
            <w:pPr>
              <w:pStyle w:val="Standaard-Tabellen"/>
              <w:rPr>
                <w:rFonts w:eastAsia="Calibri"/>
              </w:rPr>
            </w:pPr>
            <w:r w:rsidRPr="00FD2055">
              <w:rPr>
                <w:rFonts w:eastAsia="Calibri"/>
              </w:rPr>
              <w:t>Dermal</w:t>
            </w:r>
          </w:p>
        </w:tc>
        <w:tc>
          <w:tcPr>
            <w:tcW w:w="606" w:type="pct"/>
            <w:tcMar>
              <w:top w:w="57" w:type="dxa"/>
              <w:bottom w:w="57" w:type="dxa"/>
            </w:tcMar>
          </w:tcPr>
          <w:p w14:paraId="5E6C4762"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747" w:type="pct"/>
            <w:shd w:val="clear" w:color="auto" w:fill="auto"/>
            <w:tcMar>
              <w:top w:w="57" w:type="dxa"/>
              <w:bottom w:w="57" w:type="dxa"/>
            </w:tcMar>
          </w:tcPr>
          <w:p w14:paraId="7AFB5842"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766" w:type="pct"/>
            <w:shd w:val="clear" w:color="auto" w:fill="auto"/>
            <w:tcMar>
              <w:top w:w="57" w:type="dxa"/>
              <w:bottom w:w="57" w:type="dxa"/>
            </w:tcMar>
          </w:tcPr>
          <w:p w14:paraId="1775DE21" w14:textId="77777777" w:rsidR="00881426" w:rsidRPr="00FD2055" w:rsidRDefault="00881426" w:rsidP="00BE71A6">
            <w:pPr>
              <w:pStyle w:val="Standaard-Tabellen"/>
              <w:rPr>
                <w:rFonts w:eastAsia="Calibri"/>
              </w:rPr>
            </w:pPr>
            <w:r>
              <w:rPr>
                <w:rFonts w:eastAsia="Calibri"/>
              </w:rPr>
              <w:t>Yes</w:t>
            </w:r>
          </w:p>
        </w:tc>
        <w:tc>
          <w:tcPr>
            <w:tcW w:w="632" w:type="pct"/>
          </w:tcPr>
          <w:p w14:paraId="1FD75F19"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734" w:type="pct"/>
          </w:tcPr>
          <w:p w14:paraId="24680405"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454" w:type="pct"/>
          </w:tcPr>
          <w:p w14:paraId="456F07A9" w14:textId="77777777" w:rsidR="00881426" w:rsidRPr="00FD2055" w:rsidRDefault="00881426" w:rsidP="00BE71A6">
            <w:pPr>
              <w:pStyle w:val="Standaard-Tabellen"/>
              <w:rPr>
                <w:rFonts w:eastAsia="Calibri"/>
              </w:rPr>
            </w:pPr>
            <w:r>
              <w:rPr>
                <w:rFonts w:eastAsia="Calibri"/>
              </w:rPr>
              <w:t>Yes</w:t>
            </w:r>
          </w:p>
        </w:tc>
        <w:tc>
          <w:tcPr>
            <w:tcW w:w="416" w:type="pct"/>
          </w:tcPr>
          <w:p w14:paraId="4F85C20C" w14:textId="77777777" w:rsidR="00881426" w:rsidRPr="00FD2055" w:rsidRDefault="00881426" w:rsidP="00BE71A6">
            <w:pPr>
              <w:pStyle w:val="Standaard-Tabellen"/>
              <w:rPr>
                <w:rFonts w:eastAsia="Calibri"/>
              </w:rPr>
            </w:pPr>
            <w:proofErr w:type="spellStart"/>
            <w:r w:rsidRPr="00E26C7F">
              <w:rPr>
                <w:rFonts w:eastAsia="Calibri"/>
              </w:rPr>
              <w:t>n.a.</w:t>
            </w:r>
            <w:proofErr w:type="spellEnd"/>
          </w:p>
        </w:tc>
      </w:tr>
      <w:tr w:rsidR="00881426" w:rsidRPr="00FD2055" w14:paraId="3F435B40" w14:textId="77777777" w:rsidTr="00BE71A6">
        <w:trPr>
          <w:tblHeader/>
        </w:trPr>
        <w:tc>
          <w:tcPr>
            <w:tcW w:w="645" w:type="pct"/>
            <w:shd w:val="clear" w:color="auto" w:fill="auto"/>
            <w:tcMar>
              <w:top w:w="57" w:type="dxa"/>
              <w:bottom w:w="57" w:type="dxa"/>
            </w:tcMar>
          </w:tcPr>
          <w:p w14:paraId="0DA2AFAA" w14:textId="77777777" w:rsidR="00881426" w:rsidRPr="00FD2055" w:rsidRDefault="00881426" w:rsidP="00BE71A6">
            <w:pPr>
              <w:pStyle w:val="Standaard-Tabellen"/>
              <w:rPr>
                <w:rFonts w:eastAsia="Calibri"/>
              </w:rPr>
            </w:pPr>
            <w:r w:rsidRPr="00FD2055">
              <w:rPr>
                <w:rFonts w:eastAsia="Calibri"/>
              </w:rPr>
              <w:t>Oral</w:t>
            </w:r>
          </w:p>
        </w:tc>
        <w:tc>
          <w:tcPr>
            <w:tcW w:w="606" w:type="pct"/>
            <w:tcMar>
              <w:top w:w="57" w:type="dxa"/>
              <w:bottom w:w="57" w:type="dxa"/>
            </w:tcMar>
          </w:tcPr>
          <w:p w14:paraId="3539BF56"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747" w:type="pct"/>
            <w:shd w:val="clear" w:color="auto" w:fill="auto"/>
            <w:tcMar>
              <w:top w:w="57" w:type="dxa"/>
              <w:bottom w:w="57" w:type="dxa"/>
            </w:tcMar>
          </w:tcPr>
          <w:p w14:paraId="036E1106"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766" w:type="pct"/>
            <w:shd w:val="clear" w:color="auto" w:fill="auto"/>
            <w:tcMar>
              <w:top w:w="57" w:type="dxa"/>
              <w:bottom w:w="57" w:type="dxa"/>
            </w:tcMar>
          </w:tcPr>
          <w:p w14:paraId="308FD14C"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632" w:type="pct"/>
          </w:tcPr>
          <w:p w14:paraId="185D1A57"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734" w:type="pct"/>
          </w:tcPr>
          <w:p w14:paraId="46C84B41" w14:textId="77777777" w:rsidR="00881426" w:rsidRPr="00FD2055" w:rsidRDefault="00881426" w:rsidP="00BE71A6">
            <w:pPr>
              <w:pStyle w:val="Standaard-Tabellen"/>
              <w:rPr>
                <w:rFonts w:eastAsia="Calibri"/>
              </w:rPr>
            </w:pPr>
            <w:proofErr w:type="spellStart"/>
            <w:r>
              <w:rPr>
                <w:rFonts w:eastAsia="Calibri"/>
              </w:rPr>
              <w:t>n.a.</w:t>
            </w:r>
            <w:proofErr w:type="spellEnd"/>
          </w:p>
        </w:tc>
        <w:tc>
          <w:tcPr>
            <w:tcW w:w="454" w:type="pct"/>
          </w:tcPr>
          <w:p w14:paraId="0CFBD9AD" w14:textId="77777777" w:rsidR="00881426" w:rsidRPr="00FD2055" w:rsidRDefault="00881426" w:rsidP="00BE71A6">
            <w:pPr>
              <w:pStyle w:val="Standaard-Tabellen"/>
              <w:rPr>
                <w:rFonts w:eastAsia="Calibri"/>
              </w:rPr>
            </w:pPr>
            <w:r>
              <w:rPr>
                <w:rFonts w:eastAsia="Calibri"/>
              </w:rPr>
              <w:t>Yes</w:t>
            </w:r>
          </w:p>
        </w:tc>
        <w:tc>
          <w:tcPr>
            <w:tcW w:w="416" w:type="pct"/>
          </w:tcPr>
          <w:p w14:paraId="34DA8C41" w14:textId="77777777" w:rsidR="00881426" w:rsidRPr="00FD2055" w:rsidRDefault="00881426" w:rsidP="00BE71A6">
            <w:pPr>
              <w:pStyle w:val="Standaard-Tabellen"/>
              <w:rPr>
                <w:rFonts w:eastAsia="Calibri"/>
              </w:rPr>
            </w:pPr>
            <w:proofErr w:type="spellStart"/>
            <w:r w:rsidRPr="00E26C7F">
              <w:rPr>
                <w:rFonts w:eastAsia="Calibri"/>
              </w:rPr>
              <w:t>n.a.</w:t>
            </w:r>
            <w:proofErr w:type="spellEnd"/>
          </w:p>
        </w:tc>
      </w:tr>
    </w:tbl>
    <w:p w14:paraId="16108496" w14:textId="77777777" w:rsidR="00881426" w:rsidRDefault="00881426" w:rsidP="00881426">
      <w:pPr>
        <w:rPr>
          <w:rFonts w:eastAsia="Calibri"/>
          <w:lang w:eastAsia="en-US"/>
        </w:rPr>
      </w:pPr>
      <w:bookmarkStart w:id="158" w:name="_Toc367976935"/>
      <w:bookmarkStart w:id="159" w:name="_Toc387138973"/>
      <w:bookmarkStart w:id="160" w:name="_Toc387142780"/>
      <w:bookmarkStart w:id="161" w:name="_Toc387146344"/>
      <w:bookmarkStart w:id="162" w:name="_Toc389729063"/>
      <w:bookmarkStart w:id="163" w:name="_Toc403472765"/>
    </w:p>
    <w:p w14:paraId="68695AD2" w14:textId="77777777" w:rsidR="00F10CBA" w:rsidRDefault="00F10CBA" w:rsidP="00F10CBA">
      <w:pPr>
        <w:rPr>
          <w:rFonts w:eastAsia="Calibri"/>
          <w:lang w:eastAsia="en-US"/>
        </w:rPr>
      </w:pPr>
      <w:r>
        <w:rPr>
          <w:rFonts w:eastAsia="Calibri"/>
          <w:lang w:eastAsia="en-US"/>
        </w:rPr>
        <w:t>This product exposure assessment is based on the recommendation 11 of the BPC Ad hoc Working Group on Human Exposure : Pro</w:t>
      </w:r>
      <w:r w:rsidRPr="00A06FFC">
        <w:rPr>
          <w:rFonts w:eastAsia="Calibri"/>
          <w:lang w:eastAsia="en-US"/>
        </w:rPr>
        <w:t>posal for harmonising the assessment of human exposure to repellents (PT19) – Version 2.1 agreed at WGV 2017 and on the assessment report of the active substance.</w:t>
      </w:r>
      <w:r>
        <w:rPr>
          <w:rFonts w:eastAsia="Calibri"/>
          <w:lang w:eastAsia="en-US"/>
        </w:rPr>
        <w:t xml:space="preserve"> </w:t>
      </w:r>
    </w:p>
    <w:p w14:paraId="2CCE1BBB" w14:textId="77777777" w:rsidR="00F10CBA" w:rsidRDefault="00F10CBA" w:rsidP="00F10CBA">
      <w:pPr>
        <w:rPr>
          <w:rFonts w:eastAsia="Calibri"/>
          <w:lang w:eastAsia="en-US"/>
        </w:rPr>
      </w:pPr>
    </w:p>
    <w:p w14:paraId="7A0AAEEB" w14:textId="77777777" w:rsidR="00F10CBA" w:rsidRPr="00C806C6" w:rsidRDefault="00F10CBA" w:rsidP="00F10CBA">
      <w:pPr>
        <w:rPr>
          <w:rFonts w:eastAsia="Calibri"/>
          <w:lang w:eastAsia="en-US"/>
        </w:rPr>
      </w:pPr>
      <w:r w:rsidRPr="00C806C6">
        <w:rPr>
          <w:rFonts w:eastAsia="Calibri"/>
          <w:lang w:eastAsia="en-US"/>
        </w:rPr>
        <w:t xml:space="preserve">For primary exposure, the most relevant route of exposure is the dermal route. Applying a lotion would not give significant </w:t>
      </w:r>
      <w:proofErr w:type="spellStart"/>
      <w:r w:rsidRPr="00C806C6">
        <w:rPr>
          <w:rFonts w:eastAsia="Calibri"/>
          <w:lang w:eastAsia="en-US"/>
        </w:rPr>
        <w:t>inhalative</w:t>
      </w:r>
      <w:proofErr w:type="spellEnd"/>
      <w:r w:rsidRPr="00C806C6">
        <w:rPr>
          <w:rFonts w:eastAsia="Calibri"/>
          <w:lang w:eastAsia="en-US"/>
        </w:rPr>
        <w:t xml:space="preserve"> exposure. Direct oral exposure is not considered to be relevant because of the repellent taste (bad palatability) of the active substance and because the biocidal product is not intended to be applied by children younger than 12 years.</w:t>
      </w:r>
    </w:p>
    <w:p w14:paraId="06E57359" w14:textId="77777777" w:rsidR="00F10CBA" w:rsidRPr="00C806C6" w:rsidRDefault="00F10CBA" w:rsidP="00F10CBA">
      <w:pPr>
        <w:rPr>
          <w:rFonts w:eastAsia="Calibri"/>
          <w:lang w:eastAsia="en-US"/>
        </w:rPr>
      </w:pPr>
    </w:p>
    <w:p w14:paraId="2B86C81E" w14:textId="77777777" w:rsidR="00F10CBA" w:rsidRDefault="00F10CBA" w:rsidP="00F10CBA">
      <w:pPr>
        <w:rPr>
          <w:rFonts w:eastAsia="Calibri"/>
          <w:lang w:eastAsia="en-US"/>
        </w:rPr>
      </w:pPr>
      <w:r w:rsidRPr="00C806C6">
        <w:rPr>
          <w:rFonts w:eastAsia="Calibri"/>
          <w:lang w:eastAsia="en-US"/>
        </w:rPr>
        <w:t xml:space="preserve">For secondary exposure, dermal exposure is possible for adults treating or handling children. However this scenario is fully covered by primary adult dermal exposure. Hand to mouth transfer is also possible for adults and children; nonetheless, the biocidal product is not intended to be applied on children’s hands which reduces potential oral uptake of the dermally applied active substance. For </w:t>
      </w:r>
      <w:proofErr w:type="spellStart"/>
      <w:r w:rsidRPr="00C806C6">
        <w:rPr>
          <w:rFonts w:eastAsia="Calibri"/>
          <w:lang w:eastAsia="en-US"/>
        </w:rPr>
        <w:t>inhalative</w:t>
      </w:r>
      <w:proofErr w:type="spellEnd"/>
      <w:r w:rsidRPr="00C806C6">
        <w:rPr>
          <w:rFonts w:eastAsia="Calibri"/>
          <w:lang w:eastAsia="en-US"/>
        </w:rPr>
        <w:t xml:space="preserve"> exposure, the inhalation of volatilized residues after application is also relevant.</w:t>
      </w:r>
      <w:r>
        <w:rPr>
          <w:rFonts w:eastAsia="Calibri"/>
          <w:lang w:eastAsia="en-US"/>
        </w:rPr>
        <w:t xml:space="preserve"> </w:t>
      </w:r>
    </w:p>
    <w:p w14:paraId="0B689C9E" w14:textId="77777777" w:rsidR="00586AC3" w:rsidRDefault="00586AC3">
      <w:pPr>
        <w:spacing w:before="0" w:after="160" w:line="259" w:lineRule="auto"/>
        <w:rPr>
          <w:rFonts w:eastAsia="Calibri"/>
          <w:lang w:eastAsia="en-US"/>
        </w:rPr>
      </w:pPr>
      <w:r>
        <w:rPr>
          <w:rFonts w:eastAsia="Calibri"/>
          <w:lang w:eastAsia="en-US"/>
        </w:rPr>
        <w:br w:type="page"/>
      </w:r>
    </w:p>
    <w:p w14:paraId="474D1CAF" w14:textId="77777777" w:rsidR="00881426" w:rsidRDefault="00881426" w:rsidP="007E5F71">
      <w:pPr>
        <w:pStyle w:val="Titre5"/>
        <w:numPr>
          <w:ilvl w:val="0"/>
          <w:numId w:val="3"/>
        </w:numPr>
      </w:pPr>
      <w:bookmarkStart w:id="164" w:name="_Toc12967162"/>
      <w:r>
        <w:lastRenderedPageBreak/>
        <w:t>General information</w:t>
      </w:r>
      <w:bookmarkEnd w:id="164"/>
    </w:p>
    <w:p w14:paraId="745243C2" w14:textId="77777777" w:rsidR="00881426" w:rsidRDefault="00881426" w:rsidP="00881426">
      <w:pPr>
        <w:rPr>
          <w:u w:val="single"/>
          <w:lang w:val="en-US" w:eastAsia="en-US"/>
        </w:rPr>
      </w:pPr>
      <w:r w:rsidRPr="00490707">
        <w:rPr>
          <w:u w:val="single"/>
          <w:lang w:val="en-US" w:eastAsia="en-US"/>
        </w:rPr>
        <w:t>General default values for exposure assessment</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03"/>
        <w:gridCol w:w="1272"/>
        <w:gridCol w:w="1981"/>
        <w:gridCol w:w="2354"/>
      </w:tblGrid>
      <w:tr w:rsidR="00F10CBA" w:rsidRPr="00DD055A" w14:paraId="11C04CF3" w14:textId="77777777" w:rsidTr="00CB0677">
        <w:trPr>
          <w:trHeight w:val="64"/>
          <w:tblHeader/>
        </w:trPr>
        <w:tc>
          <w:tcPr>
            <w:tcW w:w="5000" w:type="pct"/>
            <w:gridSpan w:val="4"/>
            <w:shd w:val="clear" w:color="auto" w:fill="FFFFCC"/>
          </w:tcPr>
          <w:p w14:paraId="292529C6" w14:textId="77777777" w:rsidR="00F10CBA" w:rsidRPr="00DD055A" w:rsidRDefault="00F10CBA" w:rsidP="00CB0677">
            <w:pPr>
              <w:pStyle w:val="Standaard-Tabellen"/>
              <w:jc w:val="center"/>
              <w:rPr>
                <w:rFonts w:eastAsia="Calibri"/>
                <w:b/>
              </w:rPr>
            </w:pPr>
            <w:r w:rsidRPr="00DD055A">
              <w:rPr>
                <w:rFonts w:eastAsia="Calibri"/>
                <w:b/>
              </w:rPr>
              <w:t>Default value considering age groups</w:t>
            </w:r>
            <w:r w:rsidRPr="00DD055A">
              <w:rPr>
                <w:rFonts w:eastAsia="Calibri"/>
                <w:b/>
                <w:vertAlign w:val="superscript"/>
              </w:rPr>
              <w:t>1</w:t>
            </w:r>
          </w:p>
        </w:tc>
      </w:tr>
      <w:tr w:rsidR="00F10CBA" w:rsidRPr="00DD055A" w14:paraId="0B33DEC9" w14:textId="77777777" w:rsidTr="00CB0677">
        <w:trPr>
          <w:trHeight w:val="145"/>
          <w:tblHeader/>
        </w:trPr>
        <w:tc>
          <w:tcPr>
            <w:tcW w:w="1923" w:type="pct"/>
            <w:shd w:val="clear" w:color="auto" w:fill="BFBFBF" w:themeFill="background1" w:themeFillShade="BF"/>
            <w:tcMar>
              <w:top w:w="57" w:type="dxa"/>
              <w:bottom w:w="57" w:type="dxa"/>
            </w:tcMar>
          </w:tcPr>
          <w:p w14:paraId="1954CCB6" w14:textId="77777777" w:rsidR="00F10CBA" w:rsidRPr="00DD055A" w:rsidRDefault="00F10CBA" w:rsidP="00CB0677">
            <w:pPr>
              <w:pStyle w:val="Standaard-Tabellen"/>
              <w:rPr>
                <w:rFonts w:eastAsia="Calibri"/>
                <w:b/>
              </w:rPr>
            </w:pPr>
            <w:r w:rsidRPr="00DD055A">
              <w:rPr>
                <w:rFonts w:eastAsia="Calibri"/>
                <w:b/>
              </w:rPr>
              <w:t>Age groups</w:t>
            </w:r>
          </w:p>
        </w:tc>
        <w:tc>
          <w:tcPr>
            <w:tcW w:w="698" w:type="pct"/>
            <w:shd w:val="clear" w:color="auto" w:fill="BFBFBF" w:themeFill="background1" w:themeFillShade="BF"/>
            <w:tcMar>
              <w:top w:w="57" w:type="dxa"/>
              <w:bottom w:w="57" w:type="dxa"/>
            </w:tcMar>
          </w:tcPr>
          <w:p w14:paraId="653E3210" w14:textId="77777777" w:rsidR="00F10CBA" w:rsidRDefault="00F10CBA" w:rsidP="00CB0677">
            <w:pPr>
              <w:pStyle w:val="Standaard-Tabellen"/>
              <w:rPr>
                <w:rFonts w:eastAsia="Calibri"/>
                <w:b/>
              </w:rPr>
            </w:pPr>
            <w:r>
              <w:rPr>
                <w:rFonts w:eastAsia="Calibri"/>
                <w:b/>
              </w:rPr>
              <w:t>Body weight</w:t>
            </w:r>
          </w:p>
          <w:p w14:paraId="1E1388C0" w14:textId="77777777" w:rsidR="00F10CBA" w:rsidRPr="00DD055A" w:rsidRDefault="00F10CBA" w:rsidP="00CB0677">
            <w:pPr>
              <w:pStyle w:val="Standaard-Tabellen"/>
              <w:rPr>
                <w:rFonts w:eastAsia="Calibri"/>
                <w:b/>
              </w:rPr>
            </w:pPr>
            <w:r>
              <w:rPr>
                <w:rFonts w:eastAsia="Calibri"/>
                <w:b/>
              </w:rPr>
              <w:t>[kg]</w:t>
            </w:r>
          </w:p>
        </w:tc>
        <w:tc>
          <w:tcPr>
            <w:tcW w:w="1087" w:type="pct"/>
            <w:shd w:val="clear" w:color="auto" w:fill="BFBFBF" w:themeFill="background1" w:themeFillShade="BF"/>
          </w:tcPr>
          <w:p w14:paraId="6E71E7AB" w14:textId="77777777" w:rsidR="00F10CBA" w:rsidRDefault="00F10CBA" w:rsidP="00CB0677">
            <w:pPr>
              <w:pStyle w:val="Standaard-Tabellen"/>
              <w:rPr>
                <w:rFonts w:eastAsia="Calibri"/>
                <w:b/>
              </w:rPr>
            </w:pPr>
            <w:r w:rsidRPr="00DD055A">
              <w:rPr>
                <w:rFonts w:eastAsia="Calibri"/>
                <w:b/>
              </w:rPr>
              <w:t>Respiration rate</w:t>
            </w:r>
          </w:p>
          <w:p w14:paraId="22D1749F" w14:textId="77777777" w:rsidR="00F10CBA" w:rsidRPr="00DD055A" w:rsidRDefault="00F10CBA" w:rsidP="00CB0677">
            <w:pPr>
              <w:pStyle w:val="Standaard-Tabellen"/>
              <w:rPr>
                <w:rFonts w:eastAsia="Calibri"/>
                <w:b/>
              </w:rPr>
            </w:pPr>
            <w:r w:rsidRPr="00DD055A">
              <w:rPr>
                <w:rFonts w:eastAsia="Calibri"/>
                <w:b/>
              </w:rPr>
              <w:t>[m</w:t>
            </w:r>
            <w:r>
              <w:rPr>
                <w:rFonts w:eastAsia="Calibri"/>
                <w:b/>
              </w:rPr>
              <w:t>³</w:t>
            </w:r>
            <w:r w:rsidRPr="00DD055A">
              <w:rPr>
                <w:rFonts w:eastAsia="Calibri"/>
                <w:b/>
              </w:rPr>
              <w:t>/air/hour]</w:t>
            </w:r>
          </w:p>
        </w:tc>
        <w:tc>
          <w:tcPr>
            <w:tcW w:w="1291" w:type="pct"/>
            <w:shd w:val="clear" w:color="auto" w:fill="BFBFBF" w:themeFill="background1" w:themeFillShade="BF"/>
          </w:tcPr>
          <w:p w14:paraId="5873C802" w14:textId="77777777" w:rsidR="00F10CBA" w:rsidRDefault="00F10CBA" w:rsidP="00CB0677">
            <w:pPr>
              <w:pStyle w:val="Standaard-Tabellen"/>
              <w:rPr>
                <w:rFonts w:eastAsia="Calibri"/>
                <w:b/>
              </w:rPr>
            </w:pPr>
            <w:r>
              <w:rPr>
                <w:rFonts w:eastAsia="Calibri"/>
                <w:b/>
              </w:rPr>
              <w:t>Total body surface a</w:t>
            </w:r>
            <w:r w:rsidRPr="00DD055A">
              <w:rPr>
                <w:rFonts w:eastAsia="Calibri"/>
                <w:b/>
              </w:rPr>
              <w:t>r</w:t>
            </w:r>
            <w:r>
              <w:rPr>
                <w:rFonts w:eastAsia="Calibri"/>
                <w:b/>
              </w:rPr>
              <w:t>e</w:t>
            </w:r>
            <w:r w:rsidRPr="00DD055A">
              <w:rPr>
                <w:rFonts w:eastAsia="Calibri"/>
                <w:b/>
              </w:rPr>
              <w:t>a</w:t>
            </w:r>
          </w:p>
          <w:p w14:paraId="6CCCE32B" w14:textId="77777777" w:rsidR="00F10CBA" w:rsidRPr="00DD055A" w:rsidRDefault="00F10CBA" w:rsidP="00CB0677">
            <w:pPr>
              <w:pStyle w:val="Standaard-Tabellen"/>
              <w:rPr>
                <w:rFonts w:eastAsia="Calibri"/>
                <w:b/>
              </w:rPr>
            </w:pPr>
            <w:r>
              <w:rPr>
                <w:rFonts w:eastAsia="Calibri"/>
                <w:b/>
              </w:rPr>
              <w:t>[</w:t>
            </w:r>
            <w:r w:rsidRPr="00DD055A">
              <w:rPr>
                <w:rFonts w:eastAsia="Calibri"/>
                <w:b/>
              </w:rPr>
              <w:t>cm</w:t>
            </w:r>
            <w:r>
              <w:rPr>
                <w:rFonts w:eastAsia="Calibri"/>
                <w:b/>
              </w:rPr>
              <w:t>²]</w:t>
            </w:r>
          </w:p>
        </w:tc>
      </w:tr>
      <w:tr w:rsidR="00F10CBA" w:rsidRPr="00DD055A" w14:paraId="2F6E800C" w14:textId="77777777" w:rsidTr="00CB0677">
        <w:trPr>
          <w:trHeight w:val="236"/>
          <w:tblHeader/>
        </w:trPr>
        <w:tc>
          <w:tcPr>
            <w:tcW w:w="1923" w:type="pct"/>
            <w:tcMar>
              <w:top w:w="57" w:type="dxa"/>
              <w:bottom w:w="57" w:type="dxa"/>
            </w:tcMar>
          </w:tcPr>
          <w:p w14:paraId="5FF689BA" w14:textId="77777777" w:rsidR="00F10CBA" w:rsidRPr="00AC6D45" w:rsidRDefault="00F10CBA" w:rsidP="00CB0677">
            <w:pPr>
              <w:pStyle w:val="Standaard-Tabellen"/>
              <w:rPr>
                <w:b/>
              </w:rPr>
            </w:pPr>
            <w:r w:rsidRPr="00AC6D45">
              <w:rPr>
                <w:b/>
              </w:rPr>
              <w:t xml:space="preserve">ADULT </w:t>
            </w:r>
          </w:p>
          <w:p w14:paraId="100E9411" w14:textId="77777777" w:rsidR="00F10CBA" w:rsidRDefault="00F10CBA" w:rsidP="00CB0677">
            <w:pPr>
              <w:pStyle w:val="Standaard-Tabellen"/>
            </w:pPr>
            <w:r w:rsidRPr="00DD055A">
              <w:t xml:space="preserve">irrespective of gender </w:t>
            </w:r>
          </w:p>
          <w:p w14:paraId="1A530E72" w14:textId="77777777" w:rsidR="00F10CBA" w:rsidRPr="00DD055A" w:rsidRDefault="00F10CBA" w:rsidP="00CB0677">
            <w:pPr>
              <w:pStyle w:val="Standaard-Tabellen"/>
              <w:rPr>
                <w:rFonts w:eastAsia="Calibri"/>
              </w:rPr>
            </w:pPr>
            <w:r w:rsidRPr="00DD055A">
              <w:t>(based on female 30 to &lt;40 years old)</w:t>
            </w:r>
          </w:p>
        </w:tc>
        <w:tc>
          <w:tcPr>
            <w:tcW w:w="698" w:type="pct"/>
            <w:tcMar>
              <w:top w:w="57" w:type="dxa"/>
              <w:bottom w:w="57" w:type="dxa"/>
            </w:tcMar>
          </w:tcPr>
          <w:p w14:paraId="7F5DDCB7" w14:textId="77777777" w:rsidR="00F10CBA" w:rsidRPr="00DD055A" w:rsidRDefault="00F10CBA" w:rsidP="00CB0677">
            <w:pPr>
              <w:pStyle w:val="Standaard-Tabellen"/>
              <w:rPr>
                <w:rFonts w:eastAsia="Calibri"/>
              </w:rPr>
            </w:pPr>
            <w:r w:rsidRPr="00DD055A">
              <w:t>60</w:t>
            </w:r>
          </w:p>
        </w:tc>
        <w:tc>
          <w:tcPr>
            <w:tcW w:w="1087" w:type="pct"/>
          </w:tcPr>
          <w:p w14:paraId="4EE94640" w14:textId="77777777" w:rsidR="00F10CBA" w:rsidRPr="00DD055A" w:rsidRDefault="00F10CBA" w:rsidP="00CB0677">
            <w:pPr>
              <w:pStyle w:val="Standaard-Tabellen"/>
              <w:rPr>
                <w:rFonts w:eastAsia="Calibri"/>
              </w:rPr>
            </w:pPr>
            <w:r>
              <w:t>1.</w:t>
            </w:r>
            <w:r w:rsidRPr="00DD055A">
              <w:t>25</w:t>
            </w:r>
          </w:p>
        </w:tc>
        <w:tc>
          <w:tcPr>
            <w:tcW w:w="1291" w:type="pct"/>
          </w:tcPr>
          <w:p w14:paraId="6638E322" w14:textId="77777777" w:rsidR="00F10CBA" w:rsidRPr="00DD055A" w:rsidRDefault="00F10CBA" w:rsidP="00CB0677">
            <w:pPr>
              <w:pStyle w:val="Standaard-Tabellen"/>
            </w:pPr>
            <w:r>
              <w:t>16600</w:t>
            </w:r>
          </w:p>
        </w:tc>
      </w:tr>
      <w:tr w:rsidR="00F10CBA" w:rsidRPr="00DD055A" w14:paraId="59410D24" w14:textId="77777777" w:rsidTr="00CB0677">
        <w:trPr>
          <w:trHeight w:val="141"/>
          <w:tblHeader/>
        </w:trPr>
        <w:tc>
          <w:tcPr>
            <w:tcW w:w="1923" w:type="pct"/>
            <w:tcMar>
              <w:top w:w="57" w:type="dxa"/>
              <w:bottom w:w="57" w:type="dxa"/>
            </w:tcMar>
          </w:tcPr>
          <w:p w14:paraId="3D330707" w14:textId="77777777" w:rsidR="00F10CBA" w:rsidRDefault="00F10CBA" w:rsidP="00CB0677">
            <w:pPr>
              <w:pStyle w:val="Standaard-Tabellen"/>
            </w:pPr>
            <w:r w:rsidRPr="00AC6D45">
              <w:rPr>
                <w:b/>
              </w:rPr>
              <w:t>CHILD</w:t>
            </w:r>
            <w:r w:rsidRPr="00DD055A">
              <w:t xml:space="preserve"> </w:t>
            </w:r>
            <w:r>
              <w:t xml:space="preserve">6 to &lt; 12 years old </w:t>
            </w:r>
            <w:r w:rsidRPr="00DD055A">
              <w:t xml:space="preserve">irrespective of gender </w:t>
            </w:r>
          </w:p>
          <w:p w14:paraId="69A179FF" w14:textId="77777777" w:rsidR="00F10CBA" w:rsidRPr="00DD055A" w:rsidRDefault="00F10CBA" w:rsidP="00CB0677">
            <w:pPr>
              <w:pStyle w:val="Standaard-Tabellen"/>
              <w:rPr>
                <w:rFonts w:eastAsia="Calibri"/>
              </w:rPr>
            </w:pPr>
            <w:r w:rsidRPr="00DD055A">
              <w:t>(based on female 6 to &lt;11 years old)</w:t>
            </w:r>
          </w:p>
        </w:tc>
        <w:tc>
          <w:tcPr>
            <w:tcW w:w="698" w:type="pct"/>
            <w:tcMar>
              <w:top w:w="57" w:type="dxa"/>
              <w:bottom w:w="57" w:type="dxa"/>
            </w:tcMar>
          </w:tcPr>
          <w:p w14:paraId="72D21F66" w14:textId="77777777" w:rsidR="00F10CBA" w:rsidRPr="00DD055A" w:rsidRDefault="00F10CBA" w:rsidP="00CB0677">
            <w:pPr>
              <w:pStyle w:val="Standaard-Tabellen"/>
              <w:rPr>
                <w:rFonts w:eastAsia="Calibri"/>
              </w:rPr>
            </w:pPr>
            <w:r w:rsidRPr="00DD055A">
              <w:t>23</w:t>
            </w:r>
            <w:r>
              <w:t>.</w:t>
            </w:r>
            <w:r w:rsidRPr="00DD055A">
              <w:t>9</w:t>
            </w:r>
          </w:p>
        </w:tc>
        <w:tc>
          <w:tcPr>
            <w:tcW w:w="1087" w:type="pct"/>
          </w:tcPr>
          <w:p w14:paraId="020B7E40" w14:textId="77777777" w:rsidR="00F10CBA" w:rsidRPr="00DD055A" w:rsidRDefault="00F10CBA" w:rsidP="00CB0677">
            <w:pPr>
              <w:pStyle w:val="Standaard-Tabellen"/>
              <w:rPr>
                <w:rFonts w:eastAsia="Calibri"/>
              </w:rPr>
            </w:pPr>
            <w:r>
              <w:t>1.</w:t>
            </w:r>
            <w:r w:rsidRPr="00DD055A">
              <w:t>32</w:t>
            </w:r>
          </w:p>
        </w:tc>
        <w:tc>
          <w:tcPr>
            <w:tcW w:w="1291" w:type="pct"/>
          </w:tcPr>
          <w:p w14:paraId="0DF709D6" w14:textId="77777777" w:rsidR="00F10CBA" w:rsidRPr="00DD055A" w:rsidRDefault="00F10CBA" w:rsidP="00CB0677">
            <w:pPr>
              <w:pStyle w:val="Standaard-Tabellen"/>
            </w:pPr>
            <w:r w:rsidRPr="00DD055A">
              <w:t>9200</w:t>
            </w:r>
          </w:p>
        </w:tc>
      </w:tr>
      <w:tr w:rsidR="00F10CBA" w:rsidRPr="00DD055A" w14:paraId="669FC238" w14:textId="77777777" w:rsidTr="00CB0677">
        <w:trPr>
          <w:trHeight w:val="141"/>
          <w:tblHeader/>
        </w:trPr>
        <w:tc>
          <w:tcPr>
            <w:tcW w:w="1923" w:type="pct"/>
            <w:tcMar>
              <w:top w:w="57" w:type="dxa"/>
              <w:bottom w:w="57" w:type="dxa"/>
            </w:tcMar>
          </w:tcPr>
          <w:p w14:paraId="2FA209FA" w14:textId="77777777" w:rsidR="00F10CBA" w:rsidRPr="00DD055A" w:rsidRDefault="00F10CBA" w:rsidP="00CB0677">
            <w:pPr>
              <w:pStyle w:val="Standaard-Tabellen"/>
            </w:pPr>
            <w:r w:rsidRPr="00AC6D45">
              <w:rPr>
                <w:b/>
              </w:rPr>
              <w:t xml:space="preserve">CHILD </w:t>
            </w:r>
            <w:r>
              <w:t>2 to &lt; 6 years old irrespective of gender (based on data from female 2 to &lt;6 years old)</w:t>
            </w:r>
          </w:p>
        </w:tc>
        <w:tc>
          <w:tcPr>
            <w:tcW w:w="698" w:type="pct"/>
            <w:tcMar>
              <w:top w:w="57" w:type="dxa"/>
              <w:bottom w:w="57" w:type="dxa"/>
            </w:tcMar>
          </w:tcPr>
          <w:p w14:paraId="766584DF" w14:textId="77777777" w:rsidR="00F10CBA" w:rsidRPr="00DD055A" w:rsidRDefault="00F10CBA" w:rsidP="00CB0677">
            <w:pPr>
              <w:pStyle w:val="Standaard-Tabellen"/>
            </w:pPr>
            <w:r>
              <w:t>15.6</w:t>
            </w:r>
          </w:p>
        </w:tc>
        <w:tc>
          <w:tcPr>
            <w:tcW w:w="1087" w:type="pct"/>
          </w:tcPr>
          <w:p w14:paraId="2FA76309" w14:textId="77777777" w:rsidR="00F10CBA" w:rsidRDefault="00F10CBA" w:rsidP="00CB0677">
            <w:pPr>
              <w:pStyle w:val="Standaard-Tabellen"/>
            </w:pPr>
            <w:r>
              <w:t>1.26</w:t>
            </w:r>
          </w:p>
        </w:tc>
        <w:tc>
          <w:tcPr>
            <w:tcW w:w="1291" w:type="pct"/>
          </w:tcPr>
          <w:p w14:paraId="438F2C35" w14:textId="77777777" w:rsidR="00F10CBA" w:rsidRPr="00DD055A" w:rsidRDefault="00F10CBA" w:rsidP="00CB0677">
            <w:pPr>
              <w:pStyle w:val="Standaard-Tabellen"/>
            </w:pPr>
            <w:r>
              <w:t>6800</w:t>
            </w:r>
          </w:p>
        </w:tc>
      </w:tr>
      <w:tr w:rsidR="00F10CBA" w:rsidRPr="00DD055A" w14:paraId="6881025F" w14:textId="77777777" w:rsidTr="00CB0677">
        <w:trPr>
          <w:trHeight w:val="217"/>
          <w:tblHeader/>
        </w:trPr>
        <w:tc>
          <w:tcPr>
            <w:tcW w:w="1923" w:type="pct"/>
            <w:tcMar>
              <w:top w:w="57" w:type="dxa"/>
              <w:bottom w:w="57" w:type="dxa"/>
            </w:tcMar>
          </w:tcPr>
          <w:p w14:paraId="19EADDCD" w14:textId="77777777" w:rsidR="00F10CBA" w:rsidRPr="00AC6D45" w:rsidRDefault="00F10CBA" w:rsidP="00CB0677">
            <w:pPr>
              <w:pStyle w:val="Standaard-Tabellen"/>
              <w:rPr>
                <w:b/>
              </w:rPr>
            </w:pPr>
            <w:r w:rsidRPr="00AC6D45">
              <w:rPr>
                <w:b/>
              </w:rPr>
              <w:t xml:space="preserve">TODDLER </w:t>
            </w:r>
            <w:r w:rsidRPr="00D54BE7">
              <w:t>1 to &lt;2 years old</w:t>
            </w:r>
          </w:p>
          <w:p w14:paraId="624BB3D3" w14:textId="77777777" w:rsidR="00F10CBA" w:rsidRDefault="00F10CBA" w:rsidP="00CB0677">
            <w:pPr>
              <w:pStyle w:val="Standaard-Tabellen"/>
            </w:pPr>
            <w:r w:rsidRPr="00DD055A">
              <w:t xml:space="preserve">irrespective of gender </w:t>
            </w:r>
          </w:p>
          <w:p w14:paraId="0D3E81E4" w14:textId="77777777" w:rsidR="00F10CBA" w:rsidRPr="00DD055A" w:rsidRDefault="00F10CBA" w:rsidP="00CB0677">
            <w:pPr>
              <w:pStyle w:val="Standaard-Tabellen"/>
              <w:rPr>
                <w:rFonts w:eastAsia="Calibri"/>
              </w:rPr>
            </w:pPr>
            <w:r w:rsidRPr="00DD055A">
              <w:t>(based on female 1 to &lt;2 years old)</w:t>
            </w:r>
          </w:p>
        </w:tc>
        <w:tc>
          <w:tcPr>
            <w:tcW w:w="698" w:type="pct"/>
            <w:tcMar>
              <w:top w:w="57" w:type="dxa"/>
              <w:bottom w:w="57" w:type="dxa"/>
            </w:tcMar>
          </w:tcPr>
          <w:p w14:paraId="3209D24F" w14:textId="77777777" w:rsidR="00F10CBA" w:rsidRPr="00DD055A" w:rsidRDefault="00F10CBA" w:rsidP="00CB0677">
            <w:pPr>
              <w:pStyle w:val="Standaard-Tabellen"/>
              <w:rPr>
                <w:rFonts w:eastAsia="Calibri"/>
              </w:rPr>
            </w:pPr>
            <w:r w:rsidRPr="00DD055A">
              <w:t>10</w:t>
            </w:r>
          </w:p>
        </w:tc>
        <w:tc>
          <w:tcPr>
            <w:tcW w:w="1087" w:type="pct"/>
          </w:tcPr>
          <w:p w14:paraId="3DD5E94E" w14:textId="77777777" w:rsidR="00F10CBA" w:rsidRPr="00DD055A" w:rsidRDefault="00F10CBA" w:rsidP="00CB0677">
            <w:pPr>
              <w:pStyle w:val="Standaard-Tabellen"/>
              <w:rPr>
                <w:rFonts w:eastAsia="Calibri"/>
              </w:rPr>
            </w:pPr>
            <w:r>
              <w:t>1.</w:t>
            </w:r>
            <w:r w:rsidRPr="00DD055A">
              <w:t>26</w:t>
            </w:r>
          </w:p>
        </w:tc>
        <w:tc>
          <w:tcPr>
            <w:tcW w:w="1291" w:type="pct"/>
          </w:tcPr>
          <w:p w14:paraId="52642F8C" w14:textId="77777777" w:rsidR="00F10CBA" w:rsidRPr="00DD055A" w:rsidRDefault="00F10CBA" w:rsidP="00CB0677">
            <w:pPr>
              <w:pStyle w:val="Standaard-Tabellen"/>
            </w:pPr>
            <w:r w:rsidRPr="00DD055A">
              <w:t>4800</w:t>
            </w:r>
          </w:p>
        </w:tc>
      </w:tr>
      <w:tr w:rsidR="00F10CBA" w:rsidRPr="00DD055A" w14:paraId="1A4FE4B8" w14:textId="77777777" w:rsidTr="00CB0677">
        <w:trPr>
          <w:trHeight w:val="22"/>
          <w:tblHeader/>
        </w:trPr>
        <w:tc>
          <w:tcPr>
            <w:tcW w:w="1923" w:type="pct"/>
            <w:tcMar>
              <w:top w:w="57" w:type="dxa"/>
              <w:bottom w:w="57" w:type="dxa"/>
            </w:tcMar>
          </w:tcPr>
          <w:p w14:paraId="3844E1A9" w14:textId="77777777" w:rsidR="00F10CBA" w:rsidRDefault="00F10CBA" w:rsidP="00CB0677">
            <w:pPr>
              <w:pStyle w:val="Standaard-Tabellen"/>
            </w:pPr>
            <w:r w:rsidRPr="00AC6D45">
              <w:rPr>
                <w:b/>
              </w:rPr>
              <w:t>INFANT</w:t>
            </w:r>
            <w:r w:rsidRPr="00DD055A">
              <w:t xml:space="preserve"> </w:t>
            </w:r>
            <w:r w:rsidRPr="00D54BE7">
              <w:t>&lt; 1 year old</w:t>
            </w:r>
          </w:p>
          <w:p w14:paraId="4591E07E" w14:textId="77777777" w:rsidR="00F10CBA" w:rsidRDefault="00F10CBA" w:rsidP="00CB0677">
            <w:pPr>
              <w:pStyle w:val="Standaard-Tabellen"/>
            </w:pPr>
            <w:r w:rsidRPr="00DD055A">
              <w:t xml:space="preserve">irrespective of gender </w:t>
            </w:r>
          </w:p>
          <w:p w14:paraId="085E2249" w14:textId="77777777" w:rsidR="00F10CBA" w:rsidRPr="00DD055A" w:rsidRDefault="00F10CBA" w:rsidP="00CB0677">
            <w:pPr>
              <w:pStyle w:val="Standaard-Tabellen"/>
              <w:rPr>
                <w:rFonts w:eastAsia="Calibri"/>
              </w:rPr>
            </w:pPr>
            <w:r w:rsidRPr="00DD055A">
              <w:t>(based on female 6 to &lt;12 months old)</w:t>
            </w:r>
          </w:p>
        </w:tc>
        <w:tc>
          <w:tcPr>
            <w:tcW w:w="698" w:type="pct"/>
            <w:tcMar>
              <w:top w:w="57" w:type="dxa"/>
              <w:bottom w:w="57" w:type="dxa"/>
            </w:tcMar>
          </w:tcPr>
          <w:p w14:paraId="1E55FC33" w14:textId="77777777" w:rsidR="00F10CBA" w:rsidRPr="00DD055A" w:rsidRDefault="00F10CBA" w:rsidP="00CB0677">
            <w:pPr>
              <w:pStyle w:val="Standaard-Tabellen"/>
              <w:rPr>
                <w:rFonts w:eastAsia="Calibri"/>
              </w:rPr>
            </w:pPr>
            <w:r w:rsidRPr="00DD055A">
              <w:t>8</w:t>
            </w:r>
          </w:p>
        </w:tc>
        <w:tc>
          <w:tcPr>
            <w:tcW w:w="1087" w:type="pct"/>
          </w:tcPr>
          <w:p w14:paraId="63B8F469" w14:textId="77777777" w:rsidR="00F10CBA" w:rsidRPr="00DD055A" w:rsidRDefault="00F10CBA" w:rsidP="00CB0677">
            <w:pPr>
              <w:pStyle w:val="Standaard-Tabellen"/>
              <w:rPr>
                <w:rFonts w:eastAsia="Calibri"/>
              </w:rPr>
            </w:pPr>
            <w:r>
              <w:t>0.</w:t>
            </w:r>
            <w:r w:rsidRPr="00DD055A">
              <w:t>84</w:t>
            </w:r>
          </w:p>
        </w:tc>
        <w:tc>
          <w:tcPr>
            <w:tcW w:w="1291" w:type="pct"/>
          </w:tcPr>
          <w:p w14:paraId="49854FB6" w14:textId="77777777" w:rsidR="00F10CBA" w:rsidRPr="00DD055A" w:rsidRDefault="00F10CBA" w:rsidP="00CB0677">
            <w:pPr>
              <w:pStyle w:val="Standaard-Tabellen"/>
            </w:pPr>
            <w:r w:rsidRPr="00DD055A">
              <w:t>4100</w:t>
            </w:r>
          </w:p>
        </w:tc>
      </w:tr>
    </w:tbl>
    <w:p w14:paraId="0F3866B2" w14:textId="013ECC5E" w:rsidR="00F10CBA" w:rsidRDefault="00881426" w:rsidP="00881426">
      <w:pPr>
        <w:autoSpaceDE w:val="0"/>
        <w:autoSpaceDN w:val="0"/>
        <w:adjustRightInd w:val="0"/>
        <w:spacing w:after="0"/>
        <w:jc w:val="both"/>
        <w:rPr>
          <w:rFonts w:ascii="Arial" w:hAnsi="Arial" w:cs="Arial"/>
          <w:sz w:val="16"/>
          <w:szCs w:val="16"/>
        </w:rPr>
      </w:pPr>
      <w:r w:rsidRPr="00023B29">
        <w:rPr>
          <w:rFonts w:ascii="Arial" w:hAnsi="Arial" w:cs="Arial"/>
          <w:vertAlign w:val="superscript"/>
        </w:rPr>
        <w:t>1</w:t>
      </w:r>
      <w:r>
        <w:rPr>
          <w:rFonts w:ascii="Arial" w:hAnsi="Arial" w:cs="Arial"/>
          <w:sz w:val="16"/>
          <w:szCs w:val="16"/>
        </w:rPr>
        <w:t xml:space="preserve"> </w:t>
      </w:r>
      <w:r w:rsidR="00F10CBA" w:rsidRPr="00F10CBA">
        <w:rPr>
          <w:rFonts w:ascii="Arial" w:hAnsi="Arial" w:cs="Arial"/>
          <w:sz w:val="16"/>
          <w:szCs w:val="16"/>
        </w:rPr>
        <w:t>Recommendation no. 14 of the BPC Ad hoc Working Group on Human Exposure Default human factor values for use in exposure assessments for biocidal products (revision of HEEG opinion 17 agreed at the Human Health Working Group III on 12 June 2017)</w:t>
      </w:r>
    </w:p>
    <w:p w14:paraId="3B29DE3C" w14:textId="77777777" w:rsidR="00881426" w:rsidRPr="00A46284" w:rsidRDefault="00881426" w:rsidP="00881426">
      <w:pPr>
        <w:rPr>
          <w:highlight w:val="yellow"/>
          <w:lang w:val="en-US" w:eastAsia="en-US"/>
        </w:rPr>
      </w:pPr>
    </w:p>
    <w:p w14:paraId="503F6881" w14:textId="77777777" w:rsidR="00881426" w:rsidRPr="002E1D83" w:rsidRDefault="00881426" w:rsidP="00586AC3">
      <w:pPr>
        <w:pStyle w:val="Titre6"/>
        <w:rPr>
          <w:lang w:val="en-US"/>
        </w:rPr>
      </w:pPr>
      <w:r w:rsidRPr="002E1D83">
        <w:rPr>
          <w:lang w:val="en-US"/>
        </w:rPr>
        <w:t>Treated surface, applied amount of biocidal product and number of application per day:</w:t>
      </w:r>
    </w:p>
    <w:p w14:paraId="2B990C5C" w14:textId="77777777" w:rsidR="00881426" w:rsidRDefault="00881426" w:rsidP="00881426">
      <w:pPr>
        <w:rPr>
          <w:rFonts w:eastAsia="Calibri"/>
          <w:lang w:val="en-US" w:eastAsia="en-US"/>
        </w:rPr>
      </w:pPr>
    </w:p>
    <w:p w14:paraId="297BE3B0" w14:textId="77777777" w:rsidR="00881426" w:rsidRPr="002E1D83" w:rsidRDefault="00881426" w:rsidP="00586AC3">
      <w:pPr>
        <w:pStyle w:val="Titre7"/>
        <w:rPr>
          <w:lang w:val="en-US"/>
        </w:rPr>
      </w:pPr>
      <w:r w:rsidRPr="002E1D83">
        <w:rPr>
          <w:lang w:val="en-US"/>
        </w:rPr>
        <w:t xml:space="preserve">Treated surface: </w:t>
      </w:r>
    </w:p>
    <w:p w14:paraId="16F6B320" w14:textId="77777777" w:rsidR="00F10CBA" w:rsidRPr="001B6D1A" w:rsidRDefault="00F10CBA" w:rsidP="00F10CBA">
      <w:pPr>
        <w:rPr>
          <w:lang w:val="en-US" w:eastAsia="en-US"/>
        </w:rPr>
      </w:pPr>
      <w:r w:rsidRPr="001B6D1A">
        <w:rPr>
          <w:lang w:val="en-US" w:eastAsia="en-US"/>
        </w:rPr>
        <w:t xml:space="preserve">The treated surface </w:t>
      </w:r>
      <w:r>
        <w:rPr>
          <w:lang w:val="en-US" w:eastAsia="en-US"/>
        </w:rPr>
        <w:t>is assumed to be</w:t>
      </w:r>
      <w:r w:rsidRPr="001B6D1A">
        <w:rPr>
          <w:lang w:val="en-US" w:eastAsia="en-US"/>
        </w:rPr>
        <w:t xml:space="preserve"> the uncovered parts of the body</w:t>
      </w:r>
      <w:r>
        <w:rPr>
          <w:lang w:val="en-US" w:eastAsia="en-US"/>
        </w:rPr>
        <w:t xml:space="preserve">. According Recommendation no. 11 </w:t>
      </w:r>
      <w:r w:rsidRPr="008A70A8">
        <w:rPr>
          <w:lang w:val="en-US" w:eastAsia="en-US"/>
        </w:rPr>
        <w:t xml:space="preserve">of the BPC Ad hoc </w:t>
      </w:r>
      <w:r>
        <w:rPr>
          <w:lang w:val="en-US" w:eastAsia="en-US"/>
        </w:rPr>
        <w:t xml:space="preserve">Working Group on Human Exposure : </w:t>
      </w:r>
      <w:r w:rsidRPr="008A70A8">
        <w:rPr>
          <w:lang w:val="en-US" w:eastAsia="en-US"/>
        </w:rPr>
        <w:t xml:space="preserve">Proposal for </w:t>
      </w:r>
      <w:proofErr w:type="spellStart"/>
      <w:r w:rsidRPr="008A70A8">
        <w:rPr>
          <w:lang w:val="en-US" w:eastAsia="en-US"/>
        </w:rPr>
        <w:t>harmonising</w:t>
      </w:r>
      <w:proofErr w:type="spellEnd"/>
      <w:r w:rsidRPr="008A70A8">
        <w:rPr>
          <w:lang w:val="en-US" w:eastAsia="en-US"/>
        </w:rPr>
        <w:t xml:space="preserve"> the assessment of human exposure to repellents (PT19)</w:t>
      </w:r>
      <w:r>
        <w:rPr>
          <w:lang w:val="en-US" w:eastAsia="en-US"/>
        </w:rPr>
        <w:t xml:space="preserve"> </w:t>
      </w:r>
      <w:r w:rsidRPr="008A70A8">
        <w:rPr>
          <w:lang w:val="en-US" w:eastAsia="en-US"/>
        </w:rPr>
        <w:t>(</w:t>
      </w:r>
      <w:r>
        <w:rPr>
          <w:lang w:val="en-US" w:eastAsia="en-US"/>
        </w:rPr>
        <w:t xml:space="preserve">Version 2.1 </w:t>
      </w:r>
      <w:r w:rsidRPr="008A70A8">
        <w:rPr>
          <w:lang w:val="en-US" w:eastAsia="en-US"/>
        </w:rPr>
        <w:t>agreed at Human Health Working Group V on 22 November 2017)</w:t>
      </w:r>
      <w:r>
        <w:rPr>
          <w:lang w:val="en-US" w:eastAsia="en-US"/>
        </w:rPr>
        <w:t xml:space="preserve">, the </w:t>
      </w:r>
      <w:r w:rsidRPr="008A70A8">
        <w:rPr>
          <w:lang w:val="en-US" w:eastAsia="en-US"/>
        </w:rPr>
        <w:t xml:space="preserve">uncovered body surface area </w:t>
      </w:r>
      <w:r>
        <w:rPr>
          <w:lang w:val="en-US" w:eastAsia="en-US"/>
        </w:rPr>
        <w:t xml:space="preserve">corresponds </w:t>
      </w:r>
      <w:r w:rsidRPr="008A70A8">
        <w:rPr>
          <w:lang w:val="en-US" w:eastAsia="en-US"/>
        </w:rPr>
        <w:t xml:space="preserve">to </w:t>
      </w:r>
      <w:r w:rsidRPr="00892C32">
        <w:rPr>
          <w:b/>
          <w:lang w:val="en-US" w:eastAsia="en-US"/>
        </w:rPr>
        <w:t>55</w:t>
      </w:r>
      <w:r w:rsidRPr="008A70A8">
        <w:rPr>
          <w:lang w:val="en-US" w:eastAsia="en-US"/>
        </w:rPr>
        <w:t>%</w:t>
      </w:r>
      <w:r>
        <w:rPr>
          <w:lang w:val="en-US" w:eastAsia="en-US"/>
        </w:rPr>
        <w:t xml:space="preserve"> of the total body surface. </w:t>
      </w:r>
    </w:p>
    <w:p w14:paraId="306937B7" w14:textId="77777777" w:rsidR="00881426" w:rsidRPr="00A521AB" w:rsidRDefault="00881426" w:rsidP="00881426">
      <w:pPr>
        <w:rPr>
          <w:rFonts w:eastAsia="Calibri"/>
          <w:lang w:val="en-US" w:eastAsia="en-US"/>
        </w:rPr>
      </w:pPr>
    </w:p>
    <w:p w14:paraId="4F8B454A" w14:textId="77777777" w:rsidR="00881426" w:rsidRPr="002E1D83" w:rsidRDefault="00881426" w:rsidP="00586AC3">
      <w:pPr>
        <w:pStyle w:val="Titre7"/>
        <w:rPr>
          <w:lang w:val="en-US"/>
        </w:rPr>
      </w:pPr>
      <w:r w:rsidRPr="002E1D83">
        <w:rPr>
          <w:lang w:val="en-US"/>
        </w:rPr>
        <w:t xml:space="preserve">Amount of biocidal product:  </w:t>
      </w:r>
    </w:p>
    <w:p w14:paraId="07D9C6FE" w14:textId="645911EB" w:rsidR="00F10CBA" w:rsidRPr="008A70A8" w:rsidRDefault="00F10CBA" w:rsidP="00F10CBA">
      <w:pPr>
        <w:rPr>
          <w:lang w:val="en-US" w:eastAsia="en-US"/>
        </w:rPr>
      </w:pPr>
      <w:r w:rsidRPr="008A70A8">
        <w:rPr>
          <w:lang w:val="en-US" w:eastAsia="en-US"/>
        </w:rPr>
        <w:t>Following the efficacy assessment for this product, the efficacious application rate is : 0.</w:t>
      </w:r>
      <w:r>
        <w:rPr>
          <w:lang w:val="en-US" w:eastAsia="en-US"/>
        </w:rPr>
        <w:t>001</w:t>
      </w:r>
      <w:r w:rsidRPr="00AC6D45">
        <w:rPr>
          <w:lang w:val="en-US" w:eastAsia="en-US"/>
        </w:rPr>
        <w:t xml:space="preserve"> </w:t>
      </w:r>
      <w:r w:rsidRPr="008A70A8">
        <w:rPr>
          <w:lang w:val="en-US" w:eastAsia="en-US"/>
        </w:rPr>
        <w:t>g</w:t>
      </w:r>
      <w:r>
        <w:rPr>
          <w:lang w:val="en-US" w:eastAsia="en-US"/>
        </w:rPr>
        <w:t xml:space="preserve"> biocidal</w:t>
      </w:r>
      <w:r w:rsidRPr="008A70A8">
        <w:rPr>
          <w:lang w:val="en-US" w:eastAsia="en-US"/>
        </w:rPr>
        <w:t xml:space="preserve"> product/cm² </w:t>
      </w:r>
      <w:r>
        <w:rPr>
          <w:lang w:val="en-US" w:eastAsia="en-US"/>
        </w:rPr>
        <w:t xml:space="preserve">of </w:t>
      </w:r>
      <w:r w:rsidRPr="008A70A8">
        <w:rPr>
          <w:lang w:val="en-US" w:eastAsia="en-US"/>
        </w:rPr>
        <w:t xml:space="preserve">skin </w:t>
      </w:r>
      <w:r w:rsidRPr="00892C32">
        <w:rPr>
          <w:u w:val="single"/>
          <w:lang w:val="en-US" w:eastAsia="en-US"/>
        </w:rPr>
        <w:t>against ticks</w:t>
      </w:r>
      <w:r w:rsidRPr="00892C32">
        <w:rPr>
          <w:lang w:val="en-US" w:eastAsia="en-US"/>
        </w:rPr>
        <w:t xml:space="preserve"> </w:t>
      </w:r>
      <w:r w:rsidRPr="008A70A8">
        <w:rPr>
          <w:lang w:val="en-US" w:eastAsia="en-US"/>
        </w:rPr>
        <w:t>and 0.00</w:t>
      </w:r>
      <w:r>
        <w:rPr>
          <w:lang w:val="en-US" w:eastAsia="en-US"/>
        </w:rPr>
        <w:t>115</w:t>
      </w:r>
      <w:r w:rsidRPr="008A70A8">
        <w:rPr>
          <w:lang w:val="en-US" w:eastAsia="en-US"/>
        </w:rPr>
        <w:t xml:space="preserve"> </w:t>
      </w:r>
      <w:r w:rsidRPr="00E46DE1">
        <w:rPr>
          <w:lang w:val="en-US" w:eastAsia="en-US"/>
        </w:rPr>
        <w:t>g/cm</w:t>
      </w:r>
      <w:r w:rsidRPr="00E46DE1">
        <w:rPr>
          <w:vertAlign w:val="superscript"/>
          <w:lang w:val="en-US" w:eastAsia="en-US"/>
        </w:rPr>
        <w:t>2</w:t>
      </w:r>
      <w:r w:rsidRPr="008A70A8">
        <w:rPr>
          <w:lang w:val="en-US" w:eastAsia="en-US"/>
        </w:rPr>
        <w:t xml:space="preserve"> </w:t>
      </w:r>
      <w:r w:rsidRPr="00892C32">
        <w:rPr>
          <w:u w:val="single"/>
          <w:lang w:val="en-US" w:eastAsia="en-US"/>
        </w:rPr>
        <w:t>against mosquitoes</w:t>
      </w:r>
      <w:r w:rsidRPr="008A70A8">
        <w:rPr>
          <w:lang w:val="en-US" w:eastAsia="en-US"/>
        </w:rPr>
        <w:t>.</w:t>
      </w:r>
    </w:p>
    <w:p w14:paraId="48B3A071" w14:textId="77777777" w:rsidR="00F10CBA" w:rsidRDefault="00F10CBA" w:rsidP="00F10CBA">
      <w:pPr>
        <w:rPr>
          <w:lang w:val="en-US" w:eastAsia="en-US"/>
        </w:rPr>
      </w:pPr>
    </w:p>
    <w:p w14:paraId="5B7F9869" w14:textId="77777777" w:rsidR="00881426" w:rsidRDefault="00881426" w:rsidP="00881426">
      <w:pPr>
        <w:rPr>
          <w:lang w:val="en-US" w:eastAsia="en-US"/>
        </w:rPr>
      </w:pPr>
    </w:p>
    <w:p w14:paraId="4906D3D4" w14:textId="77777777" w:rsidR="00881426" w:rsidRPr="00586AC3" w:rsidRDefault="00881426" w:rsidP="00586AC3">
      <w:pPr>
        <w:pStyle w:val="Titre7"/>
        <w:rPr>
          <w:lang w:val="en-US"/>
        </w:rPr>
      </w:pPr>
      <w:r w:rsidRPr="00586AC3">
        <w:rPr>
          <w:lang w:val="en-US"/>
        </w:rPr>
        <w:t>Number of application per day:</w:t>
      </w:r>
    </w:p>
    <w:p w14:paraId="2F32D0FD" w14:textId="418B5D42" w:rsidR="00A71D04" w:rsidRDefault="00A71D04" w:rsidP="00A71D04">
      <w:pPr>
        <w:rPr>
          <w:lang w:val="en-US" w:eastAsia="en-US"/>
        </w:rPr>
      </w:pPr>
      <w:r>
        <w:rPr>
          <w:lang w:val="en-US" w:eastAsia="en-US"/>
        </w:rPr>
        <w:t>The applicant proposed : “</w:t>
      </w:r>
      <w:r w:rsidRPr="008C1FDE">
        <w:rPr>
          <w:lang w:val="en-US" w:eastAsia="en-US"/>
        </w:rPr>
        <w:t>Insect Repellent Lotion IR3535</w:t>
      </w:r>
      <w:r w:rsidRPr="00892C32">
        <w:rPr>
          <w:vertAlign w:val="superscript"/>
          <w:lang w:val="en-US" w:eastAsia="en-US"/>
        </w:rPr>
        <w:t>®</w:t>
      </w:r>
      <w:r w:rsidRPr="008C1FDE">
        <w:rPr>
          <w:lang w:val="en-US" w:eastAsia="en-US"/>
        </w:rPr>
        <w:t xml:space="preserve"> 10% is intended to be used in Europe in summer when insects are frequent. It is usually applied once a day depending on outdoor activities, weather and presence of insects. The product can be applied (face, hands, arms and legs) up to 7 times per day for adults, up to 4 times for </w:t>
      </w:r>
      <w:r w:rsidRPr="00E46DE1">
        <w:rPr>
          <w:lang w:val="en-US" w:eastAsia="en-US"/>
        </w:rPr>
        <w:t xml:space="preserve">children </w:t>
      </w:r>
      <w:r>
        <w:rPr>
          <w:lang w:val="en-US" w:eastAsia="en-US"/>
        </w:rPr>
        <w:t>&lt;</w:t>
      </w:r>
      <w:r w:rsidRPr="00E46DE1">
        <w:rPr>
          <w:lang w:val="en-US" w:eastAsia="en-US"/>
        </w:rPr>
        <w:t xml:space="preserve"> 10 years</w:t>
      </w:r>
      <w:r w:rsidRPr="008C1FDE">
        <w:rPr>
          <w:lang w:val="en-US" w:eastAsia="en-US"/>
        </w:rPr>
        <w:t xml:space="preserve"> and maximally 2 times per day for smaller children and infants. The frequency must be reduced</w:t>
      </w:r>
      <w:r>
        <w:rPr>
          <w:lang w:val="en-US" w:eastAsia="en-US"/>
        </w:rPr>
        <w:t xml:space="preserve"> if more body parts are treated</w:t>
      </w:r>
      <w:r w:rsidRPr="002708C5">
        <w:rPr>
          <w:lang w:val="en-US" w:eastAsia="en-US"/>
        </w:rPr>
        <w:t>.”</w:t>
      </w:r>
    </w:p>
    <w:p w14:paraId="4B884A4F" w14:textId="38F564CD" w:rsidR="00A71D04" w:rsidRDefault="00A71D04" w:rsidP="00A71D04">
      <w:pPr>
        <w:rPr>
          <w:lang w:val="en-US" w:eastAsia="en-US"/>
        </w:rPr>
      </w:pPr>
      <w:r w:rsidRPr="00892C32">
        <w:rPr>
          <w:lang w:val="en-US" w:eastAsia="en-US"/>
        </w:rPr>
        <w:t>T</w:t>
      </w:r>
      <w:r w:rsidRPr="00A06FFC">
        <w:rPr>
          <w:lang w:val="en-US" w:eastAsia="en-US"/>
        </w:rPr>
        <w:t>he</w:t>
      </w:r>
      <w:r w:rsidRPr="00892C32">
        <w:rPr>
          <w:lang w:val="en-US" w:eastAsia="en-US"/>
        </w:rPr>
        <w:t xml:space="preserve"> age categories proposed in</w:t>
      </w:r>
      <w:r w:rsidRPr="00A06FFC">
        <w:rPr>
          <w:lang w:val="en-US" w:eastAsia="en-US"/>
        </w:rPr>
        <w:t xml:space="preserve"> Recommendation no. 14 of the BPC Ad hoc Working Group on H</w:t>
      </w:r>
      <w:r w:rsidRPr="00892C32">
        <w:rPr>
          <w:lang w:val="en-US" w:eastAsia="en-US"/>
        </w:rPr>
        <w:t xml:space="preserve">uman Exposure were used, this differ from the intended </w:t>
      </w:r>
      <w:r>
        <w:rPr>
          <w:lang w:val="en-US" w:eastAsia="en-US"/>
        </w:rPr>
        <w:t>uses proposed by the applicant.</w:t>
      </w:r>
    </w:p>
    <w:p w14:paraId="66B79734" w14:textId="77777777" w:rsidR="00881426" w:rsidRDefault="00881426" w:rsidP="00881426">
      <w:pPr>
        <w:rPr>
          <w:rFonts w:eastAsia="Calibri"/>
          <w:highlight w:val="yellow"/>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1455"/>
        <w:gridCol w:w="1511"/>
        <w:gridCol w:w="1511"/>
        <w:gridCol w:w="1834"/>
      </w:tblGrid>
      <w:tr w:rsidR="00485970" w:rsidRPr="0014674D" w14:paraId="60DE30D3" w14:textId="77777777" w:rsidTr="00485970">
        <w:trPr>
          <w:trHeight w:val="213"/>
          <w:tblHeader/>
        </w:trPr>
        <w:tc>
          <w:tcPr>
            <w:tcW w:w="5000" w:type="pct"/>
            <w:gridSpan w:val="5"/>
            <w:shd w:val="clear" w:color="auto" w:fill="FFFFCC"/>
          </w:tcPr>
          <w:p w14:paraId="0217A9EA" w14:textId="62E12E2F" w:rsidR="00485970" w:rsidRPr="0014674D" w:rsidRDefault="00485970" w:rsidP="00CB0677">
            <w:pPr>
              <w:pStyle w:val="Standaard-Tabellen"/>
              <w:jc w:val="center"/>
              <w:rPr>
                <w:rFonts w:eastAsia="Calibri"/>
                <w:b/>
              </w:rPr>
            </w:pPr>
            <w:r w:rsidRPr="0014674D">
              <w:rPr>
                <w:rFonts w:eastAsia="Calibri"/>
                <w:b/>
              </w:rPr>
              <w:t>Summary : Amount of product used per application for the different age groups, treated surface and number of application per day</w:t>
            </w:r>
          </w:p>
        </w:tc>
      </w:tr>
      <w:tr w:rsidR="00986D06" w:rsidRPr="0014674D" w14:paraId="395B6AB8" w14:textId="77777777" w:rsidTr="00986D06">
        <w:trPr>
          <w:trHeight w:val="485"/>
          <w:tblHeader/>
        </w:trPr>
        <w:tc>
          <w:tcPr>
            <w:tcW w:w="1642" w:type="pct"/>
            <w:shd w:val="clear" w:color="auto" w:fill="BFBFBF" w:themeFill="background1" w:themeFillShade="BF"/>
            <w:tcMar>
              <w:top w:w="57" w:type="dxa"/>
              <w:bottom w:w="57" w:type="dxa"/>
            </w:tcMar>
          </w:tcPr>
          <w:p w14:paraId="4703FF0C" w14:textId="77777777" w:rsidR="00986D06" w:rsidRPr="0014674D" w:rsidRDefault="00986D06" w:rsidP="00CB0677">
            <w:pPr>
              <w:pStyle w:val="Standaard-Tabellen"/>
              <w:rPr>
                <w:rFonts w:eastAsia="Calibri"/>
                <w:b/>
              </w:rPr>
            </w:pPr>
            <w:bookmarkStart w:id="165" w:name="_Hlk21336270"/>
            <w:r w:rsidRPr="0014674D">
              <w:rPr>
                <w:rFonts w:eastAsia="Calibri"/>
                <w:b/>
              </w:rPr>
              <w:t>Age groups</w:t>
            </w:r>
          </w:p>
        </w:tc>
        <w:tc>
          <w:tcPr>
            <w:tcW w:w="774" w:type="pct"/>
            <w:shd w:val="clear" w:color="auto" w:fill="BFBFBF" w:themeFill="background1" w:themeFillShade="BF"/>
            <w:tcMar>
              <w:top w:w="57" w:type="dxa"/>
              <w:bottom w:w="57" w:type="dxa"/>
            </w:tcMar>
          </w:tcPr>
          <w:p w14:paraId="7F5C4B85" w14:textId="77777777" w:rsidR="00986D06" w:rsidRDefault="00986D06" w:rsidP="00CB0677">
            <w:pPr>
              <w:pStyle w:val="Standaard-Tabellen"/>
              <w:rPr>
                <w:rFonts w:eastAsia="Calibri"/>
                <w:b/>
              </w:rPr>
            </w:pPr>
            <w:r w:rsidRPr="0014674D">
              <w:rPr>
                <w:rFonts w:eastAsia="Calibri"/>
                <w:b/>
              </w:rPr>
              <w:t xml:space="preserve">Amount of </w:t>
            </w:r>
          </w:p>
          <w:p w14:paraId="12CA1731" w14:textId="77777777" w:rsidR="00986D06" w:rsidRDefault="00986D06" w:rsidP="00CB0677">
            <w:pPr>
              <w:pStyle w:val="Standaard-Tabellen"/>
              <w:rPr>
                <w:rFonts w:eastAsia="Calibri"/>
                <w:b/>
              </w:rPr>
            </w:pPr>
            <w:r w:rsidRPr="0014674D">
              <w:rPr>
                <w:rFonts w:eastAsia="Calibri"/>
                <w:b/>
              </w:rPr>
              <w:t xml:space="preserve">product </w:t>
            </w:r>
            <w:r>
              <w:rPr>
                <w:rFonts w:eastAsia="Calibri"/>
                <w:b/>
              </w:rPr>
              <w:t xml:space="preserve">used </w:t>
            </w:r>
          </w:p>
          <w:p w14:paraId="6DE87F9A" w14:textId="77777777" w:rsidR="00986D06" w:rsidRDefault="00986D06" w:rsidP="00CB0677">
            <w:pPr>
              <w:pStyle w:val="Standaard-Tabellen"/>
              <w:rPr>
                <w:rFonts w:eastAsia="Calibri"/>
                <w:b/>
              </w:rPr>
            </w:pPr>
            <w:r>
              <w:rPr>
                <w:rFonts w:eastAsia="Calibri"/>
                <w:b/>
              </w:rPr>
              <w:t>per application</w:t>
            </w:r>
          </w:p>
          <w:p w14:paraId="0EFAB942" w14:textId="40FA1A8A" w:rsidR="00986D06" w:rsidRDefault="00986D06" w:rsidP="00CB0677">
            <w:pPr>
              <w:pStyle w:val="Standaard-Tabellen"/>
              <w:rPr>
                <w:rFonts w:eastAsia="Calibri"/>
                <w:b/>
              </w:rPr>
            </w:pPr>
            <w:r>
              <w:rPr>
                <w:rFonts w:eastAsia="Calibri"/>
                <w:b/>
              </w:rPr>
              <w:t>[</w:t>
            </w:r>
            <w:r w:rsidRPr="0014674D">
              <w:rPr>
                <w:rFonts w:eastAsia="Calibri"/>
                <w:b/>
              </w:rPr>
              <w:t>g</w:t>
            </w:r>
            <w:r>
              <w:rPr>
                <w:rFonts w:eastAsia="Calibri"/>
                <w:b/>
              </w:rPr>
              <w:t>]</w:t>
            </w:r>
          </w:p>
          <w:p w14:paraId="55D8F0C1" w14:textId="77777777" w:rsidR="00986D06" w:rsidRDefault="00986D06" w:rsidP="00CB0677">
            <w:pPr>
              <w:pStyle w:val="Standaard-Tabellen"/>
              <w:rPr>
                <w:rFonts w:eastAsia="Calibri"/>
                <w:b/>
              </w:rPr>
            </w:pPr>
          </w:p>
          <w:p w14:paraId="0B7417C2" w14:textId="72FBA7DA" w:rsidR="00986D06" w:rsidRPr="0014674D" w:rsidRDefault="00986D06" w:rsidP="00CB0677">
            <w:pPr>
              <w:pStyle w:val="Standaard-Tabellen"/>
              <w:rPr>
                <w:rFonts w:eastAsia="Calibri"/>
                <w:b/>
              </w:rPr>
            </w:pPr>
            <w:r>
              <w:rPr>
                <w:rFonts w:eastAsia="Calibri"/>
                <w:b/>
              </w:rPr>
              <w:t>Mosquitoes (1.15 mg/cm²)</w:t>
            </w:r>
          </w:p>
        </w:tc>
        <w:tc>
          <w:tcPr>
            <w:tcW w:w="804" w:type="pct"/>
            <w:shd w:val="clear" w:color="auto" w:fill="BFBFBF" w:themeFill="background1" w:themeFillShade="BF"/>
          </w:tcPr>
          <w:p w14:paraId="7431B675" w14:textId="77777777" w:rsidR="00986D06" w:rsidRDefault="00986D06" w:rsidP="00986D06">
            <w:pPr>
              <w:pStyle w:val="Standaard-Tabellen"/>
              <w:rPr>
                <w:rFonts w:eastAsia="Calibri"/>
                <w:b/>
              </w:rPr>
            </w:pPr>
            <w:r w:rsidRPr="0014674D">
              <w:rPr>
                <w:rFonts w:eastAsia="Calibri"/>
                <w:b/>
              </w:rPr>
              <w:t xml:space="preserve">Amount of </w:t>
            </w:r>
          </w:p>
          <w:p w14:paraId="3231A6B5" w14:textId="77777777" w:rsidR="00986D06" w:rsidRDefault="00986D06" w:rsidP="00986D06">
            <w:pPr>
              <w:pStyle w:val="Standaard-Tabellen"/>
              <w:rPr>
                <w:rFonts w:eastAsia="Calibri"/>
                <w:b/>
              </w:rPr>
            </w:pPr>
            <w:r w:rsidRPr="0014674D">
              <w:rPr>
                <w:rFonts w:eastAsia="Calibri"/>
                <w:b/>
              </w:rPr>
              <w:t xml:space="preserve">product </w:t>
            </w:r>
            <w:r>
              <w:rPr>
                <w:rFonts w:eastAsia="Calibri"/>
                <w:b/>
              </w:rPr>
              <w:t xml:space="preserve">used </w:t>
            </w:r>
          </w:p>
          <w:p w14:paraId="35D53F80" w14:textId="77777777" w:rsidR="00986D06" w:rsidRDefault="00986D06" w:rsidP="00986D06">
            <w:pPr>
              <w:pStyle w:val="Standaard-Tabellen"/>
              <w:rPr>
                <w:rFonts w:eastAsia="Calibri"/>
                <w:b/>
              </w:rPr>
            </w:pPr>
            <w:r>
              <w:rPr>
                <w:rFonts w:eastAsia="Calibri"/>
                <w:b/>
              </w:rPr>
              <w:t>per application</w:t>
            </w:r>
          </w:p>
          <w:p w14:paraId="50F1F1DB" w14:textId="6CBA6858" w:rsidR="00986D06" w:rsidRDefault="00986D06" w:rsidP="00986D06">
            <w:pPr>
              <w:pStyle w:val="Standaard-Tabellen"/>
              <w:rPr>
                <w:rFonts w:eastAsia="Calibri"/>
                <w:b/>
              </w:rPr>
            </w:pPr>
            <w:r>
              <w:rPr>
                <w:rFonts w:eastAsia="Calibri"/>
                <w:b/>
              </w:rPr>
              <w:t>[</w:t>
            </w:r>
            <w:r w:rsidRPr="0014674D">
              <w:rPr>
                <w:rFonts w:eastAsia="Calibri"/>
                <w:b/>
              </w:rPr>
              <w:t>g</w:t>
            </w:r>
            <w:r>
              <w:rPr>
                <w:rFonts w:eastAsia="Calibri"/>
                <w:b/>
              </w:rPr>
              <w:t>]</w:t>
            </w:r>
          </w:p>
          <w:p w14:paraId="4641DEEC" w14:textId="77777777" w:rsidR="00986D06" w:rsidRDefault="00986D06" w:rsidP="00986D06">
            <w:pPr>
              <w:pStyle w:val="Standaard-Tabellen"/>
              <w:rPr>
                <w:rFonts w:eastAsia="Calibri"/>
                <w:b/>
              </w:rPr>
            </w:pPr>
          </w:p>
          <w:p w14:paraId="0EBA00E3" w14:textId="7917A828" w:rsidR="00986D06" w:rsidRPr="0014674D" w:rsidRDefault="00986D06" w:rsidP="00986D06">
            <w:pPr>
              <w:pStyle w:val="Standaard-Tabellen"/>
              <w:rPr>
                <w:rFonts w:eastAsia="Calibri"/>
                <w:b/>
              </w:rPr>
            </w:pPr>
            <w:r>
              <w:rPr>
                <w:rFonts w:eastAsia="Calibri"/>
                <w:b/>
              </w:rPr>
              <w:t>Ticks (1.0 mg/cm²)</w:t>
            </w:r>
          </w:p>
        </w:tc>
        <w:tc>
          <w:tcPr>
            <w:tcW w:w="804" w:type="pct"/>
            <w:shd w:val="clear" w:color="auto" w:fill="BFBFBF" w:themeFill="background1" w:themeFillShade="BF"/>
          </w:tcPr>
          <w:p w14:paraId="7FC014A9" w14:textId="19669049" w:rsidR="00986D06" w:rsidRDefault="00986D06" w:rsidP="00CB0677">
            <w:pPr>
              <w:pStyle w:val="Standaard-Tabellen"/>
              <w:rPr>
                <w:rFonts w:eastAsia="Calibri"/>
                <w:b/>
              </w:rPr>
            </w:pPr>
            <w:r w:rsidRPr="0014674D">
              <w:rPr>
                <w:rFonts w:eastAsia="Calibri"/>
                <w:b/>
              </w:rPr>
              <w:t xml:space="preserve">Treated surface </w:t>
            </w:r>
          </w:p>
          <w:p w14:paraId="06E59787" w14:textId="77777777" w:rsidR="00986D06" w:rsidRPr="0014674D" w:rsidRDefault="00986D06" w:rsidP="00CB0677">
            <w:pPr>
              <w:pStyle w:val="Standaard-Tabellen"/>
              <w:rPr>
                <w:rFonts w:eastAsia="Calibri"/>
                <w:b/>
              </w:rPr>
            </w:pPr>
            <w:r>
              <w:rPr>
                <w:rFonts w:eastAsia="Calibri"/>
                <w:b/>
              </w:rPr>
              <w:t>[</w:t>
            </w:r>
            <w:r w:rsidRPr="0014674D">
              <w:rPr>
                <w:rFonts w:eastAsia="Calibri"/>
                <w:b/>
              </w:rPr>
              <w:t>cm</w:t>
            </w:r>
            <w:r>
              <w:rPr>
                <w:rFonts w:eastAsia="Calibri"/>
                <w:b/>
              </w:rPr>
              <w:t>²]</w:t>
            </w:r>
          </w:p>
        </w:tc>
        <w:tc>
          <w:tcPr>
            <w:tcW w:w="976" w:type="pct"/>
            <w:shd w:val="clear" w:color="auto" w:fill="BFBFBF" w:themeFill="background1" w:themeFillShade="BF"/>
          </w:tcPr>
          <w:p w14:paraId="30F2BA89" w14:textId="7C0DC1D2" w:rsidR="00986D06" w:rsidRDefault="00485970" w:rsidP="00CB0677">
            <w:pPr>
              <w:pStyle w:val="Standaard-Tabellen"/>
              <w:rPr>
                <w:rFonts w:eastAsia="Calibri"/>
                <w:b/>
              </w:rPr>
            </w:pPr>
            <w:r>
              <w:rPr>
                <w:rFonts w:eastAsia="Calibri"/>
                <w:b/>
              </w:rPr>
              <w:t>N</w:t>
            </w:r>
            <w:r w:rsidR="00986D06" w:rsidRPr="0014674D">
              <w:rPr>
                <w:rFonts w:eastAsia="Calibri"/>
                <w:b/>
              </w:rPr>
              <w:t xml:space="preserve">umber of </w:t>
            </w:r>
          </w:p>
          <w:p w14:paraId="6AEADEDA" w14:textId="77777777" w:rsidR="00986D06" w:rsidRDefault="00986D06" w:rsidP="00CB0677">
            <w:pPr>
              <w:pStyle w:val="Standaard-Tabellen"/>
              <w:rPr>
                <w:rFonts w:eastAsia="Calibri"/>
                <w:b/>
              </w:rPr>
            </w:pPr>
            <w:r w:rsidRPr="0014674D">
              <w:rPr>
                <w:rFonts w:eastAsia="Calibri"/>
                <w:b/>
              </w:rPr>
              <w:t>application</w:t>
            </w:r>
            <w:r>
              <w:rPr>
                <w:rFonts w:eastAsia="Calibri"/>
                <w:b/>
              </w:rPr>
              <w:t>s</w:t>
            </w:r>
            <w:r w:rsidRPr="0014674D">
              <w:rPr>
                <w:rFonts w:eastAsia="Calibri"/>
                <w:b/>
              </w:rPr>
              <w:t xml:space="preserve"> </w:t>
            </w:r>
          </w:p>
          <w:p w14:paraId="4F743D2B" w14:textId="1DEED202" w:rsidR="00986D06" w:rsidRPr="00986D06" w:rsidRDefault="00986D06" w:rsidP="00CB0677">
            <w:pPr>
              <w:pStyle w:val="Standaard-Tabellen"/>
              <w:rPr>
                <w:rFonts w:eastAsia="Calibri"/>
                <w:b/>
                <w:vertAlign w:val="superscript"/>
              </w:rPr>
            </w:pPr>
            <w:r w:rsidRPr="0014674D">
              <w:rPr>
                <w:rFonts w:eastAsia="Calibri"/>
                <w:b/>
              </w:rPr>
              <w:t>per day</w:t>
            </w:r>
            <w:r w:rsidR="00485970">
              <w:rPr>
                <w:rFonts w:eastAsia="Calibri"/>
                <w:b/>
                <w:vertAlign w:val="superscript"/>
              </w:rPr>
              <w:t xml:space="preserve"> </w:t>
            </w:r>
            <w:r w:rsidR="00485970">
              <w:rPr>
                <w:rFonts w:eastAsia="Calibri"/>
                <w:b/>
              </w:rPr>
              <w:t xml:space="preserve">(as initially applied by the applicant. These assumptions do not correspond with the outcome of the risk assessment) </w:t>
            </w:r>
          </w:p>
        </w:tc>
      </w:tr>
      <w:tr w:rsidR="00986D06" w:rsidRPr="0014674D" w14:paraId="3EEF837B" w14:textId="77777777" w:rsidTr="00986D06">
        <w:trPr>
          <w:trHeight w:val="239"/>
          <w:tblHeader/>
        </w:trPr>
        <w:tc>
          <w:tcPr>
            <w:tcW w:w="1642" w:type="pct"/>
            <w:tcMar>
              <w:top w:w="57" w:type="dxa"/>
              <w:bottom w:w="57" w:type="dxa"/>
            </w:tcMar>
          </w:tcPr>
          <w:p w14:paraId="0319F55B" w14:textId="77777777" w:rsidR="00986D06" w:rsidRPr="007256EB" w:rsidRDefault="00986D06" w:rsidP="00CB0677">
            <w:pPr>
              <w:pStyle w:val="Standaard-Tabellen"/>
              <w:rPr>
                <w:b/>
              </w:rPr>
            </w:pPr>
            <w:r w:rsidRPr="007256EB">
              <w:rPr>
                <w:b/>
              </w:rPr>
              <w:t xml:space="preserve">ADULT </w:t>
            </w:r>
          </w:p>
          <w:p w14:paraId="15E655BD" w14:textId="77777777" w:rsidR="00986D06" w:rsidRDefault="00986D06" w:rsidP="00CB0677">
            <w:pPr>
              <w:pStyle w:val="Standaard-Tabellen"/>
            </w:pPr>
            <w:r w:rsidRPr="00DD055A">
              <w:t xml:space="preserve">irrespective of gender </w:t>
            </w:r>
          </w:p>
          <w:p w14:paraId="4073F78C" w14:textId="77777777" w:rsidR="00986D06" w:rsidRPr="0014674D" w:rsidRDefault="00986D06" w:rsidP="00CB0677">
            <w:pPr>
              <w:pStyle w:val="Standaard-Tabellen"/>
              <w:rPr>
                <w:rFonts w:eastAsia="Calibri"/>
              </w:rPr>
            </w:pPr>
            <w:r w:rsidRPr="00DD055A">
              <w:t>(based on female 30 to &lt;40 years old)</w:t>
            </w:r>
          </w:p>
        </w:tc>
        <w:tc>
          <w:tcPr>
            <w:tcW w:w="774" w:type="pct"/>
            <w:tcMar>
              <w:top w:w="57" w:type="dxa"/>
              <w:bottom w:w="57" w:type="dxa"/>
            </w:tcMar>
          </w:tcPr>
          <w:p w14:paraId="3BEC9611" w14:textId="77777777" w:rsidR="00986D06" w:rsidRPr="0014674D" w:rsidRDefault="00986D06" w:rsidP="00CB0677">
            <w:pPr>
              <w:pStyle w:val="Standaard-Tabellen"/>
              <w:rPr>
                <w:rFonts w:eastAsia="Calibri"/>
              </w:rPr>
            </w:pPr>
            <w:r>
              <w:rPr>
                <w:rFonts w:cs="Arial"/>
                <w:sz w:val="20"/>
                <w:szCs w:val="20"/>
              </w:rPr>
              <w:t>10.4995</w:t>
            </w:r>
          </w:p>
        </w:tc>
        <w:tc>
          <w:tcPr>
            <w:tcW w:w="804" w:type="pct"/>
          </w:tcPr>
          <w:p w14:paraId="4C888848" w14:textId="4E2E1832" w:rsidR="00986D06" w:rsidRDefault="00986D06" w:rsidP="00CB0677">
            <w:pPr>
              <w:pStyle w:val="Standaard-Tabellen"/>
              <w:rPr>
                <w:rFonts w:eastAsia="Calibri"/>
                <w:sz w:val="20"/>
                <w:szCs w:val="20"/>
              </w:rPr>
            </w:pPr>
            <w:r>
              <w:rPr>
                <w:rFonts w:eastAsia="Calibri"/>
                <w:sz w:val="20"/>
                <w:szCs w:val="20"/>
              </w:rPr>
              <w:t>9.130</w:t>
            </w:r>
          </w:p>
        </w:tc>
        <w:tc>
          <w:tcPr>
            <w:tcW w:w="804" w:type="pct"/>
          </w:tcPr>
          <w:p w14:paraId="7E45ECB4" w14:textId="10C0B911" w:rsidR="00986D06" w:rsidRPr="0014674D" w:rsidRDefault="00986D06" w:rsidP="00CB0677">
            <w:pPr>
              <w:pStyle w:val="Standaard-Tabellen"/>
              <w:rPr>
                <w:rFonts w:eastAsia="Calibri"/>
              </w:rPr>
            </w:pPr>
            <w:r>
              <w:rPr>
                <w:rFonts w:eastAsia="Calibri"/>
                <w:sz w:val="20"/>
                <w:szCs w:val="20"/>
              </w:rPr>
              <w:t>9130</w:t>
            </w:r>
          </w:p>
        </w:tc>
        <w:tc>
          <w:tcPr>
            <w:tcW w:w="976" w:type="pct"/>
          </w:tcPr>
          <w:p w14:paraId="5B96B01F" w14:textId="77777777" w:rsidR="00986D06" w:rsidRPr="0014674D" w:rsidRDefault="00986D06" w:rsidP="00CB0677">
            <w:pPr>
              <w:pStyle w:val="Standaard-Tabellen"/>
            </w:pPr>
            <w:r>
              <w:t>7</w:t>
            </w:r>
            <w:r w:rsidRPr="0014674D">
              <w:t xml:space="preserve"> applications/day</w:t>
            </w:r>
          </w:p>
        </w:tc>
      </w:tr>
      <w:tr w:rsidR="00986D06" w:rsidRPr="0014674D" w14:paraId="120B0BAC" w14:textId="77777777" w:rsidTr="00986D06">
        <w:trPr>
          <w:trHeight w:val="23"/>
          <w:tblHeader/>
        </w:trPr>
        <w:tc>
          <w:tcPr>
            <w:tcW w:w="1642" w:type="pct"/>
            <w:tcMar>
              <w:top w:w="57" w:type="dxa"/>
              <w:bottom w:w="57" w:type="dxa"/>
            </w:tcMar>
          </w:tcPr>
          <w:p w14:paraId="0593E6F2" w14:textId="77777777" w:rsidR="00986D06" w:rsidRDefault="00986D06" w:rsidP="00CB0677">
            <w:pPr>
              <w:pStyle w:val="Standaard-Tabellen"/>
            </w:pPr>
            <w:r w:rsidRPr="007256EB">
              <w:rPr>
                <w:b/>
              </w:rPr>
              <w:t>CHILD</w:t>
            </w:r>
            <w:r w:rsidRPr="00DD055A">
              <w:t xml:space="preserve"> </w:t>
            </w:r>
            <w:r>
              <w:t xml:space="preserve">6 to &lt; 12 years old </w:t>
            </w:r>
            <w:r w:rsidRPr="00DD055A">
              <w:t xml:space="preserve">irrespective of gender </w:t>
            </w:r>
          </w:p>
          <w:p w14:paraId="160F7C8D" w14:textId="77777777" w:rsidR="00986D06" w:rsidRPr="0014674D" w:rsidRDefault="00986D06" w:rsidP="00CB0677">
            <w:pPr>
              <w:pStyle w:val="Standaard-Tabellen"/>
              <w:rPr>
                <w:rFonts w:eastAsia="Calibri"/>
              </w:rPr>
            </w:pPr>
            <w:r w:rsidRPr="00DD055A">
              <w:t>(based on female 6 to &lt;11 years old)</w:t>
            </w:r>
          </w:p>
        </w:tc>
        <w:tc>
          <w:tcPr>
            <w:tcW w:w="774" w:type="pct"/>
            <w:tcMar>
              <w:top w:w="57" w:type="dxa"/>
              <w:bottom w:w="57" w:type="dxa"/>
            </w:tcMar>
          </w:tcPr>
          <w:p w14:paraId="6B29EE42" w14:textId="77777777" w:rsidR="00986D06" w:rsidRPr="0014674D" w:rsidRDefault="00986D06" w:rsidP="00CB0677">
            <w:pPr>
              <w:pStyle w:val="Standaard-Tabellen"/>
              <w:rPr>
                <w:rFonts w:eastAsia="Calibri"/>
              </w:rPr>
            </w:pPr>
            <w:r>
              <w:rPr>
                <w:rFonts w:cs="Arial"/>
                <w:sz w:val="20"/>
                <w:szCs w:val="20"/>
              </w:rPr>
              <w:t>5.819</w:t>
            </w:r>
          </w:p>
        </w:tc>
        <w:tc>
          <w:tcPr>
            <w:tcW w:w="804" w:type="pct"/>
          </w:tcPr>
          <w:p w14:paraId="52C0CE59" w14:textId="79C80AD5" w:rsidR="00986D06" w:rsidRDefault="00986D06" w:rsidP="00CB0677">
            <w:pPr>
              <w:pStyle w:val="Standaard-Tabellen"/>
              <w:rPr>
                <w:rFonts w:eastAsia="Calibri"/>
                <w:sz w:val="20"/>
                <w:szCs w:val="20"/>
              </w:rPr>
            </w:pPr>
            <w:r>
              <w:rPr>
                <w:rFonts w:eastAsia="Calibri"/>
                <w:sz w:val="20"/>
                <w:szCs w:val="20"/>
              </w:rPr>
              <w:t>5.060</w:t>
            </w:r>
          </w:p>
        </w:tc>
        <w:tc>
          <w:tcPr>
            <w:tcW w:w="804" w:type="pct"/>
          </w:tcPr>
          <w:p w14:paraId="42A64D4B" w14:textId="2CE11A75" w:rsidR="00986D06" w:rsidRPr="0014674D" w:rsidRDefault="00986D06" w:rsidP="00CB0677">
            <w:pPr>
              <w:pStyle w:val="Standaard-Tabellen"/>
              <w:rPr>
                <w:rFonts w:eastAsia="Calibri"/>
              </w:rPr>
            </w:pPr>
            <w:r>
              <w:rPr>
                <w:rFonts w:eastAsia="Calibri"/>
                <w:sz w:val="20"/>
                <w:szCs w:val="20"/>
              </w:rPr>
              <w:t>5060</w:t>
            </w:r>
          </w:p>
        </w:tc>
        <w:tc>
          <w:tcPr>
            <w:tcW w:w="976" w:type="pct"/>
          </w:tcPr>
          <w:p w14:paraId="00EFFEB5" w14:textId="77777777" w:rsidR="00986D06" w:rsidRPr="0014674D" w:rsidRDefault="00986D06" w:rsidP="00CB0677">
            <w:pPr>
              <w:pStyle w:val="Standaard-Tabellen"/>
            </w:pPr>
            <w:r>
              <w:t>4</w:t>
            </w:r>
            <w:r w:rsidRPr="0014674D">
              <w:t xml:space="preserve"> applications/day </w:t>
            </w:r>
          </w:p>
        </w:tc>
      </w:tr>
      <w:tr w:rsidR="00986D06" w:rsidRPr="0014674D" w14:paraId="2C1538BE" w14:textId="77777777" w:rsidTr="00986D06">
        <w:trPr>
          <w:trHeight w:val="23"/>
          <w:tblHeader/>
        </w:trPr>
        <w:tc>
          <w:tcPr>
            <w:tcW w:w="1642" w:type="pct"/>
            <w:tcMar>
              <w:top w:w="57" w:type="dxa"/>
              <w:bottom w:w="57" w:type="dxa"/>
            </w:tcMar>
          </w:tcPr>
          <w:p w14:paraId="4CCB7584" w14:textId="77777777" w:rsidR="00986D06" w:rsidRPr="0014674D" w:rsidRDefault="00986D06" w:rsidP="00CB0677">
            <w:pPr>
              <w:pStyle w:val="Standaard-Tabellen"/>
            </w:pPr>
            <w:r w:rsidRPr="007256EB">
              <w:rPr>
                <w:b/>
              </w:rPr>
              <w:t xml:space="preserve">CHILD </w:t>
            </w:r>
            <w:r>
              <w:t>2 to &lt; 6 years old irrespective of gender (based on data from female 2 to &lt;6 years old)</w:t>
            </w:r>
          </w:p>
        </w:tc>
        <w:tc>
          <w:tcPr>
            <w:tcW w:w="774" w:type="pct"/>
            <w:tcMar>
              <w:top w:w="57" w:type="dxa"/>
              <w:bottom w:w="57" w:type="dxa"/>
            </w:tcMar>
          </w:tcPr>
          <w:p w14:paraId="3468187E" w14:textId="77777777" w:rsidR="00986D06" w:rsidRDefault="00986D06" w:rsidP="00CB0677">
            <w:pPr>
              <w:pStyle w:val="Standaard-Tabellen"/>
              <w:rPr>
                <w:rFonts w:cs="Arial"/>
                <w:sz w:val="20"/>
                <w:szCs w:val="20"/>
              </w:rPr>
            </w:pPr>
            <w:r>
              <w:rPr>
                <w:rFonts w:cs="Arial"/>
                <w:sz w:val="20"/>
                <w:szCs w:val="20"/>
              </w:rPr>
              <w:t>4.301</w:t>
            </w:r>
          </w:p>
        </w:tc>
        <w:tc>
          <w:tcPr>
            <w:tcW w:w="804" w:type="pct"/>
          </w:tcPr>
          <w:p w14:paraId="5BA726B7" w14:textId="2C11D324" w:rsidR="00986D06" w:rsidRDefault="00986D06" w:rsidP="00CB0677">
            <w:pPr>
              <w:pStyle w:val="Standaard-Tabellen"/>
              <w:rPr>
                <w:rFonts w:eastAsia="Calibri"/>
                <w:sz w:val="20"/>
                <w:szCs w:val="20"/>
              </w:rPr>
            </w:pPr>
            <w:r>
              <w:rPr>
                <w:rFonts w:eastAsia="Calibri"/>
                <w:sz w:val="20"/>
                <w:szCs w:val="20"/>
              </w:rPr>
              <w:t>3.7404</w:t>
            </w:r>
          </w:p>
        </w:tc>
        <w:tc>
          <w:tcPr>
            <w:tcW w:w="804" w:type="pct"/>
          </w:tcPr>
          <w:p w14:paraId="1880592A" w14:textId="49B90FFD" w:rsidR="00986D06" w:rsidDel="00333CB1" w:rsidRDefault="00986D06" w:rsidP="00CB0677">
            <w:pPr>
              <w:pStyle w:val="Standaard-Tabellen"/>
              <w:rPr>
                <w:rFonts w:eastAsia="Calibri"/>
                <w:sz w:val="20"/>
                <w:szCs w:val="20"/>
              </w:rPr>
            </w:pPr>
            <w:r>
              <w:rPr>
                <w:rFonts w:eastAsia="Calibri"/>
                <w:sz w:val="20"/>
                <w:szCs w:val="20"/>
              </w:rPr>
              <w:t>3740</w:t>
            </w:r>
          </w:p>
        </w:tc>
        <w:tc>
          <w:tcPr>
            <w:tcW w:w="976" w:type="pct"/>
          </w:tcPr>
          <w:p w14:paraId="0EE96D5D" w14:textId="77777777" w:rsidR="00986D06" w:rsidRPr="0014674D" w:rsidRDefault="00986D06" w:rsidP="00CB0677">
            <w:pPr>
              <w:pStyle w:val="Standaard-Tabellen"/>
            </w:pPr>
            <w:r w:rsidRPr="00562D07">
              <w:t>2 applications/day</w:t>
            </w:r>
          </w:p>
        </w:tc>
      </w:tr>
      <w:tr w:rsidR="00986D06" w:rsidRPr="0014674D" w14:paraId="19E60CAB" w14:textId="77777777" w:rsidTr="00986D06">
        <w:trPr>
          <w:trHeight w:val="234"/>
          <w:tblHeader/>
        </w:trPr>
        <w:tc>
          <w:tcPr>
            <w:tcW w:w="1642" w:type="pct"/>
            <w:tcMar>
              <w:top w:w="57" w:type="dxa"/>
              <w:bottom w:w="57" w:type="dxa"/>
            </w:tcMar>
          </w:tcPr>
          <w:p w14:paraId="452E8E17" w14:textId="77777777" w:rsidR="00986D06" w:rsidRPr="007256EB" w:rsidRDefault="00986D06" w:rsidP="00CB0677">
            <w:pPr>
              <w:pStyle w:val="Standaard-Tabellen"/>
              <w:rPr>
                <w:b/>
              </w:rPr>
            </w:pPr>
            <w:r w:rsidRPr="007256EB">
              <w:rPr>
                <w:b/>
              </w:rPr>
              <w:t xml:space="preserve">TODDLER </w:t>
            </w:r>
            <w:r w:rsidRPr="00D54BE7">
              <w:t>1 to &lt;2 years old</w:t>
            </w:r>
          </w:p>
          <w:p w14:paraId="260DE39F" w14:textId="77777777" w:rsidR="00986D06" w:rsidRDefault="00986D06" w:rsidP="00CB0677">
            <w:pPr>
              <w:pStyle w:val="Standaard-Tabellen"/>
            </w:pPr>
            <w:r w:rsidRPr="00DD055A">
              <w:t xml:space="preserve">irrespective of gender </w:t>
            </w:r>
          </w:p>
          <w:p w14:paraId="7DE20760" w14:textId="77777777" w:rsidR="00986D06" w:rsidRPr="0014674D" w:rsidRDefault="00986D06" w:rsidP="00CB0677">
            <w:pPr>
              <w:pStyle w:val="Standaard-Tabellen"/>
              <w:rPr>
                <w:rFonts w:eastAsia="Calibri"/>
              </w:rPr>
            </w:pPr>
            <w:r w:rsidRPr="00DD055A">
              <w:t>(based on female 1 to &lt;2 years old)</w:t>
            </w:r>
          </w:p>
        </w:tc>
        <w:tc>
          <w:tcPr>
            <w:tcW w:w="774" w:type="pct"/>
            <w:tcMar>
              <w:top w:w="57" w:type="dxa"/>
              <w:bottom w:w="57" w:type="dxa"/>
            </w:tcMar>
          </w:tcPr>
          <w:p w14:paraId="6341EC0D" w14:textId="77777777" w:rsidR="00986D06" w:rsidRPr="0014674D" w:rsidRDefault="00986D06" w:rsidP="00CB0677">
            <w:pPr>
              <w:pStyle w:val="Standaard-Tabellen"/>
              <w:rPr>
                <w:rFonts w:eastAsia="Calibri"/>
              </w:rPr>
            </w:pPr>
            <w:r>
              <w:rPr>
                <w:rFonts w:cs="Arial"/>
                <w:sz w:val="20"/>
                <w:szCs w:val="20"/>
              </w:rPr>
              <w:t>3.036</w:t>
            </w:r>
          </w:p>
        </w:tc>
        <w:tc>
          <w:tcPr>
            <w:tcW w:w="804" w:type="pct"/>
          </w:tcPr>
          <w:p w14:paraId="29EDC506" w14:textId="27BCDF87" w:rsidR="00986D06" w:rsidRDefault="00986D06" w:rsidP="00CB0677">
            <w:pPr>
              <w:pStyle w:val="Standaard-Tabellen"/>
              <w:rPr>
                <w:rFonts w:eastAsia="Calibri"/>
                <w:sz w:val="20"/>
                <w:szCs w:val="20"/>
              </w:rPr>
            </w:pPr>
            <w:r>
              <w:rPr>
                <w:rFonts w:eastAsia="Calibri"/>
                <w:sz w:val="20"/>
                <w:szCs w:val="20"/>
              </w:rPr>
              <w:t>2.640</w:t>
            </w:r>
          </w:p>
        </w:tc>
        <w:tc>
          <w:tcPr>
            <w:tcW w:w="804" w:type="pct"/>
          </w:tcPr>
          <w:p w14:paraId="7309AA6D" w14:textId="36851119" w:rsidR="00986D06" w:rsidRPr="0014674D" w:rsidRDefault="00986D06" w:rsidP="00CB0677">
            <w:pPr>
              <w:pStyle w:val="Standaard-Tabellen"/>
              <w:rPr>
                <w:rFonts w:eastAsia="Calibri"/>
              </w:rPr>
            </w:pPr>
            <w:r>
              <w:rPr>
                <w:rFonts w:eastAsia="Calibri"/>
                <w:sz w:val="20"/>
                <w:szCs w:val="20"/>
              </w:rPr>
              <w:t>2640</w:t>
            </w:r>
          </w:p>
        </w:tc>
        <w:tc>
          <w:tcPr>
            <w:tcW w:w="976" w:type="pct"/>
          </w:tcPr>
          <w:p w14:paraId="54DC1387" w14:textId="77777777" w:rsidR="00986D06" w:rsidRPr="0014674D" w:rsidRDefault="00986D06" w:rsidP="00CB0677">
            <w:pPr>
              <w:pStyle w:val="Standaard-Tabellen"/>
            </w:pPr>
            <w:r>
              <w:t>2</w:t>
            </w:r>
            <w:r w:rsidRPr="0014674D">
              <w:t xml:space="preserve"> application/day</w:t>
            </w:r>
          </w:p>
        </w:tc>
      </w:tr>
      <w:tr w:rsidR="00986D06" w:rsidRPr="0014674D" w14:paraId="433FE3B8" w14:textId="77777777" w:rsidTr="00986D06">
        <w:trPr>
          <w:trHeight w:val="27"/>
          <w:tblHeader/>
        </w:trPr>
        <w:tc>
          <w:tcPr>
            <w:tcW w:w="1642" w:type="pct"/>
            <w:tcMar>
              <w:top w:w="57" w:type="dxa"/>
              <w:bottom w:w="57" w:type="dxa"/>
            </w:tcMar>
          </w:tcPr>
          <w:p w14:paraId="2980C1CE" w14:textId="77777777" w:rsidR="00986D06" w:rsidRDefault="00986D06" w:rsidP="00CB0677">
            <w:pPr>
              <w:pStyle w:val="Standaard-Tabellen"/>
            </w:pPr>
            <w:r w:rsidRPr="007256EB">
              <w:rPr>
                <w:b/>
              </w:rPr>
              <w:t>INFANT</w:t>
            </w:r>
            <w:r w:rsidRPr="00DD055A">
              <w:t xml:space="preserve"> </w:t>
            </w:r>
            <w:r w:rsidRPr="00D54BE7">
              <w:t>&lt; 1 year old</w:t>
            </w:r>
          </w:p>
          <w:p w14:paraId="4B97D2D4" w14:textId="77777777" w:rsidR="00986D06" w:rsidRDefault="00986D06" w:rsidP="00CB0677">
            <w:pPr>
              <w:pStyle w:val="Standaard-Tabellen"/>
            </w:pPr>
            <w:r w:rsidRPr="00DD055A">
              <w:t xml:space="preserve">irrespective of gender </w:t>
            </w:r>
          </w:p>
          <w:p w14:paraId="1A7FE470" w14:textId="77777777" w:rsidR="00986D06" w:rsidRPr="0014674D" w:rsidRDefault="00986D06" w:rsidP="00CB0677">
            <w:pPr>
              <w:pStyle w:val="Standaard-Tabellen"/>
              <w:rPr>
                <w:rFonts w:eastAsia="Calibri"/>
              </w:rPr>
            </w:pPr>
            <w:r w:rsidRPr="00DD055A">
              <w:t>(based on female 6 to &lt;12 months old)</w:t>
            </w:r>
          </w:p>
        </w:tc>
        <w:tc>
          <w:tcPr>
            <w:tcW w:w="774" w:type="pct"/>
            <w:tcMar>
              <w:top w:w="57" w:type="dxa"/>
              <w:bottom w:w="57" w:type="dxa"/>
            </w:tcMar>
          </w:tcPr>
          <w:p w14:paraId="376B52DD" w14:textId="77777777" w:rsidR="00986D06" w:rsidRPr="0014674D" w:rsidRDefault="00986D06" w:rsidP="00CB0677">
            <w:pPr>
              <w:pStyle w:val="Standaard-Tabellen"/>
              <w:rPr>
                <w:rFonts w:eastAsia="Calibri"/>
              </w:rPr>
            </w:pPr>
            <w:r>
              <w:rPr>
                <w:rFonts w:cs="Arial"/>
                <w:sz w:val="20"/>
                <w:szCs w:val="20"/>
              </w:rPr>
              <w:t>2.59325</w:t>
            </w:r>
          </w:p>
        </w:tc>
        <w:tc>
          <w:tcPr>
            <w:tcW w:w="804" w:type="pct"/>
          </w:tcPr>
          <w:p w14:paraId="686B387B" w14:textId="3F06E3CC" w:rsidR="00986D06" w:rsidRDefault="00986D06" w:rsidP="00CB0677">
            <w:pPr>
              <w:pStyle w:val="Standaard-Tabellen"/>
              <w:rPr>
                <w:rFonts w:eastAsia="Calibri"/>
                <w:sz w:val="20"/>
                <w:szCs w:val="20"/>
              </w:rPr>
            </w:pPr>
            <w:r>
              <w:rPr>
                <w:rFonts w:eastAsia="Calibri"/>
                <w:sz w:val="20"/>
                <w:szCs w:val="20"/>
              </w:rPr>
              <w:t>2.255</w:t>
            </w:r>
          </w:p>
        </w:tc>
        <w:tc>
          <w:tcPr>
            <w:tcW w:w="804" w:type="pct"/>
          </w:tcPr>
          <w:p w14:paraId="2B56A847" w14:textId="21AC41F6" w:rsidR="00986D06" w:rsidRPr="0014674D" w:rsidRDefault="00986D06" w:rsidP="00CB0677">
            <w:pPr>
              <w:pStyle w:val="Standaard-Tabellen"/>
              <w:rPr>
                <w:rFonts w:eastAsia="Calibri"/>
              </w:rPr>
            </w:pPr>
            <w:r>
              <w:rPr>
                <w:rFonts w:eastAsia="Calibri"/>
                <w:sz w:val="20"/>
                <w:szCs w:val="20"/>
              </w:rPr>
              <w:t>2255</w:t>
            </w:r>
          </w:p>
        </w:tc>
        <w:tc>
          <w:tcPr>
            <w:tcW w:w="976" w:type="pct"/>
          </w:tcPr>
          <w:p w14:paraId="368263EA" w14:textId="77777777" w:rsidR="00986D06" w:rsidRPr="0014674D" w:rsidRDefault="00986D06" w:rsidP="00CB0677">
            <w:pPr>
              <w:pStyle w:val="Standaard-Tabellen"/>
            </w:pPr>
            <w:r>
              <w:t>2</w:t>
            </w:r>
            <w:r w:rsidRPr="0014674D">
              <w:t xml:space="preserve"> application/day</w:t>
            </w:r>
          </w:p>
        </w:tc>
      </w:tr>
      <w:bookmarkEnd w:id="165"/>
    </w:tbl>
    <w:p w14:paraId="5B1BDA37" w14:textId="18A479A3" w:rsidR="00A71D04" w:rsidRPr="001864ED" w:rsidRDefault="00A71D04" w:rsidP="00881426">
      <w:pPr>
        <w:rPr>
          <w:rFonts w:eastAsia="Calibri"/>
          <w:lang w:val="en-US" w:eastAsia="en-US"/>
        </w:rPr>
      </w:pPr>
    </w:p>
    <w:p w14:paraId="769A8326" w14:textId="79E667E6" w:rsidR="001C0C62" w:rsidRPr="001864ED" w:rsidRDefault="00D61F3A" w:rsidP="001C0C62">
      <w:pPr>
        <w:rPr>
          <w:rFonts w:eastAsia="Calibri"/>
          <w:lang w:val="en-US" w:eastAsia="en-US"/>
        </w:rPr>
      </w:pPr>
      <w:r w:rsidRPr="001864ED">
        <w:rPr>
          <w:rFonts w:eastAsia="Calibri"/>
          <w:lang w:val="en-US" w:eastAsia="en-US"/>
        </w:rPr>
        <w:t>Following</w:t>
      </w:r>
      <w:r w:rsidR="001C0C62" w:rsidRPr="001864ED">
        <w:rPr>
          <w:rFonts w:eastAsia="Calibri"/>
          <w:lang w:val="en-US" w:eastAsia="en-US"/>
        </w:rPr>
        <w:t xml:space="preserve"> a</w:t>
      </w:r>
      <w:r w:rsidRPr="001864ED">
        <w:rPr>
          <w:rFonts w:eastAsia="Calibri"/>
          <w:lang w:val="en-US" w:eastAsia="en-US"/>
        </w:rPr>
        <w:t xml:space="preserve"> referral</w:t>
      </w:r>
      <w:r w:rsidR="001C0C62" w:rsidRPr="001864ED">
        <w:rPr>
          <w:rFonts w:eastAsia="Calibri"/>
          <w:lang w:val="en-US" w:eastAsia="en-US"/>
        </w:rPr>
        <w:t xml:space="preserve"> to the coordination group:</w:t>
      </w:r>
      <w:r w:rsidRPr="001864ED">
        <w:rPr>
          <w:rFonts w:eastAsia="Calibri"/>
          <w:lang w:val="en-US" w:eastAsia="en-US"/>
        </w:rPr>
        <w:t xml:space="preserve"> it was </w:t>
      </w:r>
      <w:r w:rsidR="001C0C62" w:rsidRPr="001864ED">
        <w:rPr>
          <w:rFonts w:eastAsia="Calibri"/>
          <w:lang w:val="en-US" w:eastAsia="en-US"/>
        </w:rPr>
        <w:t>agreed by consensus on 16 September 2019</w:t>
      </w:r>
      <w:r w:rsidRPr="001864ED">
        <w:rPr>
          <w:rFonts w:eastAsia="Calibri"/>
          <w:lang w:val="en-US" w:eastAsia="en-US"/>
        </w:rPr>
        <w:t xml:space="preserve"> that </w:t>
      </w:r>
      <w:r w:rsidR="001C0C62" w:rsidRPr="001864ED">
        <w:rPr>
          <w:rFonts w:eastAsia="Calibri"/>
          <w:lang w:val="en-US" w:eastAsia="en-US"/>
        </w:rPr>
        <w:t>the application rate for the non-professional uses will be expressed as ml per application since the product packaging size is expressed in ml.</w:t>
      </w:r>
      <w:r w:rsidRPr="001864ED">
        <w:rPr>
          <w:rFonts w:eastAsia="Calibri"/>
          <w:lang w:val="en-US" w:eastAsia="en-US"/>
        </w:rPr>
        <w:t xml:space="preserve"> Considering the density of the product (d= 1.008), the following application amount are </w:t>
      </w:r>
      <w:r w:rsidR="00705AB5" w:rsidRPr="001864ED">
        <w:rPr>
          <w:rFonts w:eastAsia="Calibri"/>
          <w:lang w:val="en-US" w:eastAsia="en-US"/>
        </w:rPr>
        <w:t>calculated:</w:t>
      </w:r>
      <w:r w:rsidRPr="001864ED">
        <w:rPr>
          <w:rFonts w:eastAsia="Calibri"/>
          <w:lang w:val="en-US" w:eastAsia="en-US"/>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2"/>
        <w:gridCol w:w="2259"/>
        <w:gridCol w:w="2345"/>
      </w:tblGrid>
      <w:tr w:rsidR="00D61F3A" w:rsidRPr="0014674D" w14:paraId="7636CD91" w14:textId="77777777" w:rsidTr="001C0C62">
        <w:trPr>
          <w:trHeight w:val="485"/>
          <w:tblHeader/>
        </w:trPr>
        <w:tc>
          <w:tcPr>
            <w:tcW w:w="1642" w:type="pct"/>
            <w:shd w:val="clear" w:color="auto" w:fill="BFBFBF" w:themeFill="background1" w:themeFillShade="BF"/>
            <w:tcMar>
              <w:top w:w="57" w:type="dxa"/>
              <w:bottom w:w="57" w:type="dxa"/>
            </w:tcMar>
          </w:tcPr>
          <w:p w14:paraId="5E10C100" w14:textId="77777777" w:rsidR="00D61F3A" w:rsidRPr="0014674D" w:rsidRDefault="00D61F3A" w:rsidP="001C0C62">
            <w:pPr>
              <w:pStyle w:val="Standaard-Tabellen"/>
              <w:rPr>
                <w:rFonts w:eastAsia="Calibri"/>
                <w:b/>
              </w:rPr>
            </w:pPr>
            <w:r w:rsidRPr="0014674D">
              <w:rPr>
                <w:rFonts w:eastAsia="Calibri"/>
                <w:b/>
              </w:rPr>
              <w:lastRenderedPageBreak/>
              <w:t>Age groups</w:t>
            </w:r>
          </w:p>
        </w:tc>
        <w:tc>
          <w:tcPr>
            <w:tcW w:w="774" w:type="pct"/>
            <w:shd w:val="clear" w:color="auto" w:fill="BFBFBF" w:themeFill="background1" w:themeFillShade="BF"/>
            <w:tcMar>
              <w:top w:w="57" w:type="dxa"/>
              <w:bottom w:w="57" w:type="dxa"/>
            </w:tcMar>
          </w:tcPr>
          <w:p w14:paraId="43C9000E" w14:textId="77777777" w:rsidR="00D61F3A" w:rsidRDefault="00D61F3A" w:rsidP="001C0C62">
            <w:pPr>
              <w:pStyle w:val="Standaard-Tabellen"/>
              <w:rPr>
                <w:rFonts w:eastAsia="Calibri"/>
                <w:b/>
              </w:rPr>
            </w:pPr>
            <w:r w:rsidRPr="0014674D">
              <w:rPr>
                <w:rFonts w:eastAsia="Calibri"/>
                <w:b/>
              </w:rPr>
              <w:t xml:space="preserve">Amount of </w:t>
            </w:r>
          </w:p>
          <w:p w14:paraId="1113F7E0" w14:textId="77777777" w:rsidR="00D61F3A" w:rsidRDefault="00D61F3A" w:rsidP="001C0C62">
            <w:pPr>
              <w:pStyle w:val="Standaard-Tabellen"/>
              <w:rPr>
                <w:rFonts w:eastAsia="Calibri"/>
                <w:b/>
              </w:rPr>
            </w:pPr>
            <w:r w:rsidRPr="0014674D">
              <w:rPr>
                <w:rFonts w:eastAsia="Calibri"/>
                <w:b/>
              </w:rPr>
              <w:t xml:space="preserve">product </w:t>
            </w:r>
            <w:r>
              <w:rPr>
                <w:rFonts w:eastAsia="Calibri"/>
                <w:b/>
              </w:rPr>
              <w:t xml:space="preserve">used </w:t>
            </w:r>
          </w:p>
          <w:p w14:paraId="4618F73C" w14:textId="77777777" w:rsidR="00D61F3A" w:rsidRDefault="00D61F3A" w:rsidP="001C0C62">
            <w:pPr>
              <w:pStyle w:val="Standaard-Tabellen"/>
              <w:rPr>
                <w:rFonts w:eastAsia="Calibri"/>
                <w:b/>
              </w:rPr>
            </w:pPr>
            <w:r>
              <w:rPr>
                <w:rFonts w:eastAsia="Calibri"/>
                <w:b/>
              </w:rPr>
              <w:t>per application</w:t>
            </w:r>
          </w:p>
          <w:p w14:paraId="46D18EBD" w14:textId="4A91C0B6" w:rsidR="00D61F3A" w:rsidRDefault="00D61F3A" w:rsidP="001C0C62">
            <w:pPr>
              <w:pStyle w:val="Standaard-Tabellen"/>
              <w:rPr>
                <w:rFonts w:eastAsia="Calibri"/>
                <w:b/>
              </w:rPr>
            </w:pPr>
            <w:r>
              <w:rPr>
                <w:rFonts w:eastAsia="Calibri"/>
                <w:b/>
              </w:rPr>
              <w:t>[</w:t>
            </w:r>
            <w:r w:rsidR="009A44D6">
              <w:rPr>
                <w:rFonts w:eastAsia="Calibri"/>
                <w:b/>
              </w:rPr>
              <w:t>mL</w:t>
            </w:r>
            <w:r>
              <w:rPr>
                <w:rFonts w:eastAsia="Calibri"/>
                <w:b/>
              </w:rPr>
              <w:t>]</w:t>
            </w:r>
          </w:p>
          <w:p w14:paraId="705DCF9C" w14:textId="77777777" w:rsidR="00D61F3A" w:rsidRDefault="00D61F3A" w:rsidP="001C0C62">
            <w:pPr>
              <w:pStyle w:val="Standaard-Tabellen"/>
              <w:rPr>
                <w:rFonts w:eastAsia="Calibri"/>
                <w:b/>
              </w:rPr>
            </w:pPr>
          </w:p>
          <w:p w14:paraId="59F2838A" w14:textId="2E295CE1" w:rsidR="00D61F3A" w:rsidRPr="0014674D" w:rsidRDefault="009A44D6" w:rsidP="001C0C62">
            <w:pPr>
              <w:pStyle w:val="Standaard-Tabellen"/>
              <w:rPr>
                <w:rFonts w:eastAsia="Calibri"/>
                <w:b/>
              </w:rPr>
            </w:pPr>
            <w:r>
              <w:rPr>
                <w:rFonts w:eastAsia="Calibri"/>
                <w:b/>
              </w:rPr>
              <w:t xml:space="preserve">Mosquitoes (1.16 </w:t>
            </w:r>
            <w:r w:rsidR="00FC3AF4">
              <w:rPr>
                <w:rFonts w:eastAsia="Calibri"/>
                <w:b/>
              </w:rPr>
              <w:t>µ</w:t>
            </w:r>
            <w:r>
              <w:rPr>
                <w:rFonts w:eastAsia="Calibri"/>
                <w:b/>
              </w:rPr>
              <w:t>L</w:t>
            </w:r>
            <w:r w:rsidR="00D61F3A">
              <w:rPr>
                <w:rFonts w:eastAsia="Calibri"/>
                <w:b/>
              </w:rPr>
              <w:t>/cm²)</w:t>
            </w:r>
          </w:p>
        </w:tc>
        <w:tc>
          <w:tcPr>
            <w:tcW w:w="804" w:type="pct"/>
            <w:shd w:val="clear" w:color="auto" w:fill="BFBFBF" w:themeFill="background1" w:themeFillShade="BF"/>
          </w:tcPr>
          <w:p w14:paraId="47AD2651" w14:textId="77777777" w:rsidR="00D61F3A" w:rsidRDefault="00D61F3A" w:rsidP="001C0C62">
            <w:pPr>
              <w:pStyle w:val="Standaard-Tabellen"/>
              <w:rPr>
                <w:rFonts w:eastAsia="Calibri"/>
                <w:b/>
              </w:rPr>
            </w:pPr>
            <w:r w:rsidRPr="0014674D">
              <w:rPr>
                <w:rFonts w:eastAsia="Calibri"/>
                <w:b/>
              </w:rPr>
              <w:t xml:space="preserve">Amount of </w:t>
            </w:r>
          </w:p>
          <w:p w14:paraId="58A3BB74" w14:textId="77777777" w:rsidR="00D61F3A" w:rsidRDefault="00D61F3A" w:rsidP="001C0C62">
            <w:pPr>
              <w:pStyle w:val="Standaard-Tabellen"/>
              <w:rPr>
                <w:rFonts w:eastAsia="Calibri"/>
                <w:b/>
              </w:rPr>
            </w:pPr>
            <w:r w:rsidRPr="0014674D">
              <w:rPr>
                <w:rFonts w:eastAsia="Calibri"/>
                <w:b/>
              </w:rPr>
              <w:t xml:space="preserve">product </w:t>
            </w:r>
            <w:r>
              <w:rPr>
                <w:rFonts w:eastAsia="Calibri"/>
                <w:b/>
              </w:rPr>
              <w:t xml:space="preserve">used </w:t>
            </w:r>
          </w:p>
          <w:p w14:paraId="1C5B3CAA" w14:textId="77777777" w:rsidR="00D61F3A" w:rsidRDefault="00D61F3A" w:rsidP="001C0C62">
            <w:pPr>
              <w:pStyle w:val="Standaard-Tabellen"/>
              <w:rPr>
                <w:rFonts w:eastAsia="Calibri"/>
                <w:b/>
              </w:rPr>
            </w:pPr>
            <w:r>
              <w:rPr>
                <w:rFonts w:eastAsia="Calibri"/>
                <w:b/>
              </w:rPr>
              <w:t>per application</w:t>
            </w:r>
          </w:p>
          <w:p w14:paraId="73331255" w14:textId="7801B752" w:rsidR="00D61F3A" w:rsidRDefault="00D61F3A" w:rsidP="001C0C62">
            <w:pPr>
              <w:pStyle w:val="Standaard-Tabellen"/>
              <w:rPr>
                <w:rFonts w:eastAsia="Calibri"/>
                <w:b/>
              </w:rPr>
            </w:pPr>
            <w:r>
              <w:rPr>
                <w:rFonts w:eastAsia="Calibri"/>
                <w:b/>
              </w:rPr>
              <w:t>[</w:t>
            </w:r>
            <w:r w:rsidR="009A44D6">
              <w:rPr>
                <w:rFonts w:eastAsia="Calibri"/>
                <w:b/>
              </w:rPr>
              <w:t>mL</w:t>
            </w:r>
            <w:r>
              <w:rPr>
                <w:rFonts w:eastAsia="Calibri"/>
                <w:b/>
              </w:rPr>
              <w:t>]</w:t>
            </w:r>
          </w:p>
          <w:p w14:paraId="09533926" w14:textId="77777777" w:rsidR="00D61F3A" w:rsidRDefault="00D61F3A" w:rsidP="001C0C62">
            <w:pPr>
              <w:pStyle w:val="Standaard-Tabellen"/>
              <w:rPr>
                <w:rFonts w:eastAsia="Calibri"/>
                <w:b/>
              </w:rPr>
            </w:pPr>
          </w:p>
          <w:p w14:paraId="58C41A6E" w14:textId="4B783C4C" w:rsidR="00D61F3A" w:rsidRPr="0014674D" w:rsidRDefault="00D61F3A" w:rsidP="001C0C62">
            <w:pPr>
              <w:pStyle w:val="Standaard-Tabellen"/>
              <w:rPr>
                <w:rFonts w:eastAsia="Calibri"/>
                <w:b/>
              </w:rPr>
            </w:pPr>
            <w:r>
              <w:rPr>
                <w:rFonts w:eastAsia="Calibri"/>
                <w:b/>
              </w:rPr>
              <w:t>Ticks (1.0</w:t>
            </w:r>
            <w:r w:rsidR="009A44D6">
              <w:rPr>
                <w:rFonts w:eastAsia="Calibri"/>
                <w:b/>
              </w:rPr>
              <w:t xml:space="preserve">1 </w:t>
            </w:r>
            <w:r w:rsidR="00FC3AF4">
              <w:rPr>
                <w:rFonts w:eastAsia="Calibri"/>
                <w:b/>
              </w:rPr>
              <w:t>µ</w:t>
            </w:r>
            <w:r w:rsidR="009A44D6">
              <w:rPr>
                <w:rFonts w:eastAsia="Calibri"/>
                <w:b/>
              </w:rPr>
              <w:t>L</w:t>
            </w:r>
            <w:r>
              <w:rPr>
                <w:rFonts w:eastAsia="Calibri"/>
                <w:b/>
              </w:rPr>
              <w:t>/cm²)</w:t>
            </w:r>
          </w:p>
        </w:tc>
      </w:tr>
      <w:tr w:rsidR="00D61F3A" w14:paraId="6EE2BE86" w14:textId="77777777" w:rsidTr="001C0C62">
        <w:trPr>
          <w:trHeight w:val="239"/>
          <w:tblHeader/>
        </w:trPr>
        <w:tc>
          <w:tcPr>
            <w:tcW w:w="1642" w:type="pct"/>
            <w:tcMar>
              <w:top w:w="57" w:type="dxa"/>
              <w:bottom w:w="57" w:type="dxa"/>
            </w:tcMar>
          </w:tcPr>
          <w:p w14:paraId="2F792B30" w14:textId="77777777" w:rsidR="00D61F3A" w:rsidRPr="007256EB" w:rsidRDefault="00D61F3A" w:rsidP="001C0C62">
            <w:pPr>
              <w:pStyle w:val="Standaard-Tabellen"/>
              <w:rPr>
                <w:b/>
              </w:rPr>
            </w:pPr>
            <w:r w:rsidRPr="007256EB">
              <w:rPr>
                <w:b/>
              </w:rPr>
              <w:t xml:space="preserve">ADULT </w:t>
            </w:r>
          </w:p>
          <w:p w14:paraId="567A9F7C" w14:textId="77777777" w:rsidR="00D61F3A" w:rsidRDefault="00D61F3A" w:rsidP="001C0C62">
            <w:pPr>
              <w:pStyle w:val="Standaard-Tabellen"/>
            </w:pPr>
            <w:r w:rsidRPr="00DD055A">
              <w:t xml:space="preserve">irrespective of gender </w:t>
            </w:r>
          </w:p>
          <w:p w14:paraId="39454A17" w14:textId="77777777" w:rsidR="00D61F3A" w:rsidRPr="0014674D" w:rsidRDefault="00D61F3A" w:rsidP="001C0C62">
            <w:pPr>
              <w:pStyle w:val="Standaard-Tabellen"/>
              <w:rPr>
                <w:rFonts w:eastAsia="Calibri"/>
              </w:rPr>
            </w:pPr>
            <w:r w:rsidRPr="00DD055A">
              <w:t>(based on female 30 to &lt;40 years old)</w:t>
            </w:r>
          </w:p>
        </w:tc>
        <w:tc>
          <w:tcPr>
            <w:tcW w:w="774" w:type="pct"/>
            <w:tcMar>
              <w:top w:w="57" w:type="dxa"/>
              <w:bottom w:w="57" w:type="dxa"/>
            </w:tcMar>
          </w:tcPr>
          <w:p w14:paraId="3238195E" w14:textId="2E08FAF0" w:rsidR="00D61F3A" w:rsidRPr="0014674D" w:rsidRDefault="009A44D6" w:rsidP="001C0C62">
            <w:pPr>
              <w:pStyle w:val="Standaard-Tabellen"/>
              <w:rPr>
                <w:rFonts w:eastAsia="Calibri"/>
              </w:rPr>
            </w:pPr>
            <w:r>
              <w:rPr>
                <w:rFonts w:cs="Arial"/>
                <w:sz w:val="20"/>
                <w:szCs w:val="20"/>
              </w:rPr>
              <w:t>10.58</w:t>
            </w:r>
          </w:p>
        </w:tc>
        <w:tc>
          <w:tcPr>
            <w:tcW w:w="804" w:type="pct"/>
          </w:tcPr>
          <w:p w14:paraId="2D31E9CA" w14:textId="72B80C1B" w:rsidR="00D61F3A" w:rsidRDefault="00D61F3A" w:rsidP="001C0C62">
            <w:pPr>
              <w:pStyle w:val="Standaard-Tabellen"/>
              <w:rPr>
                <w:rFonts w:eastAsia="Calibri"/>
                <w:sz w:val="20"/>
                <w:szCs w:val="20"/>
              </w:rPr>
            </w:pPr>
            <w:r>
              <w:rPr>
                <w:rFonts w:eastAsia="Calibri"/>
                <w:sz w:val="20"/>
                <w:szCs w:val="20"/>
              </w:rPr>
              <w:t>9.</w:t>
            </w:r>
            <w:r w:rsidR="009A44D6">
              <w:rPr>
                <w:rFonts w:eastAsia="Calibri"/>
                <w:sz w:val="20"/>
                <w:szCs w:val="20"/>
              </w:rPr>
              <w:t>20</w:t>
            </w:r>
          </w:p>
        </w:tc>
      </w:tr>
      <w:tr w:rsidR="00D61F3A" w14:paraId="6D603D4A" w14:textId="77777777" w:rsidTr="001C0C62">
        <w:trPr>
          <w:trHeight w:val="23"/>
          <w:tblHeader/>
        </w:trPr>
        <w:tc>
          <w:tcPr>
            <w:tcW w:w="1642" w:type="pct"/>
            <w:tcMar>
              <w:top w:w="57" w:type="dxa"/>
              <w:bottom w:w="57" w:type="dxa"/>
            </w:tcMar>
          </w:tcPr>
          <w:p w14:paraId="0BB41A36" w14:textId="77777777" w:rsidR="00D61F3A" w:rsidRDefault="00D61F3A" w:rsidP="001C0C62">
            <w:pPr>
              <w:pStyle w:val="Standaard-Tabellen"/>
            </w:pPr>
            <w:r w:rsidRPr="007256EB">
              <w:rPr>
                <w:b/>
              </w:rPr>
              <w:t>CHILD</w:t>
            </w:r>
            <w:r w:rsidRPr="00DD055A">
              <w:t xml:space="preserve"> </w:t>
            </w:r>
            <w:r>
              <w:t xml:space="preserve">6 to &lt; 12 years old </w:t>
            </w:r>
            <w:r w:rsidRPr="00DD055A">
              <w:t xml:space="preserve">irrespective of gender </w:t>
            </w:r>
          </w:p>
          <w:p w14:paraId="175E4317" w14:textId="77777777" w:rsidR="00D61F3A" w:rsidRPr="0014674D" w:rsidRDefault="00D61F3A" w:rsidP="001C0C62">
            <w:pPr>
              <w:pStyle w:val="Standaard-Tabellen"/>
              <w:rPr>
                <w:rFonts w:eastAsia="Calibri"/>
              </w:rPr>
            </w:pPr>
            <w:r w:rsidRPr="00DD055A">
              <w:t>(based on female 6 to &lt;11 years old)</w:t>
            </w:r>
          </w:p>
        </w:tc>
        <w:tc>
          <w:tcPr>
            <w:tcW w:w="774" w:type="pct"/>
            <w:tcMar>
              <w:top w:w="57" w:type="dxa"/>
              <w:bottom w:w="57" w:type="dxa"/>
            </w:tcMar>
          </w:tcPr>
          <w:p w14:paraId="1640890C" w14:textId="2D57B552" w:rsidR="00D61F3A" w:rsidRPr="0014674D" w:rsidRDefault="009A44D6" w:rsidP="001C0C62">
            <w:pPr>
              <w:pStyle w:val="Standaard-Tabellen"/>
              <w:rPr>
                <w:rFonts w:eastAsia="Calibri"/>
              </w:rPr>
            </w:pPr>
            <w:r>
              <w:rPr>
                <w:rFonts w:cs="Arial"/>
                <w:sz w:val="20"/>
                <w:szCs w:val="20"/>
              </w:rPr>
              <w:t>5.87</w:t>
            </w:r>
          </w:p>
        </w:tc>
        <w:tc>
          <w:tcPr>
            <w:tcW w:w="804" w:type="pct"/>
          </w:tcPr>
          <w:p w14:paraId="44D653F8" w14:textId="2678CBBC" w:rsidR="00D61F3A" w:rsidRDefault="009A44D6" w:rsidP="001C0C62">
            <w:pPr>
              <w:pStyle w:val="Standaard-Tabellen"/>
              <w:rPr>
                <w:rFonts w:eastAsia="Calibri"/>
                <w:sz w:val="20"/>
                <w:szCs w:val="20"/>
              </w:rPr>
            </w:pPr>
            <w:r>
              <w:rPr>
                <w:rFonts w:eastAsia="Calibri"/>
                <w:sz w:val="20"/>
                <w:szCs w:val="20"/>
              </w:rPr>
              <w:t>5.10</w:t>
            </w:r>
          </w:p>
        </w:tc>
      </w:tr>
      <w:tr w:rsidR="00D61F3A" w14:paraId="20B20C44" w14:textId="77777777" w:rsidTr="001C0C62">
        <w:trPr>
          <w:trHeight w:val="23"/>
          <w:tblHeader/>
        </w:trPr>
        <w:tc>
          <w:tcPr>
            <w:tcW w:w="1642" w:type="pct"/>
            <w:tcMar>
              <w:top w:w="57" w:type="dxa"/>
              <w:bottom w:w="57" w:type="dxa"/>
            </w:tcMar>
          </w:tcPr>
          <w:p w14:paraId="201C24D0" w14:textId="77777777" w:rsidR="00D61F3A" w:rsidRPr="0014674D" w:rsidRDefault="00D61F3A" w:rsidP="001C0C62">
            <w:pPr>
              <w:pStyle w:val="Standaard-Tabellen"/>
            </w:pPr>
            <w:r w:rsidRPr="007256EB">
              <w:rPr>
                <w:b/>
              </w:rPr>
              <w:t xml:space="preserve">CHILD </w:t>
            </w:r>
            <w:r>
              <w:t>2 to &lt; 6 years old irrespective of gender (based on data from female 2 to &lt;6 years old)</w:t>
            </w:r>
          </w:p>
        </w:tc>
        <w:tc>
          <w:tcPr>
            <w:tcW w:w="774" w:type="pct"/>
            <w:tcMar>
              <w:top w:w="57" w:type="dxa"/>
              <w:bottom w:w="57" w:type="dxa"/>
            </w:tcMar>
          </w:tcPr>
          <w:p w14:paraId="72BD0CD0" w14:textId="0AD06735" w:rsidR="00D61F3A" w:rsidRDefault="009A44D6" w:rsidP="001C0C62">
            <w:pPr>
              <w:pStyle w:val="Standaard-Tabellen"/>
              <w:rPr>
                <w:rFonts w:cs="Arial"/>
                <w:sz w:val="20"/>
                <w:szCs w:val="20"/>
              </w:rPr>
            </w:pPr>
            <w:r>
              <w:rPr>
                <w:rFonts w:cs="Arial"/>
                <w:sz w:val="20"/>
                <w:szCs w:val="20"/>
              </w:rPr>
              <w:t>4.33</w:t>
            </w:r>
          </w:p>
        </w:tc>
        <w:tc>
          <w:tcPr>
            <w:tcW w:w="804" w:type="pct"/>
          </w:tcPr>
          <w:p w14:paraId="59A16BD1" w14:textId="77BB947C" w:rsidR="00D61F3A" w:rsidRDefault="009A44D6" w:rsidP="001C0C62">
            <w:pPr>
              <w:pStyle w:val="Standaard-Tabellen"/>
              <w:rPr>
                <w:rFonts w:eastAsia="Calibri"/>
                <w:sz w:val="20"/>
                <w:szCs w:val="20"/>
              </w:rPr>
            </w:pPr>
            <w:r>
              <w:rPr>
                <w:rFonts w:eastAsia="Calibri"/>
                <w:sz w:val="20"/>
                <w:szCs w:val="20"/>
              </w:rPr>
              <w:t>3.77</w:t>
            </w:r>
          </w:p>
        </w:tc>
      </w:tr>
      <w:tr w:rsidR="00D61F3A" w14:paraId="6B685879" w14:textId="77777777" w:rsidTr="001C0C62">
        <w:trPr>
          <w:trHeight w:val="234"/>
          <w:tblHeader/>
        </w:trPr>
        <w:tc>
          <w:tcPr>
            <w:tcW w:w="1642" w:type="pct"/>
            <w:tcMar>
              <w:top w:w="57" w:type="dxa"/>
              <w:bottom w:w="57" w:type="dxa"/>
            </w:tcMar>
          </w:tcPr>
          <w:p w14:paraId="698D5049" w14:textId="77777777" w:rsidR="00D61F3A" w:rsidRPr="007256EB" w:rsidRDefault="00D61F3A" w:rsidP="001C0C62">
            <w:pPr>
              <w:pStyle w:val="Standaard-Tabellen"/>
              <w:rPr>
                <w:b/>
              </w:rPr>
            </w:pPr>
            <w:r w:rsidRPr="007256EB">
              <w:rPr>
                <w:b/>
              </w:rPr>
              <w:t xml:space="preserve">TODDLER </w:t>
            </w:r>
            <w:r w:rsidRPr="00D54BE7">
              <w:t>1 to &lt;2 years old</w:t>
            </w:r>
          </w:p>
          <w:p w14:paraId="6D4DFA93" w14:textId="77777777" w:rsidR="00D61F3A" w:rsidRDefault="00D61F3A" w:rsidP="001C0C62">
            <w:pPr>
              <w:pStyle w:val="Standaard-Tabellen"/>
            </w:pPr>
            <w:r w:rsidRPr="00DD055A">
              <w:t xml:space="preserve">irrespective of gender </w:t>
            </w:r>
          </w:p>
          <w:p w14:paraId="6392D57B" w14:textId="77777777" w:rsidR="00D61F3A" w:rsidRPr="0014674D" w:rsidRDefault="00D61F3A" w:rsidP="001C0C62">
            <w:pPr>
              <w:pStyle w:val="Standaard-Tabellen"/>
              <w:rPr>
                <w:rFonts w:eastAsia="Calibri"/>
              </w:rPr>
            </w:pPr>
            <w:r w:rsidRPr="00DD055A">
              <w:t>(based on female 1 to &lt;2 years old)</w:t>
            </w:r>
          </w:p>
        </w:tc>
        <w:tc>
          <w:tcPr>
            <w:tcW w:w="774" w:type="pct"/>
            <w:tcMar>
              <w:top w:w="57" w:type="dxa"/>
              <w:bottom w:w="57" w:type="dxa"/>
            </w:tcMar>
          </w:tcPr>
          <w:p w14:paraId="1314C819" w14:textId="37472C9A" w:rsidR="00D61F3A" w:rsidRPr="0014674D" w:rsidRDefault="009A44D6" w:rsidP="001C0C62">
            <w:pPr>
              <w:pStyle w:val="Standaard-Tabellen"/>
              <w:rPr>
                <w:rFonts w:eastAsia="Calibri"/>
              </w:rPr>
            </w:pPr>
            <w:r>
              <w:rPr>
                <w:rFonts w:cs="Arial"/>
                <w:sz w:val="20"/>
                <w:szCs w:val="20"/>
              </w:rPr>
              <w:t>3.0</w:t>
            </w:r>
            <w:r w:rsidR="00D61F3A">
              <w:rPr>
                <w:rFonts w:cs="Arial"/>
                <w:sz w:val="20"/>
                <w:szCs w:val="20"/>
              </w:rPr>
              <w:t>6</w:t>
            </w:r>
          </w:p>
        </w:tc>
        <w:tc>
          <w:tcPr>
            <w:tcW w:w="804" w:type="pct"/>
          </w:tcPr>
          <w:p w14:paraId="1F4D1697" w14:textId="2290677E" w:rsidR="00D61F3A" w:rsidRDefault="009A44D6" w:rsidP="001C0C62">
            <w:pPr>
              <w:pStyle w:val="Standaard-Tabellen"/>
              <w:rPr>
                <w:rFonts w:eastAsia="Calibri"/>
                <w:sz w:val="20"/>
                <w:szCs w:val="20"/>
              </w:rPr>
            </w:pPr>
            <w:r>
              <w:rPr>
                <w:rFonts w:eastAsia="Calibri"/>
                <w:sz w:val="20"/>
                <w:szCs w:val="20"/>
              </w:rPr>
              <w:t>2.66</w:t>
            </w:r>
          </w:p>
        </w:tc>
      </w:tr>
      <w:tr w:rsidR="00D61F3A" w14:paraId="5AB6AF36" w14:textId="77777777" w:rsidTr="001C0C62">
        <w:trPr>
          <w:trHeight w:val="27"/>
          <w:tblHeader/>
        </w:trPr>
        <w:tc>
          <w:tcPr>
            <w:tcW w:w="1642" w:type="pct"/>
            <w:tcMar>
              <w:top w:w="57" w:type="dxa"/>
              <w:bottom w:w="57" w:type="dxa"/>
            </w:tcMar>
          </w:tcPr>
          <w:p w14:paraId="1D170DF3" w14:textId="77777777" w:rsidR="00D61F3A" w:rsidRDefault="00D61F3A" w:rsidP="001C0C62">
            <w:pPr>
              <w:pStyle w:val="Standaard-Tabellen"/>
            </w:pPr>
            <w:r w:rsidRPr="007256EB">
              <w:rPr>
                <w:b/>
              </w:rPr>
              <w:t>INFANT</w:t>
            </w:r>
            <w:r w:rsidRPr="00DD055A">
              <w:t xml:space="preserve"> </w:t>
            </w:r>
            <w:r w:rsidRPr="00D54BE7">
              <w:t>&lt; 1 year old</w:t>
            </w:r>
          </w:p>
          <w:p w14:paraId="187EDDA6" w14:textId="77777777" w:rsidR="00D61F3A" w:rsidRDefault="00D61F3A" w:rsidP="001C0C62">
            <w:pPr>
              <w:pStyle w:val="Standaard-Tabellen"/>
            </w:pPr>
            <w:r w:rsidRPr="00DD055A">
              <w:t xml:space="preserve">irrespective of gender </w:t>
            </w:r>
          </w:p>
          <w:p w14:paraId="5609EFE3" w14:textId="77777777" w:rsidR="00D61F3A" w:rsidRPr="0014674D" w:rsidRDefault="00D61F3A" w:rsidP="001C0C62">
            <w:pPr>
              <w:pStyle w:val="Standaard-Tabellen"/>
              <w:rPr>
                <w:rFonts w:eastAsia="Calibri"/>
              </w:rPr>
            </w:pPr>
            <w:r w:rsidRPr="00DD055A">
              <w:t>(based on female 6 to &lt;12 months old)</w:t>
            </w:r>
          </w:p>
        </w:tc>
        <w:tc>
          <w:tcPr>
            <w:tcW w:w="774" w:type="pct"/>
            <w:tcMar>
              <w:top w:w="57" w:type="dxa"/>
              <w:bottom w:w="57" w:type="dxa"/>
            </w:tcMar>
          </w:tcPr>
          <w:p w14:paraId="5644B559" w14:textId="6AE072DD" w:rsidR="00D61F3A" w:rsidRPr="0014674D" w:rsidRDefault="009A44D6" w:rsidP="001C0C62">
            <w:pPr>
              <w:pStyle w:val="Standaard-Tabellen"/>
              <w:rPr>
                <w:rFonts w:eastAsia="Calibri"/>
              </w:rPr>
            </w:pPr>
            <w:r>
              <w:rPr>
                <w:rFonts w:cs="Arial"/>
                <w:sz w:val="20"/>
                <w:szCs w:val="20"/>
              </w:rPr>
              <w:t>2.61</w:t>
            </w:r>
          </w:p>
        </w:tc>
        <w:tc>
          <w:tcPr>
            <w:tcW w:w="804" w:type="pct"/>
          </w:tcPr>
          <w:p w14:paraId="24EE0807" w14:textId="47281468" w:rsidR="00D61F3A" w:rsidRDefault="009A44D6" w:rsidP="001C0C62">
            <w:pPr>
              <w:pStyle w:val="Standaard-Tabellen"/>
              <w:rPr>
                <w:rFonts w:eastAsia="Calibri"/>
                <w:sz w:val="20"/>
                <w:szCs w:val="20"/>
              </w:rPr>
            </w:pPr>
            <w:r>
              <w:rPr>
                <w:rFonts w:eastAsia="Calibri"/>
                <w:sz w:val="20"/>
                <w:szCs w:val="20"/>
              </w:rPr>
              <w:t>2.27</w:t>
            </w:r>
          </w:p>
        </w:tc>
      </w:tr>
    </w:tbl>
    <w:p w14:paraId="3BFA1383" w14:textId="77777777" w:rsidR="00D61F3A" w:rsidRDefault="00D61F3A" w:rsidP="00881426">
      <w:pPr>
        <w:rPr>
          <w:rFonts w:eastAsia="Calibri"/>
          <w:highlight w:val="yellow"/>
          <w:lang w:val="en-US" w:eastAsia="en-US"/>
        </w:rPr>
      </w:pPr>
    </w:p>
    <w:p w14:paraId="561705B0" w14:textId="77777777" w:rsidR="00881426" w:rsidRPr="002E1D83" w:rsidRDefault="00881426" w:rsidP="00586AC3">
      <w:pPr>
        <w:pStyle w:val="Titre6"/>
        <w:rPr>
          <w:lang w:val="en-US"/>
        </w:rPr>
      </w:pPr>
      <w:r w:rsidRPr="002E1D83">
        <w:rPr>
          <w:lang w:val="en-US"/>
        </w:rPr>
        <w:t xml:space="preserve">Dermal, </w:t>
      </w:r>
      <w:proofErr w:type="spellStart"/>
      <w:r w:rsidRPr="002E1D83">
        <w:rPr>
          <w:lang w:val="en-US"/>
        </w:rPr>
        <w:t>inhalatory</w:t>
      </w:r>
      <w:proofErr w:type="spellEnd"/>
      <w:r w:rsidRPr="002E1D83">
        <w:rPr>
          <w:lang w:val="en-US"/>
        </w:rPr>
        <w:t xml:space="preserve"> and oral absorption:  </w:t>
      </w:r>
    </w:p>
    <w:p w14:paraId="4C4206F4" w14:textId="77777777" w:rsidR="00881426" w:rsidRPr="00586AC3" w:rsidRDefault="00881426" w:rsidP="00D63FA7">
      <w:pPr>
        <w:pStyle w:val="Paragraphedeliste"/>
        <w:numPr>
          <w:ilvl w:val="0"/>
          <w:numId w:val="15"/>
        </w:numPr>
        <w:rPr>
          <w:lang w:val="en-US" w:eastAsia="en-US"/>
        </w:rPr>
      </w:pPr>
      <w:proofErr w:type="spellStart"/>
      <w:r w:rsidRPr="00586AC3">
        <w:rPr>
          <w:lang w:val="en-US" w:eastAsia="en-US"/>
        </w:rPr>
        <w:t>Inhalatory</w:t>
      </w:r>
      <w:proofErr w:type="spellEnd"/>
      <w:r w:rsidRPr="00586AC3">
        <w:rPr>
          <w:lang w:val="en-US" w:eastAsia="en-US"/>
        </w:rPr>
        <w:t xml:space="preserve"> absorption : 100 % </w:t>
      </w:r>
    </w:p>
    <w:p w14:paraId="1C11AC90" w14:textId="77777777" w:rsidR="00881426" w:rsidRPr="00586AC3" w:rsidRDefault="00881426" w:rsidP="00D63FA7">
      <w:pPr>
        <w:pStyle w:val="Paragraphedeliste"/>
        <w:numPr>
          <w:ilvl w:val="0"/>
          <w:numId w:val="15"/>
        </w:numPr>
        <w:rPr>
          <w:lang w:val="en-US" w:eastAsia="en-US"/>
        </w:rPr>
      </w:pPr>
      <w:r w:rsidRPr="00586AC3">
        <w:rPr>
          <w:lang w:val="en-US" w:eastAsia="en-US"/>
        </w:rPr>
        <w:t xml:space="preserve">Dermal absorption : 14 % </w:t>
      </w:r>
    </w:p>
    <w:p w14:paraId="6D15D5B2" w14:textId="77777777" w:rsidR="00881426" w:rsidRDefault="00881426" w:rsidP="00D63FA7">
      <w:pPr>
        <w:pStyle w:val="Paragraphedeliste"/>
        <w:numPr>
          <w:ilvl w:val="0"/>
          <w:numId w:val="15"/>
        </w:numPr>
        <w:rPr>
          <w:lang w:val="en-US" w:eastAsia="en-US"/>
        </w:rPr>
      </w:pPr>
      <w:r w:rsidRPr="00586AC3">
        <w:rPr>
          <w:lang w:val="en-US" w:eastAsia="en-US"/>
        </w:rPr>
        <w:t xml:space="preserve">Oral absorption : 100 % </w:t>
      </w:r>
    </w:p>
    <w:p w14:paraId="79B3EF25" w14:textId="77777777" w:rsidR="00586AC3" w:rsidRDefault="00586AC3">
      <w:pPr>
        <w:spacing w:before="0" w:after="160" w:line="259" w:lineRule="auto"/>
        <w:rPr>
          <w:lang w:val="en-US" w:eastAsia="en-US"/>
        </w:rPr>
      </w:pPr>
      <w:r>
        <w:rPr>
          <w:lang w:val="en-US" w:eastAsia="en-US"/>
        </w:rPr>
        <w:br w:type="page"/>
      </w:r>
    </w:p>
    <w:p w14:paraId="06EA446C" w14:textId="77777777" w:rsidR="00586AC3" w:rsidRPr="00FD2055" w:rsidRDefault="00586AC3" w:rsidP="007E5F71">
      <w:pPr>
        <w:pStyle w:val="Titre5"/>
        <w:numPr>
          <w:ilvl w:val="0"/>
          <w:numId w:val="3"/>
        </w:numPr>
      </w:pPr>
      <w:bookmarkStart w:id="166" w:name="_Toc462646723"/>
      <w:bookmarkStart w:id="167" w:name="_Toc12967163"/>
      <w:r w:rsidRPr="00FD2055">
        <w:lastRenderedPageBreak/>
        <w:t>List of scenarios</w:t>
      </w:r>
      <w:bookmarkEnd w:id="166"/>
      <w:bookmarkEnd w:id="167"/>
    </w:p>
    <w:bookmarkEnd w:id="158"/>
    <w:bookmarkEnd w:id="159"/>
    <w:bookmarkEnd w:id="160"/>
    <w:bookmarkEnd w:id="161"/>
    <w:bookmarkEnd w:id="162"/>
    <w:bookmarkEnd w:id="163"/>
    <w:p w14:paraId="0F5A02E3" w14:textId="77777777" w:rsidR="00A71D04" w:rsidRPr="00A06FFC" w:rsidRDefault="00A71D04" w:rsidP="00A71D04">
      <w:pPr>
        <w:rPr>
          <w:rFonts w:eastAsia="Calibri"/>
          <w:lang w:eastAsia="en-US"/>
        </w:rPr>
      </w:pPr>
      <w:r w:rsidRPr="00A06FFC">
        <w:rPr>
          <w:rFonts w:eastAsia="Calibri"/>
          <w:lang w:eastAsia="en-US"/>
        </w:rPr>
        <w:t>Insect Repellent Lotion IR3535</w:t>
      </w:r>
      <w:r w:rsidRPr="00A06FFC">
        <w:rPr>
          <w:rFonts w:eastAsia="Calibri"/>
          <w:vertAlign w:val="superscript"/>
          <w:lang w:eastAsia="en-US"/>
        </w:rPr>
        <w:t>®</w:t>
      </w:r>
      <w:r w:rsidRPr="00A06FFC">
        <w:rPr>
          <w:rFonts w:eastAsia="Calibri"/>
          <w:lang w:eastAsia="en-US"/>
        </w:rPr>
        <w:t xml:space="preserve"> 10 % is used by the general public. The primary route of exposure is dermal.</w:t>
      </w:r>
    </w:p>
    <w:p w14:paraId="0B2D83DA" w14:textId="77777777" w:rsidR="00A71D04" w:rsidRPr="00A06FFC" w:rsidRDefault="00A71D04" w:rsidP="00A71D04">
      <w:pPr>
        <w:rPr>
          <w:rFonts w:eastAsia="Calibri"/>
          <w:lang w:eastAsia="en-US"/>
        </w:rPr>
      </w:pPr>
      <w:r w:rsidRPr="00A06FFC">
        <w:rPr>
          <w:rFonts w:eastAsia="Calibri"/>
          <w:lang w:eastAsia="en-US"/>
        </w:rPr>
        <w:t>Oral exposure by hand-to-mouth transfer is not considered to be a significant route of primary exposure, because of the repellent taste (bad palatability) of the active substance, thus, preventing repeated mouthing of IR3535</w:t>
      </w:r>
      <w:r w:rsidRPr="00A06FFC">
        <w:rPr>
          <w:rFonts w:eastAsia="Calibri"/>
          <w:vertAlign w:val="superscript"/>
          <w:lang w:eastAsia="en-US"/>
        </w:rPr>
        <w:t>®</w:t>
      </w:r>
      <w:r w:rsidRPr="00A06FFC">
        <w:rPr>
          <w:rFonts w:eastAsia="Calibri"/>
          <w:lang w:eastAsia="en-US"/>
        </w:rPr>
        <w:t xml:space="preserve"> by children and infants. Furthermore, the biocidal product is not intended to be applied on hands of children which excludes an oral uptake of the dermally applied active substance.</w:t>
      </w:r>
    </w:p>
    <w:p w14:paraId="6C27FD50" w14:textId="77777777" w:rsidR="00A71D04" w:rsidRPr="00A06FFC" w:rsidRDefault="00A71D04" w:rsidP="00A71D04">
      <w:pPr>
        <w:rPr>
          <w:rFonts w:eastAsia="Calibri"/>
          <w:lang w:eastAsia="en-US"/>
        </w:rPr>
      </w:pPr>
      <w:r w:rsidRPr="00A06FFC">
        <w:rPr>
          <w:rFonts w:eastAsia="Calibri"/>
          <w:lang w:eastAsia="en-US"/>
        </w:rPr>
        <w:t>Dermal secondary exposure is possible for adults treating or handling children. However, this scenario is fully covered by primary adult dermal exposure.</w:t>
      </w:r>
    </w:p>
    <w:p w14:paraId="552DCBF7" w14:textId="77777777" w:rsidR="00A71D04" w:rsidRPr="00A06FFC" w:rsidRDefault="00A71D04" w:rsidP="00A71D04">
      <w:pPr>
        <w:rPr>
          <w:rFonts w:eastAsia="Calibri"/>
          <w:lang w:eastAsia="en-US"/>
        </w:rPr>
      </w:pPr>
      <w:r w:rsidRPr="00A06FFC">
        <w:rPr>
          <w:rFonts w:eastAsia="Calibri"/>
          <w:lang w:eastAsia="en-US"/>
        </w:rPr>
        <w:t>Hand to mouth transfer has been developed consistently with the DEET dossier.</w:t>
      </w:r>
    </w:p>
    <w:p w14:paraId="58F69DC4" w14:textId="77777777" w:rsidR="00A71D04" w:rsidRDefault="00A71D04" w:rsidP="00A71D04">
      <w:pPr>
        <w:rPr>
          <w:rFonts w:eastAsia="Calibri"/>
          <w:lang w:eastAsia="en-US"/>
        </w:rPr>
      </w:pPr>
      <w:r w:rsidRPr="00A06FFC">
        <w:rPr>
          <w:rFonts w:eastAsia="Calibri"/>
          <w:lang w:eastAsia="en-US"/>
        </w:rPr>
        <w:t xml:space="preserve">Inhalation of volatilized residues after application is relevant. The exposure to volatilised residues indoors was calculated </w:t>
      </w:r>
      <w:r w:rsidRPr="00892C32">
        <w:rPr>
          <w:rFonts w:eastAsia="Calibri"/>
          <w:lang w:eastAsia="en-US"/>
        </w:rPr>
        <w:t xml:space="preserve">with </w:t>
      </w:r>
      <w:proofErr w:type="spellStart"/>
      <w:r w:rsidRPr="00892C32">
        <w:rPr>
          <w:rFonts w:eastAsia="Calibri"/>
          <w:lang w:eastAsia="en-US"/>
        </w:rPr>
        <w:t>ConsExpo</w:t>
      </w:r>
      <w:proofErr w:type="spellEnd"/>
      <w:r w:rsidRPr="00A06FFC">
        <w:rPr>
          <w:rFonts w:eastAsia="Calibri"/>
          <w:lang w:eastAsia="en-US"/>
        </w:rPr>
        <w:t>.</w:t>
      </w:r>
    </w:p>
    <w:p w14:paraId="6F5CE334" w14:textId="77777777" w:rsidR="00881426" w:rsidRPr="00FD2055" w:rsidRDefault="00881426" w:rsidP="00881426">
      <w:pPr>
        <w:rPr>
          <w:rFonts w:eastAsia="Calibri"/>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2"/>
        <w:gridCol w:w="1139"/>
        <w:gridCol w:w="5521"/>
        <w:gridCol w:w="1684"/>
      </w:tblGrid>
      <w:tr w:rsidR="00881426" w:rsidRPr="006F2452" w14:paraId="65B601F3" w14:textId="77777777" w:rsidTr="00BE71A6">
        <w:trPr>
          <w:tblHeader/>
        </w:trPr>
        <w:tc>
          <w:tcPr>
            <w:tcW w:w="5000" w:type="pct"/>
            <w:gridSpan w:val="4"/>
            <w:shd w:val="clear" w:color="auto" w:fill="FFFFCC"/>
          </w:tcPr>
          <w:p w14:paraId="59853102" w14:textId="77777777" w:rsidR="00881426" w:rsidRPr="006F2452" w:rsidRDefault="00881426" w:rsidP="00BE71A6">
            <w:pPr>
              <w:pStyle w:val="Standaard-Tabellen"/>
              <w:jc w:val="center"/>
              <w:rPr>
                <w:rFonts w:eastAsia="Calibri"/>
                <w:b/>
              </w:rPr>
            </w:pPr>
            <w:r w:rsidRPr="006F2452">
              <w:rPr>
                <w:rFonts w:eastAsia="Calibri"/>
                <w:b/>
              </w:rPr>
              <w:t>Summary table: scenarios</w:t>
            </w:r>
          </w:p>
        </w:tc>
      </w:tr>
      <w:tr w:rsidR="00881426" w:rsidRPr="006F2452" w14:paraId="705CF400" w14:textId="77777777" w:rsidTr="00BE71A6">
        <w:trPr>
          <w:tblHeader/>
        </w:trPr>
        <w:tc>
          <w:tcPr>
            <w:tcW w:w="560" w:type="pct"/>
            <w:shd w:val="clear" w:color="auto" w:fill="BFBFBF" w:themeFill="background1" w:themeFillShade="BF"/>
            <w:tcMar>
              <w:top w:w="57" w:type="dxa"/>
              <w:bottom w:w="57" w:type="dxa"/>
            </w:tcMar>
          </w:tcPr>
          <w:p w14:paraId="1275BA85" w14:textId="77777777" w:rsidR="00881426" w:rsidRPr="006F2452" w:rsidRDefault="00881426" w:rsidP="00BE71A6">
            <w:pPr>
              <w:pStyle w:val="Standaard-Tabellen"/>
              <w:rPr>
                <w:rFonts w:eastAsia="Calibri"/>
                <w:b/>
              </w:rPr>
            </w:pPr>
            <w:r w:rsidRPr="006F2452">
              <w:rPr>
                <w:rFonts w:eastAsia="Calibri"/>
                <w:b/>
              </w:rPr>
              <w:t>Scenario number</w:t>
            </w:r>
          </w:p>
        </w:tc>
        <w:tc>
          <w:tcPr>
            <w:tcW w:w="606" w:type="pct"/>
            <w:shd w:val="clear" w:color="auto" w:fill="BFBFBF" w:themeFill="background1" w:themeFillShade="BF"/>
            <w:tcMar>
              <w:top w:w="57" w:type="dxa"/>
              <w:bottom w:w="57" w:type="dxa"/>
            </w:tcMar>
          </w:tcPr>
          <w:p w14:paraId="498141BB" w14:textId="77777777" w:rsidR="00881426" w:rsidRPr="006F2452" w:rsidRDefault="00881426" w:rsidP="00BE71A6">
            <w:pPr>
              <w:pStyle w:val="Standaard-Tabellen"/>
              <w:rPr>
                <w:rFonts w:eastAsia="Calibri"/>
                <w:b/>
              </w:rPr>
            </w:pPr>
            <w:r w:rsidRPr="006F2452">
              <w:rPr>
                <w:rFonts w:eastAsia="Calibri"/>
                <w:b/>
              </w:rPr>
              <w:t>Scenario</w:t>
            </w:r>
          </w:p>
          <w:p w14:paraId="7EC36C5C" w14:textId="77777777" w:rsidR="00881426" w:rsidRPr="006F2452" w:rsidRDefault="00881426" w:rsidP="00BE71A6">
            <w:pPr>
              <w:pStyle w:val="Standaard-Tabellen"/>
              <w:rPr>
                <w:rFonts w:eastAsia="Calibri"/>
              </w:rPr>
            </w:pPr>
            <w:r w:rsidRPr="006F2452">
              <w:rPr>
                <w:rFonts w:eastAsia="Calibri"/>
              </w:rPr>
              <w:t>(e.g. mixing/ loading)</w:t>
            </w:r>
          </w:p>
        </w:tc>
        <w:tc>
          <w:tcPr>
            <w:tcW w:w="2938" w:type="pct"/>
            <w:shd w:val="clear" w:color="auto" w:fill="BFBFBF" w:themeFill="background1" w:themeFillShade="BF"/>
            <w:tcMar>
              <w:top w:w="57" w:type="dxa"/>
              <w:bottom w:w="57" w:type="dxa"/>
            </w:tcMar>
          </w:tcPr>
          <w:p w14:paraId="2A2105ED" w14:textId="77777777" w:rsidR="00881426" w:rsidRPr="006F2452" w:rsidRDefault="00881426" w:rsidP="00BE71A6">
            <w:pPr>
              <w:pStyle w:val="Standaard-Tabellen"/>
              <w:rPr>
                <w:rFonts w:eastAsia="Calibri"/>
                <w:b/>
              </w:rPr>
            </w:pPr>
            <w:r w:rsidRPr="006F2452">
              <w:rPr>
                <w:rFonts w:eastAsia="Calibri"/>
                <w:b/>
              </w:rPr>
              <w:t xml:space="preserve">Primary or secondary exposure </w:t>
            </w:r>
          </w:p>
          <w:p w14:paraId="4FED1C5B" w14:textId="77777777" w:rsidR="00881426" w:rsidRPr="006F2452" w:rsidRDefault="00881426" w:rsidP="00BE71A6">
            <w:pPr>
              <w:pStyle w:val="Standaard-Tabellen"/>
              <w:rPr>
                <w:rFonts w:eastAsia="Calibri"/>
                <w:b/>
              </w:rPr>
            </w:pPr>
            <w:r w:rsidRPr="006F2452">
              <w:rPr>
                <w:rFonts w:eastAsia="Calibri"/>
                <w:b/>
              </w:rPr>
              <w:t>Description of scenario</w:t>
            </w:r>
          </w:p>
        </w:tc>
        <w:tc>
          <w:tcPr>
            <w:tcW w:w="896" w:type="pct"/>
            <w:shd w:val="clear" w:color="auto" w:fill="BFBFBF" w:themeFill="background1" w:themeFillShade="BF"/>
            <w:tcMar>
              <w:top w:w="57" w:type="dxa"/>
              <w:bottom w:w="57" w:type="dxa"/>
            </w:tcMar>
          </w:tcPr>
          <w:p w14:paraId="56659EEE" w14:textId="77777777" w:rsidR="00881426" w:rsidRPr="006F2452" w:rsidRDefault="00881426" w:rsidP="00BE71A6">
            <w:pPr>
              <w:pStyle w:val="Standaard-Tabellen"/>
              <w:rPr>
                <w:rFonts w:eastAsia="Calibri"/>
                <w:b/>
              </w:rPr>
            </w:pPr>
            <w:r w:rsidRPr="006F2452">
              <w:rPr>
                <w:rFonts w:eastAsia="Calibri"/>
                <w:b/>
              </w:rPr>
              <w:t>Exposed group</w:t>
            </w:r>
          </w:p>
          <w:p w14:paraId="138F026E" w14:textId="77777777" w:rsidR="00881426" w:rsidRPr="006F2452" w:rsidRDefault="00881426" w:rsidP="00BE71A6">
            <w:pPr>
              <w:pStyle w:val="Standaard-Tabellen"/>
              <w:rPr>
                <w:rFonts w:eastAsia="Calibri"/>
              </w:rPr>
            </w:pPr>
            <w:r w:rsidRPr="006F2452">
              <w:rPr>
                <w:rFonts w:eastAsia="Calibri"/>
              </w:rPr>
              <w:t>(e.g. professionals, non-professionals, bystanders)</w:t>
            </w:r>
          </w:p>
        </w:tc>
      </w:tr>
      <w:tr w:rsidR="00881426" w:rsidRPr="00FD2055" w14:paraId="1C8D7BB5" w14:textId="77777777" w:rsidTr="00BE71A6">
        <w:trPr>
          <w:tblHeader/>
        </w:trPr>
        <w:tc>
          <w:tcPr>
            <w:tcW w:w="560" w:type="pct"/>
            <w:tcMar>
              <w:top w:w="57" w:type="dxa"/>
              <w:bottom w:w="57" w:type="dxa"/>
            </w:tcMar>
          </w:tcPr>
          <w:p w14:paraId="39098D20" w14:textId="77777777" w:rsidR="00881426" w:rsidRPr="00FD2055" w:rsidRDefault="00881426" w:rsidP="00BE71A6">
            <w:pPr>
              <w:pStyle w:val="Standaard-Tabellen"/>
              <w:rPr>
                <w:rFonts w:eastAsia="Calibri"/>
              </w:rPr>
            </w:pPr>
            <w:r>
              <w:rPr>
                <w:rFonts w:eastAsia="Calibri"/>
              </w:rPr>
              <w:t>1.</w:t>
            </w:r>
          </w:p>
        </w:tc>
        <w:tc>
          <w:tcPr>
            <w:tcW w:w="606" w:type="pct"/>
            <w:shd w:val="clear" w:color="auto" w:fill="auto"/>
            <w:tcMar>
              <w:top w:w="57" w:type="dxa"/>
              <w:bottom w:w="57" w:type="dxa"/>
            </w:tcMar>
          </w:tcPr>
          <w:p w14:paraId="3E77D878" w14:textId="77777777" w:rsidR="00881426" w:rsidRPr="00FD2055" w:rsidRDefault="00881426" w:rsidP="00BE71A6">
            <w:pPr>
              <w:pStyle w:val="Standaard-Tabellen"/>
              <w:rPr>
                <w:rFonts w:eastAsia="Calibri"/>
              </w:rPr>
            </w:pPr>
            <w:r>
              <w:rPr>
                <w:rFonts w:eastAsia="Calibri"/>
              </w:rPr>
              <w:t>Application phase</w:t>
            </w:r>
          </w:p>
        </w:tc>
        <w:tc>
          <w:tcPr>
            <w:tcW w:w="2938" w:type="pct"/>
            <w:tcMar>
              <w:top w:w="57" w:type="dxa"/>
              <w:bottom w:w="57" w:type="dxa"/>
            </w:tcMar>
          </w:tcPr>
          <w:p w14:paraId="16B85740" w14:textId="77777777" w:rsidR="00881426" w:rsidRPr="00FD2055" w:rsidRDefault="00881426" w:rsidP="00BE71A6">
            <w:pPr>
              <w:pStyle w:val="Standaard-Tabellen"/>
              <w:rPr>
                <w:rFonts w:eastAsia="Calibri"/>
              </w:rPr>
            </w:pPr>
            <w:r>
              <w:rPr>
                <w:rFonts w:eastAsia="Calibri"/>
              </w:rPr>
              <w:t xml:space="preserve">Primary exposure: Dermal exposure assessment for adults, children, toddlers and infants. </w:t>
            </w:r>
          </w:p>
        </w:tc>
        <w:tc>
          <w:tcPr>
            <w:tcW w:w="896" w:type="pct"/>
            <w:shd w:val="clear" w:color="auto" w:fill="auto"/>
            <w:tcMar>
              <w:top w:w="57" w:type="dxa"/>
              <w:bottom w:w="57" w:type="dxa"/>
            </w:tcMar>
          </w:tcPr>
          <w:p w14:paraId="38F7FC0E" w14:textId="77777777" w:rsidR="00881426" w:rsidRPr="00FD2055" w:rsidRDefault="00881426" w:rsidP="00BE71A6">
            <w:pPr>
              <w:pStyle w:val="Standaard-Tabellen"/>
              <w:rPr>
                <w:rFonts w:eastAsia="Calibri"/>
              </w:rPr>
            </w:pPr>
            <w:r>
              <w:rPr>
                <w:rFonts w:eastAsia="Calibri"/>
              </w:rPr>
              <w:t>Non-professionals</w:t>
            </w:r>
          </w:p>
        </w:tc>
      </w:tr>
      <w:tr w:rsidR="00881426" w:rsidRPr="00FD2055" w14:paraId="5B061938" w14:textId="77777777" w:rsidTr="00BE71A6">
        <w:trPr>
          <w:tblHeader/>
        </w:trPr>
        <w:tc>
          <w:tcPr>
            <w:tcW w:w="560" w:type="pct"/>
            <w:tcMar>
              <w:top w:w="57" w:type="dxa"/>
              <w:bottom w:w="57" w:type="dxa"/>
            </w:tcMar>
          </w:tcPr>
          <w:p w14:paraId="7ACF8154" w14:textId="77777777" w:rsidR="00881426" w:rsidRPr="00FD2055" w:rsidRDefault="00881426" w:rsidP="00BE71A6">
            <w:pPr>
              <w:pStyle w:val="Standaard-Tabellen"/>
              <w:rPr>
                <w:rFonts w:eastAsia="Calibri"/>
              </w:rPr>
            </w:pPr>
            <w:r>
              <w:rPr>
                <w:rFonts w:eastAsia="Calibri"/>
              </w:rPr>
              <w:t>2.</w:t>
            </w:r>
          </w:p>
        </w:tc>
        <w:tc>
          <w:tcPr>
            <w:tcW w:w="606" w:type="pct"/>
            <w:shd w:val="clear" w:color="auto" w:fill="auto"/>
            <w:tcMar>
              <w:top w:w="57" w:type="dxa"/>
              <w:bottom w:w="57" w:type="dxa"/>
            </w:tcMar>
          </w:tcPr>
          <w:p w14:paraId="05A164A9" w14:textId="77777777" w:rsidR="00881426" w:rsidRPr="00FD2055" w:rsidRDefault="00881426" w:rsidP="00BE71A6">
            <w:pPr>
              <w:pStyle w:val="Standaard-Tabellen"/>
              <w:rPr>
                <w:rFonts w:eastAsia="Calibri"/>
              </w:rPr>
            </w:pPr>
            <w:r>
              <w:rPr>
                <w:rFonts w:eastAsia="Calibri"/>
              </w:rPr>
              <w:t>Post-application phase</w:t>
            </w:r>
          </w:p>
        </w:tc>
        <w:tc>
          <w:tcPr>
            <w:tcW w:w="2938" w:type="pct"/>
            <w:tcMar>
              <w:top w:w="57" w:type="dxa"/>
              <w:bottom w:w="57" w:type="dxa"/>
            </w:tcMar>
          </w:tcPr>
          <w:p w14:paraId="1B9F65AA" w14:textId="77777777" w:rsidR="00881426" w:rsidRPr="00FD2055" w:rsidRDefault="00881426" w:rsidP="00BE71A6">
            <w:pPr>
              <w:pStyle w:val="Standaard-Tabellen"/>
              <w:rPr>
                <w:rFonts w:eastAsia="Calibri"/>
              </w:rPr>
            </w:pPr>
            <w:r>
              <w:rPr>
                <w:rFonts w:eastAsia="Calibri"/>
              </w:rPr>
              <w:t xml:space="preserve">Secondary exposure (indirect exposure as a result of use): Hand-mouth transfer reverse reference scenario (oral exposure)  </w:t>
            </w:r>
          </w:p>
        </w:tc>
        <w:tc>
          <w:tcPr>
            <w:tcW w:w="896" w:type="pct"/>
            <w:shd w:val="clear" w:color="auto" w:fill="auto"/>
            <w:tcMar>
              <w:top w:w="57" w:type="dxa"/>
              <w:bottom w:w="57" w:type="dxa"/>
            </w:tcMar>
          </w:tcPr>
          <w:p w14:paraId="4D0BDC0F" w14:textId="77777777" w:rsidR="00881426" w:rsidRPr="00FD2055" w:rsidRDefault="00881426" w:rsidP="00BE71A6">
            <w:pPr>
              <w:pStyle w:val="Standaard-Tabellen"/>
              <w:rPr>
                <w:rFonts w:eastAsia="Calibri"/>
              </w:rPr>
            </w:pPr>
            <w:r w:rsidRPr="00682A3D">
              <w:rPr>
                <w:rFonts w:eastAsia="Calibri"/>
              </w:rPr>
              <w:t>Non-professionals</w:t>
            </w:r>
          </w:p>
        </w:tc>
      </w:tr>
      <w:tr w:rsidR="00881426" w:rsidRPr="00FD2055" w14:paraId="2A5EB7A1" w14:textId="77777777" w:rsidTr="00BE71A6">
        <w:trPr>
          <w:tblHeader/>
        </w:trPr>
        <w:tc>
          <w:tcPr>
            <w:tcW w:w="560" w:type="pct"/>
            <w:tcMar>
              <w:top w:w="57" w:type="dxa"/>
              <w:bottom w:w="57" w:type="dxa"/>
            </w:tcMar>
          </w:tcPr>
          <w:p w14:paraId="14025728" w14:textId="77777777" w:rsidR="00881426" w:rsidRPr="00FD2055" w:rsidRDefault="00881426" w:rsidP="00BE71A6">
            <w:pPr>
              <w:pStyle w:val="Standaard-Tabellen"/>
              <w:rPr>
                <w:rFonts w:eastAsia="Calibri"/>
              </w:rPr>
            </w:pPr>
            <w:r>
              <w:rPr>
                <w:rFonts w:eastAsia="Calibri"/>
              </w:rPr>
              <w:t>3.</w:t>
            </w:r>
          </w:p>
        </w:tc>
        <w:tc>
          <w:tcPr>
            <w:tcW w:w="606" w:type="pct"/>
            <w:shd w:val="clear" w:color="auto" w:fill="auto"/>
            <w:tcMar>
              <w:top w:w="57" w:type="dxa"/>
              <w:bottom w:w="57" w:type="dxa"/>
            </w:tcMar>
          </w:tcPr>
          <w:p w14:paraId="38D65CE4" w14:textId="77777777" w:rsidR="00881426" w:rsidRDefault="00881426" w:rsidP="00BE71A6">
            <w:pPr>
              <w:pStyle w:val="Standaard-Tabellen"/>
              <w:rPr>
                <w:rFonts w:eastAsia="Calibri"/>
              </w:rPr>
            </w:pPr>
            <w:r w:rsidRPr="008C1C4F">
              <w:rPr>
                <w:rFonts w:eastAsia="Calibri"/>
              </w:rPr>
              <w:t>Post-application phase</w:t>
            </w:r>
          </w:p>
        </w:tc>
        <w:tc>
          <w:tcPr>
            <w:tcW w:w="2938" w:type="pct"/>
            <w:tcMar>
              <w:top w:w="57" w:type="dxa"/>
              <w:bottom w:w="57" w:type="dxa"/>
            </w:tcMar>
          </w:tcPr>
          <w:p w14:paraId="12B67BFC" w14:textId="77777777" w:rsidR="00881426" w:rsidRDefault="00881426" w:rsidP="00BE71A6">
            <w:pPr>
              <w:pStyle w:val="Standaard-Tabellen"/>
              <w:rPr>
                <w:rFonts w:eastAsia="Calibri"/>
              </w:rPr>
            </w:pPr>
            <w:r>
              <w:rPr>
                <w:rFonts w:eastAsia="Calibri"/>
              </w:rPr>
              <w:t>Inhalation of volatilised residues after application (</w:t>
            </w:r>
            <w:proofErr w:type="spellStart"/>
            <w:r>
              <w:rPr>
                <w:rFonts w:eastAsia="Calibri"/>
              </w:rPr>
              <w:t>inhalative</w:t>
            </w:r>
            <w:proofErr w:type="spellEnd"/>
            <w:r>
              <w:rPr>
                <w:rFonts w:eastAsia="Calibri"/>
              </w:rPr>
              <w:t xml:space="preserve"> exposure) </w:t>
            </w:r>
          </w:p>
        </w:tc>
        <w:tc>
          <w:tcPr>
            <w:tcW w:w="896" w:type="pct"/>
            <w:shd w:val="clear" w:color="auto" w:fill="auto"/>
            <w:tcMar>
              <w:top w:w="57" w:type="dxa"/>
              <w:bottom w:w="57" w:type="dxa"/>
            </w:tcMar>
          </w:tcPr>
          <w:p w14:paraId="7DBF2E43" w14:textId="77777777" w:rsidR="00881426" w:rsidRPr="00FD2055" w:rsidRDefault="00881426" w:rsidP="00BE71A6">
            <w:pPr>
              <w:pStyle w:val="Standaard-Tabellen"/>
              <w:rPr>
                <w:rFonts w:eastAsia="Calibri"/>
              </w:rPr>
            </w:pPr>
            <w:r w:rsidRPr="00682A3D">
              <w:rPr>
                <w:rFonts w:eastAsia="Calibri"/>
              </w:rPr>
              <w:t>Non-professionals</w:t>
            </w:r>
          </w:p>
        </w:tc>
      </w:tr>
    </w:tbl>
    <w:p w14:paraId="61167370" w14:textId="77777777" w:rsidR="00586AC3" w:rsidRDefault="00586AC3" w:rsidP="00881426">
      <w:pPr>
        <w:rPr>
          <w:lang w:val="en-US" w:eastAsia="en-US"/>
        </w:rPr>
      </w:pPr>
    </w:p>
    <w:p w14:paraId="35577BF6" w14:textId="77777777" w:rsidR="00586AC3" w:rsidRDefault="00586AC3">
      <w:pPr>
        <w:spacing w:before="0" w:after="160" w:line="259" w:lineRule="auto"/>
        <w:rPr>
          <w:lang w:val="en-US" w:eastAsia="en-US"/>
        </w:rPr>
      </w:pPr>
      <w:r>
        <w:rPr>
          <w:lang w:val="en-US" w:eastAsia="en-US"/>
        </w:rPr>
        <w:br w:type="page"/>
      </w:r>
    </w:p>
    <w:p w14:paraId="783B51E6" w14:textId="77777777" w:rsidR="00881426" w:rsidRDefault="00881426" w:rsidP="007E5F71">
      <w:pPr>
        <w:pStyle w:val="Titre5"/>
        <w:numPr>
          <w:ilvl w:val="0"/>
          <w:numId w:val="3"/>
        </w:numPr>
      </w:pPr>
      <w:bookmarkStart w:id="168" w:name="_Toc12967164"/>
      <w:r>
        <w:lastRenderedPageBreak/>
        <w:t>Industrial exposure</w:t>
      </w:r>
      <w:bookmarkEnd w:id="168"/>
    </w:p>
    <w:p w14:paraId="16C1D3FA" w14:textId="77777777" w:rsidR="00881426" w:rsidRPr="00FF008C" w:rsidRDefault="00881426" w:rsidP="00881426">
      <w:pPr>
        <w:rPr>
          <w:lang w:val="en-US" w:eastAsia="en-US"/>
        </w:rPr>
      </w:pPr>
      <w:r w:rsidRPr="00071DE1">
        <w:rPr>
          <w:lang w:val="en-US" w:eastAsia="en-US"/>
        </w:rPr>
        <w:t>There is no concern about industrial exposure because of the intend of use apart for the production/formulation and disposal of the biocidal product. This exposure is address under a point below.</w:t>
      </w:r>
    </w:p>
    <w:p w14:paraId="24EDD532" w14:textId="77777777" w:rsidR="00881426" w:rsidRDefault="00881426" w:rsidP="007E5F71">
      <w:pPr>
        <w:pStyle w:val="Titre5"/>
        <w:numPr>
          <w:ilvl w:val="0"/>
          <w:numId w:val="3"/>
        </w:numPr>
      </w:pPr>
      <w:bookmarkStart w:id="169" w:name="_Toc12967165"/>
      <w:r>
        <w:t>Professional exposure</w:t>
      </w:r>
      <w:bookmarkEnd w:id="169"/>
    </w:p>
    <w:p w14:paraId="53189B8E" w14:textId="74FA59DC" w:rsidR="00881426" w:rsidRPr="0035013C" w:rsidRDefault="00881426" w:rsidP="00881426">
      <w:pPr>
        <w:rPr>
          <w:lang w:val="en-US" w:eastAsia="en-US"/>
        </w:rPr>
      </w:pPr>
      <w:r w:rsidRPr="0035013C">
        <w:rPr>
          <w:lang w:val="en-US" w:eastAsia="en-US"/>
        </w:rPr>
        <w:t xml:space="preserve">Not relevant since the product Insect Repellent </w:t>
      </w:r>
      <w:r>
        <w:rPr>
          <w:lang w:val="en-US" w:eastAsia="en-US"/>
        </w:rPr>
        <w:t>Lotion IR3535</w:t>
      </w:r>
      <w:r w:rsidRPr="00640D6C">
        <w:rPr>
          <w:vertAlign w:val="superscript"/>
          <w:lang w:val="en-US" w:eastAsia="en-US"/>
        </w:rPr>
        <w:t>®</w:t>
      </w:r>
      <w:r>
        <w:rPr>
          <w:lang w:val="en-US" w:eastAsia="en-US"/>
        </w:rPr>
        <w:t xml:space="preserve"> 1</w:t>
      </w:r>
      <w:r w:rsidRPr="0035013C">
        <w:rPr>
          <w:lang w:val="en-US" w:eastAsia="en-US"/>
        </w:rPr>
        <w:t>0% is intended to be used by general public.</w:t>
      </w:r>
    </w:p>
    <w:p w14:paraId="72147FDC" w14:textId="77777777" w:rsidR="00881426" w:rsidRDefault="00881426" w:rsidP="007E5F71">
      <w:pPr>
        <w:pStyle w:val="Titre5"/>
        <w:numPr>
          <w:ilvl w:val="0"/>
          <w:numId w:val="3"/>
        </w:numPr>
      </w:pPr>
      <w:bookmarkStart w:id="170" w:name="_Toc12967166"/>
      <w:r>
        <w:lastRenderedPageBreak/>
        <w:t>Non-professional exposure</w:t>
      </w:r>
      <w:bookmarkEnd w:id="170"/>
    </w:p>
    <w:p w14:paraId="2F4A83C8" w14:textId="77777777" w:rsidR="00E82046" w:rsidRDefault="00E82046" w:rsidP="00E82046">
      <w:pPr>
        <w:pStyle w:val="Titre6"/>
        <w:rPr>
          <w:lang w:val="en-US"/>
        </w:rPr>
      </w:pPr>
      <w:bookmarkStart w:id="171" w:name="_Hlk11775089"/>
      <w:r>
        <w:rPr>
          <w:lang w:val="en-US"/>
        </w:rPr>
        <w:t>USE 1 against mosquitoes – application rate 1.15 mg/cm</w:t>
      </w:r>
      <w:r w:rsidRPr="009A3C76">
        <w:rPr>
          <w:vertAlign w:val="superscript"/>
          <w:lang w:val="en-US"/>
        </w:rPr>
        <w:t>2</w:t>
      </w:r>
    </w:p>
    <w:bookmarkEnd w:id="171"/>
    <w:p w14:paraId="1779FCA2" w14:textId="29A0FB6C" w:rsidR="00881426" w:rsidRDefault="00881426" w:rsidP="00586AC3">
      <w:pPr>
        <w:pStyle w:val="Titre6"/>
        <w:rPr>
          <w:lang w:val="en-US"/>
        </w:rPr>
      </w:pPr>
      <w:r w:rsidRPr="002E1D83">
        <w:rPr>
          <w:lang w:val="en-US"/>
        </w:rPr>
        <w:t>Scenario 1: Primary exposure: Dermal exposure assessment for adults, children, toddlers and infants.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56"/>
        <w:gridCol w:w="4711"/>
        <w:gridCol w:w="1229"/>
      </w:tblGrid>
      <w:tr w:rsidR="00CB0677" w:rsidRPr="00071DE1" w14:paraId="12E7C59D" w14:textId="77777777" w:rsidTr="00CB0677">
        <w:trPr>
          <w:tblHeader/>
        </w:trPr>
        <w:tc>
          <w:tcPr>
            <w:tcW w:w="5000" w:type="pct"/>
            <w:gridSpan w:val="3"/>
            <w:shd w:val="clear" w:color="auto" w:fill="FFFFCC"/>
            <w:tcMar>
              <w:top w:w="57" w:type="dxa"/>
              <w:bottom w:w="57" w:type="dxa"/>
            </w:tcMar>
          </w:tcPr>
          <w:p w14:paraId="2A016761" w14:textId="77777777" w:rsidR="00CB0677" w:rsidRPr="00071DE1" w:rsidRDefault="00CB0677" w:rsidP="00CB0677">
            <w:pPr>
              <w:spacing w:before="0" w:after="0"/>
              <w:jc w:val="center"/>
              <w:rPr>
                <w:rFonts w:eastAsia="Calibri"/>
                <w:b/>
                <w:bCs/>
                <w:sz w:val="18"/>
                <w:szCs w:val="24"/>
                <w:lang w:eastAsia="en-GB"/>
              </w:rPr>
            </w:pPr>
            <w:r w:rsidRPr="00071DE1">
              <w:rPr>
                <w:rFonts w:eastAsia="Calibri"/>
                <w:b/>
                <w:bCs/>
                <w:sz w:val="18"/>
                <w:szCs w:val="24"/>
                <w:lang w:eastAsia="en-GB"/>
              </w:rPr>
              <w:t>Description of Scenario 1</w:t>
            </w:r>
          </w:p>
        </w:tc>
      </w:tr>
      <w:tr w:rsidR="00CB0677" w:rsidRPr="00071DE1" w14:paraId="48D160EF" w14:textId="77777777" w:rsidTr="00CB0677">
        <w:trPr>
          <w:tblHeader/>
        </w:trPr>
        <w:tc>
          <w:tcPr>
            <w:tcW w:w="5000" w:type="pct"/>
            <w:gridSpan w:val="3"/>
            <w:shd w:val="clear" w:color="auto" w:fill="auto"/>
            <w:tcMar>
              <w:top w:w="57" w:type="dxa"/>
              <w:bottom w:w="57" w:type="dxa"/>
            </w:tcMar>
          </w:tcPr>
          <w:p w14:paraId="6094D58D" w14:textId="77777777" w:rsidR="00CB0677" w:rsidRPr="002A4F9D" w:rsidRDefault="00CB0677" w:rsidP="00CB0677">
            <w:pPr>
              <w:pStyle w:val="Explanatorynotes"/>
              <w:rPr>
                <w:rFonts w:ascii="Verdana" w:eastAsia="Calibri" w:hAnsi="Verdana"/>
                <w:i w:val="0"/>
              </w:rPr>
            </w:pPr>
            <w:r w:rsidRPr="002A4F9D">
              <w:rPr>
                <w:rFonts w:ascii="Verdana" w:eastAsia="Calibri" w:hAnsi="Verdana"/>
                <w:i w:val="0"/>
              </w:rPr>
              <w:t>This scenario is based on the one available in the CAR</w:t>
            </w:r>
            <w:r>
              <w:rPr>
                <w:rFonts w:ascii="Verdana" w:eastAsia="Calibri" w:hAnsi="Verdana"/>
                <w:i w:val="0"/>
              </w:rPr>
              <w:t xml:space="preserve"> of </w:t>
            </w:r>
            <w:r w:rsidRPr="007874A0">
              <w:rPr>
                <w:rFonts w:ascii="Verdana" w:eastAsia="Calibri" w:hAnsi="Verdana"/>
                <w:i w:val="0"/>
              </w:rPr>
              <w:t>IR3535</w:t>
            </w:r>
            <w:r w:rsidRPr="007874A0">
              <w:rPr>
                <w:rFonts w:ascii="Verdana" w:eastAsia="Calibri" w:hAnsi="Verdana"/>
                <w:i w:val="0"/>
                <w:vertAlign w:val="superscript"/>
              </w:rPr>
              <w:t>®</w:t>
            </w:r>
            <w:r>
              <w:rPr>
                <w:rFonts w:ascii="Verdana" w:eastAsia="Calibri" w:hAnsi="Verdana"/>
                <w:i w:val="0"/>
                <w:vertAlign w:val="superscript"/>
              </w:rPr>
              <w:t>.</w:t>
            </w:r>
            <w:r>
              <w:rPr>
                <w:rFonts w:ascii="Verdana" w:eastAsia="Calibri" w:hAnsi="Verdana"/>
                <w:i w:val="0"/>
              </w:rPr>
              <w:t xml:space="preserve"> It has been updated according </w:t>
            </w:r>
            <w:r w:rsidRPr="00523C06">
              <w:rPr>
                <w:rFonts w:ascii="Verdana" w:eastAsia="Calibri" w:hAnsi="Verdana"/>
                <w:i w:val="0"/>
              </w:rPr>
              <w:t>the recommendation 11 of the BPC Ad hoc Working Group on Human Exposure : Proposal for harmonising the assessment of human exposure to repellents (PT19) – Version 2.1 agreed at WGV 2017</w:t>
            </w:r>
            <w:r>
              <w:rPr>
                <w:rFonts w:ascii="Verdana" w:eastAsia="Calibri" w:hAnsi="Verdana"/>
                <w:i w:val="0"/>
              </w:rPr>
              <w:t>.</w:t>
            </w:r>
            <w:r w:rsidRPr="00523C06">
              <w:rPr>
                <w:rFonts w:ascii="Verdana" w:eastAsia="Calibri" w:hAnsi="Verdana"/>
                <w:i w:val="0"/>
              </w:rPr>
              <w:t xml:space="preserve"> </w:t>
            </w:r>
            <w:r>
              <w:rPr>
                <w:rFonts w:ascii="Verdana" w:eastAsia="Calibri" w:hAnsi="Verdana"/>
                <w:i w:val="0"/>
              </w:rPr>
              <w:t xml:space="preserve"> </w:t>
            </w:r>
          </w:p>
        </w:tc>
      </w:tr>
      <w:tr w:rsidR="00CB0677" w:rsidRPr="00071DE1" w14:paraId="158092B9" w14:textId="77777777" w:rsidTr="00CB0677">
        <w:trPr>
          <w:tblHeader/>
        </w:trPr>
        <w:tc>
          <w:tcPr>
            <w:tcW w:w="5000" w:type="pct"/>
            <w:gridSpan w:val="3"/>
            <w:shd w:val="clear" w:color="auto" w:fill="auto"/>
            <w:tcMar>
              <w:top w:w="57" w:type="dxa"/>
              <w:bottom w:w="57" w:type="dxa"/>
            </w:tcMar>
          </w:tcPr>
          <w:p w14:paraId="23807B15" w14:textId="77777777" w:rsidR="00CB0677" w:rsidRPr="00F449E5" w:rsidRDefault="00CB0677" w:rsidP="00CB0677">
            <w:pPr>
              <w:pStyle w:val="Explanatorynotes"/>
              <w:rPr>
                <w:rFonts w:ascii="Verdana" w:eastAsia="Calibri" w:hAnsi="Verdana"/>
                <w:b/>
                <w:i w:val="0"/>
              </w:rPr>
            </w:pPr>
            <w:r w:rsidRPr="00F449E5">
              <w:rPr>
                <w:rFonts w:ascii="Verdana" w:eastAsia="Calibri" w:hAnsi="Verdana"/>
                <w:b/>
                <w:i w:val="0"/>
              </w:rPr>
              <w:t xml:space="preserve">Dermal exposure: </w:t>
            </w:r>
          </w:p>
          <w:p w14:paraId="12FE8855" w14:textId="77777777" w:rsidR="00CB0677" w:rsidRPr="00F449E5" w:rsidRDefault="00CB0677" w:rsidP="00CB0677">
            <w:pPr>
              <w:pStyle w:val="Explanatorynotes"/>
              <w:ind w:left="348"/>
              <w:rPr>
                <w:rFonts w:ascii="Verdana" w:eastAsia="Calibri" w:hAnsi="Verdana"/>
                <w:i w:val="0"/>
              </w:rPr>
            </w:pPr>
            <w:r>
              <w:rPr>
                <w:rFonts w:ascii="Verdana" w:eastAsia="Calibri" w:hAnsi="Verdana"/>
                <w:i w:val="0"/>
              </w:rPr>
              <w:t>Number of application</w:t>
            </w:r>
            <w:r w:rsidRPr="00F449E5">
              <w:rPr>
                <w:rFonts w:ascii="Verdana" w:eastAsia="Calibri" w:hAnsi="Verdana"/>
                <w:i w:val="0"/>
              </w:rPr>
              <w:t xml:space="preserve">/day x amount </w:t>
            </w:r>
            <w:proofErr w:type="spellStart"/>
            <w:r>
              <w:rPr>
                <w:rFonts w:ascii="Verdana" w:eastAsia="Calibri" w:hAnsi="Verdana"/>
                <w:i w:val="0"/>
              </w:rPr>
              <w:t>b.p.</w:t>
            </w:r>
            <w:proofErr w:type="spellEnd"/>
            <w:r w:rsidRPr="00F449E5">
              <w:rPr>
                <w:rFonts w:ascii="Verdana" w:eastAsia="Calibri" w:hAnsi="Verdana"/>
                <w:i w:val="0"/>
              </w:rPr>
              <w:t xml:space="preserve">/application x percent of </w:t>
            </w:r>
            <w:proofErr w:type="spellStart"/>
            <w:r w:rsidRPr="00F449E5">
              <w:rPr>
                <w:rFonts w:ascii="Verdana" w:eastAsia="Calibri" w:hAnsi="Verdana"/>
                <w:i w:val="0"/>
              </w:rPr>
              <w:t>a.s.</w:t>
            </w:r>
            <w:proofErr w:type="spellEnd"/>
            <w:r w:rsidRPr="00F449E5">
              <w:rPr>
                <w:rFonts w:ascii="Verdana" w:eastAsia="Calibri" w:hAnsi="Verdana"/>
                <w:i w:val="0"/>
              </w:rPr>
              <w:t xml:space="preserve"> in </w:t>
            </w:r>
            <w:proofErr w:type="spellStart"/>
            <w:r w:rsidRPr="00CE5931">
              <w:rPr>
                <w:rFonts w:ascii="Verdana" w:eastAsia="Calibri" w:hAnsi="Verdana"/>
                <w:i w:val="0"/>
              </w:rPr>
              <w:t>b.p</w:t>
            </w:r>
            <w:r>
              <w:rPr>
                <w:rFonts w:ascii="Verdana" w:eastAsia="Calibri" w:hAnsi="Verdana"/>
                <w:i w:val="0"/>
              </w:rPr>
              <w:t>.</w:t>
            </w:r>
            <w:proofErr w:type="spellEnd"/>
          </w:p>
          <w:p w14:paraId="49C0E518" w14:textId="77777777" w:rsidR="00CB0677" w:rsidRPr="00F449E5" w:rsidRDefault="00CB0677" w:rsidP="00CB0677">
            <w:pPr>
              <w:pStyle w:val="Explanatorynotes"/>
              <w:rPr>
                <w:rFonts w:ascii="Verdana" w:eastAsia="Calibri" w:hAnsi="Verdana"/>
                <w:b/>
                <w:i w:val="0"/>
              </w:rPr>
            </w:pPr>
            <w:r w:rsidRPr="00F449E5">
              <w:rPr>
                <w:rFonts w:ascii="Verdana" w:eastAsia="Calibri" w:hAnsi="Verdana"/>
                <w:b/>
                <w:i w:val="0"/>
              </w:rPr>
              <w:t>Systemic exposure:</w:t>
            </w:r>
          </w:p>
          <w:p w14:paraId="082196C0" w14:textId="77777777" w:rsidR="00CB0677" w:rsidRPr="00F449E5" w:rsidRDefault="00CB0677" w:rsidP="00CB0677">
            <w:pPr>
              <w:pStyle w:val="Explanatorynotes"/>
              <w:ind w:left="348"/>
              <w:rPr>
                <w:rFonts w:ascii="Verdana" w:eastAsia="Calibri" w:hAnsi="Verdana"/>
                <w:i w:val="0"/>
              </w:rPr>
            </w:pPr>
            <w:r w:rsidRPr="00F449E5">
              <w:rPr>
                <w:rFonts w:ascii="Verdana" w:eastAsia="Calibri" w:hAnsi="Verdana"/>
                <w:i w:val="0"/>
              </w:rPr>
              <w:t>Dermal exposure x percent of dermal absorption</w:t>
            </w:r>
          </w:p>
          <w:p w14:paraId="0BA0ECBD" w14:textId="77777777" w:rsidR="00CB0677" w:rsidRPr="00F449E5" w:rsidRDefault="00CB0677" w:rsidP="00CB0677">
            <w:pPr>
              <w:pStyle w:val="Explanatorynotes"/>
              <w:rPr>
                <w:rFonts w:ascii="Verdana" w:eastAsia="Calibri" w:hAnsi="Verdana"/>
                <w:b/>
                <w:i w:val="0"/>
              </w:rPr>
            </w:pPr>
            <w:r w:rsidRPr="00F449E5">
              <w:rPr>
                <w:rFonts w:ascii="Verdana" w:eastAsia="Calibri" w:hAnsi="Verdana"/>
                <w:b/>
                <w:i w:val="0"/>
              </w:rPr>
              <w:t xml:space="preserve">Dermal systemic exposure: </w:t>
            </w:r>
          </w:p>
          <w:p w14:paraId="37A6CFD9" w14:textId="77777777" w:rsidR="00CB0677" w:rsidRPr="00586AC3" w:rsidRDefault="00CB0677" w:rsidP="00CB0677">
            <w:pPr>
              <w:widowControl w:val="0"/>
              <w:shd w:val="clear" w:color="auto" w:fill="FFFFFF"/>
              <w:autoSpaceDE w:val="0"/>
              <w:autoSpaceDN w:val="0"/>
              <w:adjustRightInd w:val="0"/>
              <w:ind w:left="348"/>
              <w:jc w:val="both"/>
              <w:rPr>
                <w:rFonts w:ascii="Times New Roman" w:eastAsia="Calibri" w:hAnsi="Times New Roman"/>
              </w:rPr>
            </w:pPr>
            <w:r w:rsidRPr="00586AC3">
              <w:rPr>
                <w:rFonts w:eastAsia="Calibri"/>
              </w:rPr>
              <w:t>Systemic exposure / body weight</w:t>
            </w:r>
          </w:p>
        </w:tc>
      </w:tr>
      <w:tr w:rsidR="00CB0677" w:rsidRPr="00071DE1" w14:paraId="713342BF" w14:textId="77777777" w:rsidTr="00CB0677">
        <w:trPr>
          <w:tblHeader/>
        </w:trPr>
        <w:tc>
          <w:tcPr>
            <w:tcW w:w="1839" w:type="pct"/>
            <w:shd w:val="clear" w:color="auto" w:fill="BFBFBF" w:themeFill="background1" w:themeFillShade="BF"/>
            <w:tcMar>
              <w:top w:w="57" w:type="dxa"/>
              <w:bottom w:w="57" w:type="dxa"/>
            </w:tcMar>
          </w:tcPr>
          <w:p w14:paraId="0089835A" w14:textId="77777777" w:rsidR="00CB0677" w:rsidRPr="00586AC3" w:rsidRDefault="00CB0677" w:rsidP="00CB0677">
            <w:pPr>
              <w:pStyle w:val="Standaard-Tabellen"/>
              <w:rPr>
                <w:rFonts w:eastAsia="Calibri"/>
                <w:b/>
              </w:rPr>
            </w:pPr>
          </w:p>
        </w:tc>
        <w:tc>
          <w:tcPr>
            <w:tcW w:w="2507" w:type="pct"/>
            <w:shd w:val="clear" w:color="auto" w:fill="BFBFBF" w:themeFill="background1" w:themeFillShade="BF"/>
            <w:tcMar>
              <w:top w:w="57" w:type="dxa"/>
              <w:bottom w:w="57" w:type="dxa"/>
            </w:tcMar>
          </w:tcPr>
          <w:p w14:paraId="3680B364" w14:textId="77777777" w:rsidR="00CB0677" w:rsidRPr="00586AC3" w:rsidRDefault="00CB0677" w:rsidP="00CB0677">
            <w:pPr>
              <w:pStyle w:val="Standaard-Tabellen"/>
              <w:rPr>
                <w:rFonts w:eastAsia="Calibri"/>
                <w:b/>
              </w:rPr>
            </w:pPr>
            <w:r w:rsidRPr="00586AC3">
              <w:rPr>
                <w:rFonts w:eastAsia="Calibri"/>
                <w:b/>
              </w:rPr>
              <w:t>Parameters</w:t>
            </w:r>
          </w:p>
        </w:tc>
        <w:tc>
          <w:tcPr>
            <w:tcW w:w="654" w:type="pct"/>
            <w:shd w:val="clear" w:color="auto" w:fill="BFBFBF" w:themeFill="background1" w:themeFillShade="BF"/>
            <w:tcMar>
              <w:top w:w="57" w:type="dxa"/>
              <w:bottom w:w="57" w:type="dxa"/>
            </w:tcMar>
          </w:tcPr>
          <w:p w14:paraId="026ED6CE" w14:textId="77777777" w:rsidR="00CB0677" w:rsidRPr="00586AC3" w:rsidRDefault="00CB0677" w:rsidP="00CB0677">
            <w:pPr>
              <w:pStyle w:val="Standaard-Tabellen"/>
              <w:rPr>
                <w:rFonts w:eastAsia="Calibri"/>
                <w:b/>
              </w:rPr>
            </w:pPr>
            <w:r w:rsidRPr="00586AC3">
              <w:rPr>
                <w:rFonts w:eastAsia="Calibri"/>
                <w:b/>
              </w:rPr>
              <w:t>Value</w:t>
            </w:r>
          </w:p>
        </w:tc>
      </w:tr>
      <w:tr w:rsidR="00CB0677" w:rsidRPr="00071DE1" w14:paraId="7141C6A7" w14:textId="77777777" w:rsidTr="00CB0677">
        <w:trPr>
          <w:tblHeader/>
        </w:trPr>
        <w:tc>
          <w:tcPr>
            <w:tcW w:w="1839" w:type="pct"/>
            <w:vMerge w:val="restart"/>
            <w:tcMar>
              <w:top w:w="57" w:type="dxa"/>
              <w:bottom w:w="57" w:type="dxa"/>
            </w:tcMar>
          </w:tcPr>
          <w:p w14:paraId="56949625" w14:textId="77777777" w:rsidR="00CB0677" w:rsidRPr="00071DE1" w:rsidRDefault="00CB0677" w:rsidP="00CB0677">
            <w:pPr>
              <w:pStyle w:val="Standaard-Tabellen"/>
              <w:rPr>
                <w:rFonts w:eastAsia="Calibri"/>
              </w:rPr>
            </w:pPr>
            <w:bookmarkStart w:id="172" w:name="_Hlk529353073"/>
            <w:r w:rsidRPr="00071DE1">
              <w:rPr>
                <w:rFonts w:eastAsia="Calibri"/>
              </w:rPr>
              <w:t>For All categories</w:t>
            </w:r>
          </w:p>
        </w:tc>
        <w:tc>
          <w:tcPr>
            <w:tcW w:w="2507" w:type="pct"/>
            <w:shd w:val="clear" w:color="auto" w:fill="auto"/>
            <w:tcMar>
              <w:top w:w="57" w:type="dxa"/>
              <w:bottom w:w="57" w:type="dxa"/>
            </w:tcMar>
          </w:tcPr>
          <w:p w14:paraId="1D50E47B" w14:textId="77777777" w:rsidR="00CB0677" w:rsidRPr="00071DE1" w:rsidRDefault="00CB0677" w:rsidP="00CB0677">
            <w:pPr>
              <w:pStyle w:val="Standaard-Tabellen"/>
              <w:rPr>
                <w:rFonts w:eastAsia="Calibri"/>
                <w:vertAlign w:val="superscript"/>
              </w:rPr>
            </w:pPr>
            <w:r w:rsidRPr="00071DE1">
              <w:rPr>
                <w:rFonts w:eastAsia="Calibri"/>
              </w:rPr>
              <w:t>Dermal absorption</w:t>
            </w:r>
            <w:r w:rsidRPr="00071DE1">
              <w:rPr>
                <w:rFonts w:eastAsia="Calibri"/>
                <w:vertAlign w:val="superscript"/>
              </w:rPr>
              <w:t>1</w:t>
            </w:r>
          </w:p>
        </w:tc>
        <w:tc>
          <w:tcPr>
            <w:tcW w:w="654" w:type="pct"/>
            <w:shd w:val="clear" w:color="auto" w:fill="auto"/>
            <w:tcMar>
              <w:top w:w="57" w:type="dxa"/>
              <w:bottom w:w="57" w:type="dxa"/>
            </w:tcMar>
          </w:tcPr>
          <w:p w14:paraId="435A10C2" w14:textId="77777777" w:rsidR="00CB0677" w:rsidRPr="00071DE1" w:rsidRDefault="00CB0677" w:rsidP="00CB0677">
            <w:pPr>
              <w:pStyle w:val="Standaard-Tabellen"/>
              <w:rPr>
                <w:rFonts w:eastAsia="Calibri"/>
              </w:rPr>
            </w:pPr>
            <w:r>
              <w:rPr>
                <w:rFonts w:eastAsia="Calibri"/>
              </w:rPr>
              <w:t>14</w:t>
            </w:r>
            <w:r w:rsidRPr="00071DE1">
              <w:rPr>
                <w:rFonts w:eastAsia="Calibri"/>
              </w:rPr>
              <w:t>%</w:t>
            </w:r>
          </w:p>
        </w:tc>
      </w:tr>
      <w:tr w:rsidR="00CB0677" w:rsidRPr="00071DE1" w14:paraId="6717BCBF" w14:textId="77777777" w:rsidTr="00CB0677">
        <w:trPr>
          <w:tblHeader/>
        </w:trPr>
        <w:tc>
          <w:tcPr>
            <w:tcW w:w="1839" w:type="pct"/>
            <w:vMerge/>
            <w:tcMar>
              <w:top w:w="57" w:type="dxa"/>
              <w:bottom w:w="57" w:type="dxa"/>
            </w:tcMar>
          </w:tcPr>
          <w:p w14:paraId="036EEF41" w14:textId="77777777" w:rsidR="00CB0677" w:rsidRPr="00071DE1" w:rsidRDefault="00CB0677" w:rsidP="00CB0677">
            <w:pPr>
              <w:pStyle w:val="Standaard-Tabellen"/>
              <w:rPr>
                <w:rFonts w:eastAsia="Calibri"/>
              </w:rPr>
            </w:pPr>
          </w:p>
        </w:tc>
        <w:tc>
          <w:tcPr>
            <w:tcW w:w="2507" w:type="pct"/>
            <w:shd w:val="clear" w:color="auto" w:fill="auto"/>
            <w:tcMar>
              <w:top w:w="57" w:type="dxa"/>
              <w:bottom w:w="57" w:type="dxa"/>
            </w:tcMar>
          </w:tcPr>
          <w:p w14:paraId="51DD4A62" w14:textId="77777777" w:rsidR="00CB0677" w:rsidRPr="00071DE1" w:rsidRDefault="00CB0677" w:rsidP="00CB0677">
            <w:pPr>
              <w:pStyle w:val="Standaard-Tabellen"/>
              <w:rPr>
                <w:rFonts w:eastAsia="Calibri"/>
              </w:rPr>
            </w:pPr>
            <w:r w:rsidRPr="00071DE1">
              <w:rPr>
                <w:rFonts w:eastAsia="Calibri"/>
              </w:rPr>
              <w:t>% of active substance in biocidal product</w:t>
            </w:r>
            <w:r w:rsidRPr="00071DE1">
              <w:rPr>
                <w:rFonts w:eastAsia="Calibri"/>
                <w:vertAlign w:val="superscript"/>
              </w:rPr>
              <w:t>1</w:t>
            </w:r>
            <w:r w:rsidRPr="00071DE1">
              <w:rPr>
                <w:rFonts w:eastAsia="Calibri"/>
              </w:rPr>
              <w:t xml:space="preserve"> </w:t>
            </w:r>
          </w:p>
        </w:tc>
        <w:tc>
          <w:tcPr>
            <w:tcW w:w="654" w:type="pct"/>
            <w:shd w:val="clear" w:color="auto" w:fill="auto"/>
            <w:tcMar>
              <w:top w:w="57" w:type="dxa"/>
              <w:bottom w:w="57" w:type="dxa"/>
            </w:tcMar>
          </w:tcPr>
          <w:p w14:paraId="317B6D2A" w14:textId="77777777" w:rsidR="00CB0677" w:rsidRPr="00071DE1" w:rsidRDefault="00CB0677" w:rsidP="00CB0677">
            <w:pPr>
              <w:pStyle w:val="Standaard-Tabellen"/>
              <w:rPr>
                <w:rFonts w:eastAsia="Calibri"/>
              </w:rPr>
            </w:pPr>
            <w:r>
              <w:rPr>
                <w:rFonts w:eastAsia="Calibri"/>
              </w:rPr>
              <w:t>10</w:t>
            </w:r>
            <w:r w:rsidRPr="00071DE1">
              <w:rPr>
                <w:rFonts w:eastAsia="Calibri"/>
              </w:rPr>
              <w:t>%</w:t>
            </w:r>
          </w:p>
        </w:tc>
      </w:tr>
      <w:tr w:rsidR="00CB0677" w:rsidRPr="00071DE1" w14:paraId="08836B78" w14:textId="77777777" w:rsidTr="00CB0677">
        <w:trPr>
          <w:tblHeader/>
        </w:trPr>
        <w:tc>
          <w:tcPr>
            <w:tcW w:w="1839" w:type="pct"/>
            <w:vMerge w:val="restart"/>
            <w:tcMar>
              <w:top w:w="57" w:type="dxa"/>
              <w:bottom w:w="57" w:type="dxa"/>
            </w:tcMar>
          </w:tcPr>
          <w:p w14:paraId="14B0D916" w14:textId="77777777" w:rsidR="00CB0677" w:rsidRPr="00071DE1" w:rsidRDefault="00CB0677" w:rsidP="00CB0677">
            <w:pPr>
              <w:pStyle w:val="Standaard-Tabellen"/>
              <w:rPr>
                <w:rFonts w:eastAsia="Calibri"/>
              </w:rPr>
            </w:pPr>
            <w:r w:rsidRPr="000B65BB">
              <w:rPr>
                <w:rFonts w:eastAsia="Calibri"/>
              </w:rPr>
              <w:t>Tier 1- Adult</w:t>
            </w:r>
          </w:p>
        </w:tc>
        <w:tc>
          <w:tcPr>
            <w:tcW w:w="2507" w:type="pct"/>
            <w:shd w:val="clear" w:color="auto" w:fill="auto"/>
            <w:tcMar>
              <w:top w:w="57" w:type="dxa"/>
              <w:bottom w:w="57" w:type="dxa"/>
            </w:tcMar>
          </w:tcPr>
          <w:p w14:paraId="5F84D178" w14:textId="77777777" w:rsidR="00CB0677" w:rsidRPr="005D7417" w:rsidRDefault="00CB0677" w:rsidP="00CB0677">
            <w:pPr>
              <w:pStyle w:val="Standaard-Tabellen"/>
              <w:rPr>
                <w:rFonts w:eastAsia="Calibri"/>
              </w:rPr>
            </w:pPr>
            <w:r w:rsidRPr="005D7417">
              <w:rPr>
                <w:rFonts w:eastAsia="Calibri"/>
              </w:rPr>
              <w:t>Number of application / day</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0564D671" w14:textId="77777777" w:rsidR="00CB0677" w:rsidRPr="005D7417" w:rsidRDefault="00CB0677" w:rsidP="00CB0677">
            <w:pPr>
              <w:pStyle w:val="Standaard-Tabellen"/>
              <w:rPr>
                <w:rFonts w:eastAsia="Calibri"/>
              </w:rPr>
            </w:pPr>
            <w:r w:rsidRPr="005D7417">
              <w:rPr>
                <w:rFonts w:eastAsia="Calibri"/>
              </w:rPr>
              <w:t>7</w:t>
            </w:r>
          </w:p>
        </w:tc>
      </w:tr>
      <w:tr w:rsidR="00CB0677" w:rsidRPr="00071DE1" w14:paraId="338741CA" w14:textId="77777777" w:rsidTr="00CB0677">
        <w:trPr>
          <w:tblHeader/>
        </w:trPr>
        <w:tc>
          <w:tcPr>
            <w:tcW w:w="1839" w:type="pct"/>
            <w:vMerge/>
            <w:tcMar>
              <w:top w:w="57" w:type="dxa"/>
              <w:bottom w:w="57" w:type="dxa"/>
            </w:tcMar>
          </w:tcPr>
          <w:p w14:paraId="34BE99D6" w14:textId="77777777" w:rsidR="00CB0677" w:rsidRPr="00071DE1" w:rsidRDefault="00CB0677" w:rsidP="00CB0677">
            <w:pPr>
              <w:pStyle w:val="Standaard-Tabellen"/>
              <w:rPr>
                <w:rFonts w:eastAsia="Calibri"/>
              </w:rPr>
            </w:pPr>
          </w:p>
        </w:tc>
        <w:tc>
          <w:tcPr>
            <w:tcW w:w="2507" w:type="pct"/>
            <w:shd w:val="clear" w:color="auto" w:fill="auto"/>
            <w:tcMar>
              <w:top w:w="57" w:type="dxa"/>
              <w:bottom w:w="57" w:type="dxa"/>
            </w:tcMar>
          </w:tcPr>
          <w:p w14:paraId="0F2065E9" w14:textId="77777777" w:rsidR="00CB0677" w:rsidRPr="005D7417" w:rsidRDefault="00CB0677" w:rsidP="00CB0677">
            <w:pPr>
              <w:pStyle w:val="Standaard-Tabellen"/>
              <w:rPr>
                <w:rFonts w:eastAsia="Calibri"/>
              </w:rPr>
            </w:pPr>
            <w:r w:rsidRPr="005D7417">
              <w:rPr>
                <w:rFonts w:eastAsia="Calibri"/>
              </w:rPr>
              <w:t>Body weight</w:t>
            </w:r>
            <w:r w:rsidRPr="005D7417">
              <w:rPr>
                <w:rFonts w:eastAsia="Calibri"/>
                <w:vertAlign w:val="superscript"/>
              </w:rPr>
              <w:t>1</w:t>
            </w:r>
          </w:p>
        </w:tc>
        <w:tc>
          <w:tcPr>
            <w:tcW w:w="654" w:type="pct"/>
            <w:shd w:val="clear" w:color="auto" w:fill="auto"/>
            <w:tcMar>
              <w:top w:w="57" w:type="dxa"/>
              <w:bottom w:w="57" w:type="dxa"/>
            </w:tcMar>
          </w:tcPr>
          <w:p w14:paraId="68F253D7" w14:textId="77777777" w:rsidR="00CB0677" w:rsidRPr="005D7417" w:rsidRDefault="00CB0677" w:rsidP="00CB0677">
            <w:pPr>
              <w:pStyle w:val="Standaard-Tabellen"/>
              <w:rPr>
                <w:rFonts w:eastAsia="Calibri"/>
              </w:rPr>
            </w:pPr>
            <w:r w:rsidRPr="005D7417">
              <w:rPr>
                <w:rFonts w:eastAsia="Calibri"/>
              </w:rPr>
              <w:t>60 kg</w:t>
            </w:r>
          </w:p>
        </w:tc>
      </w:tr>
      <w:tr w:rsidR="00CB0677" w:rsidRPr="00071DE1" w14:paraId="6F066FCF" w14:textId="77777777" w:rsidTr="00CB0677">
        <w:trPr>
          <w:tblHeader/>
        </w:trPr>
        <w:tc>
          <w:tcPr>
            <w:tcW w:w="1839" w:type="pct"/>
            <w:vMerge/>
            <w:tcMar>
              <w:top w:w="57" w:type="dxa"/>
              <w:bottom w:w="57" w:type="dxa"/>
            </w:tcMar>
          </w:tcPr>
          <w:p w14:paraId="66F39E53" w14:textId="77777777" w:rsidR="00CB0677" w:rsidRPr="00071DE1" w:rsidRDefault="00CB0677" w:rsidP="00CB0677">
            <w:pPr>
              <w:pStyle w:val="Standaard-Tabellen"/>
              <w:rPr>
                <w:rFonts w:eastAsia="Calibri"/>
              </w:rPr>
            </w:pPr>
          </w:p>
        </w:tc>
        <w:tc>
          <w:tcPr>
            <w:tcW w:w="2507" w:type="pct"/>
            <w:shd w:val="clear" w:color="auto" w:fill="auto"/>
            <w:tcMar>
              <w:top w:w="57" w:type="dxa"/>
              <w:bottom w:w="57" w:type="dxa"/>
            </w:tcMar>
          </w:tcPr>
          <w:p w14:paraId="2B0DBBFB" w14:textId="77777777" w:rsidR="00CB0677" w:rsidRPr="005D7417" w:rsidRDefault="00CB0677" w:rsidP="00CB0677">
            <w:pPr>
              <w:pStyle w:val="Standaard-Tabellen"/>
              <w:rPr>
                <w:rFonts w:eastAsia="Calibri"/>
              </w:rPr>
            </w:pPr>
            <w:r w:rsidRPr="005D7417">
              <w:rPr>
                <w:rFonts w:eastAsia="Calibri"/>
              </w:rPr>
              <w:t>Amount of biocidal product/ application</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48F16041" w14:textId="77777777" w:rsidR="00CB0677" w:rsidRPr="005D7417" w:rsidRDefault="00CB0677" w:rsidP="00CB0677">
            <w:pPr>
              <w:pStyle w:val="Standaard-Tabellen"/>
              <w:rPr>
                <w:rFonts w:eastAsia="Calibri"/>
              </w:rPr>
            </w:pPr>
            <w:r>
              <w:rPr>
                <w:rFonts w:eastAsia="Calibri"/>
              </w:rPr>
              <w:t>10.50</w:t>
            </w:r>
            <w:r w:rsidRPr="005D7417">
              <w:rPr>
                <w:rFonts w:eastAsia="Calibri"/>
              </w:rPr>
              <w:t xml:space="preserve"> g</w:t>
            </w:r>
          </w:p>
        </w:tc>
      </w:tr>
      <w:tr w:rsidR="00CB0677" w:rsidRPr="00071DE1" w14:paraId="4315B0C3" w14:textId="77777777" w:rsidTr="00CB0677">
        <w:trPr>
          <w:tblHeader/>
        </w:trPr>
        <w:tc>
          <w:tcPr>
            <w:tcW w:w="1839" w:type="pct"/>
            <w:vMerge w:val="restart"/>
            <w:tcMar>
              <w:top w:w="57" w:type="dxa"/>
              <w:bottom w:w="57" w:type="dxa"/>
            </w:tcMar>
          </w:tcPr>
          <w:p w14:paraId="64FC3C00" w14:textId="77777777" w:rsidR="00CB0677" w:rsidRPr="00071DE1" w:rsidRDefault="00CB0677" w:rsidP="00CB0677">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6 to &lt; 12 years old</w:t>
            </w:r>
          </w:p>
        </w:tc>
        <w:tc>
          <w:tcPr>
            <w:tcW w:w="2507" w:type="pct"/>
            <w:shd w:val="clear" w:color="auto" w:fill="auto"/>
            <w:tcMar>
              <w:top w:w="57" w:type="dxa"/>
              <w:bottom w:w="57" w:type="dxa"/>
            </w:tcMar>
          </w:tcPr>
          <w:p w14:paraId="3B96CA1B" w14:textId="77777777" w:rsidR="00CB0677" w:rsidRPr="005D7417" w:rsidRDefault="00CB0677" w:rsidP="00CB0677">
            <w:pPr>
              <w:pStyle w:val="Standaard-Tabellen"/>
              <w:rPr>
                <w:rFonts w:eastAsia="Calibri"/>
              </w:rPr>
            </w:pPr>
            <w:r w:rsidRPr="005D7417">
              <w:rPr>
                <w:rFonts w:eastAsia="Calibri"/>
              </w:rPr>
              <w:t>Number of application / day</w:t>
            </w:r>
            <w:r w:rsidRPr="005D7417">
              <w:rPr>
                <w:rFonts w:eastAsia="Calibri"/>
                <w:vertAlign w:val="superscript"/>
              </w:rPr>
              <w:t>1</w:t>
            </w:r>
          </w:p>
        </w:tc>
        <w:tc>
          <w:tcPr>
            <w:tcW w:w="654" w:type="pct"/>
            <w:shd w:val="clear" w:color="auto" w:fill="auto"/>
            <w:tcMar>
              <w:top w:w="57" w:type="dxa"/>
              <w:bottom w:w="57" w:type="dxa"/>
            </w:tcMar>
          </w:tcPr>
          <w:p w14:paraId="22D43C30" w14:textId="77777777" w:rsidR="00CB0677" w:rsidRPr="005D7417" w:rsidRDefault="00CB0677" w:rsidP="00CB0677">
            <w:pPr>
              <w:pStyle w:val="Standaard-Tabellen"/>
              <w:rPr>
                <w:rFonts w:eastAsia="Calibri"/>
              </w:rPr>
            </w:pPr>
            <w:r>
              <w:rPr>
                <w:rFonts w:eastAsia="Calibri"/>
              </w:rPr>
              <w:t>4</w:t>
            </w:r>
          </w:p>
        </w:tc>
      </w:tr>
      <w:tr w:rsidR="00CB0677" w:rsidRPr="00071DE1" w14:paraId="14363500" w14:textId="77777777" w:rsidTr="00CB0677">
        <w:trPr>
          <w:tblHeader/>
        </w:trPr>
        <w:tc>
          <w:tcPr>
            <w:tcW w:w="1839" w:type="pct"/>
            <w:vMerge/>
            <w:tcMar>
              <w:top w:w="57" w:type="dxa"/>
              <w:bottom w:w="57" w:type="dxa"/>
            </w:tcMar>
          </w:tcPr>
          <w:p w14:paraId="322B12F1" w14:textId="77777777" w:rsidR="00CB0677" w:rsidRPr="00071DE1" w:rsidRDefault="00CB0677" w:rsidP="00CB0677">
            <w:pPr>
              <w:pStyle w:val="Standaard-Tabellen"/>
              <w:rPr>
                <w:rFonts w:eastAsia="Calibri"/>
              </w:rPr>
            </w:pPr>
          </w:p>
        </w:tc>
        <w:tc>
          <w:tcPr>
            <w:tcW w:w="2507" w:type="pct"/>
            <w:shd w:val="clear" w:color="auto" w:fill="auto"/>
            <w:tcMar>
              <w:top w:w="57" w:type="dxa"/>
              <w:bottom w:w="57" w:type="dxa"/>
            </w:tcMar>
          </w:tcPr>
          <w:p w14:paraId="398262D2" w14:textId="77777777" w:rsidR="00CB0677" w:rsidRPr="005D7417" w:rsidRDefault="00CB0677" w:rsidP="00CB0677">
            <w:pPr>
              <w:pStyle w:val="Standaard-Tabellen"/>
              <w:rPr>
                <w:rFonts w:eastAsia="Calibri"/>
              </w:rPr>
            </w:pPr>
            <w:r w:rsidRPr="005D7417">
              <w:rPr>
                <w:rFonts w:eastAsia="Calibri"/>
              </w:rPr>
              <w:t>Body weight</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5A15DFC3" w14:textId="77777777" w:rsidR="00CB0677" w:rsidRPr="005D7417" w:rsidRDefault="00CB0677" w:rsidP="00CB0677">
            <w:pPr>
              <w:pStyle w:val="Standaard-Tabellen"/>
              <w:rPr>
                <w:rFonts w:eastAsia="Calibri"/>
              </w:rPr>
            </w:pPr>
            <w:r w:rsidRPr="005D7417">
              <w:rPr>
                <w:rFonts w:eastAsia="Calibri"/>
              </w:rPr>
              <w:t>23</w:t>
            </w:r>
            <w:r>
              <w:rPr>
                <w:rFonts w:eastAsia="Calibri"/>
              </w:rPr>
              <w:t>.</w:t>
            </w:r>
            <w:r w:rsidRPr="005D7417">
              <w:rPr>
                <w:rFonts w:eastAsia="Calibri"/>
              </w:rPr>
              <w:t>9 kg</w:t>
            </w:r>
          </w:p>
        </w:tc>
      </w:tr>
      <w:tr w:rsidR="00CB0677" w:rsidRPr="00071DE1" w14:paraId="12978BDE" w14:textId="77777777" w:rsidTr="00CB0677">
        <w:trPr>
          <w:tblHeader/>
        </w:trPr>
        <w:tc>
          <w:tcPr>
            <w:tcW w:w="1839" w:type="pct"/>
            <w:vMerge/>
            <w:tcMar>
              <w:top w:w="57" w:type="dxa"/>
              <w:bottom w:w="57" w:type="dxa"/>
            </w:tcMar>
          </w:tcPr>
          <w:p w14:paraId="7E9C0FD2" w14:textId="77777777" w:rsidR="00CB0677" w:rsidRPr="00071DE1" w:rsidRDefault="00CB0677" w:rsidP="00CB0677">
            <w:pPr>
              <w:pStyle w:val="Standaard-Tabellen"/>
              <w:rPr>
                <w:rFonts w:eastAsia="Calibri"/>
              </w:rPr>
            </w:pPr>
          </w:p>
        </w:tc>
        <w:tc>
          <w:tcPr>
            <w:tcW w:w="2507" w:type="pct"/>
            <w:shd w:val="clear" w:color="auto" w:fill="auto"/>
            <w:tcMar>
              <w:top w:w="57" w:type="dxa"/>
              <w:bottom w:w="57" w:type="dxa"/>
            </w:tcMar>
          </w:tcPr>
          <w:p w14:paraId="4417EECA" w14:textId="77777777" w:rsidR="00CB0677" w:rsidRPr="00BD0DC7" w:rsidRDefault="00CB0677" w:rsidP="00CB0677">
            <w:pPr>
              <w:pStyle w:val="Standaard-Tabellen"/>
              <w:rPr>
                <w:rFonts w:eastAsia="Calibri"/>
              </w:rPr>
            </w:pPr>
            <w:r w:rsidRPr="00BD0DC7">
              <w:rPr>
                <w:rFonts w:eastAsia="Calibri"/>
              </w:rPr>
              <w:t>Amount of biocidal product/ application</w:t>
            </w:r>
            <w:r w:rsidRPr="00BD0DC7">
              <w:rPr>
                <w:rFonts w:eastAsia="Calibri"/>
                <w:vertAlign w:val="superscript"/>
              </w:rPr>
              <w:t>1</w:t>
            </w:r>
          </w:p>
        </w:tc>
        <w:tc>
          <w:tcPr>
            <w:tcW w:w="654" w:type="pct"/>
            <w:shd w:val="clear" w:color="auto" w:fill="auto"/>
            <w:tcMar>
              <w:top w:w="57" w:type="dxa"/>
              <w:bottom w:w="57" w:type="dxa"/>
            </w:tcMar>
          </w:tcPr>
          <w:p w14:paraId="65308CD4" w14:textId="77777777" w:rsidR="00CB0677" w:rsidRPr="00BD0DC7" w:rsidRDefault="00CB0677" w:rsidP="00CB0677">
            <w:pPr>
              <w:pStyle w:val="Standaard-Tabellen"/>
              <w:rPr>
                <w:rFonts w:eastAsia="Calibri"/>
              </w:rPr>
            </w:pPr>
            <w:r>
              <w:rPr>
                <w:rFonts w:eastAsia="Calibri"/>
              </w:rPr>
              <w:t>5.82</w:t>
            </w:r>
            <w:r w:rsidRPr="00BD0DC7">
              <w:rPr>
                <w:rFonts w:eastAsia="Calibri"/>
              </w:rPr>
              <w:t xml:space="preserve"> g</w:t>
            </w:r>
          </w:p>
        </w:tc>
      </w:tr>
      <w:tr w:rsidR="00CB0677" w:rsidRPr="00071DE1" w14:paraId="71ECB153" w14:textId="77777777" w:rsidTr="00CB0677">
        <w:trPr>
          <w:tblHeader/>
        </w:trPr>
        <w:tc>
          <w:tcPr>
            <w:tcW w:w="1839" w:type="pct"/>
            <w:vMerge w:val="restart"/>
            <w:tcMar>
              <w:top w:w="57" w:type="dxa"/>
              <w:bottom w:w="57" w:type="dxa"/>
            </w:tcMar>
          </w:tcPr>
          <w:p w14:paraId="5ADD77DF" w14:textId="77777777" w:rsidR="00CB0677" w:rsidRPr="00071DE1" w:rsidRDefault="00CB0677" w:rsidP="00CB0677">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w:t>
            </w:r>
            <w:r>
              <w:rPr>
                <w:rFonts w:eastAsia="Calibri"/>
              </w:rPr>
              <w:t>2 to &lt; 6</w:t>
            </w:r>
            <w:r w:rsidRPr="00994E49">
              <w:rPr>
                <w:rFonts w:eastAsia="Calibri"/>
              </w:rPr>
              <w:t xml:space="preserve"> years old</w:t>
            </w:r>
          </w:p>
        </w:tc>
        <w:tc>
          <w:tcPr>
            <w:tcW w:w="2507" w:type="pct"/>
            <w:shd w:val="clear" w:color="auto" w:fill="auto"/>
            <w:tcMar>
              <w:top w:w="57" w:type="dxa"/>
              <w:bottom w:w="57" w:type="dxa"/>
            </w:tcMar>
          </w:tcPr>
          <w:p w14:paraId="7D4C9700" w14:textId="77777777" w:rsidR="00CB0677" w:rsidRPr="005D7417" w:rsidRDefault="00CB0677" w:rsidP="00CB0677">
            <w:pPr>
              <w:pStyle w:val="Standaard-Tabellen"/>
              <w:rPr>
                <w:rFonts w:eastAsia="Calibri"/>
              </w:rPr>
            </w:pPr>
            <w:r w:rsidRPr="005D7417">
              <w:rPr>
                <w:rFonts w:eastAsia="Calibri"/>
              </w:rPr>
              <w:t>Number of application / day</w:t>
            </w:r>
            <w:r w:rsidRPr="005D7417">
              <w:rPr>
                <w:rFonts w:eastAsia="Calibri"/>
                <w:vertAlign w:val="superscript"/>
              </w:rPr>
              <w:t>1</w:t>
            </w:r>
          </w:p>
        </w:tc>
        <w:tc>
          <w:tcPr>
            <w:tcW w:w="654" w:type="pct"/>
            <w:shd w:val="clear" w:color="auto" w:fill="auto"/>
            <w:tcMar>
              <w:top w:w="57" w:type="dxa"/>
              <w:bottom w:w="57" w:type="dxa"/>
            </w:tcMar>
          </w:tcPr>
          <w:p w14:paraId="7E49D7E7" w14:textId="77777777" w:rsidR="00CB0677" w:rsidRPr="005D7417" w:rsidRDefault="00CB0677" w:rsidP="00CB0677">
            <w:pPr>
              <w:pStyle w:val="Standaard-Tabellen"/>
              <w:rPr>
                <w:rFonts w:eastAsia="Calibri"/>
              </w:rPr>
            </w:pPr>
            <w:r w:rsidRPr="005D7417">
              <w:rPr>
                <w:rFonts w:eastAsia="Calibri"/>
              </w:rPr>
              <w:t>2</w:t>
            </w:r>
          </w:p>
        </w:tc>
      </w:tr>
      <w:tr w:rsidR="00CB0677" w:rsidRPr="00071DE1" w14:paraId="3CAE25E0" w14:textId="77777777" w:rsidTr="00CB0677">
        <w:trPr>
          <w:tblHeader/>
        </w:trPr>
        <w:tc>
          <w:tcPr>
            <w:tcW w:w="1839" w:type="pct"/>
            <w:vMerge/>
            <w:tcMar>
              <w:top w:w="57" w:type="dxa"/>
              <w:bottom w:w="57" w:type="dxa"/>
            </w:tcMar>
          </w:tcPr>
          <w:p w14:paraId="205BB976" w14:textId="77777777" w:rsidR="00CB0677" w:rsidRPr="00071DE1" w:rsidRDefault="00CB0677" w:rsidP="00CB0677">
            <w:pPr>
              <w:pStyle w:val="Standaard-Tabellen"/>
              <w:rPr>
                <w:rFonts w:eastAsia="Calibri"/>
              </w:rPr>
            </w:pPr>
          </w:p>
        </w:tc>
        <w:tc>
          <w:tcPr>
            <w:tcW w:w="2507" w:type="pct"/>
            <w:shd w:val="clear" w:color="auto" w:fill="auto"/>
            <w:tcMar>
              <w:top w:w="57" w:type="dxa"/>
              <w:bottom w:w="57" w:type="dxa"/>
            </w:tcMar>
          </w:tcPr>
          <w:p w14:paraId="79E6A487" w14:textId="77777777" w:rsidR="00CB0677" w:rsidRPr="005D7417" w:rsidRDefault="00CB0677" w:rsidP="00CB0677">
            <w:pPr>
              <w:pStyle w:val="Standaard-Tabellen"/>
              <w:rPr>
                <w:rFonts w:eastAsia="Calibri"/>
              </w:rPr>
            </w:pPr>
            <w:r w:rsidRPr="005D7417">
              <w:rPr>
                <w:rFonts w:eastAsia="Calibri"/>
              </w:rPr>
              <w:t>Body weight</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2042C5E2" w14:textId="18AC9C94" w:rsidR="00CB0677" w:rsidRPr="005D7417" w:rsidRDefault="00CB0677" w:rsidP="00CB0677">
            <w:pPr>
              <w:pStyle w:val="Standaard-Tabellen"/>
              <w:rPr>
                <w:rFonts w:eastAsia="Calibri"/>
              </w:rPr>
            </w:pPr>
            <w:r w:rsidRPr="005D7417">
              <w:rPr>
                <w:rFonts w:eastAsia="Calibri"/>
              </w:rPr>
              <w:t>1</w:t>
            </w:r>
            <w:r w:rsidR="0051114E">
              <w:rPr>
                <w:rFonts w:eastAsia="Calibri"/>
              </w:rPr>
              <w:t>5.6</w:t>
            </w:r>
            <w:r w:rsidRPr="005D7417">
              <w:rPr>
                <w:rFonts w:eastAsia="Calibri"/>
              </w:rPr>
              <w:t xml:space="preserve"> kg</w:t>
            </w:r>
          </w:p>
        </w:tc>
      </w:tr>
      <w:tr w:rsidR="00CB0677" w:rsidRPr="00071DE1" w14:paraId="5A8FF9A2" w14:textId="77777777" w:rsidTr="00CB0677">
        <w:trPr>
          <w:tblHeader/>
        </w:trPr>
        <w:tc>
          <w:tcPr>
            <w:tcW w:w="1839" w:type="pct"/>
            <w:vMerge/>
            <w:tcMar>
              <w:top w:w="57" w:type="dxa"/>
              <w:bottom w:w="57" w:type="dxa"/>
            </w:tcMar>
          </w:tcPr>
          <w:p w14:paraId="7FEFD3BE" w14:textId="77777777" w:rsidR="00CB0677" w:rsidRPr="00071DE1" w:rsidRDefault="00CB0677" w:rsidP="00CB0677">
            <w:pPr>
              <w:pStyle w:val="Standaard-Tabellen"/>
              <w:rPr>
                <w:rFonts w:eastAsia="Calibri"/>
              </w:rPr>
            </w:pPr>
          </w:p>
        </w:tc>
        <w:tc>
          <w:tcPr>
            <w:tcW w:w="2507" w:type="pct"/>
            <w:shd w:val="clear" w:color="auto" w:fill="auto"/>
            <w:tcMar>
              <w:top w:w="57" w:type="dxa"/>
              <w:bottom w:w="57" w:type="dxa"/>
            </w:tcMar>
          </w:tcPr>
          <w:p w14:paraId="2E9B2A44" w14:textId="77777777" w:rsidR="00CB0677" w:rsidRPr="005D7417" w:rsidRDefault="00CB0677" w:rsidP="00CB0677">
            <w:pPr>
              <w:pStyle w:val="Standaard-Tabellen"/>
              <w:rPr>
                <w:rFonts w:eastAsia="Calibri"/>
              </w:rPr>
            </w:pPr>
            <w:r w:rsidRPr="005D7417">
              <w:rPr>
                <w:rFonts w:eastAsia="Calibri"/>
              </w:rPr>
              <w:t>Amount of biocidal product/ application</w:t>
            </w:r>
            <w:r w:rsidRPr="005D7417">
              <w:rPr>
                <w:rFonts w:eastAsia="Calibri"/>
                <w:vertAlign w:val="superscript"/>
              </w:rPr>
              <w:t>1</w:t>
            </w:r>
          </w:p>
        </w:tc>
        <w:tc>
          <w:tcPr>
            <w:tcW w:w="654" w:type="pct"/>
            <w:shd w:val="clear" w:color="auto" w:fill="auto"/>
            <w:tcMar>
              <w:top w:w="57" w:type="dxa"/>
              <w:bottom w:w="57" w:type="dxa"/>
            </w:tcMar>
          </w:tcPr>
          <w:p w14:paraId="11B1517E" w14:textId="77777777" w:rsidR="00CB0677" w:rsidRPr="005D7417" w:rsidRDefault="00CB0677" w:rsidP="00CB0677">
            <w:pPr>
              <w:pStyle w:val="Standaard-Tabellen"/>
              <w:rPr>
                <w:rFonts w:eastAsia="Calibri"/>
              </w:rPr>
            </w:pPr>
            <w:r>
              <w:rPr>
                <w:rFonts w:eastAsia="Calibri"/>
              </w:rPr>
              <w:t>4.30</w:t>
            </w:r>
            <w:r w:rsidRPr="005D7417">
              <w:rPr>
                <w:rFonts w:eastAsia="Calibri"/>
              </w:rPr>
              <w:t xml:space="preserve"> g</w:t>
            </w:r>
          </w:p>
        </w:tc>
      </w:tr>
      <w:tr w:rsidR="00CB0677" w:rsidRPr="00071DE1" w14:paraId="6E8D2583" w14:textId="77777777" w:rsidTr="00CB0677">
        <w:trPr>
          <w:tblHeader/>
        </w:trPr>
        <w:tc>
          <w:tcPr>
            <w:tcW w:w="1839" w:type="pct"/>
            <w:vMerge w:val="restart"/>
            <w:tcMar>
              <w:top w:w="57" w:type="dxa"/>
              <w:bottom w:w="57" w:type="dxa"/>
            </w:tcMar>
          </w:tcPr>
          <w:p w14:paraId="606891CB" w14:textId="77777777" w:rsidR="00CB0677" w:rsidRPr="00071DE1" w:rsidRDefault="00CB0677" w:rsidP="00CB0677">
            <w:pPr>
              <w:pStyle w:val="Standaard-Tabellen"/>
              <w:rPr>
                <w:rFonts w:eastAsia="Calibri"/>
              </w:rPr>
            </w:pPr>
            <w:r w:rsidRPr="000B65BB">
              <w:rPr>
                <w:rFonts w:eastAsia="Calibri"/>
              </w:rPr>
              <w:t>Tier 1- Toddler</w:t>
            </w:r>
          </w:p>
        </w:tc>
        <w:tc>
          <w:tcPr>
            <w:tcW w:w="2507" w:type="pct"/>
            <w:shd w:val="clear" w:color="auto" w:fill="auto"/>
            <w:tcMar>
              <w:top w:w="57" w:type="dxa"/>
              <w:bottom w:w="57" w:type="dxa"/>
            </w:tcMar>
          </w:tcPr>
          <w:p w14:paraId="26ADFFB3" w14:textId="77777777" w:rsidR="00CB0677" w:rsidRPr="005D7417" w:rsidRDefault="00CB0677" w:rsidP="00CB0677">
            <w:pPr>
              <w:pStyle w:val="Standaard-Tabellen"/>
              <w:rPr>
                <w:rFonts w:eastAsia="Calibri"/>
              </w:rPr>
            </w:pPr>
            <w:r w:rsidRPr="005D7417">
              <w:rPr>
                <w:rFonts w:eastAsia="Calibri"/>
              </w:rPr>
              <w:t>Number of application / day</w:t>
            </w:r>
            <w:r w:rsidRPr="005D7417">
              <w:rPr>
                <w:rFonts w:eastAsia="Calibri"/>
                <w:vertAlign w:val="superscript"/>
              </w:rPr>
              <w:t>1</w:t>
            </w:r>
          </w:p>
        </w:tc>
        <w:tc>
          <w:tcPr>
            <w:tcW w:w="654" w:type="pct"/>
            <w:shd w:val="clear" w:color="auto" w:fill="auto"/>
            <w:tcMar>
              <w:top w:w="57" w:type="dxa"/>
              <w:bottom w:w="57" w:type="dxa"/>
            </w:tcMar>
          </w:tcPr>
          <w:p w14:paraId="7C373F87" w14:textId="77777777" w:rsidR="00CB0677" w:rsidRPr="005D7417" w:rsidRDefault="00CB0677" w:rsidP="00CB0677">
            <w:pPr>
              <w:pStyle w:val="Standaard-Tabellen"/>
              <w:rPr>
                <w:rFonts w:eastAsia="Calibri"/>
              </w:rPr>
            </w:pPr>
            <w:r>
              <w:rPr>
                <w:rFonts w:eastAsia="Calibri"/>
              </w:rPr>
              <w:t>2</w:t>
            </w:r>
          </w:p>
        </w:tc>
      </w:tr>
      <w:tr w:rsidR="00CB0677" w:rsidRPr="00071DE1" w14:paraId="694D5DD0" w14:textId="77777777" w:rsidTr="00CB0677">
        <w:trPr>
          <w:tblHeader/>
        </w:trPr>
        <w:tc>
          <w:tcPr>
            <w:tcW w:w="1839" w:type="pct"/>
            <w:vMerge/>
            <w:tcMar>
              <w:top w:w="57" w:type="dxa"/>
              <w:bottom w:w="57" w:type="dxa"/>
            </w:tcMar>
          </w:tcPr>
          <w:p w14:paraId="37E4FC04" w14:textId="77777777" w:rsidR="00CB0677" w:rsidRPr="00071DE1" w:rsidRDefault="00CB0677" w:rsidP="00CB0677">
            <w:pPr>
              <w:pStyle w:val="Standaard-Tabellen"/>
              <w:rPr>
                <w:rFonts w:eastAsia="Calibri"/>
              </w:rPr>
            </w:pPr>
          </w:p>
        </w:tc>
        <w:tc>
          <w:tcPr>
            <w:tcW w:w="2507" w:type="pct"/>
            <w:shd w:val="clear" w:color="auto" w:fill="auto"/>
            <w:tcMar>
              <w:top w:w="57" w:type="dxa"/>
              <w:bottom w:w="57" w:type="dxa"/>
            </w:tcMar>
          </w:tcPr>
          <w:p w14:paraId="66A4EECE" w14:textId="77777777" w:rsidR="00CB0677" w:rsidRPr="005D7417" w:rsidRDefault="00CB0677" w:rsidP="00CB0677">
            <w:pPr>
              <w:pStyle w:val="Standaard-Tabellen"/>
              <w:rPr>
                <w:rFonts w:eastAsia="Calibri"/>
              </w:rPr>
            </w:pPr>
            <w:r w:rsidRPr="005D7417">
              <w:rPr>
                <w:rFonts w:eastAsia="Calibri"/>
              </w:rPr>
              <w:t>Body weight</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606A4E5E" w14:textId="3EB0EE24" w:rsidR="00CB0677" w:rsidRPr="005D7417" w:rsidRDefault="0051114E" w:rsidP="00CB0677">
            <w:pPr>
              <w:pStyle w:val="Standaard-Tabellen"/>
              <w:rPr>
                <w:rFonts w:eastAsia="Calibri"/>
              </w:rPr>
            </w:pPr>
            <w:r>
              <w:rPr>
                <w:rFonts w:eastAsia="Calibri"/>
              </w:rPr>
              <w:t xml:space="preserve">10 </w:t>
            </w:r>
            <w:r w:rsidR="00CB0677" w:rsidRPr="005D7417">
              <w:rPr>
                <w:rFonts w:eastAsia="Calibri"/>
              </w:rPr>
              <w:t xml:space="preserve"> kg</w:t>
            </w:r>
          </w:p>
        </w:tc>
      </w:tr>
      <w:tr w:rsidR="00CB0677" w:rsidRPr="00071DE1" w14:paraId="617EC496" w14:textId="77777777" w:rsidTr="00CB0677">
        <w:trPr>
          <w:tblHeader/>
        </w:trPr>
        <w:tc>
          <w:tcPr>
            <w:tcW w:w="1839" w:type="pct"/>
            <w:vMerge/>
            <w:tcMar>
              <w:top w:w="57" w:type="dxa"/>
              <w:bottom w:w="57" w:type="dxa"/>
            </w:tcMar>
          </w:tcPr>
          <w:p w14:paraId="5814E375" w14:textId="77777777" w:rsidR="00CB0677" w:rsidRPr="00071DE1" w:rsidRDefault="00CB0677" w:rsidP="00CB0677">
            <w:pPr>
              <w:pStyle w:val="Standaard-Tabellen"/>
              <w:rPr>
                <w:rFonts w:eastAsia="Calibri"/>
              </w:rPr>
            </w:pPr>
          </w:p>
        </w:tc>
        <w:tc>
          <w:tcPr>
            <w:tcW w:w="2507" w:type="pct"/>
            <w:shd w:val="clear" w:color="auto" w:fill="auto"/>
            <w:tcMar>
              <w:top w:w="57" w:type="dxa"/>
              <w:bottom w:w="57" w:type="dxa"/>
            </w:tcMar>
          </w:tcPr>
          <w:p w14:paraId="3466D2C0" w14:textId="77777777" w:rsidR="00CB0677" w:rsidRPr="00071DE1" w:rsidRDefault="00CB0677" w:rsidP="00CB0677">
            <w:pPr>
              <w:pStyle w:val="Standaard-Tabellen"/>
              <w:rPr>
                <w:rFonts w:eastAsia="Calibri"/>
              </w:rPr>
            </w:pPr>
            <w:r w:rsidRPr="00071DE1">
              <w:rPr>
                <w:rFonts w:eastAsia="Calibri"/>
              </w:rPr>
              <w:t>Amount of biocidal product/ application</w:t>
            </w:r>
            <w:r w:rsidRPr="00071DE1">
              <w:rPr>
                <w:rFonts w:eastAsia="Calibri"/>
                <w:vertAlign w:val="superscript"/>
              </w:rPr>
              <w:t>1</w:t>
            </w:r>
            <w:r w:rsidRPr="00071DE1">
              <w:rPr>
                <w:rFonts w:eastAsia="Calibri"/>
              </w:rPr>
              <w:t xml:space="preserve"> </w:t>
            </w:r>
          </w:p>
        </w:tc>
        <w:tc>
          <w:tcPr>
            <w:tcW w:w="654" w:type="pct"/>
            <w:shd w:val="clear" w:color="auto" w:fill="auto"/>
            <w:tcMar>
              <w:top w:w="57" w:type="dxa"/>
              <w:bottom w:w="57" w:type="dxa"/>
            </w:tcMar>
          </w:tcPr>
          <w:p w14:paraId="67AFE205" w14:textId="77777777" w:rsidR="00CB0677" w:rsidRPr="00071DE1" w:rsidRDefault="00CB0677" w:rsidP="00CB0677">
            <w:pPr>
              <w:pStyle w:val="Standaard-Tabellen"/>
              <w:rPr>
                <w:rFonts w:eastAsia="Calibri"/>
              </w:rPr>
            </w:pPr>
            <w:r>
              <w:rPr>
                <w:rFonts w:eastAsia="Calibri"/>
              </w:rPr>
              <w:t>3.04</w:t>
            </w:r>
            <w:r w:rsidRPr="00071DE1">
              <w:rPr>
                <w:rFonts w:eastAsia="Calibri"/>
              </w:rPr>
              <w:t xml:space="preserve"> g</w:t>
            </w:r>
          </w:p>
        </w:tc>
      </w:tr>
      <w:tr w:rsidR="00CB0677" w:rsidRPr="00071DE1" w14:paraId="160BB440" w14:textId="77777777" w:rsidTr="00CB0677">
        <w:trPr>
          <w:tblHeader/>
        </w:trPr>
        <w:tc>
          <w:tcPr>
            <w:tcW w:w="1839" w:type="pct"/>
            <w:vMerge w:val="restart"/>
            <w:tcMar>
              <w:top w:w="57" w:type="dxa"/>
              <w:bottom w:w="57" w:type="dxa"/>
            </w:tcMar>
          </w:tcPr>
          <w:p w14:paraId="5748A879" w14:textId="77777777" w:rsidR="00CB0677" w:rsidRPr="00071DE1" w:rsidRDefault="00CB0677" w:rsidP="00CB0677">
            <w:pPr>
              <w:pStyle w:val="Standaard-Tabellen"/>
              <w:rPr>
                <w:rFonts w:eastAsia="Calibri"/>
              </w:rPr>
            </w:pPr>
            <w:r w:rsidRPr="000B65BB">
              <w:rPr>
                <w:rFonts w:eastAsia="Calibri"/>
              </w:rPr>
              <w:t>Tier 1- Infant</w:t>
            </w:r>
          </w:p>
        </w:tc>
        <w:tc>
          <w:tcPr>
            <w:tcW w:w="2507" w:type="pct"/>
            <w:shd w:val="clear" w:color="auto" w:fill="auto"/>
            <w:tcMar>
              <w:top w:w="57" w:type="dxa"/>
              <w:bottom w:w="57" w:type="dxa"/>
            </w:tcMar>
          </w:tcPr>
          <w:p w14:paraId="19741F13" w14:textId="77777777" w:rsidR="00CB0677" w:rsidRPr="00071DE1" w:rsidRDefault="00CB0677" w:rsidP="00CB0677">
            <w:pPr>
              <w:pStyle w:val="Standaard-Tabellen"/>
              <w:rPr>
                <w:rFonts w:eastAsia="Calibri"/>
              </w:rPr>
            </w:pPr>
            <w:r w:rsidRPr="005D7417">
              <w:rPr>
                <w:rFonts w:eastAsia="Calibri"/>
              </w:rPr>
              <w:t>Number of application / day</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16D8CBB6" w14:textId="77777777" w:rsidR="00CB0677" w:rsidRDefault="00CB0677" w:rsidP="00CB0677">
            <w:pPr>
              <w:pStyle w:val="Standaard-Tabellen"/>
              <w:rPr>
                <w:rFonts w:eastAsia="Calibri"/>
              </w:rPr>
            </w:pPr>
            <w:r>
              <w:rPr>
                <w:rFonts w:eastAsia="Calibri"/>
              </w:rPr>
              <w:t>2</w:t>
            </w:r>
          </w:p>
        </w:tc>
      </w:tr>
      <w:tr w:rsidR="00CB0677" w:rsidRPr="00071DE1" w14:paraId="75BA5F64" w14:textId="77777777" w:rsidTr="00CB0677">
        <w:trPr>
          <w:tblHeader/>
        </w:trPr>
        <w:tc>
          <w:tcPr>
            <w:tcW w:w="1839" w:type="pct"/>
            <w:vMerge/>
            <w:tcMar>
              <w:top w:w="57" w:type="dxa"/>
              <w:bottom w:w="57" w:type="dxa"/>
            </w:tcMar>
          </w:tcPr>
          <w:p w14:paraId="5A0EB864" w14:textId="77777777" w:rsidR="00CB0677" w:rsidRPr="00071DE1" w:rsidRDefault="00CB0677" w:rsidP="00CB0677">
            <w:pPr>
              <w:pStyle w:val="Standaard-Tabellen"/>
              <w:rPr>
                <w:rFonts w:eastAsia="Calibri"/>
              </w:rPr>
            </w:pPr>
          </w:p>
        </w:tc>
        <w:tc>
          <w:tcPr>
            <w:tcW w:w="2507" w:type="pct"/>
            <w:shd w:val="clear" w:color="auto" w:fill="auto"/>
            <w:tcMar>
              <w:top w:w="57" w:type="dxa"/>
              <w:bottom w:w="57" w:type="dxa"/>
            </w:tcMar>
          </w:tcPr>
          <w:p w14:paraId="01C4B690" w14:textId="77777777" w:rsidR="00CB0677" w:rsidRPr="00071DE1" w:rsidRDefault="00CB0677" w:rsidP="00CB0677">
            <w:pPr>
              <w:pStyle w:val="Standaard-Tabellen"/>
              <w:rPr>
                <w:rFonts w:eastAsia="Calibri"/>
              </w:rPr>
            </w:pPr>
            <w:r w:rsidRPr="005D7417">
              <w:rPr>
                <w:rFonts w:eastAsia="Calibri"/>
              </w:rPr>
              <w:t>Body weight</w:t>
            </w:r>
            <w:r w:rsidRPr="005D7417">
              <w:rPr>
                <w:rFonts w:eastAsia="Calibri"/>
                <w:vertAlign w:val="superscript"/>
              </w:rPr>
              <w:t>1</w:t>
            </w:r>
          </w:p>
        </w:tc>
        <w:tc>
          <w:tcPr>
            <w:tcW w:w="654" w:type="pct"/>
            <w:shd w:val="clear" w:color="auto" w:fill="auto"/>
            <w:tcMar>
              <w:top w:w="57" w:type="dxa"/>
              <w:bottom w:w="57" w:type="dxa"/>
            </w:tcMar>
          </w:tcPr>
          <w:p w14:paraId="729C6ACE" w14:textId="5B9BED6B" w:rsidR="00CB0677" w:rsidRDefault="0051114E" w:rsidP="00CB0677">
            <w:pPr>
              <w:pStyle w:val="Standaard-Tabellen"/>
              <w:rPr>
                <w:rFonts w:eastAsia="Calibri"/>
              </w:rPr>
            </w:pPr>
            <w:r>
              <w:rPr>
                <w:rFonts w:eastAsia="Calibri"/>
              </w:rPr>
              <w:t xml:space="preserve">8 </w:t>
            </w:r>
            <w:r w:rsidR="00CB0677" w:rsidRPr="005D7417">
              <w:rPr>
                <w:rFonts w:eastAsia="Calibri"/>
              </w:rPr>
              <w:t xml:space="preserve"> kg</w:t>
            </w:r>
          </w:p>
        </w:tc>
      </w:tr>
      <w:tr w:rsidR="00CB0677" w:rsidRPr="00071DE1" w14:paraId="21C0A3E3" w14:textId="77777777" w:rsidTr="00CB0677">
        <w:trPr>
          <w:tblHeader/>
        </w:trPr>
        <w:tc>
          <w:tcPr>
            <w:tcW w:w="1839" w:type="pct"/>
            <w:vMerge/>
            <w:tcMar>
              <w:top w:w="57" w:type="dxa"/>
              <w:bottom w:w="57" w:type="dxa"/>
            </w:tcMar>
          </w:tcPr>
          <w:p w14:paraId="09EA6828" w14:textId="77777777" w:rsidR="00CB0677" w:rsidRPr="00071DE1" w:rsidRDefault="00CB0677" w:rsidP="00CB0677">
            <w:pPr>
              <w:pStyle w:val="Standaard-Tabellen"/>
              <w:rPr>
                <w:rFonts w:eastAsia="Calibri"/>
              </w:rPr>
            </w:pPr>
          </w:p>
        </w:tc>
        <w:tc>
          <w:tcPr>
            <w:tcW w:w="2507" w:type="pct"/>
            <w:shd w:val="clear" w:color="auto" w:fill="auto"/>
            <w:tcMar>
              <w:top w:w="57" w:type="dxa"/>
              <w:bottom w:w="57" w:type="dxa"/>
            </w:tcMar>
          </w:tcPr>
          <w:p w14:paraId="00AA7E82" w14:textId="77777777" w:rsidR="00CB0677" w:rsidRPr="00071DE1" w:rsidRDefault="00CB0677" w:rsidP="00CB0677">
            <w:pPr>
              <w:pStyle w:val="Standaard-Tabellen"/>
              <w:rPr>
                <w:rFonts w:eastAsia="Calibri"/>
              </w:rPr>
            </w:pPr>
            <w:r w:rsidRPr="005D7417">
              <w:rPr>
                <w:rFonts w:eastAsia="Calibri"/>
              </w:rPr>
              <w:t>Amount of biocidal product/ application</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27C3E8A4" w14:textId="77777777" w:rsidR="00CB0677" w:rsidRDefault="00CB0677" w:rsidP="00CB0677">
            <w:pPr>
              <w:pStyle w:val="Standaard-Tabellen"/>
              <w:rPr>
                <w:rFonts w:eastAsia="Calibri"/>
              </w:rPr>
            </w:pPr>
            <w:r>
              <w:rPr>
                <w:rFonts w:eastAsia="Calibri"/>
              </w:rPr>
              <w:t>2.59</w:t>
            </w:r>
            <w:r w:rsidRPr="005D7417">
              <w:rPr>
                <w:rFonts w:eastAsia="Calibri"/>
              </w:rPr>
              <w:t xml:space="preserve"> g</w:t>
            </w:r>
          </w:p>
        </w:tc>
      </w:tr>
      <w:tr w:rsidR="00CB0677" w:rsidRPr="00071DE1" w14:paraId="4DC802A3" w14:textId="77777777" w:rsidTr="00CB0677">
        <w:trPr>
          <w:tblHeader/>
        </w:trPr>
        <w:tc>
          <w:tcPr>
            <w:tcW w:w="1839" w:type="pct"/>
            <w:tcMar>
              <w:top w:w="57" w:type="dxa"/>
              <w:bottom w:w="57" w:type="dxa"/>
            </w:tcMar>
          </w:tcPr>
          <w:p w14:paraId="765C054E" w14:textId="77777777" w:rsidR="00CB0677" w:rsidRPr="00071DE1" w:rsidRDefault="00CB0677" w:rsidP="00CB0677">
            <w:pPr>
              <w:pStyle w:val="Standaard-Tabellen"/>
              <w:rPr>
                <w:rFonts w:eastAsia="Calibri"/>
              </w:rPr>
            </w:pPr>
            <w:r w:rsidRPr="000B65BB">
              <w:rPr>
                <w:rFonts w:eastAsia="Calibri"/>
              </w:rPr>
              <w:t xml:space="preserve">Tier </w:t>
            </w:r>
            <w:r>
              <w:rPr>
                <w:rFonts w:eastAsia="Calibri"/>
              </w:rPr>
              <w:t>2</w:t>
            </w:r>
            <w:r w:rsidRPr="000B65BB">
              <w:rPr>
                <w:rFonts w:eastAsia="Calibri"/>
              </w:rPr>
              <w:t>- Adult</w:t>
            </w:r>
          </w:p>
        </w:tc>
        <w:tc>
          <w:tcPr>
            <w:tcW w:w="2507" w:type="pct"/>
            <w:shd w:val="clear" w:color="auto" w:fill="auto"/>
            <w:tcMar>
              <w:top w:w="57" w:type="dxa"/>
              <w:bottom w:w="57" w:type="dxa"/>
            </w:tcMar>
          </w:tcPr>
          <w:p w14:paraId="43446E9E" w14:textId="77777777" w:rsidR="00CB0677" w:rsidRPr="005D7417" w:rsidRDefault="00CB0677" w:rsidP="00CB0677">
            <w:pPr>
              <w:pStyle w:val="Standaard-Tabellen"/>
              <w:rPr>
                <w:rFonts w:eastAsia="Calibri"/>
              </w:rPr>
            </w:pPr>
            <w:r w:rsidRPr="000B65BB">
              <w:rPr>
                <w:rFonts w:eastAsia="Calibri"/>
              </w:rPr>
              <w:t>Number of application / day</w:t>
            </w:r>
            <w:r>
              <w:rPr>
                <w:rFonts w:eastAsia="Calibri"/>
                <w:vertAlign w:val="superscript"/>
              </w:rPr>
              <w:t>2</w:t>
            </w:r>
          </w:p>
        </w:tc>
        <w:tc>
          <w:tcPr>
            <w:tcW w:w="654" w:type="pct"/>
            <w:shd w:val="clear" w:color="auto" w:fill="auto"/>
            <w:tcMar>
              <w:top w:w="57" w:type="dxa"/>
              <w:bottom w:w="57" w:type="dxa"/>
            </w:tcMar>
          </w:tcPr>
          <w:p w14:paraId="33548D93" w14:textId="77777777" w:rsidR="00CB0677" w:rsidRDefault="00CB0677" w:rsidP="00CB0677">
            <w:pPr>
              <w:pStyle w:val="Standaard-Tabellen"/>
              <w:rPr>
                <w:rFonts w:eastAsia="Calibri"/>
              </w:rPr>
            </w:pPr>
            <w:r>
              <w:rPr>
                <w:rFonts w:eastAsia="Calibri"/>
              </w:rPr>
              <w:t>6</w:t>
            </w:r>
          </w:p>
        </w:tc>
      </w:tr>
      <w:tr w:rsidR="00CB0677" w:rsidRPr="00071DE1" w14:paraId="3217AC15" w14:textId="77777777" w:rsidTr="00CB0677">
        <w:trPr>
          <w:tblHeader/>
        </w:trPr>
        <w:tc>
          <w:tcPr>
            <w:tcW w:w="1839" w:type="pct"/>
            <w:tcMar>
              <w:top w:w="57" w:type="dxa"/>
              <w:bottom w:w="57" w:type="dxa"/>
            </w:tcMar>
          </w:tcPr>
          <w:p w14:paraId="0D1A16F0" w14:textId="77777777" w:rsidR="00CB0677" w:rsidRPr="00071DE1" w:rsidRDefault="00CB0677" w:rsidP="00CB0677">
            <w:pPr>
              <w:pStyle w:val="Standaard-Tabellen"/>
              <w:rPr>
                <w:rFonts w:eastAsia="Calibri"/>
              </w:rPr>
            </w:pPr>
            <w:r w:rsidRPr="00A22424">
              <w:rPr>
                <w:rFonts w:eastAsia="Calibri"/>
              </w:rPr>
              <w:t xml:space="preserve">Tier </w:t>
            </w:r>
            <w:r>
              <w:rPr>
                <w:rFonts w:eastAsia="Calibri"/>
              </w:rPr>
              <w:t>2</w:t>
            </w:r>
            <w:r w:rsidRPr="00A22424">
              <w:rPr>
                <w:rFonts w:eastAsia="Calibri"/>
              </w:rPr>
              <w:t>- Child 6 to &lt; 12 years old</w:t>
            </w:r>
          </w:p>
        </w:tc>
        <w:tc>
          <w:tcPr>
            <w:tcW w:w="2507" w:type="pct"/>
            <w:shd w:val="clear" w:color="auto" w:fill="auto"/>
            <w:tcMar>
              <w:top w:w="57" w:type="dxa"/>
              <w:bottom w:w="57" w:type="dxa"/>
            </w:tcMar>
          </w:tcPr>
          <w:p w14:paraId="3CEEA1FF" w14:textId="77777777" w:rsidR="00CB0677" w:rsidRPr="005D7417" w:rsidRDefault="00CB0677" w:rsidP="00CB0677">
            <w:pPr>
              <w:pStyle w:val="Standaard-Tabellen"/>
              <w:rPr>
                <w:rFonts w:eastAsia="Calibri"/>
              </w:rPr>
            </w:pPr>
            <w:r w:rsidRPr="000B65BB">
              <w:rPr>
                <w:rFonts w:eastAsia="Calibri"/>
              </w:rPr>
              <w:t>Number of application / day</w:t>
            </w:r>
            <w:r>
              <w:rPr>
                <w:rFonts w:eastAsia="Calibri"/>
                <w:vertAlign w:val="superscript"/>
              </w:rPr>
              <w:t>2</w:t>
            </w:r>
          </w:p>
        </w:tc>
        <w:tc>
          <w:tcPr>
            <w:tcW w:w="654" w:type="pct"/>
            <w:shd w:val="clear" w:color="auto" w:fill="auto"/>
            <w:tcMar>
              <w:top w:w="57" w:type="dxa"/>
              <w:bottom w:w="57" w:type="dxa"/>
            </w:tcMar>
          </w:tcPr>
          <w:p w14:paraId="29C97EF1" w14:textId="77777777" w:rsidR="00CB0677" w:rsidRDefault="00CB0677" w:rsidP="00CB0677">
            <w:pPr>
              <w:pStyle w:val="Standaard-Tabellen"/>
              <w:rPr>
                <w:rFonts w:eastAsia="Calibri"/>
              </w:rPr>
            </w:pPr>
            <w:r>
              <w:rPr>
                <w:rFonts w:eastAsia="Calibri"/>
              </w:rPr>
              <w:t>3</w:t>
            </w:r>
          </w:p>
        </w:tc>
      </w:tr>
      <w:tr w:rsidR="00CB0677" w:rsidRPr="00071DE1" w14:paraId="5646D32D" w14:textId="77777777" w:rsidTr="00CB0677">
        <w:trPr>
          <w:tblHeader/>
        </w:trPr>
        <w:tc>
          <w:tcPr>
            <w:tcW w:w="1839" w:type="pct"/>
            <w:tcMar>
              <w:top w:w="57" w:type="dxa"/>
              <w:bottom w:w="57" w:type="dxa"/>
            </w:tcMar>
          </w:tcPr>
          <w:p w14:paraId="513174E0" w14:textId="77777777" w:rsidR="00CB0677" w:rsidRPr="00071DE1" w:rsidRDefault="00CB0677" w:rsidP="00CB0677">
            <w:pPr>
              <w:pStyle w:val="Standaard-Tabellen"/>
              <w:rPr>
                <w:rFonts w:eastAsia="Calibri"/>
              </w:rPr>
            </w:pPr>
            <w:r w:rsidRPr="00A22424">
              <w:rPr>
                <w:rFonts w:eastAsia="Calibri"/>
              </w:rPr>
              <w:t xml:space="preserve">Tier </w:t>
            </w:r>
            <w:r>
              <w:rPr>
                <w:rFonts w:eastAsia="Calibri"/>
              </w:rPr>
              <w:t>2</w:t>
            </w:r>
            <w:r w:rsidRPr="00A22424">
              <w:rPr>
                <w:rFonts w:eastAsia="Calibri"/>
              </w:rPr>
              <w:t>- Child 2 to &lt; 6 years old</w:t>
            </w:r>
          </w:p>
        </w:tc>
        <w:tc>
          <w:tcPr>
            <w:tcW w:w="2507" w:type="pct"/>
            <w:shd w:val="clear" w:color="auto" w:fill="auto"/>
            <w:tcMar>
              <w:top w:w="57" w:type="dxa"/>
              <w:bottom w:w="57" w:type="dxa"/>
            </w:tcMar>
          </w:tcPr>
          <w:p w14:paraId="715D87A5" w14:textId="77777777" w:rsidR="00CB0677" w:rsidRPr="005D7417" w:rsidRDefault="00CB0677" w:rsidP="00CB0677">
            <w:pPr>
              <w:pStyle w:val="Standaard-Tabellen"/>
              <w:rPr>
                <w:rFonts w:eastAsia="Calibri"/>
              </w:rPr>
            </w:pPr>
            <w:r w:rsidRPr="000B65BB">
              <w:rPr>
                <w:rFonts w:eastAsia="Calibri"/>
              </w:rPr>
              <w:t>Number of application / day</w:t>
            </w:r>
            <w:r>
              <w:rPr>
                <w:rFonts w:eastAsia="Calibri"/>
                <w:vertAlign w:val="superscript"/>
              </w:rPr>
              <w:t>2</w:t>
            </w:r>
          </w:p>
        </w:tc>
        <w:tc>
          <w:tcPr>
            <w:tcW w:w="654" w:type="pct"/>
            <w:shd w:val="clear" w:color="auto" w:fill="auto"/>
            <w:tcMar>
              <w:top w:w="57" w:type="dxa"/>
              <w:bottom w:w="57" w:type="dxa"/>
            </w:tcMar>
          </w:tcPr>
          <w:p w14:paraId="2C29AFB7" w14:textId="77777777" w:rsidR="00CB0677" w:rsidRDefault="00CB0677" w:rsidP="00CB0677">
            <w:pPr>
              <w:pStyle w:val="Standaard-Tabellen"/>
              <w:rPr>
                <w:rFonts w:eastAsia="Calibri"/>
              </w:rPr>
            </w:pPr>
            <w:r>
              <w:rPr>
                <w:rFonts w:eastAsia="Calibri"/>
              </w:rPr>
              <w:t>1</w:t>
            </w:r>
          </w:p>
        </w:tc>
      </w:tr>
      <w:tr w:rsidR="00CB0677" w:rsidRPr="00071DE1" w14:paraId="75599C41" w14:textId="77777777" w:rsidTr="00CB0677">
        <w:trPr>
          <w:tblHeader/>
        </w:trPr>
        <w:tc>
          <w:tcPr>
            <w:tcW w:w="1839" w:type="pct"/>
            <w:tcMar>
              <w:top w:w="57" w:type="dxa"/>
              <w:bottom w:w="57" w:type="dxa"/>
            </w:tcMar>
          </w:tcPr>
          <w:p w14:paraId="76203B10" w14:textId="77777777" w:rsidR="00CB0677" w:rsidRPr="00A22424" w:rsidRDefault="00CB0677" w:rsidP="00CB0677">
            <w:pPr>
              <w:pStyle w:val="Standaard-Tabellen"/>
              <w:rPr>
                <w:rFonts w:eastAsia="Calibri"/>
              </w:rPr>
            </w:pPr>
            <w:r w:rsidRPr="001E42A4">
              <w:rPr>
                <w:rFonts w:eastAsia="Calibri"/>
              </w:rPr>
              <w:t xml:space="preserve">Tier </w:t>
            </w:r>
            <w:r>
              <w:rPr>
                <w:rFonts w:eastAsia="Calibri"/>
              </w:rPr>
              <w:t>2</w:t>
            </w:r>
            <w:r w:rsidRPr="001E42A4">
              <w:rPr>
                <w:rFonts w:eastAsia="Calibri"/>
              </w:rPr>
              <w:t>- Toddler</w:t>
            </w:r>
          </w:p>
        </w:tc>
        <w:tc>
          <w:tcPr>
            <w:tcW w:w="2507" w:type="pct"/>
            <w:shd w:val="clear" w:color="auto" w:fill="auto"/>
            <w:tcMar>
              <w:top w:w="57" w:type="dxa"/>
              <w:bottom w:w="57" w:type="dxa"/>
            </w:tcMar>
          </w:tcPr>
          <w:p w14:paraId="4D86CD39" w14:textId="77777777" w:rsidR="00CB0677" w:rsidRPr="000B65BB" w:rsidRDefault="00CB0677" w:rsidP="00CB0677">
            <w:pPr>
              <w:pStyle w:val="Standaard-Tabellen"/>
              <w:rPr>
                <w:rFonts w:eastAsia="Calibri"/>
              </w:rPr>
            </w:pPr>
            <w:r w:rsidRPr="000B65BB">
              <w:rPr>
                <w:rFonts w:eastAsia="Calibri"/>
              </w:rPr>
              <w:t>Number of application / day</w:t>
            </w:r>
            <w:r>
              <w:rPr>
                <w:rFonts w:eastAsia="Calibri"/>
                <w:vertAlign w:val="superscript"/>
              </w:rPr>
              <w:t>2</w:t>
            </w:r>
          </w:p>
        </w:tc>
        <w:tc>
          <w:tcPr>
            <w:tcW w:w="654" w:type="pct"/>
            <w:shd w:val="clear" w:color="auto" w:fill="auto"/>
            <w:tcMar>
              <w:top w:w="57" w:type="dxa"/>
              <w:bottom w:w="57" w:type="dxa"/>
            </w:tcMar>
          </w:tcPr>
          <w:p w14:paraId="477BD9A6" w14:textId="77777777" w:rsidR="00CB0677" w:rsidRDefault="00CB0677" w:rsidP="00CB0677">
            <w:pPr>
              <w:pStyle w:val="Standaard-Tabellen"/>
              <w:rPr>
                <w:rFonts w:eastAsia="Calibri"/>
              </w:rPr>
            </w:pPr>
            <w:r>
              <w:rPr>
                <w:rFonts w:eastAsia="Calibri"/>
              </w:rPr>
              <w:t>1</w:t>
            </w:r>
          </w:p>
        </w:tc>
      </w:tr>
      <w:tr w:rsidR="00CB0677" w:rsidRPr="00071DE1" w14:paraId="5C63B25E" w14:textId="77777777" w:rsidTr="00CB0677">
        <w:trPr>
          <w:tblHeader/>
        </w:trPr>
        <w:tc>
          <w:tcPr>
            <w:tcW w:w="1839" w:type="pct"/>
            <w:tcMar>
              <w:top w:w="57" w:type="dxa"/>
              <w:bottom w:w="57" w:type="dxa"/>
            </w:tcMar>
          </w:tcPr>
          <w:p w14:paraId="09CC597C" w14:textId="77777777" w:rsidR="00CB0677" w:rsidRPr="00A22424" w:rsidRDefault="00CB0677" w:rsidP="00CB0677">
            <w:pPr>
              <w:pStyle w:val="Standaard-Tabellen"/>
              <w:rPr>
                <w:rFonts w:eastAsia="Calibri"/>
              </w:rPr>
            </w:pPr>
            <w:r>
              <w:rPr>
                <w:rFonts w:eastAsia="Calibri"/>
              </w:rPr>
              <w:t>Tier 2</w:t>
            </w:r>
            <w:r w:rsidRPr="001E42A4">
              <w:rPr>
                <w:rFonts w:eastAsia="Calibri"/>
              </w:rPr>
              <w:t>- Infant</w:t>
            </w:r>
          </w:p>
        </w:tc>
        <w:tc>
          <w:tcPr>
            <w:tcW w:w="2507" w:type="pct"/>
            <w:shd w:val="clear" w:color="auto" w:fill="auto"/>
            <w:tcMar>
              <w:top w:w="57" w:type="dxa"/>
              <w:bottom w:w="57" w:type="dxa"/>
            </w:tcMar>
          </w:tcPr>
          <w:p w14:paraId="7F91A4DD" w14:textId="77777777" w:rsidR="00CB0677" w:rsidRPr="000B65BB" w:rsidRDefault="00CB0677" w:rsidP="00CB0677">
            <w:pPr>
              <w:pStyle w:val="Standaard-Tabellen"/>
              <w:rPr>
                <w:rFonts w:eastAsia="Calibri"/>
              </w:rPr>
            </w:pPr>
            <w:r w:rsidRPr="000B65BB">
              <w:rPr>
                <w:rFonts w:eastAsia="Calibri"/>
              </w:rPr>
              <w:t>Number of application / day</w:t>
            </w:r>
            <w:r>
              <w:rPr>
                <w:rFonts w:eastAsia="Calibri"/>
                <w:vertAlign w:val="superscript"/>
              </w:rPr>
              <w:t>2</w:t>
            </w:r>
          </w:p>
        </w:tc>
        <w:tc>
          <w:tcPr>
            <w:tcW w:w="654" w:type="pct"/>
            <w:shd w:val="clear" w:color="auto" w:fill="auto"/>
            <w:tcMar>
              <w:top w:w="57" w:type="dxa"/>
              <w:bottom w:w="57" w:type="dxa"/>
            </w:tcMar>
          </w:tcPr>
          <w:p w14:paraId="116EA2AE" w14:textId="77777777" w:rsidR="00CB0677" w:rsidRDefault="00CB0677" w:rsidP="00CB0677">
            <w:pPr>
              <w:pStyle w:val="Standaard-Tabellen"/>
              <w:rPr>
                <w:rFonts w:eastAsia="Calibri"/>
              </w:rPr>
            </w:pPr>
            <w:r>
              <w:rPr>
                <w:rFonts w:eastAsia="Calibri"/>
              </w:rPr>
              <w:t>1</w:t>
            </w:r>
          </w:p>
        </w:tc>
      </w:tr>
      <w:tr w:rsidR="00CB0677" w:rsidRPr="00071DE1" w14:paraId="2D9AB957" w14:textId="77777777" w:rsidTr="00CB0677">
        <w:trPr>
          <w:tblHeader/>
        </w:trPr>
        <w:tc>
          <w:tcPr>
            <w:tcW w:w="1839" w:type="pct"/>
            <w:tcMar>
              <w:top w:w="57" w:type="dxa"/>
              <w:bottom w:w="57" w:type="dxa"/>
            </w:tcMar>
          </w:tcPr>
          <w:p w14:paraId="77BEB316" w14:textId="77777777" w:rsidR="00CB0677" w:rsidRPr="00071DE1" w:rsidRDefault="00CB0677" w:rsidP="00CB0677">
            <w:pPr>
              <w:pStyle w:val="Standaard-Tabellen"/>
              <w:rPr>
                <w:rFonts w:eastAsia="Calibri"/>
              </w:rPr>
            </w:pPr>
            <w:r w:rsidRPr="000B65BB">
              <w:rPr>
                <w:rFonts w:eastAsia="Calibri"/>
              </w:rPr>
              <w:t xml:space="preserve">Tier </w:t>
            </w:r>
            <w:r>
              <w:rPr>
                <w:rFonts w:eastAsia="Calibri"/>
              </w:rPr>
              <w:t>3</w:t>
            </w:r>
            <w:r w:rsidRPr="000B65BB">
              <w:rPr>
                <w:rFonts w:eastAsia="Calibri"/>
              </w:rPr>
              <w:t>- Adult</w:t>
            </w:r>
          </w:p>
        </w:tc>
        <w:tc>
          <w:tcPr>
            <w:tcW w:w="2507" w:type="pct"/>
            <w:shd w:val="clear" w:color="auto" w:fill="auto"/>
            <w:tcMar>
              <w:top w:w="57" w:type="dxa"/>
              <w:bottom w:w="57" w:type="dxa"/>
            </w:tcMar>
          </w:tcPr>
          <w:p w14:paraId="69E94541" w14:textId="77777777" w:rsidR="00CB0677" w:rsidRPr="005D7417" w:rsidRDefault="00CB0677" w:rsidP="00CB0677">
            <w:pPr>
              <w:pStyle w:val="Standaard-Tabellen"/>
              <w:rPr>
                <w:rFonts w:eastAsia="Calibri"/>
              </w:rPr>
            </w:pPr>
            <w:r w:rsidRPr="000B65BB">
              <w:rPr>
                <w:rFonts w:eastAsia="Calibri"/>
              </w:rPr>
              <w:t>Number of application / day</w:t>
            </w:r>
            <w:r>
              <w:rPr>
                <w:rFonts w:eastAsia="Calibri"/>
                <w:vertAlign w:val="superscript"/>
              </w:rPr>
              <w:t>3</w:t>
            </w:r>
          </w:p>
        </w:tc>
        <w:tc>
          <w:tcPr>
            <w:tcW w:w="654" w:type="pct"/>
            <w:shd w:val="clear" w:color="auto" w:fill="auto"/>
            <w:tcMar>
              <w:top w:w="57" w:type="dxa"/>
              <w:bottom w:w="57" w:type="dxa"/>
            </w:tcMar>
          </w:tcPr>
          <w:p w14:paraId="3512CEF7" w14:textId="77777777" w:rsidR="00CB0677" w:rsidRDefault="00CB0677" w:rsidP="00CB0677">
            <w:pPr>
              <w:pStyle w:val="Standaard-Tabellen"/>
              <w:rPr>
                <w:rFonts w:eastAsia="Calibri"/>
              </w:rPr>
            </w:pPr>
            <w:r>
              <w:rPr>
                <w:rFonts w:eastAsia="Calibri"/>
              </w:rPr>
              <w:t>2</w:t>
            </w:r>
          </w:p>
        </w:tc>
      </w:tr>
      <w:tr w:rsidR="00CB0677" w:rsidRPr="00071DE1" w14:paraId="03816E4F" w14:textId="77777777" w:rsidTr="00CB0677">
        <w:trPr>
          <w:tblHeader/>
        </w:trPr>
        <w:tc>
          <w:tcPr>
            <w:tcW w:w="1839" w:type="pct"/>
            <w:tcMar>
              <w:top w:w="57" w:type="dxa"/>
              <w:bottom w:w="57" w:type="dxa"/>
            </w:tcMar>
          </w:tcPr>
          <w:p w14:paraId="23C50FC1" w14:textId="77777777" w:rsidR="00CB0677" w:rsidRPr="00071DE1" w:rsidRDefault="00CB0677" w:rsidP="00CB0677">
            <w:pPr>
              <w:pStyle w:val="Standaard-Tabellen"/>
              <w:rPr>
                <w:rFonts w:eastAsia="Calibri"/>
              </w:rPr>
            </w:pPr>
            <w:r w:rsidRPr="001E42A4">
              <w:rPr>
                <w:rFonts w:eastAsia="Calibri"/>
              </w:rPr>
              <w:t xml:space="preserve">Tier </w:t>
            </w:r>
            <w:r>
              <w:rPr>
                <w:rFonts w:eastAsia="Calibri"/>
              </w:rPr>
              <w:t>3</w:t>
            </w:r>
            <w:r w:rsidRPr="001E42A4">
              <w:rPr>
                <w:rFonts w:eastAsia="Calibri"/>
              </w:rPr>
              <w:t>- Child 6 to &lt; 12 years old</w:t>
            </w:r>
          </w:p>
        </w:tc>
        <w:tc>
          <w:tcPr>
            <w:tcW w:w="2507" w:type="pct"/>
            <w:shd w:val="clear" w:color="auto" w:fill="auto"/>
            <w:tcMar>
              <w:top w:w="57" w:type="dxa"/>
              <w:bottom w:w="57" w:type="dxa"/>
            </w:tcMar>
          </w:tcPr>
          <w:p w14:paraId="59FA2E16" w14:textId="77777777" w:rsidR="00CB0677" w:rsidRPr="005D7417" w:rsidRDefault="00CB0677" w:rsidP="00CB0677">
            <w:pPr>
              <w:pStyle w:val="Standaard-Tabellen"/>
              <w:rPr>
                <w:rFonts w:eastAsia="Calibri"/>
              </w:rPr>
            </w:pPr>
            <w:r w:rsidRPr="000B65BB">
              <w:rPr>
                <w:rFonts w:eastAsia="Calibri"/>
              </w:rPr>
              <w:t>Number of application / day</w:t>
            </w:r>
            <w:r>
              <w:rPr>
                <w:rFonts w:eastAsia="Calibri"/>
                <w:vertAlign w:val="superscript"/>
              </w:rPr>
              <w:t>3</w:t>
            </w:r>
          </w:p>
        </w:tc>
        <w:tc>
          <w:tcPr>
            <w:tcW w:w="654" w:type="pct"/>
            <w:shd w:val="clear" w:color="auto" w:fill="auto"/>
            <w:tcMar>
              <w:top w:w="57" w:type="dxa"/>
              <w:bottom w:w="57" w:type="dxa"/>
            </w:tcMar>
          </w:tcPr>
          <w:p w14:paraId="6DC6ED10" w14:textId="77777777" w:rsidR="00CB0677" w:rsidRDefault="00CB0677" w:rsidP="00CB0677">
            <w:pPr>
              <w:pStyle w:val="Standaard-Tabellen"/>
              <w:rPr>
                <w:rFonts w:eastAsia="Calibri"/>
              </w:rPr>
            </w:pPr>
            <w:r>
              <w:rPr>
                <w:rFonts w:eastAsia="Calibri"/>
              </w:rPr>
              <w:t>1</w:t>
            </w:r>
          </w:p>
        </w:tc>
      </w:tr>
    </w:tbl>
    <w:bookmarkEnd w:id="172"/>
    <w:p w14:paraId="6E1DC214" w14:textId="77777777" w:rsidR="00586AC3" w:rsidRPr="000B65BB" w:rsidRDefault="00586AC3" w:rsidP="00586AC3">
      <w:pPr>
        <w:pStyle w:val="Voetnoot"/>
        <w:rPr>
          <w:rFonts w:eastAsia="Calibri"/>
        </w:rPr>
      </w:pPr>
      <w:r w:rsidRPr="000B65BB">
        <w:rPr>
          <w:rStyle w:val="Appelnotedebasdep"/>
          <w:rFonts w:eastAsia="Calibri"/>
          <w:position w:val="4"/>
          <w:vertAlign w:val="superscript"/>
        </w:rPr>
        <w:t>1</w:t>
      </w:r>
      <w:r w:rsidRPr="000B65BB">
        <w:rPr>
          <w:rStyle w:val="Appelnotedebasdep"/>
          <w:rFonts w:eastAsia="Calibri"/>
          <w:position w:val="4"/>
        </w:rPr>
        <w:t xml:space="preserve"> </w:t>
      </w:r>
      <w:r w:rsidRPr="000B65BB">
        <w:rPr>
          <w:rFonts w:eastAsia="Calibri"/>
        </w:rPr>
        <w:t>General information, see justification above</w:t>
      </w:r>
    </w:p>
    <w:p w14:paraId="13C1F977" w14:textId="77777777" w:rsidR="00CB0677" w:rsidRDefault="00CB0677" w:rsidP="00CB0677">
      <w:pPr>
        <w:spacing w:before="0" w:after="0"/>
        <w:ind w:left="170" w:hanging="170"/>
        <w:rPr>
          <w:rFonts w:eastAsia="Calibri"/>
          <w:position w:val="4"/>
          <w:sz w:val="16"/>
          <w:szCs w:val="16"/>
        </w:rPr>
      </w:pPr>
      <w:r w:rsidRPr="00BA55D2">
        <w:rPr>
          <w:rFonts w:eastAsia="Calibri"/>
          <w:position w:val="4"/>
          <w:sz w:val="16"/>
          <w:szCs w:val="16"/>
          <w:vertAlign w:val="superscript"/>
        </w:rPr>
        <w:t>2</w:t>
      </w:r>
      <w:r w:rsidRPr="00BA55D2">
        <w:rPr>
          <w:rFonts w:eastAsia="Calibri"/>
          <w:position w:val="4"/>
          <w:sz w:val="16"/>
          <w:szCs w:val="16"/>
        </w:rPr>
        <w:t xml:space="preserve"> Limitation of the exposure</w:t>
      </w:r>
    </w:p>
    <w:p w14:paraId="138C01C1" w14:textId="77777777" w:rsidR="00CB0677" w:rsidRPr="00BA55D2" w:rsidRDefault="00CB0677" w:rsidP="00CB0677">
      <w:pPr>
        <w:spacing w:before="0" w:after="0"/>
        <w:ind w:left="170" w:hanging="170"/>
        <w:rPr>
          <w:rFonts w:eastAsia="Calibri"/>
          <w:position w:val="4"/>
          <w:sz w:val="16"/>
          <w:szCs w:val="16"/>
        </w:rPr>
      </w:pPr>
      <w:r>
        <w:rPr>
          <w:rFonts w:eastAsia="Calibri"/>
          <w:position w:val="4"/>
          <w:sz w:val="16"/>
          <w:szCs w:val="16"/>
          <w:vertAlign w:val="superscript"/>
        </w:rPr>
        <w:lastRenderedPageBreak/>
        <w:t>3</w:t>
      </w:r>
      <w:r w:rsidRPr="00BA55D2">
        <w:rPr>
          <w:rFonts w:eastAsia="Calibri"/>
          <w:position w:val="4"/>
          <w:sz w:val="16"/>
          <w:szCs w:val="16"/>
        </w:rPr>
        <w:t xml:space="preserve"> Limitation of the exposure</w:t>
      </w:r>
      <w:r>
        <w:rPr>
          <w:rFonts w:eastAsia="Calibri"/>
          <w:position w:val="4"/>
          <w:sz w:val="16"/>
          <w:szCs w:val="16"/>
        </w:rPr>
        <w:t xml:space="preserve"> </w:t>
      </w:r>
      <w:r w:rsidRPr="0061292B">
        <w:rPr>
          <w:rFonts w:eastAsia="Calibri"/>
          <w:position w:val="4"/>
          <w:sz w:val="16"/>
          <w:szCs w:val="16"/>
        </w:rPr>
        <w:t>(to the maximum safe use)</w:t>
      </w:r>
      <w:r>
        <w:rPr>
          <w:rFonts w:eastAsia="Calibri"/>
          <w:position w:val="4"/>
          <w:sz w:val="16"/>
          <w:szCs w:val="16"/>
        </w:rPr>
        <w:t xml:space="preserve"> </w:t>
      </w:r>
    </w:p>
    <w:p w14:paraId="06AB7BCB" w14:textId="77777777" w:rsidR="00881426" w:rsidRPr="00FA0BAC" w:rsidRDefault="00881426" w:rsidP="00881426">
      <w:pPr>
        <w:pStyle w:val="Voetnoot"/>
        <w:rPr>
          <w:rFonts w:eastAsia="Calibri"/>
        </w:rPr>
      </w:pPr>
    </w:p>
    <w:p w14:paraId="7BB8DE67" w14:textId="77777777" w:rsidR="00881426" w:rsidRPr="00332AD5" w:rsidRDefault="00881426" w:rsidP="00881426">
      <w:pPr>
        <w:pStyle w:val="Voetnoot"/>
        <w:rPr>
          <w:rStyle w:val="Appelnotedebasdep"/>
          <w:rFonts w:eastAsia="Calibri"/>
        </w:rPr>
      </w:pPr>
    </w:p>
    <w:p w14:paraId="7E391671" w14:textId="77777777" w:rsidR="00881426" w:rsidRPr="00586AC3" w:rsidRDefault="00881426" w:rsidP="00586AC3">
      <w:pPr>
        <w:pStyle w:val="Titre7"/>
      </w:pPr>
      <w:proofErr w:type="spellStart"/>
      <w:r w:rsidRPr="00586AC3">
        <w:t>Calculations</w:t>
      </w:r>
      <w:proofErr w:type="spellEnd"/>
      <w:r w:rsidRPr="00586AC3">
        <w:t xml:space="preserve"> </w:t>
      </w:r>
      <w:proofErr w:type="spellStart"/>
      <w:r w:rsidRPr="00586AC3">
        <w:t>for</w:t>
      </w:r>
      <w:proofErr w:type="spellEnd"/>
      <w:r w:rsidRPr="00586AC3">
        <w:t xml:space="preserve"> </w:t>
      </w:r>
      <w:proofErr w:type="spellStart"/>
      <w:r w:rsidRPr="00586AC3">
        <w:t>scenario</w:t>
      </w:r>
      <w:proofErr w:type="spellEnd"/>
      <w:r w:rsidRPr="00586AC3">
        <w:t xml:space="preserve">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70"/>
        <w:gridCol w:w="1607"/>
        <w:gridCol w:w="4119"/>
      </w:tblGrid>
      <w:tr w:rsidR="00CB0677" w:rsidRPr="00586AC3" w14:paraId="65FCFE9E" w14:textId="77777777" w:rsidTr="00CB0677">
        <w:trPr>
          <w:cantSplit/>
          <w:trHeight w:val="293"/>
          <w:tblHeader/>
        </w:trPr>
        <w:tc>
          <w:tcPr>
            <w:tcW w:w="5000" w:type="pct"/>
            <w:gridSpan w:val="3"/>
            <w:shd w:val="clear" w:color="auto" w:fill="FFFFCC"/>
          </w:tcPr>
          <w:p w14:paraId="4E7B29BC" w14:textId="77777777" w:rsidR="00CB0677" w:rsidRPr="00586AC3" w:rsidRDefault="00CB0677" w:rsidP="00CB0677">
            <w:pPr>
              <w:pStyle w:val="Standaard-Tabellen"/>
              <w:rPr>
                <w:rFonts w:eastAsia="Calibri"/>
                <w:b/>
              </w:rPr>
            </w:pPr>
            <w:r w:rsidRPr="00586AC3">
              <w:rPr>
                <w:rFonts w:eastAsia="Calibri"/>
                <w:b/>
              </w:rPr>
              <w:t>Summary table: estimated exposure for Dermal Primary exposure</w:t>
            </w:r>
          </w:p>
        </w:tc>
      </w:tr>
      <w:tr w:rsidR="00CB0677" w:rsidRPr="00586AC3" w14:paraId="1FA61737" w14:textId="77777777" w:rsidTr="00CB0677">
        <w:trPr>
          <w:cantSplit/>
          <w:trHeight w:val="444"/>
          <w:tblHeader/>
        </w:trPr>
        <w:tc>
          <w:tcPr>
            <w:tcW w:w="1953" w:type="pct"/>
            <w:shd w:val="clear" w:color="auto" w:fill="BFBFBF" w:themeFill="background1" w:themeFillShade="BF"/>
          </w:tcPr>
          <w:p w14:paraId="35C0CDC3" w14:textId="77777777" w:rsidR="00CB0677" w:rsidRPr="00586AC3" w:rsidRDefault="00CB0677" w:rsidP="00CB0677">
            <w:pPr>
              <w:pStyle w:val="Standaard-Tabellen"/>
              <w:rPr>
                <w:rFonts w:eastAsia="Calibri"/>
                <w:b/>
              </w:rPr>
            </w:pPr>
            <w:r w:rsidRPr="00586AC3">
              <w:rPr>
                <w:rFonts w:eastAsia="Calibri"/>
                <w:b/>
              </w:rPr>
              <w:t>Exposure scenario</w:t>
            </w:r>
          </w:p>
        </w:tc>
        <w:tc>
          <w:tcPr>
            <w:tcW w:w="855" w:type="pct"/>
            <w:shd w:val="clear" w:color="auto" w:fill="BFBFBF" w:themeFill="background1" w:themeFillShade="BF"/>
          </w:tcPr>
          <w:p w14:paraId="40A28DED" w14:textId="77777777" w:rsidR="00CB0677" w:rsidRPr="00586AC3" w:rsidRDefault="00CB0677" w:rsidP="00CB0677">
            <w:pPr>
              <w:pStyle w:val="Standaard-Tabellen"/>
              <w:rPr>
                <w:rFonts w:eastAsia="Calibri"/>
                <w:b/>
              </w:rPr>
            </w:pPr>
            <w:r w:rsidRPr="00586AC3">
              <w:rPr>
                <w:rFonts w:eastAsia="Calibri"/>
                <w:b/>
              </w:rPr>
              <w:t>Tier/PPE</w:t>
            </w:r>
          </w:p>
        </w:tc>
        <w:tc>
          <w:tcPr>
            <w:tcW w:w="2192" w:type="pct"/>
            <w:shd w:val="clear" w:color="auto" w:fill="BFBFBF" w:themeFill="background1" w:themeFillShade="BF"/>
          </w:tcPr>
          <w:p w14:paraId="372BA001" w14:textId="77777777" w:rsidR="00CB0677" w:rsidRPr="00586AC3" w:rsidRDefault="00CB0677" w:rsidP="00CB0677">
            <w:pPr>
              <w:pStyle w:val="Standaard-Tabellen"/>
              <w:rPr>
                <w:rFonts w:eastAsia="Calibri"/>
                <w:b/>
              </w:rPr>
            </w:pPr>
            <w:r w:rsidRPr="00586AC3">
              <w:rPr>
                <w:rFonts w:eastAsia="Calibri"/>
                <w:b/>
              </w:rPr>
              <w:t>Estimated dermal uptake</w:t>
            </w:r>
          </w:p>
        </w:tc>
      </w:tr>
      <w:tr w:rsidR="00CB0677" w:rsidRPr="00FD2055" w14:paraId="36805ACA" w14:textId="77777777" w:rsidTr="00CB0677">
        <w:trPr>
          <w:cantSplit/>
          <w:trHeight w:val="587"/>
          <w:tblHeader/>
        </w:trPr>
        <w:tc>
          <w:tcPr>
            <w:tcW w:w="1953" w:type="pct"/>
            <w:shd w:val="clear" w:color="auto" w:fill="auto"/>
            <w:vAlign w:val="center"/>
          </w:tcPr>
          <w:p w14:paraId="41D54C15" w14:textId="77777777" w:rsidR="00CB0677" w:rsidRPr="00CF46C5" w:rsidRDefault="00CB0677" w:rsidP="00CB0677">
            <w:pPr>
              <w:pStyle w:val="Standaard-Tabellen"/>
              <w:rPr>
                <w:rFonts w:eastAsia="Calibri"/>
              </w:rPr>
            </w:pPr>
            <w:r w:rsidRPr="00CF46C5">
              <w:rPr>
                <w:rFonts w:eastAsia="Calibri"/>
              </w:rPr>
              <w:t>Scenario 1 – ADULT</w:t>
            </w:r>
          </w:p>
          <w:p w14:paraId="2ED496D3" w14:textId="77777777" w:rsidR="00CB0677" w:rsidRPr="00FD2055" w:rsidRDefault="00CB0677" w:rsidP="00CB0677">
            <w:pPr>
              <w:pStyle w:val="Standaard-Tabellen"/>
              <w:rPr>
                <w:rFonts w:eastAsia="Calibri"/>
              </w:rPr>
            </w:pPr>
            <w:r>
              <w:rPr>
                <w:rFonts w:eastAsia="Calibri"/>
              </w:rPr>
              <w:t>7</w:t>
            </w:r>
            <w:r w:rsidRPr="00CF46C5">
              <w:rPr>
                <w:rFonts w:eastAsia="Calibri"/>
              </w:rPr>
              <w:t xml:space="preserve"> applications/day</w:t>
            </w:r>
          </w:p>
        </w:tc>
        <w:tc>
          <w:tcPr>
            <w:tcW w:w="855" w:type="pct"/>
            <w:vAlign w:val="center"/>
          </w:tcPr>
          <w:p w14:paraId="2CAAE449" w14:textId="77777777" w:rsidR="00CB0677" w:rsidRPr="00CF46C5" w:rsidRDefault="00CB0677" w:rsidP="00CB0677">
            <w:pPr>
              <w:pStyle w:val="Standaard-Tabellen"/>
              <w:rPr>
                <w:rFonts w:eastAsia="Calibri"/>
              </w:rPr>
            </w:pPr>
            <w:r w:rsidRPr="00CF46C5">
              <w:rPr>
                <w:rFonts w:eastAsia="Calibri"/>
              </w:rPr>
              <w:t>Tier 1 /</w:t>
            </w:r>
          </w:p>
          <w:p w14:paraId="330490DF" w14:textId="77777777" w:rsidR="00CB0677" w:rsidRDefault="00CB0677" w:rsidP="00CB0677">
            <w:pPr>
              <w:pStyle w:val="Standaard-Tabellen"/>
              <w:rPr>
                <w:rFonts w:eastAsia="Calibri"/>
              </w:rPr>
            </w:pPr>
            <w:r w:rsidRPr="00CF46C5">
              <w:rPr>
                <w:rFonts w:eastAsia="Calibri"/>
              </w:rPr>
              <w:t>no PPE</w:t>
            </w:r>
          </w:p>
        </w:tc>
        <w:tc>
          <w:tcPr>
            <w:tcW w:w="2192" w:type="pct"/>
            <w:vAlign w:val="center"/>
          </w:tcPr>
          <w:p w14:paraId="5136985F" w14:textId="77777777" w:rsidR="00CB0677" w:rsidRPr="00570A64" w:rsidRDefault="00CB0677" w:rsidP="00CB0677">
            <w:pPr>
              <w:pStyle w:val="Standaard-Tabellen"/>
              <w:rPr>
                <w:rFonts w:cs="Arial"/>
              </w:rPr>
            </w:pPr>
            <w:r>
              <w:rPr>
                <w:rFonts w:cs="Arial"/>
              </w:rPr>
              <w:t xml:space="preserve">17.15 </w:t>
            </w:r>
            <w:r w:rsidRPr="00EB3DC0">
              <w:rPr>
                <w:rFonts w:cs="Arial"/>
              </w:rPr>
              <w:t xml:space="preserve">mg/kg </w:t>
            </w:r>
            <w:proofErr w:type="spellStart"/>
            <w:r w:rsidRPr="00EB3DC0">
              <w:rPr>
                <w:rFonts w:cs="Arial"/>
              </w:rPr>
              <w:t>bw</w:t>
            </w:r>
            <w:proofErr w:type="spellEnd"/>
            <w:r w:rsidRPr="00EB3DC0">
              <w:rPr>
                <w:rFonts w:cs="Arial"/>
              </w:rPr>
              <w:t>/day</w:t>
            </w:r>
          </w:p>
        </w:tc>
      </w:tr>
      <w:tr w:rsidR="00CB0677" w:rsidRPr="00FD2055" w14:paraId="7D86B8F3" w14:textId="77777777" w:rsidTr="00CB0677">
        <w:trPr>
          <w:cantSplit/>
          <w:trHeight w:val="435"/>
          <w:tblHeader/>
        </w:trPr>
        <w:tc>
          <w:tcPr>
            <w:tcW w:w="1953" w:type="pct"/>
            <w:shd w:val="clear" w:color="auto" w:fill="auto"/>
            <w:vAlign w:val="center"/>
          </w:tcPr>
          <w:p w14:paraId="7527CEE5" w14:textId="77777777" w:rsidR="00CB0677" w:rsidRPr="00CF46C5" w:rsidRDefault="00CB0677" w:rsidP="00CB0677">
            <w:pPr>
              <w:pStyle w:val="Standaard-Tabellen"/>
              <w:rPr>
                <w:rFonts w:eastAsia="Calibri"/>
              </w:rPr>
            </w:pPr>
            <w:r w:rsidRPr="00CF46C5">
              <w:rPr>
                <w:rFonts w:eastAsia="Calibri"/>
              </w:rPr>
              <w:t>Scenario 1 – CHILD</w:t>
            </w:r>
            <w:r>
              <w:rPr>
                <w:rFonts w:eastAsia="Calibri"/>
              </w:rPr>
              <w:t xml:space="preserve"> (6-12)</w:t>
            </w:r>
          </w:p>
          <w:p w14:paraId="13392D64" w14:textId="77777777" w:rsidR="00CB0677" w:rsidRPr="00FD2055" w:rsidRDefault="00CB0677" w:rsidP="00CB0677">
            <w:pPr>
              <w:pStyle w:val="Standaard-Tabellen"/>
              <w:rPr>
                <w:rFonts w:eastAsia="Calibri"/>
              </w:rPr>
            </w:pPr>
            <w:r>
              <w:rPr>
                <w:rFonts w:eastAsia="Calibri"/>
              </w:rPr>
              <w:t>4</w:t>
            </w:r>
            <w:r w:rsidRPr="00CF46C5">
              <w:rPr>
                <w:rFonts w:eastAsia="Calibri"/>
              </w:rPr>
              <w:t xml:space="preserve"> applications/day</w:t>
            </w:r>
          </w:p>
        </w:tc>
        <w:tc>
          <w:tcPr>
            <w:tcW w:w="855" w:type="pct"/>
            <w:vAlign w:val="center"/>
          </w:tcPr>
          <w:p w14:paraId="138F1518" w14:textId="77777777" w:rsidR="00CB0677" w:rsidRPr="00CF46C5" w:rsidRDefault="00CB0677" w:rsidP="00CB0677">
            <w:pPr>
              <w:pStyle w:val="Standaard-Tabellen"/>
              <w:rPr>
                <w:rFonts w:eastAsia="Calibri"/>
              </w:rPr>
            </w:pPr>
            <w:r w:rsidRPr="00CF46C5">
              <w:rPr>
                <w:rFonts w:eastAsia="Calibri"/>
              </w:rPr>
              <w:t>Tier 1 /</w:t>
            </w:r>
          </w:p>
          <w:p w14:paraId="7329034C" w14:textId="77777777" w:rsidR="00CB0677" w:rsidRPr="00B41694" w:rsidRDefault="00CB0677" w:rsidP="00CB0677">
            <w:pPr>
              <w:pStyle w:val="Standaard-Tabellen"/>
              <w:rPr>
                <w:rFonts w:eastAsia="Calibri"/>
              </w:rPr>
            </w:pPr>
            <w:r w:rsidRPr="00CF46C5">
              <w:rPr>
                <w:rFonts w:eastAsia="Calibri"/>
              </w:rPr>
              <w:t>no PPE</w:t>
            </w:r>
          </w:p>
        </w:tc>
        <w:tc>
          <w:tcPr>
            <w:tcW w:w="2192" w:type="pct"/>
            <w:vAlign w:val="center"/>
          </w:tcPr>
          <w:p w14:paraId="077062B0" w14:textId="77777777" w:rsidR="00CB0677" w:rsidRPr="00570A64" w:rsidRDefault="00CB0677" w:rsidP="00CB0677">
            <w:pPr>
              <w:pStyle w:val="Standaard-Tabellen"/>
              <w:rPr>
                <w:rFonts w:cs="Arial"/>
              </w:rPr>
            </w:pPr>
            <w:r>
              <w:rPr>
                <w:rFonts w:cs="Arial"/>
              </w:rPr>
              <w:t>13.63</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CB0677" w:rsidRPr="00FD2055" w14:paraId="756DAF61" w14:textId="77777777" w:rsidTr="00CB0677">
        <w:trPr>
          <w:cantSplit/>
          <w:trHeight w:val="595"/>
          <w:tblHeader/>
        </w:trPr>
        <w:tc>
          <w:tcPr>
            <w:tcW w:w="1953" w:type="pct"/>
            <w:shd w:val="clear" w:color="auto" w:fill="auto"/>
            <w:vAlign w:val="center"/>
          </w:tcPr>
          <w:p w14:paraId="34723944" w14:textId="77777777" w:rsidR="00CB0677" w:rsidRPr="00CF46C5" w:rsidRDefault="00CB0677" w:rsidP="00CB0677">
            <w:pPr>
              <w:pStyle w:val="Standaard-Tabellen"/>
              <w:rPr>
                <w:rFonts w:eastAsia="Calibri"/>
              </w:rPr>
            </w:pPr>
            <w:r w:rsidRPr="00CF46C5">
              <w:rPr>
                <w:rFonts w:eastAsia="Calibri"/>
              </w:rPr>
              <w:t>Scenario 1 – CHILD</w:t>
            </w:r>
            <w:r>
              <w:rPr>
                <w:rFonts w:eastAsia="Calibri"/>
              </w:rPr>
              <w:t xml:space="preserve"> (2-6)</w:t>
            </w:r>
          </w:p>
          <w:p w14:paraId="1D0BAA44" w14:textId="77777777" w:rsidR="00CB0677" w:rsidRPr="00FD2055" w:rsidRDefault="00CB0677" w:rsidP="00CB0677">
            <w:pPr>
              <w:pStyle w:val="Standaard-Tabellen"/>
              <w:rPr>
                <w:rFonts w:eastAsia="Calibri"/>
              </w:rPr>
            </w:pPr>
            <w:r w:rsidRPr="00CF46C5">
              <w:rPr>
                <w:rFonts w:eastAsia="Calibri"/>
              </w:rPr>
              <w:t>2 applications/day</w:t>
            </w:r>
          </w:p>
        </w:tc>
        <w:tc>
          <w:tcPr>
            <w:tcW w:w="855" w:type="pct"/>
            <w:vAlign w:val="center"/>
          </w:tcPr>
          <w:p w14:paraId="638FADE5" w14:textId="77777777" w:rsidR="00CB0677" w:rsidRPr="00CF46C5" w:rsidRDefault="00CB0677" w:rsidP="00CB0677">
            <w:pPr>
              <w:pStyle w:val="Standaard-Tabellen"/>
              <w:rPr>
                <w:rFonts w:eastAsia="Calibri"/>
              </w:rPr>
            </w:pPr>
            <w:r w:rsidRPr="00CF46C5">
              <w:rPr>
                <w:rFonts w:eastAsia="Calibri"/>
              </w:rPr>
              <w:t>Tier 1 /</w:t>
            </w:r>
          </w:p>
          <w:p w14:paraId="1A0F1711" w14:textId="77777777" w:rsidR="00CB0677" w:rsidRPr="00FD2055" w:rsidRDefault="00CB0677" w:rsidP="00CB0677">
            <w:pPr>
              <w:pStyle w:val="Standaard-Tabellen"/>
              <w:rPr>
                <w:rFonts w:eastAsia="Calibri"/>
              </w:rPr>
            </w:pPr>
            <w:r w:rsidRPr="00CF46C5">
              <w:rPr>
                <w:rFonts w:eastAsia="Calibri"/>
              </w:rPr>
              <w:t>no PPE</w:t>
            </w:r>
          </w:p>
        </w:tc>
        <w:tc>
          <w:tcPr>
            <w:tcW w:w="2192" w:type="pct"/>
            <w:vAlign w:val="center"/>
          </w:tcPr>
          <w:p w14:paraId="4FF497BB" w14:textId="77777777" w:rsidR="00CB0677" w:rsidRPr="00570A64" w:rsidRDefault="00CB0677" w:rsidP="00CB0677">
            <w:pPr>
              <w:pStyle w:val="Standaard-Tabellen"/>
              <w:rPr>
                <w:rFonts w:cs="Arial"/>
              </w:rPr>
            </w:pPr>
            <w:r>
              <w:rPr>
                <w:rFonts w:cs="Arial"/>
              </w:rPr>
              <w:t>7.72</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CB0677" w:rsidRPr="00FD2055" w14:paraId="1518BCD8" w14:textId="77777777" w:rsidTr="00CB0677">
        <w:trPr>
          <w:cantSplit/>
          <w:trHeight w:val="595"/>
          <w:tblHeader/>
        </w:trPr>
        <w:tc>
          <w:tcPr>
            <w:tcW w:w="1953" w:type="pct"/>
            <w:shd w:val="clear" w:color="auto" w:fill="auto"/>
            <w:vAlign w:val="center"/>
          </w:tcPr>
          <w:p w14:paraId="0BEE2343" w14:textId="77777777" w:rsidR="00CB0677" w:rsidRPr="00CF46C5" w:rsidRDefault="00CB0677" w:rsidP="00CB0677">
            <w:pPr>
              <w:pStyle w:val="Standaard-Tabellen"/>
              <w:rPr>
                <w:rFonts w:eastAsia="Calibri"/>
              </w:rPr>
            </w:pPr>
            <w:r w:rsidRPr="00CF46C5">
              <w:rPr>
                <w:rFonts w:eastAsia="Calibri"/>
              </w:rPr>
              <w:t>Scenario 1 – TODDLER</w:t>
            </w:r>
          </w:p>
          <w:p w14:paraId="49CB811B" w14:textId="77777777" w:rsidR="00CB0677" w:rsidRDefault="00CB0677" w:rsidP="00CB0677">
            <w:pPr>
              <w:pStyle w:val="Standaard-Tabellen"/>
              <w:rPr>
                <w:rFonts w:eastAsia="Calibri"/>
              </w:rPr>
            </w:pPr>
            <w:r>
              <w:rPr>
                <w:rFonts w:eastAsia="Calibri"/>
              </w:rPr>
              <w:t>2</w:t>
            </w:r>
            <w:r w:rsidRPr="00CF46C5">
              <w:rPr>
                <w:rFonts w:eastAsia="Calibri"/>
              </w:rPr>
              <w:t xml:space="preserve"> application</w:t>
            </w:r>
            <w:r>
              <w:rPr>
                <w:rFonts w:eastAsia="Calibri"/>
              </w:rPr>
              <w:t>s</w:t>
            </w:r>
            <w:r w:rsidRPr="00CF46C5">
              <w:rPr>
                <w:rFonts w:eastAsia="Calibri"/>
              </w:rPr>
              <w:t>/day</w:t>
            </w:r>
          </w:p>
        </w:tc>
        <w:tc>
          <w:tcPr>
            <w:tcW w:w="855" w:type="pct"/>
            <w:vAlign w:val="center"/>
          </w:tcPr>
          <w:p w14:paraId="1F24B264" w14:textId="77777777" w:rsidR="00CB0677" w:rsidRPr="00CF46C5" w:rsidRDefault="00CB0677" w:rsidP="00CB0677">
            <w:pPr>
              <w:pStyle w:val="Standaard-Tabellen"/>
              <w:rPr>
                <w:rFonts w:eastAsia="Calibri"/>
              </w:rPr>
            </w:pPr>
            <w:r w:rsidRPr="00CF46C5">
              <w:rPr>
                <w:rFonts w:eastAsia="Calibri"/>
              </w:rPr>
              <w:t>Tier 1 /</w:t>
            </w:r>
          </w:p>
          <w:p w14:paraId="5DDC680A" w14:textId="77777777" w:rsidR="00CB0677" w:rsidRPr="00B41694" w:rsidRDefault="00CB0677" w:rsidP="00CB0677">
            <w:pPr>
              <w:pStyle w:val="Standaard-Tabellen"/>
              <w:rPr>
                <w:rFonts w:eastAsia="Calibri"/>
              </w:rPr>
            </w:pPr>
            <w:r w:rsidRPr="00CF46C5">
              <w:rPr>
                <w:rFonts w:eastAsia="Calibri"/>
              </w:rPr>
              <w:t>no PPE</w:t>
            </w:r>
          </w:p>
        </w:tc>
        <w:tc>
          <w:tcPr>
            <w:tcW w:w="2192" w:type="pct"/>
            <w:vAlign w:val="center"/>
          </w:tcPr>
          <w:p w14:paraId="6B902CEF" w14:textId="77777777" w:rsidR="00CB0677" w:rsidRPr="00570A64" w:rsidRDefault="00CB0677" w:rsidP="00CB0677">
            <w:pPr>
              <w:pStyle w:val="Standaard-Tabellen"/>
              <w:rPr>
                <w:rFonts w:cs="Arial"/>
              </w:rPr>
            </w:pPr>
            <w:r>
              <w:rPr>
                <w:rFonts w:cs="Arial"/>
              </w:rPr>
              <w:t>8.50</w:t>
            </w:r>
            <w:r w:rsidRPr="001E522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CB0677" w:rsidRPr="00FD2055" w14:paraId="6FF47FE0" w14:textId="77777777" w:rsidTr="00CB0677">
        <w:trPr>
          <w:cantSplit/>
          <w:trHeight w:val="595"/>
          <w:tblHeader/>
        </w:trPr>
        <w:tc>
          <w:tcPr>
            <w:tcW w:w="1953" w:type="pct"/>
            <w:tcBorders>
              <w:bottom w:val="double" w:sz="4" w:space="0" w:color="auto"/>
            </w:tcBorders>
            <w:shd w:val="clear" w:color="auto" w:fill="auto"/>
            <w:vAlign w:val="center"/>
          </w:tcPr>
          <w:p w14:paraId="71117339" w14:textId="77777777" w:rsidR="00CB0677" w:rsidRPr="00CF46C5" w:rsidRDefault="00CB0677" w:rsidP="00CB0677">
            <w:pPr>
              <w:pStyle w:val="Standaard-Tabellen"/>
              <w:rPr>
                <w:rFonts w:eastAsia="Calibri"/>
              </w:rPr>
            </w:pPr>
            <w:r w:rsidRPr="00CF46C5">
              <w:rPr>
                <w:rFonts w:eastAsia="Calibri"/>
              </w:rPr>
              <w:t>Scenario 1 – INFANT</w:t>
            </w:r>
          </w:p>
          <w:p w14:paraId="457E39DB" w14:textId="77777777" w:rsidR="00CB0677" w:rsidRPr="00EB3DC0" w:rsidRDefault="00CB0677" w:rsidP="00CB0677">
            <w:pPr>
              <w:pStyle w:val="Standaard-Tabellen"/>
              <w:rPr>
                <w:rFonts w:eastAsia="Calibri"/>
              </w:rPr>
            </w:pPr>
            <w:r>
              <w:rPr>
                <w:rFonts w:eastAsia="Calibri"/>
              </w:rPr>
              <w:t>2</w:t>
            </w:r>
            <w:r w:rsidRPr="00CF46C5">
              <w:rPr>
                <w:rFonts w:eastAsia="Calibri"/>
              </w:rPr>
              <w:t xml:space="preserve"> application</w:t>
            </w:r>
            <w:r>
              <w:rPr>
                <w:rFonts w:eastAsia="Calibri"/>
              </w:rPr>
              <w:t>s</w:t>
            </w:r>
            <w:r w:rsidRPr="00CF46C5">
              <w:rPr>
                <w:rFonts w:eastAsia="Calibri"/>
              </w:rPr>
              <w:t>/day</w:t>
            </w:r>
          </w:p>
        </w:tc>
        <w:tc>
          <w:tcPr>
            <w:tcW w:w="855" w:type="pct"/>
            <w:tcBorders>
              <w:bottom w:val="double" w:sz="4" w:space="0" w:color="auto"/>
            </w:tcBorders>
            <w:vAlign w:val="center"/>
          </w:tcPr>
          <w:p w14:paraId="167E72FC" w14:textId="77777777" w:rsidR="00CB0677" w:rsidRPr="00CF46C5" w:rsidRDefault="00CB0677" w:rsidP="00CB0677">
            <w:pPr>
              <w:pStyle w:val="Standaard-Tabellen"/>
              <w:rPr>
                <w:rFonts w:eastAsia="Calibri"/>
              </w:rPr>
            </w:pPr>
            <w:r w:rsidRPr="00CF46C5">
              <w:rPr>
                <w:rFonts w:eastAsia="Calibri"/>
              </w:rPr>
              <w:t>Tier 1 /</w:t>
            </w:r>
          </w:p>
          <w:p w14:paraId="0C0DDAA8" w14:textId="77777777" w:rsidR="00CB0677" w:rsidRPr="00EB3DC0" w:rsidRDefault="00CB0677" w:rsidP="00CB0677">
            <w:pPr>
              <w:pStyle w:val="Standaard-Tabellen"/>
              <w:rPr>
                <w:rFonts w:eastAsia="Calibri"/>
              </w:rPr>
            </w:pPr>
            <w:r w:rsidRPr="00CF46C5">
              <w:rPr>
                <w:rFonts w:eastAsia="Calibri"/>
              </w:rPr>
              <w:t>no PPE</w:t>
            </w:r>
          </w:p>
        </w:tc>
        <w:tc>
          <w:tcPr>
            <w:tcW w:w="2192" w:type="pct"/>
            <w:tcBorders>
              <w:bottom w:val="double" w:sz="4" w:space="0" w:color="auto"/>
            </w:tcBorders>
            <w:vAlign w:val="center"/>
          </w:tcPr>
          <w:p w14:paraId="0A8A1FD9" w14:textId="77777777" w:rsidR="00CB0677" w:rsidRDefault="00CB0677" w:rsidP="00CB0677">
            <w:pPr>
              <w:pStyle w:val="Standaard-Tabellen"/>
              <w:rPr>
                <w:rFonts w:cs="Arial"/>
              </w:rPr>
            </w:pPr>
            <w:r>
              <w:rPr>
                <w:rFonts w:cs="Arial"/>
              </w:rPr>
              <w:t xml:space="preserve">9.08 </w:t>
            </w:r>
            <w:r w:rsidRPr="00EB3DC0">
              <w:rPr>
                <w:rFonts w:cs="Arial"/>
              </w:rPr>
              <w:t xml:space="preserve">mg/kg </w:t>
            </w:r>
            <w:proofErr w:type="spellStart"/>
            <w:r w:rsidRPr="00EB3DC0">
              <w:rPr>
                <w:rFonts w:cs="Arial"/>
              </w:rPr>
              <w:t>bw</w:t>
            </w:r>
            <w:proofErr w:type="spellEnd"/>
            <w:r w:rsidRPr="00EB3DC0">
              <w:rPr>
                <w:rFonts w:cs="Arial"/>
              </w:rPr>
              <w:t>/day</w:t>
            </w:r>
          </w:p>
        </w:tc>
      </w:tr>
      <w:tr w:rsidR="00CB0677" w:rsidRPr="00FD2055" w14:paraId="1D80E3C1" w14:textId="77777777" w:rsidTr="00CB0677">
        <w:trPr>
          <w:cantSplit/>
          <w:trHeight w:val="595"/>
          <w:tblHeader/>
        </w:trPr>
        <w:tc>
          <w:tcPr>
            <w:tcW w:w="1953" w:type="pct"/>
            <w:tcBorders>
              <w:top w:val="double" w:sz="4" w:space="0" w:color="auto"/>
            </w:tcBorders>
            <w:shd w:val="clear" w:color="auto" w:fill="auto"/>
            <w:vAlign w:val="center"/>
          </w:tcPr>
          <w:p w14:paraId="11DAAF7C" w14:textId="77777777" w:rsidR="00CB0677" w:rsidRPr="00CF46C5" w:rsidRDefault="00CB0677" w:rsidP="00CB0677">
            <w:pPr>
              <w:pStyle w:val="Standaard-Tabellen"/>
              <w:rPr>
                <w:rFonts w:eastAsia="Calibri"/>
              </w:rPr>
            </w:pPr>
            <w:r w:rsidRPr="00CF46C5">
              <w:rPr>
                <w:rFonts w:eastAsia="Calibri"/>
              </w:rPr>
              <w:t>Scenario 1 – ADULT</w:t>
            </w:r>
          </w:p>
          <w:p w14:paraId="0D8AEC4F" w14:textId="77777777" w:rsidR="00CB0677" w:rsidRPr="00EB3DC0" w:rsidRDefault="00CB0677" w:rsidP="00CB0677">
            <w:pPr>
              <w:pStyle w:val="Standaard-Tabellen"/>
              <w:rPr>
                <w:rFonts w:eastAsia="Calibri"/>
              </w:rPr>
            </w:pPr>
            <w:r>
              <w:rPr>
                <w:rFonts w:eastAsia="Calibri"/>
              </w:rPr>
              <w:t>6</w:t>
            </w:r>
            <w:r w:rsidRPr="00CF46C5">
              <w:rPr>
                <w:rFonts w:eastAsia="Calibri"/>
              </w:rPr>
              <w:t xml:space="preserve"> applications/day</w:t>
            </w:r>
          </w:p>
        </w:tc>
        <w:tc>
          <w:tcPr>
            <w:tcW w:w="855" w:type="pct"/>
            <w:tcBorders>
              <w:top w:val="double" w:sz="4" w:space="0" w:color="auto"/>
            </w:tcBorders>
            <w:vAlign w:val="center"/>
          </w:tcPr>
          <w:p w14:paraId="25985862" w14:textId="77777777" w:rsidR="00CB0677" w:rsidRPr="00CF46C5" w:rsidRDefault="00CB0677" w:rsidP="00CB0677">
            <w:pPr>
              <w:pStyle w:val="Standaard-Tabellen"/>
              <w:rPr>
                <w:rFonts w:eastAsia="Calibri"/>
              </w:rPr>
            </w:pPr>
            <w:r w:rsidRPr="00CF46C5">
              <w:rPr>
                <w:rFonts w:eastAsia="Calibri"/>
              </w:rPr>
              <w:t xml:space="preserve">Tier </w:t>
            </w:r>
            <w:r>
              <w:rPr>
                <w:rFonts w:eastAsia="Calibri"/>
              </w:rPr>
              <w:t>2</w:t>
            </w:r>
            <w:r w:rsidRPr="00CF46C5">
              <w:rPr>
                <w:rFonts w:eastAsia="Calibri"/>
              </w:rPr>
              <w:t xml:space="preserve"> /</w:t>
            </w:r>
          </w:p>
          <w:p w14:paraId="60837E97" w14:textId="77777777" w:rsidR="00CB0677" w:rsidRPr="00EB3DC0" w:rsidRDefault="00CB0677" w:rsidP="00CB0677">
            <w:pPr>
              <w:pStyle w:val="Standaard-Tabellen"/>
              <w:rPr>
                <w:rFonts w:eastAsia="Calibri"/>
              </w:rPr>
            </w:pPr>
            <w:r w:rsidRPr="00CF46C5">
              <w:rPr>
                <w:rFonts w:eastAsia="Calibri"/>
              </w:rPr>
              <w:t>no PPE</w:t>
            </w:r>
          </w:p>
        </w:tc>
        <w:tc>
          <w:tcPr>
            <w:tcW w:w="2192" w:type="pct"/>
            <w:tcBorders>
              <w:top w:val="double" w:sz="4" w:space="0" w:color="auto"/>
            </w:tcBorders>
            <w:vAlign w:val="center"/>
          </w:tcPr>
          <w:p w14:paraId="2F9C62A3" w14:textId="77777777" w:rsidR="00CB0677" w:rsidRDefault="00CB0677" w:rsidP="00CB0677">
            <w:pPr>
              <w:pStyle w:val="Standaard-Tabellen"/>
              <w:rPr>
                <w:rFonts w:cs="Arial"/>
              </w:rPr>
            </w:pPr>
            <w:r>
              <w:rPr>
                <w:rFonts w:cs="Arial"/>
              </w:rPr>
              <w:t>14.70</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CB0677" w:rsidRPr="00FD2055" w14:paraId="2AC1B874" w14:textId="77777777" w:rsidTr="00CB0677">
        <w:trPr>
          <w:cantSplit/>
          <w:trHeight w:val="595"/>
          <w:tblHeader/>
        </w:trPr>
        <w:tc>
          <w:tcPr>
            <w:tcW w:w="1953" w:type="pct"/>
            <w:shd w:val="clear" w:color="auto" w:fill="auto"/>
            <w:vAlign w:val="center"/>
          </w:tcPr>
          <w:p w14:paraId="74AE2319" w14:textId="77777777" w:rsidR="00CB0677" w:rsidRPr="00CF46C5" w:rsidRDefault="00CB0677" w:rsidP="00CB0677">
            <w:pPr>
              <w:pStyle w:val="Standaard-Tabellen"/>
              <w:rPr>
                <w:rFonts w:eastAsia="Calibri"/>
              </w:rPr>
            </w:pPr>
            <w:r w:rsidRPr="00CF46C5">
              <w:rPr>
                <w:rFonts w:eastAsia="Calibri"/>
              </w:rPr>
              <w:t>Scenario 1 – CHILD</w:t>
            </w:r>
            <w:r>
              <w:rPr>
                <w:rFonts w:eastAsia="Calibri"/>
              </w:rPr>
              <w:t xml:space="preserve"> (6-12)</w:t>
            </w:r>
          </w:p>
          <w:p w14:paraId="57857AEE" w14:textId="77777777" w:rsidR="00CB0677" w:rsidRPr="00EB3DC0" w:rsidRDefault="00CB0677" w:rsidP="00CB0677">
            <w:pPr>
              <w:pStyle w:val="Standaard-Tabellen"/>
              <w:rPr>
                <w:rFonts w:eastAsia="Calibri"/>
              </w:rPr>
            </w:pPr>
            <w:r>
              <w:rPr>
                <w:rFonts w:eastAsia="Calibri"/>
              </w:rPr>
              <w:t>3 applications</w:t>
            </w:r>
            <w:r w:rsidRPr="00CF46C5">
              <w:rPr>
                <w:rFonts w:eastAsia="Calibri"/>
              </w:rPr>
              <w:t>/day</w:t>
            </w:r>
          </w:p>
        </w:tc>
        <w:tc>
          <w:tcPr>
            <w:tcW w:w="855" w:type="pct"/>
            <w:vAlign w:val="center"/>
          </w:tcPr>
          <w:p w14:paraId="36C9D840" w14:textId="77777777" w:rsidR="00CB0677" w:rsidRPr="00CF46C5" w:rsidRDefault="00CB0677" w:rsidP="00CB0677">
            <w:pPr>
              <w:pStyle w:val="Standaard-Tabellen"/>
              <w:rPr>
                <w:rFonts w:eastAsia="Calibri"/>
              </w:rPr>
            </w:pPr>
            <w:r>
              <w:rPr>
                <w:rFonts w:eastAsia="Calibri"/>
              </w:rPr>
              <w:t>Tier 2</w:t>
            </w:r>
            <w:r w:rsidRPr="00CF46C5">
              <w:rPr>
                <w:rFonts w:eastAsia="Calibri"/>
              </w:rPr>
              <w:t xml:space="preserve"> /</w:t>
            </w:r>
          </w:p>
          <w:p w14:paraId="7879D647" w14:textId="77777777" w:rsidR="00CB0677" w:rsidRPr="00EB3DC0" w:rsidRDefault="00CB0677" w:rsidP="00CB0677">
            <w:pPr>
              <w:pStyle w:val="Standaard-Tabellen"/>
              <w:rPr>
                <w:rFonts w:eastAsia="Calibri"/>
              </w:rPr>
            </w:pPr>
            <w:r w:rsidRPr="00CF46C5">
              <w:rPr>
                <w:rFonts w:eastAsia="Calibri"/>
              </w:rPr>
              <w:t>no PPE</w:t>
            </w:r>
          </w:p>
        </w:tc>
        <w:tc>
          <w:tcPr>
            <w:tcW w:w="2192" w:type="pct"/>
            <w:vAlign w:val="center"/>
          </w:tcPr>
          <w:p w14:paraId="751E697C" w14:textId="77777777" w:rsidR="00CB0677" w:rsidRDefault="00CB0677" w:rsidP="00CB0677">
            <w:pPr>
              <w:pStyle w:val="Standaard-Tabellen"/>
              <w:rPr>
                <w:rFonts w:cs="Arial"/>
              </w:rPr>
            </w:pPr>
            <w:r>
              <w:rPr>
                <w:rFonts w:cs="Arial"/>
              </w:rPr>
              <w:t>10.23</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CB0677" w:rsidRPr="00FD2055" w14:paraId="41C677B2" w14:textId="77777777" w:rsidTr="00CB0677">
        <w:trPr>
          <w:cantSplit/>
          <w:trHeight w:val="595"/>
          <w:tblHeader/>
        </w:trPr>
        <w:tc>
          <w:tcPr>
            <w:tcW w:w="1953" w:type="pct"/>
            <w:shd w:val="clear" w:color="auto" w:fill="auto"/>
            <w:vAlign w:val="center"/>
          </w:tcPr>
          <w:p w14:paraId="64CDFE19" w14:textId="77777777" w:rsidR="00CB0677" w:rsidRPr="00CF46C5" w:rsidRDefault="00CB0677" w:rsidP="00CB0677">
            <w:pPr>
              <w:pStyle w:val="Standaard-Tabellen"/>
              <w:rPr>
                <w:rFonts w:eastAsia="Calibri"/>
              </w:rPr>
            </w:pPr>
            <w:r w:rsidRPr="00CF46C5">
              <w:rPr>
                <w:rFonts w:eastAsia="Calibri"/>
              </w:rPr>
              <w:t>Scenario 1 – CHILD</w:t>
            </w:r>
            <w:r>
              <w:rPr>
                <w:rFonts w:eastAsia="Calibri"/>
              </w:rPr>
              <w:t xml:space="preserve"> (2-6)</w:t>
            </w:r>
          </w:p>
          <w:p w14:paraId="4D99FB9E" w14:textId="77777777" w:rsidR="00CB0677" w:rsidRPr="00CF46C5" w:rsidRDefault="00CB0677" w:rsidP="00CB0677">
            <w:pPr>
              <w:pStyle w:val="Standaard-Tabellen"/>
              <w:rPr>
                <w:rFonts w:eastAsia="Calibri"/>
              </w:rPr>
            </w:pPr>
            <w:r>
              <w:rPr>
                <w:rFonts w:eastAsia="Calibri"/>
              </w:rPr>
              <w:t>1 application</w:t>
            </w:r>
            <w:r w:rsidRPr="00CF46C5">
              <w:rPr>
                <w:rFonts w:eastAsia="Calibri"/>
              </w:rPr>
              <w:t>/day</w:t>
            </w:r>
          </w:p>
        </w:tc>
        <w:tc>
          <w:tcPr>
            <w:tcW w:w="855" w:type="pct"/>
            <w:vAlign w:val="center"/>
          </w:tcPr>
          <w:p w14:paraId="2756C3E0" w14:textId="77777777" w:rsidR="00CB0677" w:rsidRPr="00CF46C5" w:rsidRDefault="00CB0677" w:rsidP="00CB0677">
            <w:pPr>
              <w:pStyle w:val="Standaard-Tabellen"/>
              <w:rPr>
                <w:rFonts w:eastAsia="Calibri"/>
              </w:rPr>
            </w:pPr>
            <w:r w:rsidRPr="00CF46C5">
              <w:rPr>
                <w:rFonts w:eastAsia="Calibri"/>
              </w:rPr>
              <w:t xml:space="preserve">Tier </w:t>
            </w:r>
            <w:r>
              <w:rPr>
                <w:rFonts w:eastAsia="Calibri"/>
              </w:rPr>
              <w:t>2</w:t>
            </w:r>
            <w:r w:rsidRPr="00CF46C5">
              <w:rPr>
                <w:rFonts w:eastAsia="Calibri"/>
              </w:rPr>
              <w:t xml:space="preserve"> /</w:t>
            </w:r>
          </w:p>
          <w:p w14:paraId="46A53C4B" w14:textId="77777777" w:rsidR="00CB0677" w:rsidRDefault="00CB0677" w:rsidP="00CB0677">
            <w:pPr>
              <w:pStyle w:val="Standaard-Tabellen"/>
              <w:rPr>
                <w:rFonts w:eastAsia="Calibri"/>
              </w:rPr>
            </w:pPr>
            <w:r w:rsidRPr="00CF46C5">
              <w:rPr>
                <w:rFonts w:eastAsia="Calibri"/>
              </w:rPr>
              <w:t>no PPE</w:t>
            </w:r>
          </w:p>
        </w:tc>
        <w:tc>
          <w:tcPr>
            <w:tcW w:w="2192" w:type="pct"/>
            <w:vAlign w:val="center"/>
          </w:tcPr>
          <w:p w14:paraId="4C06F3DE" w14:textId="77777777" w:rsidR="00CB0677" w:rsidRDefault="00CB0677" w:rsidP="00CB0677">
            <w:pPr>
              <w:pStyle w:val="Standaard-Tabellen"/>
              <w:rPr>
                <w:rFonts w:cs="Arial"/>
              </w:rPr>
            </w:pPr>
            <w:r>
              <w:rPr>
                <w:rFonts w:cs="Arial"/>
              </w:rPr>
              <w:t>3.86</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CB0677" w:rsidRPr="00FD2055" w14:paraId="754BE6FC" w14:textId="77777777" w:rsidTr="00CB0677">
        <w:trPr>
          <w:cantSplit/>
          <w:trHeight w:val="595"/>
          <w:tblHeader/>
        </w:trPr>
        <w:tc>
          <w:tcPr>
            <w:tcW w:w="1953" w:type="pct"/>
            <w:shd w:val="clear" w:color="auto" w:fill="auto"/>
            <w:vAlign w:val="center"/>
          </w:tcPr>
          <w:p w14:paraId="75EABEA7" w14:textId="77777777" w:rsidR="00CB0677" w:rsidRPr="00CF46C5" w:rsidRDefault="00CB0677" w:rsidP="00CB0677">
            <w:pPr>
              <w:pStyle w:val="Standaard-Tabellen"/>
              <w:rPr>
                <w:rFonts w:eastAsia="Calibri"/>
              </w:rPr>
            </w:pPr>
            <w:r w:rsidRPr="00CF46C5">
              <w:rPr>
                <w:rFonts w:eastAsia="Calibri"/>
              </w:rPr>
              <w:t>Scenario 1 – TODDLER</w:t>
            </w:r>
          </w:p>
          <w:p w14:paraId="49A10873" w14:textId="77777777" w:rsidR="00CB0677" w:rsidRPr="00CF46C5" w:rsidRDefault="00CB0677" w:rsidP="00CB0677">
            <w:pPr>
              <w:pStyle w:val="Standaard-Tabellen"/>
              <w:rPr>
                <w:rFonts w:eastAsia="Calibri"/>
              </w:rPr>
            </w:pPr>
            <w:r>
              <w:rPr>
                <w:rFonts w:eastAsia="Calibri"/>
              </w:rPr>
              <w:t>1</w:t>
            </w:r>
            <w:r w:rsidRPr="00CF46C5">
              <w:rPr>
                <w:rFonts w:eastAsia="Calibri"/>
              </w:rPr>
              <w:t xml:space="preserve"> application/day</w:t>
            </w:r>
          </w:p>
        </w:tc>
        <w:tc>
          <w:tcPr>
            <w:tcW w:w="855" w:type="pct"/>
            <w:vAlign w:val="center"/>
          </w:tcPr>
          <w:p w14:paraId="41CE0050" w14:textId="77777777" w:rsidR="00CB0677" w:rsidRPr="00CF46C5" w:rsidRDefault="00CB0677" w:rsidP="00CB0677">
            <w:pPr>
              <w:pStyle w:val="Standaard-Tabellen"/>
              <w:rPr>
                <w:rFonts w:eastAsia="Calibri"/>
              </w:rPr>
            </w:pPr>
            <w:r>
              <w:rPr>
                <w:rFonts w:eastAsia="Calibri"/>
              </w:rPr>
              <w:t>Tier 2</w:t>
            </w:r>
            <w:r w:rsidRPr="00CF46C5">
              <w:rPr>
                <w:rFonts w:eastAsia="Calibri"/>
              </w:rPr>
              <w:t xml:space="preserve"> /</w:t>
            </w:r>
          </w:p>
          <w:p w14:paraId="16EEE36B" w14:textId="77777777" w:rsidR="00CB0677" w:rsidRDefault="00CB0677" w:rsidP="00CB0677">
            <w:pPr>
              <w:pStyle w:val="Standaard-Tabellen"/>
              <w:rPr>
                <w:rFonts w:eastAsia="Calibri"/>
              </w:rPr>
            </w:pPr>
            <w:r w:rsidRPr="00CF46C5">
              <w:rPr>
                <w:rFonts w:eastAsia="Calibri"/>
              </w:rPr>
              <w:t>no PPE</w:t>
            </w:r>
          </w:p>
        </w:tc>
        <w:tc>
          <w:tcPr>
            <w:tcW w:w="2192" w:type="pct"/>
            <w:vAlign w:val="center"/>
          </w:tcPr>
          <w:p w14:paraId="659737FE" w14:textId="77777777" w:rsidR="00CB0677" w:rsidRDefault="00CB0677" w:rsidP="00CB0677">
            <w:pPr>
              <w:pStyle w:val="Standaard-Tabellen"/>
              <w:rPr>
                <w:rFonts w:cs="Arial"/>
              </w:rPr>
            </w:pPr>
            <w:r>
              <w:rPr>
                <w:rFonts w:cs="Arial"/>
              </w:rPr>
              <w:t>4.25</w:t>
            </w:r>
            <w:r w:rsidRPr="001E522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CB0677" w:rsidRPr="00FD2055" w14:paraId="7D6EA340" w14:textId="77777777" w:rsidTr="00CB0677">
        <w:trPr>
          <w:cantSplit/>
          <w:trHeight w:val="595"/>
          <w:tblHeader/>
        </w:trPr>
        <w:tc>
          <w:tcPr>
            <w:tcW w:w="1953" w:type="pct"/>
            <w:tcBorders>
              <w:bottom w:val="double" w:sz="4" w:space="0" w:color="auto"/>
            </w:tcBorders>
            <w:shd w:val="clear" w:color="auto" w:fill="auto"/>
            <w:vAlign w:val="center"/>
          </w:tcPr>
          <w:p w14:paraId="7BE937F8" w14:textId="77777777" w:rsidR="00CB0677" w:rsidRPr="00CF46C5" w:rsidRDefault="00CB0677" w:rsidP="00CB0677">
            <w:pPr>
              <w:pStyle w:val="Standaard-Tabellen"/>
              <w:rPr>
                <w:rFonts w:eastAsia="Calibri"/>
              </w:rPr>
            </w:pPr>
            <w:r w:rsidRPr="00CF46C5">
              <w:rPr>
                <w:rFonts w:eastAsia="Calibri"/>
              </w:rPr>
              <w:t>Scenario 1 – INFANT</w:t>
            </w:r>
          </w:p>
          <w:p w14:paraId="3D1530FC" w14:textId="77777777" w:rsidR="00CB0677" w:rsidRPr="00CF46C5" w:rsidRDefault="00CB0677" w:rsidP="00CB0677">
            <w:pPr>
              <w:pStyle w:val="Standaard-Tabellen"/>
              <w:rPr>
                <w:rFonts w:eastAsia="Calibri"/>
              </w:rPr>
            </w:pPr>
            <w:r>
              <w:rPr>
                <w:rFonts w:eastAsia="Calibri"/>
              </w:rPr>
              <w:t>1</w:t>
            </w:r>
            <w:r w:rsidRPr="00CF46C5">
              <w:rPr>
                <w:rFonts w:eastAsia="Calibri"/>
              </w:rPr>
              <w:t xml:space="preserve"> application/day</w:t>
            </w:r>
          </w:p>
        </w:tc>
        <w:tc>
          <w:tcPr>
            <w:tcW w:w="855" w:type="pct"/>
            <w:tcBorders>
              <w:bottom w:val="double" w:sz="4" w:space="0" w:color="auto"/>
            </w:tcBorders>
            <w:vAlign w:val="center"/>
          </w:tcPr>
          <w:p w14:paraId="7105122E" w14:textId="77777777" w:rsidR="00CB0677" w:rsidRPr="00CF46C5" w:rsidRDefault="00CB0677" w:rsidP="00CB0677">
            <w:pPr>
              <w:pStyle w:val="Standaard-Tabellen"/>
              <w:rPr>
                <w:rFonts w:eastAsia="Calibri"/>
              </w:rPr>
            </w:pPr>
            <w:r>
              <w:rPr>
                <w:rFonts w:eastAsia="Calibri"/>
              </w:rPr>
              <w:t>Tier 2</w:t>
            </w:r>
            <w:r w:rsidRPr="00CF46C5">
              <w:rPr>
                <w:rFonts w:eastAsia="Calibri"/>
              </w:rPr>
              <w:t xml:space="preserve"> /</w:t>
            </w:r>
          </w:p>
          <w:p w14:paraId="6A97585C" w14:textId="77777777" w:rsidR="00CB0677" w:rsidRDefault="00CB0677" w:rsidP="00CB0677">
            <w:pPr>
              <w:pStyle w:val="Standaard-Tabellen"/>
              <w:rPr>
                <w:rFonts w:eastAsia="Calibri"/>
              </w:rPr>
            </w:pPr>
            <w:r w:rsidRPr="00CF46C5">
              <w:rPr>
                <w:rFonts w:eastAsia="Calibri"/>
              </w:rPr>
              <w:t>no PPE</w:t>
            </w:r>
          </w:p>
        </w:tc>
        <w:tc>
          <w:tcPr>
            <w:tcW w:w="2192" w:type="pct"/>
            <w:tcBorders>
              <w:bottom w:val="double" w:sz="4" w:space="0" w:color="auto"/>
            </w:tcBorders>
            <w:vAlign w:val="center"/>
          </w:tcPr>
          <w:p w14:paraId="4B259FC2" w14:textId="77777777" w:rsidR="00CB0677" w:rsidRDefault="00CB0677" w:rsidP="00CB0677">
            <w:pPr>
              <w:pStyle w:val="Standaard-Tabellen"/>
              <w:rPr>
                <w:rFonts w:cs="Arial"/>
              </w:rPr>
            </w:pPr>
            <w:r>
              <w:rPr>
                <w:rFonts w:cs="Arial"/>
              </w:rPr>
              <w:t xml:space="preserve">4.54 </w:t>
            </w:r>
            <w:r w:rsidRPr="00EB3DC0">
              <w:rPr>
                <w:rFonts w:cs="Arial"/>
              </w:rPr>
              <w:t xml:space="preserve">mg/kg </w:t>
            </w:r>
            <w:proofErr w:type="spellStart"/>
            <w:r w:rsidRPr="00EB3DC0">
              <w:rPr>
                <w:rFonts w:cs="Arial"/>
              </w:rPr>
              <w:t>bw</w:t>
            </w:r>
            <w:proofErr w:type="spellEnd"/>
            <w:r w:rsidRPr="00EB3DC0">
              <w:rPr>
                <w:rFonts w:cs="Arial"/>
              </w:rPr>
              <w:t>/day</w:t>
            </w:r>
          </w:p>
        </w:tc>
      </w:tr>
      <w:tr w:rsidR="00CB0677" w:rsidRPr="00FD2055" w14:paraId="19BFD59B" w14:textId="77777777" w:rsidTr="00CB0677">
        <w:trPr>
          <w:cantSplit/>
          <w:trHeight w:val="595"/>
          <w:tblHeader/>
        </w:trPr>
        <w:tc>
          <w:tcPr>
            <w:tcW w:w="1953" w:type="pct"/>
            <w:shd w:val="clear" w:color="auto" w:fill="auto"/>
            <w:vAlign w:val="center"/>
          </w:tcPr>
          <w:p w14:paraId="1879BCEC" w14:textId="77777777" w:rsidR="00CB0677" w:rsidRPr="00CF46C5" w:rsidRDefault="00CB0677" w:rsidP="00CB0677">
            <w:pPr>
              <w:pStyle w:val="Standaard-Tabellen"/>
              <w:rPr>
                <w:rFonts w:eastAsia="Calibri"/>
              </w:rPr>
            </w:pPr>
            <w:r w:rsidRPr="00CF46C5">
              <w:rPr>
                <w:rFonts w:eastAsia="Calibri"/>
              </w:rPr>
              <w:t>Scenario 1 – ADULT</w:t>
            </w:r>
          </w:p>
          <w:p w14:paraId="11516827" w14:textId="77777777" w:rsidR="00CB0677" w:rsidRPr="00EB3DC0" w:rsidRDefault="00CB0677" w:rsidP="00CB0677">
            <w:pPr>
              <w:pStyle w:val="Standaard-Tabellen"/>
              <w:rPr>
                <w:rFonts w:eastAsia="Calibri"/>
              </w:rPr>
            </w:pPr>
            <w:r>
              <w:rPr>
                <w:rFonts w:eastAsia="Calibri"/>
              </w:rPr>
              <w:t>2</w:t>
            </w:r>
            <w:r w:rsidRPr="00CF46C5">
              <w:rPr>
                <w:rFonts w:eastAsia="Calibri"/>
              </w:rPr>
              <w:t xml:space="preserve"> applications/day</w:t>
            </w:r>
          </w:p>
        </w:tc>
        <w:tc>
          <w:tcPr>
            <w:tcW w:w="855" w:type="pct"/>
            <w:vAlign w:val="center"/>
          </w:tcPr>
          <w:p w14:paraId="7B155F67" w14:textId="77777777" w:rsidR="00CB0677" w:rsidRPr="00CF46C5" w:rsidRDefault="00CB0677" w:rsidP="00CB0677">
            <w:pPr>
              <w:pStyle w:val="Standaard-Tabellen"/>
              <w:rPr>
                <w:rFonts w:eastAsia="Calibri"/>
              </w:rPr>
            </w:pPr>
            <w:r w:rsidRPr="00CF46C5">
              <w:rPr>
                <w:rFonts w:eastAsia="Calibri"/>
              </w:rPr>
              <w:t xml:space="preserve">Tier </w:t>
            </w:r>
            <w:r>
              <w:rPr>
                <w:rFonts w:eastAsia="Calibri"/>
              </w:rPr>
              <w:t>3</w:t>
            </w:r>
            <w:r w:rsidRPr="00CF46C5">
              <w:rPr>
                <w:rFonts w:eastAsia="Calibri"/>
              </w:rPr>
              <w:t xml:space="preserve"> /</w:t>
            </w:r>
          </w:p>
          <w:p w14:paraId="7DF9FE4E" w14:textId="77777777" w:rsidR="00CB0677" w:rsidRPr="00EB3DC0" w:rsidRDefault="00CB0677" w:rsidP="00CB0677">
            <w:pPr>
              <w:pStyle w:val="Standaard-Tabellen"/>
              <w:rPr>
                <w:rFonts w:eastAsia="Calibri"/>
              </w:rPr>
            </w:pPr>
            <w:r w:rsidRPr="00CF46C5">
              <w:rPr>
                <w:rFonts w:eastAsia="Calibri"/>
              </w:rPr>
              <w:t>no PPE</w:t>
            </w:r>
          </w:p>
        </w:tc>
        <w:tc>
          <w:tcPr>
            <w:tcW w:w="2192" w:type="pct"/>
            <w:vAlign w:val="center"/>
          </w:tcPr>
          <w:p w14:paraId="7A9DFB55" w14:textId="77777777" w:rsidR="00CB0677" w:rsidRDefault="00CB0677" w:rsidP="00CB0677">
            <w:pPr>
              <w:pStyle w:val="Standaard-Tabellen"/>
              <w:rPr>
                <w:rFonts w:cs="Arial"/>
              </w:rPr>
            </w:pPr>
            <w:r>
              <w:rPr>
                <w:rFonts w:cs="Arial"/>
              </w:rPr>
              <w:t>4.90</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CB0677" w:rsidRPr="00FD2055" w14:paraId="14F8DB46" w14:textId="77777777" w:rsidTr="00CB0677">
        <w:trPr>
          <w:cantSplit/>
          <w:trHeight w:val="595"/>
          <w:tblHeader/>
        </w:trPr>
        <w:tc>
          <w:tcPr>
            <w:tcW w:w="1953" w:type="pct"/>
            <w:shd w:val="clear" w:color="auto" w:fill="auto"/>
            <w:vAlign w:val="center"/>
          </w:tcPr>
          <w:p w14:paraId="6F725A2C" w14:textId="77777777" w:rsidR="00CB0677" w:rsidRPr="00CF46C5" w:rsidRDefault="00CB0677" w:rsidP="00CB0677">
            <w:pPr>
              <w:pStyle w:val="Standaard-Tabellen"/>
              <w:rPr>
                <w:rFonts w:eastAsia="Calibri"/>
              </w:rPr>
            </w:pPr>
            <w:r w:rsidRPr="00CF46C5">
              <w:rPr>
                <w:rFonts w:eastAsia="Calibri"/>
              </w:rPr>
              <w:t>Scenario 1 – CHILD</w:t>
            </w:r>
            <w:r>
              <w:rPr>
                <w:rFonts w:eastAsia="Calibri"/>
              </w:rPr>
              <w:t xml:space="preserve"> (6-12)</w:t>
            </w:r>
          </w:p>
          <w:p w14:paraId="10FA3309" w14:textId="77777777" w:rsidR="00CB0677" w:rsidRPr="00CF46C5" w:rsidRDefault="00CB0677" w:rsidP="00CB0677">
            <w:pPr>
              <w:pStyle w:val="Standaard-Tabellen"/>
              <w:rPr>
                <w:rFonts w:eastAsia="Calibri"/>
              </w:rPr>
            </w:pPr>
            <w:r>
              <w:rPr>
                <w:rFonts w:eastAsia="Calibri"/>
              </w:rPr>
              <w:t>1 application</w:t>
            </w:r>
            <w:r w:rsidRPr="00CF46C5">
              <w:rPr>
                <w:rFonts w:eastAsia="Calibri"/>
              </w:rPr>
              <w:t>/day</w:t>
            </w:r>
          </w:p>
        </w:tc>
        <w:tc>
          <w:tcPr>
            <w:tcW w:w="855" w:type="pct"/>
            <w:vAlign w:val="center"/>
          </w:tcPr>
          <w:p w14:paraId="6984AD38" w14:textId="77777777" w:rsidR="00CB0677" w:rsidRPr="00CF46C5" w:rsidRDefault="00CB0677" w:rsidP="00CB0677">
            <w:pPr>
              <w:pStyle w:val="Standaard-Tabellen"/>
              <w:rPr>
                <w:rFonts w:eastAsia="Calibri"/>
              </w:rPr>
            </w:pPr>
            <w:r>
              <w:rPr>
                <w:rFonts w:eastAsia="Calibri"/>
              </w:rPr>
              <w:t>Tier 3</w:t>
            </w:r>
            <w:r w:rsidRPr="00CF46C5">
              <w:rPr>
                <w:rFonts w:eastAsia="Calibri"/>
              </w:rPr>
              <w:t xml:space="preserve"> /</w:t>
            </w:r>
          </w:p>
          <w:p w14:paraId="21F62C17" w14:textId="77777777" w:rsidR="00CB0677" w:rsidRDefault="00CB0677" w:rsidP="00CB0677">
            <w:pPr>
              <w:pStyle w:val="Standaard-Tabellen"/>
              <w:rPr>
                <w:rFonts w:eastAsia="Calibri"/>
              </w:rPr>
            </w:pPr>
            <w:r w:rsidRPr="00CF46C5">
              <w:rPr>
                <w:rFonts w:eastAsia="Calibri"/>
              </w:rPr>
              <w:t>no PPE</w:t>
            </w:r>
          </w:p>
        </w:tc>
        <w:tc>
          <w:tcPr>
            <w:tcW w:w="2192" w:type="pct"/>
            <w:vAlign w:val="center"/>
          </w:tcPr>
          <w:p w14:paraId="7C0633A9" w14:textId="77777777" w:rsidR="00CB0677" w:rsidRDefault="00CB0677" w:rsidP="00CB0677">
            <w:pPr>
              <w:pStyle w:val="Standaard-Tabellen"/>
              <w:rPr>
                <w:rFonts w:cs="Arial"/>
              </w:rPr>
            </w:pPr>
            <w:r>
              <w:rPr>
                <w:rFonts w:cs="Arial"/>
              </w:rPr>
              <w:t>3.41</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bl>
    <w:p w14:paraId="60E22F63" w14:textId="77777777" w:rsidR="00881426" w:rsidRPr="00FD2055" w:rsidRDefault="00881426" w:rsidP="00586AC3">
      <w:pPr>
        <w:rPr>
          <w:rFonts w:eastAsia="Calibri"/>
          <w:lang w:eastAsia="en-US"/>
        </w:rPr>
      </w:pPr>
    </w:p>
    <w:p w14:paraId="6040C87F" w14:textId="77777777" w:rsidR="00881426" w:rsidRPr="00532A83" w:rsidRDefault="00881426" w:rsidP="00881426">
      <w:pPr>
        <w:pStyle w:val="Titre6"/>
        <w:rPr>
          <w:lang w:val="en-US"/>
        </w:rPr>
      </w:pPr>
      <w:r w:rsidRPr="00532A83">
        <w:rPr>
          <w:lang w:val="en-US"/>
        </w:rPr>
        <w:t xml:space="preserve">Scenario </w:t>
      </w:r>
      <w:r>
        <w:rPr>
          <w:lang w:val="en-US"/>
        </w:rPr>
        <w:t xml:space="preserve">2: </w:t>
      </w:r>
      <w:r w:rsidRPr="007F63D0">
        <w:rPr>
          <w:lang w:val="en-US"/>
        </w:rPr>
        <w:t xml:space="preserve">Secondary exposure (indirect exposure as a result of use): Hand-mouth transfer reverse reference scenario (oral exposure)  </w:t>
      </w:r>
    </w:p>
    <w:p w14:paraId="3058A0AE" w14:textId="77777777" w:rsidR="00881426" w:rsidRPr="00C93E0D" w:rsidRDefault="00881426" w:rsidP="00881426">
      <w:pPr>
        <w:rPr>
          <w:rFonts w:eastAsia="Calibri"/>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40"/>
        <w:gridCol w:w="4893"/>
        <w:gridCol w:w="1263"/>
      </w:tblGrid>
      <w:tr w:rsidR="00CB0677" w:rsidRPr="00332AD5" w14:paraId="66E679EF" w14:textId="77777777" w:rsidTr="00CB0677">
        <w:trPr>
          <w:tblHeader/>
        </w:trPr>
        <w:tc>
          <w:tcPr>
            <w:tcW w:w="5000" w:type="pct"/>
            <w:gridSpan w:val="3"/>
            <w:shd w:val="clear" w:color="auto" w:fill="FFFFCC"/>
            <w:tcMar>
              <w:top w:w="57" w:type="dxa"/>
              <w:bottom w:w="57" w:type="dxa"/>
            </w:tcMar>
          </w:tcPr>
          <w:p w14:paraId="2F97A01E" w14:textId="77777777" w:rsidR="00CB0677" w:rsidRPr="00332AD5" w:rsidRDefault="00CB0677" w:rsidP="00CB0677">
            <w:pPr>
              <w:pStyle w:val="Standaard-Tabellen"/>
              <w:jc w:val="center"/>
              <w:rPr>
                <w:rFonts w:eastAsia="Calibri"/>
                <w:b/>
              </w:rPr>
            </w:pPr>
            <w:r w:rsidRPr="00332AD5">
              <w:rPr>
                <w:rFonts w:eastAsia="Calibri"/>
                <w:b/>
              </w:rPr>
              <w:lastRenderedPageBreak/>
              <w:t xml:space="preserve">Description of Scenario </w:t>
            </w:r>
            <w:r>
              <w:rPr>
                <w:rFonts w:eastAsia="Calibri"/>
                <w:b/>
              </w:rPr>
              <w:t>2</w:t>
            </w:r>
          </w:p>
        </w:tc>
      </w:tr>
      <w:tr w:rsidR="00CB0677" w:rsidRPr="004936D9" w14:paraId="72568084" w14:textId="77777777" w:rsidTr="00CB0677">
        <w:trPr>
          <w:tblHeader/>
        </w:trPr>
        <w:tc>
          <w:tcPr>
            <w:tcW w:w="5000" w:type="pct"/>
            <w:gridSpan w:val="3"/>
            <w:shd w:val="clear" w:color="auto" w:fill="auto"/>
            <w:tcMar>
              <w:top w:w="57" w:type="dxa"/>
              <w:bottom w:w="57" w:type="dxa"/>
            </w:tcMar>
          </w:tcPr>
          <w:p w14:paraId="32E0BA44" w14:textId="77777777" w:rsidR="00CB0677" w:rsidRPr="004F6031" w:rsidRDefault="00CB0677" w:rsidP="00CB0677">
            <w:pPr>
              <w:pStyle w:val="Explanatorynotes"/>
              <w:rPr>
                <w:rFonts w:ascii="Verdana" w:eastAsia="Calibri" w:hAnsi="Verdana"/>
                <w:i w:val="0"/>
              </w:rPr>
            </w:pPr>
            <w:r w:rsidRPr="00F42DF9">
              <w:rPr>
                <w:rFonts w:ascii="Verdana" w:eastAsia="Calibri" w:hAnsi="Verdana"/>
                <w:i w:val="0"/>
              </w:rPr>
              <w:t>This scenario is based on the one available in the CAR of IR3535</w:t>
            </w:r>
            <w:r w:rsidRPr="00BF5148">
              <w:rPr>
                <w:rFonts w:ascii="Verdana" w:eastAsia="Calibri" w:hAnsi="Verdana"/>
                <w:i w:val="0"/>
                <w:vertAlign w:val="superscript"/>
              </w:rPr>
              <w:t>®</w:t>
            </w:r>
            <w:r w:rsidRPr="00F42DF9">
              <w:rPr>
                <w:rFonts w:ascii="Verdana" w:eastAsia="Calibri" w:hAnsi="Verdana"/>
                <w:i w:val="0"/>
              </w:rPr>
              <w:t xml:space="preserve">. It has been updated according the recommendation 11 of the BPC Ad hoc Working Group on Human Exposure : Proposal for harmonising the assessment of human exposure to repellents (PT19) – Version 2.1 agreed at WGV 2017.  </w:t>
            </w:r>
          </w:p>
        </w:tc>
      </w:tr>
      <w:tr w:rsidR="00CB0677" w:rsidRPr="004936D9" w14:paraId="2C2E5DE1" w14:textId="77777777" w:rsidTr="00CB0677">
        <w:trPr>
          <w:tblHeader/>
        </w:trPr>
        <w:tc>
          <w:tcPr>
            <w:tcW w:w="5000" w:type="pct"/>
            <w:gridSpan w:val="3"/>
            <w:shd w:val="clear" w:color="auto" w:fill="auto"/>
            <w:tcMar>
              <w:top w:w="57" w:type="dxa"/>
              <w:bottom w:w="57" w:type="dxa"/>
            </w:tcMar>
          </w:tcPr>
          <w:p w14:paraId="7B8D4288" w14:textId="77777777" w:rsidR="00CB0677" w:rsidRPr="000504BE" w:rsidRDefault="00CB0677" w:rsidP="00CB0677">
            <w:pPr>
              <w:pStyle w:val="Explanatorynotes"/>
              <w:rPr>
                <w:rFonts w:ascii="Verdana" w:eastAsia="Calibri" w:hAnsi="Verdana"/>
                <w:i w:val="0"/>
              </w:rPr>
            </w:pPr>
            <w:r w:rsidRPr="000504BE">
              <w:rPr>
                <w:rFonts w:ascii="Verdana" w:eastAsia="Calibri" w:hAnsi="Verdana"/>
                <w:i w:val="0"/>
              </w:rPr>
              <w:t>Hand to mouth transfer might be possible for small children. However this scenario is not considered to be a significant route of exposure because of bad palatability (bitterness ) preventing repeated mouthing by small children and you may not apply to children’s hand.</w:t>
            </w:r>
          </w:p>
          <w:p w14:paraId="753E61E6" w14:textId="77777777" w:rsidR="00CB0677" w:rsidRPr="000504BE" w:rsidRDefault="00CB0677" w:rsidP="00CB0677">
            <w:pPr>
              <w:pStyle w:val="Explanatorynotes"/>
              <w:rPr>
                <w:rFonts w:ascii="Verdana" w:eastAsia="Calibri" w:hAnsi="Verdana"/>
                <w:i w:val="0"/>
              </w:rPr>
            </w:pPr>
            <w:r w:rsidRPr="000504BE">
              <w:rPr>
                <w:rFonts w:ascii="Verdana" w:eastAsia="Calibri" w:hAnsi="Verdana"/>
                <w:i w:val="0"/>
              </w:rPr>
              <w:t xml:space="preserve">At TM IV 2010, it was agreed to develop the scenario “hand-mouth </w:t>
            </w:r>
            <w:r>
              <w:rPr>
                <w:rFonts w:ascii="Verdana" w:eastAsia="Calibri" w:hAnsi="Verdana"/>
                <w:i w:val="0"/>
              </w:rPr>
              <w:t xml:space="preserve">transfer” consistently with the </w:t>
            </w:r>
            <w:r w:rsidRPr="000504BE">
              <w:rPr>
                <w:rFonts w:ascii="Verdana" w:eastAsia="Calibri" w:hAnsi="Verdana"/>
                <w:i w:val="0"/>
              </w:rPr>
              <w:t>DEET dossier evaluated by SE and to be discus</w:t>
            </w:r>
            <w:r>
              <w:rPr>
                <w:rFonts w:ascii="Verdana" w:eastAsia="Calibri" w:hAnsi="Verdana"/>
                <w:i w:val="0"/>
              </w:rPr>
              <w:t>sed with HEEG a</w:t>
            </w:r>
            <w:r w:rsidRPr="002049A6">
              <w:rPr>
                <w:rFonts w:ascii="Verdana" w:eastAsia="Calibri" w:hAnsi="Verdana"/>
                <w:i w:val="0"/>
              </w:rPr>
              <w:t>nd TM agreed not to sum up the two routes</w:t>
            </w:r>
            <w:r w:rsidRPr="000504BE">
              <w:rPr>
                <w:rFonts w:ascii="Verdana" w:eastAsia="Calibri" w:hAnsi="Verdana"/>
                <w:i w:val="0"/>
              </w:rPr>
              <w:t xml:space="preserve"> (oral and dermal) in small children.</w:t>
            </w:r>
          </w:p>
          <w:p w14:paraId="753EB68D" w14:textId="77777777" w:rsidR="00CB0677" w:rsidRDefault="00CB0677" w:rsidP="00CB0677">
            <w:pPr>
              <w:pStyle w:val="Explanatorynotes"/>
              <w:rPr>
                <w:rFonts w:ascii="Verdana" w:eastAsia="Calibri" w:hAnsi="Verdana"/>
                <w:i w:val="0"/>
              </w:rPr>
            </w:pPr>
            <w:r w:rsidRPr="000504BE">
              <w:rPr>
                <w:rFonts w:ascii="Verdana" w:eastAsia="Calibri" w:hAnsi="Verdana"/>
                <w:i w:val="0"/>
              </w:rPr>
              <w:t>Reverse reference scenario  is included to show how much IR3535</w:t>
            </w:r>
            <w:r w:rsidRPr="00A068DB">
              <w:rPr>
                <w:rFonts w:ascii="Verdana" w:eastAsia="Calibri" w:hAnsi="Verdana"/>
                <w:i w:val="0"/>
                <w:vertAlign w:val="superscript"/>
              </w:rPr>
              <w:t>®</w:t>
            </w:r>
            <w:r w:rsidRPr="000504BE">
              <w:rPr>
                <w:rFonts w:ascii="Verdana" w:eastAsia="Calibri" w:hAnsi="Verdana"/>
                <w:i w:val="0"/>
              </w:rPr>
              <w:t xml:space="preserve"> anyone can be exposed to, after oral exposure w</w:t>
            </w:r>
            <w:r>
              <w:rPr>
                <w:rFonts w:ascii="Verdana" w:eastAsia="Calibri" w:hAnsi="Verdana"/>
                <w:i w:val="0"/>
              </w:rPr>
              <w:t>ithout exceeding reference dose (</w:t>
            </w:r>
            <w:r w:rsidRPr="000504BE">
              <w:rPr>
                <w:rFonts w:ascii="Verdana" w:eastAsia="Calibri" w:hAnsi="Verdana"/>
                <w:i w:val="0"/>
              </w:rPr>
              <w:t>AEL for IR3535</w:t>
            </w:r>
            <w:r w:rsidRPr="00A068DB">
              <w:rPr>
                <w:rFonts w:ascii="Verdana" w:eastAsia="Calibri" w:hAnsi="Verdana"/>
                <w:i w:val="0"/>
                <w:vertAlign w:val="superscript"/>
              </w:rPr>
              <w:t>®</w:t>
            </w:r>
            <w:r w:rsidRPr="000504BE">
              <w:rPr>
                <w:rFonts w:ascii="Verdana" w:eastAsia="Calibri" w:hAnsi="Verdana"/>
                <w:i w:val="0"/>
              </w:rPr>
              <w:t xml:space="preserve"> is 5 mg/kg </w:t>
            </w:r>
            <w:proofErr w:type="spellStart"/>
            <w:r w:rsidRPr="000504BE">
              <w:rPr>
                <w:rFonts w:ascii="Verdana" w:eastAsia="Calibri" w:hAnsi="Verdana"/>
                <w:i w:val="0"/>
              </w:rPr>
              <w:t>bw</w:t>
            </w:r>
            <w:proofErr w:type="spellEnd"/>
            <w:r w:rsidRPr="000504BE">
              <w:rPr>
                <w:rFonts w:ascii="Verdana" w:eastAsia="Calibri" w:hAnsi="Verdana"/>
                <w:i w:val="0"/>
              </w:rPr>
              <w:t>/d</w:t>
            </w:r>
            <w:r>
              <w:rPr>
                <w:rFonts w:ascii="Verdana" w:eastAsia="Calibri" w:hAnsi="Verdana"/>
                <w:i w:val="0"/>
              </w:rPr>
              <w:t>)</w:t>
            </w:r>
            <w:r w:rsidRPr="000504BE">
              <w:rPr>
                <w:rFonts w:ascii="Verdana" w:eastAsia="Calibri" w:hAnsi="Verdana"/>
                <w:i w:val="0"/>
              </w:rPr>
              <w:t>.</w:t>
            </w:r>
          </w:p>
          <w:p w14:paraId="01EE4520" w14:textId="77777777" w:rsidR="00CB0677" w:rsidRPr="00F94E15" w:rsidRDefault="00CB0677" w:rsidP="00CB0677">
            <w:pPr>
              <w:pStyle w:val="Explanatorynotes"/>
              <w:rPr>
                <w:rFonts w:ascii="Verdana" w:eastAsia="Calibri" w:hAnsi="Verdana"/>
                <w:i w:val="0"/>
              </w:rPr>
            </w:pPr>
          </w:p>
          <w:p w14:paraId="2CDE8084" w14:textId="77777777" w:rsidR="00CB0677" w:rsidRPr="00F94E15" w:rsidRDefault="00CB0677" w:rsidP="00CB0677">
            <w:pPr>
              <w:pStyle w:val="Explanatorynotes"/>
              <w:rPr>
                <w:rFonts w:ascii="Verdana" w:eastAsia="Calibri" w:hAnsi="Verdana"/>
                <w:i w:val="0"/>
              </w:rPr>
            </w:pPr>
            <w:r w:rsidRPr="00F94E15">
              <w:rPr>
                <w:rFonts w:ascii="Verdana" w:eastAsia="Calibri" w:hAnsi="Verdana"/>
                <w:b/>
                <w:i w:val="0"/>
              </w:rPr>
              <w:t xml:space="preserve">External dermal amount of </w:t>
            </w:r>
            <w:proofErr w:type="spellStart"/>
            <w:r w:rsidRPr="00F94E15">
              <w:rPr>
                <w:rFonts w:ascii="Verdana" w:eastAsia="Calibri" w:hAnsi="Verdana"/>
                <w:b/>
                <w:i w:val="0"/>
              </w:rPr>
              <w:t>a.s.</w:t>
            </w:r>
            <w:proofErr w:type="spellEnd"/>
            <w:r w:rsidRPr="00F94E15">
              <w:rPr>
                <w:rFonts w:ascii="Verdana" w:eastAsia="Calibri" w:hAnsi="Verdana"/>
                <w:b/>
                <w:i w:val="0"/>
              </w:rPr>
              <w:t xml:space="preserve"> per application</w:t>
            </w:r>
            <w:r w:rsidRPr="00F94E15">
              <w:rPr>
                <w:rFonts w:ascii="Verdana" w:eastAsia="Calibri" w:hAnsi="Verdana"/>
                <w:i w:val="0"/>
              </w:rPr>
              <w:t xml:space="preserve">: </w:t>
            </w:r>
          </w:p>
          <w:p w14:paraId="6EF52204" w14:textId="77777777" w:rsidR="00CB0677" w:rsidRPr="00F94E15" w:rsidRDefault="00CB0677" w:rsidP="00CB0677">
            <w:pPr>
              <w:pStyle w:val="Explanatorynotes"/>
              <w:ind w:left="348"/>
              <w:rPr>
                <w:rFonts w:ascii="Verdana" w:eastAsia="Calibri" w:hAnsi="Verdana"/>
                <w:i w:val="0"/>
              </w:rPr>
            </w:pPr>
            <w:r w:rsidRPr="00F94E15">
              <w:rPr>
                <w:rFonts w:ascii="Verdana" w:eastAsia="Calibri" w:hAnsi="Verdana"/>
                <w:i w:val="0"/>
              </w:rPr>
              <w:t xml:space="preserve">Amount of </w:t>
            </w:r>
            <w:proofErr w:type="spellStart"/>
            <w:r w:rsidRPr="00F94E15">
              <w:rPr>
                <w:rFonts w:ascii="Verdana" w:eastAsia="Calibri" w:hAnsi="Verdana"/>
                <w:i w:val="0"/>
              </w:rPr>
              <w:t>b</w:t>
            </w:r>
            <w:r>
              <w:rPr>
                <w:rFonts w:ascii="Verdana" w:eastAsia="Calibri" w:hAnsi="Verdana"/>
                <w:i w:val="0"/>
              </w:rPr>
              <w:t>.</w:t>
            </w:r>
            <w:r w:rsidRPr="00F94E15">
              <w:rPr>
                <w:rFonts w:ascii="Verdana" w:eastAsia="Calibri" w:hAnsi="Verdana"/>
                <w:i w:val="0"/>
              </w:rPr>
              <w:t>p</w:t>
            </w:r>
            <w:r>
              <w:rPr>
                <w:rFonts w:ascii="Verdana" w:eastAsia="Calibri" w:hAnsi="Verdana"/>
                <w:i w:val="0"/>
              </w:rPr>
              <w:t>.</w:t>
            </w:r>
            <w:proofErr w:type="spellEnd"/>
            <w:r>
              <w:rPr>
                <w:rFonts w:ascii="Verdana" w:eastAsia="Calibri" w:hAnsi="Verdana"/>
                <w:i w:val="0"/>
              </w:rPr>
              <w:t>/</w:t>
            </w:r>
            <w:r w:rsidRPr="00F94E15">
              <w:rPr>
                <w:rFonts w:ascii="Verdana" w:eastAsia="Calibri" w:hAnsi="Verdana"/>
                <w:i w:val="0"/>
              </w:rPr>
              <w:t>application</w:t>
            </w:r>
            <w:r>
              <w:rPr>
                <w:rFonts w:ascii="Verdana" w:eastAsia="Calibri" w:hAnsi="Verdana"/>
                <w:i w:val="0"/>
              </w:rPr>
              <w:t xml:space="preserve"> x</w:t>
            </w:r>
            <w:r w:rsidRPr="00F94E15">
              <w:rPr>
                <w:rFonts w:ascii="Verdana" w:eastAsia="Calibri" w:hAnsi="Verdana"/>
                <w:i w:val="0"/>
              </w:rPr>
              <w:t xml:space="preserve"> percent of </w:t>
            </w:r>
            <w:proofErr w:type="spellStart"/>
            <w:r w:rsidRPr="00F94E15">
              <w:rPr>
                <w:rFonts w:ascii="Verdana" w:eastAsia="Calibri" w:hAnsi="Verdana"/>
                <w:i w:val="0"/>
              </w:rPr>
              <w:t>a.s.</w:t>
            </w:r>
            <w:proofErr w:type="spellEnd"/>
            <w:r w:rsidRPr="00F94E15">
              <w:rPr>
                <w:rFonts w:ascii="Verdana" w:eastAsia="Calibri" w:hAnsi="Verdana"/>
                <w:i w:val="0"/>
              </w:rPr>
              <w:t xml:space="preserve"> in </w:t>
            </w:r>
            <w:proofErr w:type="spellStart"/>
            <w:r w:rsidRPr="00F94E15">
              <w:rPr>
                <w:rFonts w:ascii="Verdana" w:eastAsia="Calibri" w:hAnsi="Verdana"/>
                <w:i w:val="0"/>
              </w:rPr>
              <w:t>b.p.</w:t>
            </w:r>
            <w:proofErr w:type="spellEnd"/>
            <w:r>
              <w:rPr>
                <w:rFonts w:ascii="Verdana" w:eastAsia="Calibri" w:hAnsi="Verdana"/>
                <w:i w:val="0"/>
              </w:rPr>
              <w:t xml:space="preserve"> / body weight</w:t>
            </w:r>
            <w:r w:rsidRPr="00F94E15">
              <w:rPr>
                <w:rFonts w:ascii="Verdana" w:eastAsia="Calibri" w:hAnsi="Verdana"/>
                <w:i w:val="0"/>
              </w:rPr>
              <w:t xml:space="preserve"> </w:t>
            </w:r>
          </w:p>
          <w:p w14:paraId="4D26F108" w14:textId="77777777" w:rsidR="00CB0677" w:rsidRPr="00F94E15" w:rsidRDefault="00CB0677" w:rsidP="00CB0677">
            <w:pPr>
              <w:pStyle w:val="Explanatorynotes"/>
              <w:rPr>
                <w:rFonts w:ascii="Verdana" w:eastAsia="Calibri" w:hAnsi="Verdana"/>
                <w:b/>
                <w:i w:val="0"/>
              </w:rPr>
            </w:pPr>
            <w:r w:rsidRPr="00F94E15">
              <w:rPr>
                <w:rFonts w:ascii="Verdana" w:eastAsia="Calibri" w:hAnsi="Verdana"/>
                <w:b/>
                <w:i w:val="0"/>
              </w:rPr>
              <w:t>Oral systemic exposure via hand-mouth transfer is:</w:t>
            </w:r>
          </w:p>
          <w:p w14:paraId="69F9AA3A" w14:textId="77777777" w:rsidR="00CB0677" w:rsidRDefault="00CB0677" w:rsidP="00CB0677">
            <w:pPr>
              <w:pStyle w:val="Explanatorynotes"/>
              <w:ind w:left="348"/>
              <w:rPr>
                <w:rFonts w:ascii="Verdana" w:eastAsia="Calibri" w:hAnsi="Verdana"/>
                <w:i w:val="0"/>
              </w:rPr>
            </w:pPr>
            <w:r w:rsidRPr="00F94E15">
              <w:rPr>
                <w:rFonts w:ascii="Verdana" w:eastAsia="Calibri" w:hAnsi="Verdana"/>
                <w:i w:val="0"/>
              </w:rPr>
              <w:t xml:space="preserve">External dermal amount of </w:t>
            </w:r>
            <w:proofErr w:type="spellStart"/>
            <w:r w:rsidRPr="00F94E15">
              <w:rPr>
                <w:rFonts w:ascii="Verdana" w:eastAsia="Calibri" w:hAnsi="Verdana"/>
                <w:i w:val="0"/>
              </w:rPr>
              <w:t>a.s.</w:t>
            </w:r>
            <w:proofErr w:type="spellEnd"/>
            <w:r w:rsidRPr="00F94E15">
              <w:rPr>
                <w:rFonts w:ascii="Verdana" w:eastAsia="Calibri" w:hAnsi="Verdana"/>
                <w:i w:val="0"/>
              </w:rPr>
              <w:t xml:space="preserve"> per application x Factor for oral intake by hand-mouth transfer</w:t>
            </w:r>
            <w:r>
              <w:rPr>
                <w:rFonts w:ascii="Verdana" w:eastAsia="Calibri" w:hAnsi="Verdana"/>
                <w:i w:val="0"/>
              </w:rPr>
              <w:t xml:space="preserve"> x oral absorption</w:t>
            </w:r>
          </w:p>
          <w:p w14:paraId="2A04699C" w14:textId="77777777" w:rsidR="00CB0677" w:rsidRPr="00A52D7A" w:rsidRDefault="00CB0677" w:rsidP="00CB0677">
            <w:pPr>
              <w:pStyle w:val="Explanatorynotes"/>
              <w:rPr>
                <w:rFonts w:ascii="Verdana" w:eastAsia="Calibri" w:hAnsi="Verdana"/>
                <w:b/>
                <w:i w:val="0"/>
              </w:rPr>
            </w:pPr>
            <w:r w:rsidRPr="00A52D7A">
              <w:rPr>
                <w:rFonts w:ascii="Verdana" w:eastAsia="Calibri" w:hAnsi="Verdana"/>
                <w:b/>
                <w:i w:val="0"/>
              </w:rPr>
              <w:t>Numb</w:t>
            </w:r>
            <w:r>
              <w:rPr>
                <w:rFonts w:ascii="Verdana" w:eastAsia="Calibri" w:hAnsi="Verdana"/>
                <w:b/>
                <w:i w:val="0"/>
              </w:rPr>
              <w:t>er of time</w:t>
            </w:r>
            <w:r w:rsidRPr="00A52D7A">
              <w:rPr>
                <w:rFonts w:ascii="Verdana" w:eastAsia="Calibri" w:hAnsi="Verdana"/>
                <w:b/>
                <w:i w:val="0"/>
              </w:rPr>
              <w:t xml:space="preserve"> of appli</w:t>
            </w:r>
            <w:r>
              <w:rPr>
                <w:rFonts w:ascii="Verdana" w:eastAsia="Calibri" w:hAnsi="Verdana"/>
                <w:b/>
                <w:i w:val="0"/>
              </w:rPr>
              <w:t>cation</w:t>
            </w:r>
            <w:r w:rsidRPr="00A52D7A">
              <w:rPr>
                <w:rFonts w:ascii="Verdana" w:eastAsia="Calibri" w:hAnsi="Verdana"/>
                <w:b/>
                <w:i w:val="0"/>
              </w:rPr>
              <w:t xml:space="preserve"> </w:t>
            </w:r>
            <w:proofErr w:type="spellStart"/>
            <w:r w:rsidRPr="00A52D7A">
              <w:rPr>
                <w:rFonts w:ascii="Verdana" w:eastAsia="Calibri" w:hAnsi="Verdana"/>
                <w:b/>
                <w:i w:val="0"/>
              </w:rPr>
              <w:t>b.p.</w:t>
            </w:r>
            <w:proofErr w:type="spellEnd"/>
            <w:r w:rsidRPr="00A52D7A">
              <w:rPr>
                <w:rFonts w:ascii="Verdana" w:eastAsia="Calibri" w:hAnsi="Verdana"/>
                <w:b/>
                <w:i w:val="0"/>
              </w:rPr>
              <w:t xml:space="preserve"> before exceeding the AEL via hand-mouth transfer : </w:t>
            </w:r>
          </w:p>
          <w:p w14:paraId="065446CA" w14:textId="77777777" w:rsidR="00CB0677" w:rsidRDefault="00CB0677" w:rsidP="00CB0677">
            <w:pPr>
              <w:pStyle w:val="Explanatorynotes"/>
              <w:ind w:left="348"/>
              <w:rPr>
                <w:rFonts w:ascii="Verdana" w:eastAsia="Calibri" w:hAnsi="Verdana"/>
                <w:i w:val="0"/>
              </w:rPr>
            </w:pPr>
            <w:r>
              <w:rPr>
                <w:rFonts w:ascii="Verdana" w:eastAsia="Calibri" w:hAnsi="Verdana"/>
                <w:i w:val="0"/>
              </w:rPr>
              <w:t xml:space="preserve">AEL / </w:t>
            </w:r>
            <w:r w:rsidRPr="00A52D7A">
              <w:rPr>
                <w:rFonts w:ascii="Verdana" w:eastAsia="Calibri" w:hAnsi="Verdana"/>
                <w:i w:val="0"/>
              </w:rPr>
              <w:t>Oral systemic exposure via hand-mouth transfer</w:t>
            </w:r>
          </w:p>
          <w:p w14:paraId="6A2C60F0" w14:textId="77777777" w:rsidR="00CB0677" w:rsidRDefault="00CB0677" w:rsidP="00CB0677">
            <w:pPr>
              <w:pStyle w:val="Explanatorynotes"/>
              <w:rPr>
                <w:rFonts w:ascii="Verdana" w:eastAsia="Calibri" w:hAnsi="Verdana"/>
                <w:i w:val="0"/>
              </w:rPr>
            </w:pPr>
          </w:p>
          <w:p w14:paraId="438FC1D0" w14:textId="77777777" w:rsidR="00CB0677" w:rsidRDefault="00CB0677" w:rsidP="00CB0677">
            <w:pPr>
              <w:pStyle w:val="Explanatorynotes"/>
              <w:rPr>
                <w:rFonts w:ascii="Verdana" w:eastAsia="Calibri" w:hAnsi="Verdana"/>
                <w:i w:val="0"/>
              </w:rPr>
            </w:pPr>
            <w:r w:rsidRPr="00145519">
              <w:rPr>
                <w:rFonts w:ascii="Verdana" w:eastAsia="Calibri" w:hAnsi="Verdana"/>
                <w:i w:val="0"/>
              </w:rPr>
              <w:t>As a worst case, the scenario has been assessed considering that the whole body is treated.</w:t>
            </w:r>
          </w:p>
          <w:p w14:paraId="7D0B0E3E" w14:textId="77777777" w:rsidR="00CB0677" w:rsidRPr="004936D9" w:rsidRDefault="00CB0677" w:rsidP="00CB0677">
            <w:pPr>
              <w:pStyle w:val="Explanatorynotes"/>
              <w:rPr>
                <w:rFonts w:ascii="Verdana" w:eastAsia="Calibri" w:hAnsi="Verdana"/>
                <w:i w:val="0"/>
              </w:rPr>
            </w:pPr>
          </w:p>
        </w:tc>
      </w:tr>
      <w:tr w:rsidR="00CB0677" w:rsidRPr="00586AC3" w14:paraId="46C874BB" w14:textId="77777777" w:rsidTr="00CB0677">
        <w:trPr>
          <w:tblHeader/>
        </w:trPr>
        <w:tc>
          <w:tcPr>
            <w:tcW w:w="1724" w:type="pct"/>
            <w:shd w:val="clear" w:color="auto" w:fill="BFBFBF" w:themeFill="background1" w:themeFillShade="BF"/>
            <w:tcMar>
              <w:top w:w="57" w:type="dxa"/>
              <w:bottom w:w="57" w:type="dxa"/>
            </w:tcMar>
          </w:tcPr>
          <w:p w14:paraId="09D4563C" w14:textId="77777777" w:rsidR="00CB0677" w:rsidRPr="00586AC3" w:rsidRDefault="00CB0677" w:rsidP="00CB0677">
            <w:pPr>
              <w:pStyle w:val="Standaard-Tabellen"/>
              <w:rPr>
                <w:rFonts w:eastAsia="Calibri"/>
                <w:b/>
                <w:lang w:val="en-US"/>
              </w:rPr>
            </w:pPr>
          </w:p>
        </w:tc>
        <w:tc>
          <w:tcPr>
            <w:tcW w:w="2604" w:type="pct"/>
            <w:shd w:val="clear" w:color="auto" w:fill="BFBFBF" w:themeFill="background1" w:themeFillShade="BF"/>
            <w:tcMar>
              <w:top w:w="57" w:type="dxa"/>
              <w:bottom w:w="57" w:type="dxa"/>
            </w:tcMar>
          </w:tcPr>
          <w:p w14:paraId="31FCF8F1" w14:textId="77777777" w:rsidR="00CB0677" w:rsidRPr="00586AC3" w:rsidRDefault="00CB0677" w:rsidP="00CB0677">
            <w:pPr>
              <w:pStyle w:val="Standaard-Tabellen"/>
              <w:rPr>
                <w:rFonts w:eastAsia="Calibri"/>
                <w:b/>
              </w:rPr>
            </w:pPr>
            <w:r w:rsidRPr="00586AC3">
              <w:rPr>
                <w:rFonts w:eastAsia="Calibri"/>
                <w:b/>
              </w:rPr>
              <w:t>Parameters</w:t>
            </w:r>
            <w:r w:rsidRPr="00586AC3">
              <w:rPr>
                <w:rFonts w:eastAsia="Calibri"/>
                <w:b/>
                <w:vertAlign w:val="superscript"/>
              </w:rPr>
              <w:t>1</w:t>
            </w:r>
          </w:p>
        </w:tc>
        <w:tc>
          <w:tcPr>
            <w:tcW w:w="672" w:type="pct"/>
            <w:shd w:val="clear" w:color="auto" w:fill="BFBFBF" w:themeFill="background1" w:themeFillShade="BF"/>
            <w:tcMar>
              <w:top w:w="57" w:type="dxa"/>
              <w:bottom w:w="57" w:type="dxa"/>
            </w:tcMar>
          </w:tcPr>
          <w:p w14:paraId="50E6F16B" w14:textId="77777777" w:rsidR="00CB0677" w:rsidRPr="00586AC3" w:rsidRDefault="00CB0677" w:rsidP="00CB0677">
            <w:pPr>
              <w:pStyle w:val="Standaard-Tabellen"/>
              <w:rPr>
                <w:rFonts w:eastAsia="Calibri"/>
                <w:b/>
              </w:rPr>
            </w:pPr>
            <w:r w:rsidRPr="00586AC3">
              <w:rPr>
                <w:rFonts w:eastAsia="Calibri"/>
                <w:b/>
              </w:rPr>
              <w:t>Value</w:t>
            </w:r>
          </w:p>
        </w:tc>
      </w:tr>
      <w:tr w:rsidR="00CB0677" w:rsidRPr="00FD2055" w14:paraId="2CC21A02" w14:textId="77777777" w:rsidTr="00CB0677">
        <w:trPr>
          <w:tblHeader/>
        </w:trPr>
        <w:tc>
          <w:tcPr>
            <w:tcW w:w="1724" w:type="pct"/>
            <w:vMerge w:val="restart"/>
            <w:tcMar>
              <w:top w:w="57" w:type="dxa"/>
              <w:bottom w:w="57" w:type="dxa"/>
            </w:tcMar>
          </w:tcPr>
          <w:p w14:paraId="13330221" w14:textId="77777777" w:rsidR="00CB0677" w:rsidRPr="00FD2055" w:rsidRDefault="00CB0677" w:rsidP="00CB0677">
            <w:pPr>
              <w:pStyle w:val="Standaard-Tabellen"/>
              <w:rPr>
                <w:rFonts w:eastAsia="Calibri"/>
              </w:rPr>
            </w:pPr>
            <w:r w:rsidRPr="00071DE1">
              <w:rPr>
                <w:rFonts w:eastAsia="Calibri"/>
                <w:bCs w:val="0"/>
              </w:rPr>
              <w:t>For All categories</w:t>
            </w:r>
          </w:p>
        </w:tc>
        <w:tc>
          <w:tcPr>
            <w:tcW w:w="2604" w:type="pct"/>
            <w:shd w:val="clear" w:color="auto" w:fill="auto"/>
            <w:tcMar>
              <w:top w:w="57" w:type="dxa"/>
              <w:bottom w:w="57" w:type="dxa"/>
            </w:tcMar>
          </w:tcPr>
          <w:p w14:paraId="26E55773" w14:textId="77777777" w:rsidR="00CB0677" w:rsidRPr="00FD2055" w:rsidRDefault="00CB0677" w:rsidP="00CB0677">
            <w:pPr>
              <w:pStyle w:val="Standaard-Tabellen"/>
              <w:rPr>
                <w:rFonts w:eastAsia="Calibri"/>
              </w:rPr>
            </w:pPr>
            <w:r>
              <w:rPr>
                <w:rFonts w:eastAsia="Calibri"/>
              </w:rPr>
              <w:t>Oral absorption</w:t>
            </w:r>
            <w:r>
              <w:rPr>
                <w:rFonts w:eastAsia="Calibri"/>
                <w:vertAlign w:val="superscript"/>
              </w:rPr>
              <w:t>1</w:t>
            </w:r>
          </w:p>
        </w:tc>
        <w:tc>
          <w:tcPr>
            <w:tcW w:w="672" w:type="pct"/>
            <w:shd w:val="clear" w:color="auto" w:fill="auto"/>
            <w:tcMar>
              <w:top w:w="57" w:type="dxa"/>
              <w:bottom w:w="57" w:type="dxa"/>
            </w:tcMar>
          </w:tcPr>
          <w:p w14:paraId="475897BD" w14:textId="77777777" w:rsidR="00CB0677" w:rsidRPr="00FD2055" w:rsidRDefault="00CB0677" w:rsidP="00CB0677">
            <w:pPr>
              <w:pStyle w:val="Standaard-Tabellen"/>
              <w:rPr>
                <w:rFonts w:eastAsia="Calibri"/>
              </w:rPr>
            </w:pPr>
            <w:r>
              <w:rPr>
                <w:rFonts w:eastAsia="Calibri"/>
              </w:rPr>
              <w:t>100%</w:t>
            </w:r>
          </w:p>
        </w:tc>
      </w:tr>
      <w:tr w:rsidR="00CB0677" w:rsidRPr="00FD2055" w14:paraId="50F0BA57" w14:textId="77777777" w:rsidTr="00CB0677">
        <w:trPr>
          <w:tblHeader/>
        </w:trPr>
        <w:tc>
          <w:tcPr>
            <w:tcW w:w="1724" w:type="pct"/>
            <w:vMerge/>
            <w:tcMar>
              <w:top w:w="57" w:type="dxa"/>
              <w:bottom w:w="57" w:type="dxa"/>
            </w:tcMar>
          </w:tcPr>
          <w:p w14:paraId="2D6C8B3B" w14:textId="77777777" w:rsidR="00CB0677" w:rsidRPr="00FD2055" w:rsidRDefault="00CB0677" w:rsidP="00CB0677">
            <w:pPr>
              <w:pStyle w:val="Standaard-Tabellen"/>
              <w:rPr>
                <w:rFonts w:eastAsia="Calibri"/>
              </w:rPr>
            </w:pPr>
          </w:p>
        </w:tc>
        <w:tc>
          <w:tcPr>
            <w:tcW w:w="2604" w:type="pct"/>
            <w:shd w:val="clear" w:color="auto" w:fill="auto"/>
            <w:tcMar>
              <w:top w:w="57" w:type="dxa"/>
              <w:bottom w:w="57" w:type="dxa"/>
            </w:tcMar>
          </w:tcPr>
          <w:p w14:paraId="38261B5E" w14:textId="77777777" w:rsidR="00CB0677" w:rsidRPr="00FD2055" w:rsidRDefault="00CB0677" w:rsidP="00CB0677">
            <w:pPr>
              <w:pStyle w:val="Standaard-Tabellen"/>
              <w:rPr>
                <w:rFonts w:eastAsia="Calibri"/>
              </w:rPr>
            </w:pPr>
            <w:r>
              <w:rPr>
                <w:rFonts w:eastAsia="Calibri"/>
              </w:rPr>
              <w:t>% of active substance in biocidal product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28F4C32F" w14:textId="77777777" w:rsidR="00CB0677" w:rsidRPr="00FD2055" w:rsidRDefault="00CB0677" w:rsidP="00CB0677">
            <w:pPr>
              <w:pStyle w:val="Standaard-Tabellen"/>
              <w:rPr>
                <w:rFonts w:eastAsia="Calibri"/>
              </w:rPr>
            </w:pPr>
            <w:r>
              <w:rPr>
                <w:rFonts w:eastAsia="Calibri"/>
              </w:rPr>
              <w:t>10%</w:t>
            </w:r>
          </w:p>
        </w:tc>
      </w:tr>
      <w:tr w:rsidR="00CB0677" w:rsidRPr="00FD2055" w14:paraId="678733FC" w14:textId="77777777" w:rsidTr="00CB0677">
        <w:trPr>
          <w:tblHeader/>
        </w:trPr>
        <w:tc>
          <w:tcPr>
            <w:tcW w:w="1724" w:type="pct"/>
            <w:vMerge w:val="restart"/>
            <w:tcMar>
              <w:top w:w="57" w:type="dxa"/>
              <w:bottom w:w="57" w:type="dxa"/>
            </w:tcMar>
          </w:tcPr>
          <w:p w14:paraId="3E297465" w14:textId="77777777" w:rsidR="00CB0677" w:rsidRPr="00FD2055" w:rsidRDefault="00CB0677" w:rsidP="00CB0677">
            <w:pPr>
              <w:pStyle w:val="Standaard-Tabellen"/>
              <w:rPr>
                <w:rFonts w:eastAsia="Calibri"/>
              </w:rPr>
            </w:pPr>
            <w:r w:rsidRPr="000B65BB">
              <w:rPr>
                <w:rFonts w:eastAsia="Calibri"/>
              </w:rPr>
              <w:t>Tier 1- Adult</w:t>
            </w:r>
          </w:p>
        </w:tc>
        <w:tc>
          <w:tcPr>
            <w:tcW w:w="2604" w:type="pct"/>
            <w:shd w:val="clear" w:color="auto" w:fill="auto"/>
            <w:tcMar>
              <w:top w:w="57" w:type="dxa"/>
              <w:bottom w:w="57" w:type="dxa"/>
            </w:tcMar>
          </w:tcPr>
          <w:p w14:paraId="576329E5" w14:textId="77777777" w:rsidR="00CB0677" w:rsidRPr="009400D3" w:rsidRDefault="00CB0677" w:rsidP="00CB0677">
            <w:pPr>
              <w:pStyle w:val="Standaard-Tabellen"/>
              <w:rPr>
                <w:rFonts w:eastAsia="Calibri"/>
                <w:vertAlign w:val="superscript"/>
              </w:rPr>
            </w:pPr>
            <w:r>
              <w:rPr>
                <w:rFonts w:eastAsia="Calibri"/>
              </w:rPr>
              <w:t>Factor</w:t>
            </w:r>
            <w:r w:rsidRPr="00190CFC">
              <w:rPr>
                <w:rFonts w:eastAsia="Calibri"/>
              </w:rPr>
              <w:t xml:space="preserve"> for oral intake by hand-mouth transfer</w:t>
            </w:r>
            <w:r>
              <w:rPr>
                <w:rFonts w:eastAsia="Calibri"/>
                <w:vertAlign w:val="superscript"/>
              </w:rPr>
              <w:t>2</w:t>
            </w:r>
          </w:p>
        </w:tc>
        <w:tc>
          <w:tcPr>
            <w:tcW w:w="672" w:type="pct"/>
            <w:shd w:val="clear" w:color="auto" w:fill="auto"/>
            <w:tcMar>
              <w:top w:w="57" w:type="dxa"/>
              <w:bottom w:w="57" w:type="dxa"/>
            </w:tcMar>
          </w:tcPr>
          <w:p w14:paraId="124B22EA" w14:textId="77777777" w:rsidR="00CB0677" w:rsidRPr="00FD2055" w:rsidRDefault="00CB0677" w:rsidP="00CB0677">
            <w:pPr>
              <w:pStyle w:val="Standaard-Tabellen"/>
              <w:rPr>
                <w:rFonts w:eastAsia="Calibri"/>
              </w:rPr>
            </w:pPr>
            <w:r>
              <w:rPr>
                <w:rFonts w:eastAsia="Calibri"/>
              </w:rPr>
              <w:t xml:space="preserve">4 % </w:t>
            </w:r>
          </w:p>
        </w:tc>
      </w:tr>
      <w:tr w:rsidR="00CB0677" w:rsidRPr="00FD2055" w14:paraId="1EB988D6" w14:textId="77777777" w:rsidTr="00CB0677">
        <w:trPr>
          <w:tblHeader/>
        </w:trPr>
        <w:tc>
          <w:tcPr>
            <w:tcW w:w="1724" w:type="pct"/>
            <w:vMerge/>
            <w:tcMar>
              <w:top w:w="57" w:type="dxa"/>
              <w:bottom w:w="57" w:type="dxa"/>
            </w:tcMar>
          </w:tcPr>
          <w:p w14:paraId="48E2479A" w14:textId="77777777" w:rsidR="00CB0677" w:rsidRPr="00FD2055" w:rsidRDefault="00CB0677" w:rsidP="00CB0677">
            <w:pPr>
              <w:pStyle w:val="Standaard-Tabellen"/>
              <w:rPr>
                <w:rFonts w:eastAsia="Calibri"/>
              </w:rPr>
            </w:pPr>
          </w:p>
        </w:tc>
        <w:tc>
          <w:tcPr>
            <w:tcW w:w="2604" w:type="pct"/>
            <w:shd w:val="clear" w:color="auto" w:fill="auto"/>
            <w:tcMar>
              <w:top w:w="57" w:type="dxa"/>
              <w:bottom w:w="57" w:type="dxa"/>
            </w:tcMar>
          </w:tcPr>
          <w:p w14:paraId="2BE1BEDB" w14:textId="77777777" w:rsidR="00CB0677" w:rsidRPr="00FD2055" w:rsidRDefault="00CB0677" w:rsidP="00CB0677">
            <w:pPr>
              <w:pStyle w:val="Standaard-Tabellen"/>
              <w:rPr>
                <w:rFonts w:eastAsia="Calibri"/>
              </w:rPr>
            </w:pPr>
            <w:r>
              <w:rPr>
                <w:rFonts w:eastAsia="Calibri"/>
              </w:rPr>
              <w:t>Body weight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0E639E38" w14:textId="77777777" w:rsidR="00CB0677" w:rsidRPr="00FD2055" w:rsidRDefault="00CB0677" w:rsidP="00CB0677">
            <w:pPr>
              <w:pStyle w:val="Standaard-Tabellen"/>
              <w:rPr>
                <w:rFonts w:eastAsia="Calibri"/>
              </w:rPr>
            </w:pPr>
            <w:r>
              <w:rPr>
                <w:rFonts w:eastAsia="Calibri"/>
              </w:rPr>
              <w:t>60 kg</w:t>
            </w:r>
          </w:p>
        </w:tc>
      </w:tr>
      <w:tr w:rsidR="00CB0677" w:rsidRPr="00FD2055" w14:paraId="78FF3062" w14:textId="77777777" w:rsidTr="00CB0677">
        <w:trPr>
          <w:tblHeader/>
        </w:trPr>
        <w:tc>
          <w:tcPr>
            <w:tcW w:w="1724" w:type="pct"/>
            <w:vMerge/>
            <w:tcMar>
              <w:top w:w="57" w:type="dxa"/>
              <w:bottom w:w="57" w:type="dxa"/>
            </w:tcMar>
          </w:tcPr>
          <w:p w14:paraId="4EC33FF3" w14:textId="77777777" w:rsidR="00CB0677" w:rsidRPr="00FD2055" w:rsidRDefault="00CB0677" w:rsidP="00CB0677">
            <w:pPr>
              <w:pStyle w:val="Standaard-Tabellen"/>
              <w:rPr>
                <w:rFonts w:eastAsia="Calibri"/>
              </w:rPr>
            </w:pPr>
          </w:p>
        </w:tc>
        <w:tc>
          <w:tcPr>
            <w:tcW w:w="2604" w:type="pct"/>
            <w:shd w:val="clear" w:color="auto" w:fill="auto"/>
            <w:tcMar>
              <w:top w:w="57" w:type="dxa"/>
              <w:bottom w:w="57" w:type="dxa"/>
            </w:tcMar>
          </w:tcPr>
          <w:p w14:paraId="33792EAF" w14:textId="77777777" w:rsidR="00CB0677" w:rsidRDefault="00CB0677" w:rsidP="00CB0677">
            <w:pPr>
              <w:pStyle w:val="Standaard-Tabellen"/>
              <w:rPr>
                <w:rFonts w:eastAsia="Calibri"/>
              </w:rPr>
            </w:pPr>
            <w:r>
              <w:rPr>
                <w:rFonts w:eastAsia="Calibri"/>
              </w:rPr>
              <w:t>Amount of biocidal product/ application</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4B00CE82" w14:textId="77777777" w:rsidR="00CB0677" w:rsidRDefault="00CB0677" w:rsidP="00CB0677">
            <w:pPr>
              <w:pStyle w:val="Standaard-Tabellen"/>
              <w:rPr>
                <w:rFonts w:eastAsia="Calibri"/>
              </w:rPr>
            </w:pPr>
            <w:r>
              <w:rPr>
                <w:rFonts w:eastAsia="Calibri"/>
              </w:rPr>
              <w:t>10.50 g</w:t>
            </w:r>
          </w:p>
        </w:tc>
      </w:tr>
      <w:tr w:rsidR="00CB0677" w:rsidRPr="00FD2055" w14:paraId="5A7F5389" w14:textId="77777777" w:rsidTr="00CB0677">
        <w:trPr>
          <w:tblHeader/>
        </w:trPr>
        <w:tc>
          <w:tcPr>
            <w:tcW w:w="1724" w:type="pct"/>
            <w:vMerge w:val="restart"/>
            <w:tcMar>
              <w:top w:w="57" w:type="dxa"/>
              <w:bottom w:w="57" w:type="dxa"/>
            </w:tcMar>
          </w:tcPr>
          <w:p w14:paraId="70F013AA" w14:textId="77777777" w:rsidR="00CB0677" w:rsidRPr="00FD2055" w:rsidRDefault="00CB0677" w:rsidP="00CB0677">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6 to &lt; 12 years old</w:t>
            </w:r>
          </w:p>
        </w:tc>
        <w:tc>
          <w:tcPr>
            <w:tcW w:w="2604" w:type="pct"/>
            <w:shd w:val="clear" w:color="auto" w:fill="auto"/>
            <w:tcMar>
              <w:top w:w="57" w:type="dxa"/>
              <w:bottom w:w="57" w:type="dxa"/>
            </w:tcMar>
          </w:tcPr>
          <w:p w14:paraId="452F4889" w14:textId="77777777" w:rsidR="00CB0677" w:rsidRPr="00FD2055" w:rsidRDefault="00CB0677" w:rsidP="00CB0677">
            <w:pPr>
              <w:pStyle w:val="Standaard-Tabellen"/>
              <w:rPr>
                <w:rFonts w:eastAsia="Calibri"/>
              </w:rPr>
            </w:pPr>
            <w:r w:rsidRPr="00190CFC">
              <w:rPr>
                <w:rFonts w:eastAsia="Calibri"/>
              </w:rPr>
              <w:t xml:space="preserve">Factor for oral </w:t>
            </w:r>
            <w:r>
              <w:rPr>
                <w:rFonts w:eastAsia="Calibri"/>
              </w:rPr>
              <w:t>intake by hand-mouth transfer</w:t>
            </w:r>
            <w:r>
              <w:rPr>
                <w:rFonts w:eastAsia="Calibri"/>
                <w:vertAlign w:val="superscript"/>
              </w:rPr>
              <w:t>2</w:t>
            </w:r>
            <w:r>
              <w:rPr>
                <w:rFonts w:eastAsia="Calibri"/>
              </w:rPr>
              <w:t xml:space="preserve"> </w:t>
            </w:r>
          </w:p>
        </w:tc>
        <w:tc>
          <w:tcPr>
            <w:tcW w:w="672" w:type="pct"/>
            <w:shd w:val="clear" w:color="auto" w:fill="auto"/>
            <w:tcMar>
              <w:top w:w="57" w:type="dxa"/>
              <w:bottom w:w="57" w:type="dxa"/>
            </w:tcMar>
          </w:tcPr>
          <w:p w14:paraId="41FE7946" w14:textId="77777777" w:rsidR="00CB0677" w:rsidRPr="00FD2055" w:rsidRDefault="00CB0677" w:rsidP="00CB0677">
            <w:pPr>
              <w:pStyle w:val="Standaard-Tabellen"/>
              <w:rPr>
                <w:rFonts w:eastAsia="Calibri"/>
              </w:rPr>
            </w:pPr>
            <w:r>
              <w:rPr>
                <w:rFonts w:eastAsia="Calibri"/>
              </w:rPr>
              <w:t xml:space="preserve">8 % </w:t>
            </w:r>
          </w:p>
        </w:tc>
      </w:tr>
      <w:tr w:rsidR="00CB0677" w:rsidRPr="00FD2055" w14:paraId="6002F0D2" w14:textId="77777777" w:rsidTr="00CB0677">
        <w:trPr>
          <w:tblHeader/>
        </w:trPr>
        <w:tc>
          <w:tcPr>
            <w:tcW w:w="1724" w:type="pct"/>
            <w:vMerge/>
            <w:tcMar>
              <w:top w:w="57" w:type="dxa"/>
              <w:bottom w:w="57" w:type="dxa"/>
            </w:tcMar>
          </w:tcPr>
          <w:p w14:paraId="61B49831" w14:textId="77777777" w:rsidR="00CB0677" w:rsidRPr="00FD2055" w:rsidRDefault="00CB0677" w:rsidP="00CB0677">
            <w:pPr>
              <w:pStyle w:val="Standaard-Tabellen"/>
              <w:rPr>
                <w:rFonts w:eastAsia="Calibri"/>
              </w:rPr>
            </w:pPr>
          </w:p>
        </w:tc>
        <w:tc>
          <w:tcPr>
            <w:tcW w:w="2604" w:type="pct"/>
            <w:shd w:val="clear" w:color="auto" w:fill="auto"/>
            <w:tcMar>
              <w:top w:w="57" w:type="dxa"/>
              <w:bottom w:w="57" w:type="dxa"/>
            </w:tcMar>
          </w:tcPr>
          <w:p w14:paraId="683F7F71" w14:textId="77777777" w:rsidR="00CB0677" w:rsidRPr="00FD2055" w:rsidRDefault="00CB0677" w:rsidP="00CB0677">
            <w:pPr>
              <w:pStyle w:val="Standaard-Tabellen"/>
              <w:rPr>
                <w:rFonts w:eastAsia="Calibri"/>
              </w:rPr>
            </w:pPr>
            <w:r>
              <w:rPr>
                <w:rFonts w:eastAsia="Calibri"/>
              </w:rPr>
              <w:t>Body weight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6709049D" w14:textId="77777777" w:rsidR="00CB0677" w:rsidRPr="00FD2055" w:rsidRDefault="00CB0677" w:rsidP="00CB0677">
            <w:pPr>
              <w:pStyle w:val="Standaard-Tabellen"/>
              <w:rPr>
                <w:rFonts w:eastAsia="Calibri"/>
              </w:rPr>
            </w:pPr>
            <w:r>
              <w:rPr>
                <w:rFonts w:eastAsia="Calibri"/>
              </w:rPr>
              <w:t>23.9 kg</w:t>
            </w:r>
          </w:p>
        </w:tc>
      </w:tr>
      <w:tr w:rsidR="00CB0677" w:rsidRPr="00FD2055" w14:paraId="5AA9C5F3" w14:textId="77777777" w:rsidTr="00CB0677">
        <w:trPr>
          <w:tblHeader/>
        </w:trPr>
        <w:tc>
          <w:tcPr>
            <w:tcW w:w="1724" w:type="pct"/>
            <w:vMerge/>
            <w:tcMar>
              <w:top w:w="57" w:type="dxa"/>
              <w:bottom w:w="57" w:type="dxa"/>
            </w:tcMar>
          </w:tcPr>
          <w:p w14:paraId="6BDD96CE" w14:textId="77777777" w:rsidR="00CB0677" w:rsidRPr="00FD2055" w:rsidRDefault="00CB0677" w:rsidP="00CB0677">
            <w:pPr>
              <w:pStyle w:val="Standaard-Tabellen"/>
              <w:rPr>
                <w:rFonts w:eastAsia="Calibri"/>
              </w:rPr>
            </w:pPr>
          </w:p>
        </w:tc>
        <w:tc>
          <w:tcPr>
            <w:tcW w:w="2604" w:type="pct"/>
            <w:shd w:val="clear" w:color="auto" w:fill="auto"/>
            <w:tcMar>
              <w:top w:w="57" w:type="dxa"/>
              <w:bottom w:w="57" w:type="dxa"/>
            </w:tcMar>
          </w:tcPr>
          <w:p w14:paraId="2EEF59F8" w14:textId="77777777" w:rsidR="00CB0677" w:rsidRPr="00BD0DC7" w:rsidRDefault="00CB0677" w:rsidP="00CB0677">
            <w:pPr>
              <w:pStyle w:val="Standaard-Tabellen"/>
              <w:rPr>
                <w:rFonts w:eastAsia="Calibri"/>
              </w:rPr>
            </w:pPr>
            <w:r w:rsidRPr="00BD0DC7">
              <w:rPr>
                <w:rFonts w:eastAsia="Calibri"/>
              </w:rPr>
              <w:t>Amount of biocidal product/ application</w:t>
            </w:r>
            <w:r w:rsidRPr="00BD0DC7">
              <w:rPr>
                <w:rFonts w:eastAsia="Calibri"/>
                <w:vertAlign w:val="superscript"/>
              </w:rPr>
              <w:t>1</w:t>
            </w:r>
          </w:p>
        </w:tc>
        <w:tc>
          <w:tcPr>
            <w:tcW w:w="672" w:type="pct"/>
            <w:shd w:val="clear" w:color="auto" w:fill="auto"/>
            <w:tcMar>
              <w:top w:w="57" w:type="dxa"/>
              <w:bottom w:w="57" w:type="dxa"/>
            </w:tcMar>
          </w:tcPr>
          <w:p w14:paraId="2F5B3FC2" w14:textId="77777777" w:rsidR="00CB0677" w:rsidRPr="00BD0DC7" w:rsidRDefault="00CB0677" w:rsidP="00CB0677">
            <w:pPr>
              <w:pStyle w:val="Standaard-Tabellen"/>
              <w:rPr>
                <w:rFonts w:eastAsia="Calibri"/>
              </w:rPr>
            </w:pPr>
            <w:r>
              <w:rPr>
                <w:rFonts w:eastAsia="Calibri"/>
              </w:rPr>
              <w:t>5.82</w:t>
            </w:r>
            <w:r w:rsidRPr="00BD0DC7">
              <w:rPr>
                <w:rFonts w:eastAsia="Calibri"/>
              </w:rPr>
              <w:t xml:space="preserve"> g</w:t>
            </w:r>
          </w:p>
        </w:tc>
      </w:tr>
      <w:tr w:rsidR="00CB0677" w:rsidRPr="00FD2055" w14:paraId="6576FDB3" w14:textId="77777777" w:rsidTr="00CB0677">
        <w:trPr>
          <w:tblHeader/>
        </w:trPr>
        <w:tc>
          <w:tcPr>
            <w:tcW w:w="1724" w:type="pct"/>
            <w:vMerge w:val="restart"/>
            <w:tcMar>
              <w:top w:w="57" w:type="dxa"/>
              <w:bottom w:w="57" w:type="dxa"/>
            </w:tcMar>
          </w:tcPr>
          <w:p w14:paraId="3E1BD844" w14:textId="77777777" w:rsidR="00CB0677" w:rsidRPr="00FD2055" w:rsidRDefault="00CB0677" w:rsidP="00CB0677">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w:t>
            </w:r>
            <w:r>
              <w:rPr>
                <w:rFonts w:eastAsia="Calibri"/>
              </w:rPr>
              <w:t>2 to &lt; 6</w:t>
            </w:r>
            <w:r w:rsidRPr="00994E49">
              <w:rPr>
                <w:rFonts w:eastAsia="Calibri"/>
              </w:rPr>
              <w:t xml:space="preserve"> years old</w:t>
            </w:r>
          </w:p>
        </w:tc>
        <w:tc>
          <w:tcPr>
            <w:tcW w:w="2604" w:type="pct"/>
            <w:shd w:val="clear" w:color="auto" w:fill="auto"/>
            <w:tcMar>
              <w:top w:w="57" w:type="dxa"/>
              <w:bottom w:w="57" w:type="dxa"/>
            </w:tcMar>
          </w:tcPr>
          <w:p w14:paraId="4D446C23" w14:textId="77777777" w:rsidR="00CB0677" w:rsidRPr="00FD2055" w:rsidRDefault="00CB0677" w:rsidP="00CB0677">
            <w:pPr>
              <w:pStyle w:val="Standaard-Tabellen"/>
              <w:rPr>
                <w:rFonts w:eastAsia="Calibri"/>
              </w:rPr>
            </w:pPr>
            <w:r w:rsidRPr="00190CFC">
              <w:rPr>
                <w:rFonts w:eastAsia="Calibri"/>
              </w:rPr>
              <w:t>Factor for oral intake by hand-mouth transfer</w:t>
            </w:r>
            <w:r>
              <w:rPr>
                <w:rFonts w:eastAsia="Calibri"/>
                <w:vertAlign w:val="superscript"/>
              </w:rPr>
              <w:t>2</w:t>
            </w:r>
            <w:r w:rsidRPr="00190CFC">
              <w:rPr>
                <w:rFonts w:eastAsia="Calibri"/>
              </w:rPr>
              <w:t xml:space="preserve">  </w:t>
            </w:r>
          </w:p>
        </w:tc>
        <w:tc>
          <w:tcPr>
            <w:tcW w:w="672" w:type="pct"/>
            <w:shd w:val="clear" w:color="auto" w:fill="auto"/>
            <w:tcMar>
              <w:top w:w="57" w:type="dxa"/>
              <w:bottom w:w="57" w:type="dxa"/>
            </w:tcMar>
          </w:tcPr>
          <w:p w14:paraId="54F566D6" w14:textId="77777777" w:rsidR="00CB0677" w:rsidRPr="00FD2055" w:rsidRDefault="00CB0677" w:rsidP="00CB0677">
            <w:pPr>
              <w:pStyle w:val="Standaard-Tabellen"/>
              <w:rPr>
                <w:rFonts w:eastAsia="Calibri"/>
              </w:rPr>
            </w:pPr>
            <w:r>
              <w:rPr>
                <w:rFonts w:eastAsia="Calibri"/>
              </w:rPr>
              <w:t>8 %</w:t>
            </w:r>
          </w:p>
        </w:tc>
      </w:tr>
      <w:tr w:rsidR="00CB0677" w:rsidRPr="00FD2055" w14:paraId="368F49A3" w14:textId="77777777" w:rsidTr="00CB0677">
        <w:trPr>
          <w:tblHeader/>
        </w:trPr>
        <w:tc>
          <w:tcPr>
            <w:tcW w:w="1724" w:type="pct"/>
            <w:vMerge/>
            <w:tcMar>
              <w:top w:w="57" w:type="dxa"/>
              <w:bottom w:w="57" w:type="dxa"/>
            </w:tcMar>
          </w:tcPr>
          <w:p w14:paraId="20EFB3B1" w14:textId="77777777" w:rsidR="00CB0677" w:rsidRPr="00FD2055" w:rsidRDefault="00CB0677" w:rsidP="00CB0677">
            <w:pPr>
              <w:pStyle w:val="Standaard-Tabellen"/>
              <w:rPr>
                <w:rFonts w:eastAsia="Calibri"/>
              </w:rPr>
            </w:pPr>
          </w:p>
        </w:tc>
        <w:tc>
          <w:tcPr>
            <w:tcW w:w="2604" w:type="pct"/>
            <w:shd w:val="clear" w:color="auto" w:fill="auto"/>
            <w:tcMar>
              <w:top w:w="57" w:type="dxa"/>
              <w:bottom w:w="57" w:type="dxa"/>
            </w:tcMar>
          </w:tcPr>
          <w:p w14:paraId="26CD43DA" w14:textId="77777777" w:rsidR="00CB0677" w:rsidRPr="00FD2055" w:rsidRDefault="00CB0677" w:rsidP="00CB0677">
            <w:pPr>
              <w:pStyle w:val="Standaard-Tabellen"/>
              <w:rPr>
                <w:rFonts w:eastAsia="Calibri"/>
              </w:rPr>
            </w:pPr>
            <w:r>
              <w:rPr>
                <w:rFonts w:eastAsia="Calibri"/>
              </w:rPr>
              <w:t>Body weight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2BB0BEAA" w14:textId="17E9A1BF" w:rsidR="00CB0677" w:rsidRPr="00FD2055" w:rsidRDefault="00CB0677" w:rsidP="00CB0677">
            <w:pPr>
              <w:pStyle w:val="Standaard-Tabellen"/>
              <w:rPr>
                <w:rFonts w:eastAsia="Calibri"/>
              </w:rPr>
            </w:pPr>
            <w:r>
              <w:rPr>
                <w:rFonts w:eastAsia="Calibri"/>
              </w:rPr>
              <w:t>1</w:t>
            </w:r>
            <w:r w:rsidR="0051114E">
              <w:rPr>
                <w:rFonts w:eastAsia="Calibri"/>
              </w:rPr>
              <w:t xml:space="preserve">5.6 </w:t>
            </w:r>
            <w:r>
              <w:rPr>
                <w:rFonts w:eastAsia="Calibri"/>
              </w:rPr>
              <w:t xml:space="preserve"> kg</w:t>
            </w:r>
          </w:p>
        </w:tc>
      </w:tr>
      <w:tr w:rsidR="00CB0677" w:rsidRPr="00FD2055" w14:paraId="2C35D203" w14:textId="77777777" w:rsidTr="00CB0677">
        <w:trPr>
          <w:tblHeader/>
        </w:trPr>
        <w:tc>
          <w:tcPr>
            <w:tcW w:w="1724" w:type="pct"/>
            <w:vMerge/>
            <w:tcMar>
              <w:top w:w="57" w:type="dxa"/>
              <w:bottom w:w="57" w:type="dxa"/>
            </w:tcMar>
          </w:tcPr>
          <w:p w14:paraId="3208CFCD" w14:textId="77777777" w:rsidR="00CB0677" w:rsidRPr="00FD2055" w:rsidRDefault="00CB0677" w:rsidP="00CB0677">
            <w:pPr>
              <w:pStyle w:val="Standaard-Tabellen"/>
              <w:rPr>
                <w:rFonts w:eastAsia="Calibri"/>
              </w:rPr>
            </w:pPr>
          </w:p>
        </w:tc>
        <w:tc>
          <w:tcPr>
            <w:tcW w:w="2604" w:type="pct"/>
            <w:shd w:val="clear" w:color="auto" w:fill="auto"/>
            <w:tcMar>
              <w:top w:w="57" w:type="dxa"/>
              <w:bottom w:w="57" w:type="dxa"/>
            </w:tcMar>
          </w:tcPr>
          <w:p w14:paraId="1718C04B" w14:textId="77777777" w:rsidR="00CB0677" w:rsidRPr="00FD2055" w:rsidRDefault="00CB0677" w:rsidP="00CB0677">
            <w:pPr>
              <w:pStyle w:val="Standaard-Tabellen"/>
              <w:rPr>
                <w:rFonts w:eastAsia="Calibri"/>
              </w:rPr>
            </w:pPr>
            <w:r w:rsidRPr="00FB7CBD">
              <w:rPr>
                <w:rFonts w:eastAsia="Calibri"/>
              </w:rPr>
              <w:t>Amount of biocidal product/ application</w:t>
            </w:r>
            <w:r>
              <w:rPr>
                <w:rFonts w:eastAsia="Calibri"/>
                <w:vertAlign w:val="superscript"/>
              </w:rPr>
              <w:t>1</w:t>
            </w:r>
          </w:p>
        </w:tc>
        <w:tc>
          <w:tcPr>
            <w:tcW w:w="672" w:type="pct"/>
            <w:shd w:val="clear" w:color="auto" w:fill="auto"/>
            <w:tcMar>
              <w:top w:w="57" w:type="dxa"/>
              <w:bottom w:w="57" w:type="dxa"/>
            </w:tcMar>
          </w:tcPr>
          <w:p w14:paraId="2B95C867" w14:textId="77777777" w:rsidR="00CB0677" w:rsidRPr="00FD2055" w:rsidRDefault="00CB0677" w:rsidP="00CB0677">
            <w:pPr>
              <w:pStyle w:val="Standaard-Tabellen"/>
              <w:rPr>
                <w:rFonts w:eastAsia="Calibri"/>
              </w:rPr>
            </w:pPr>
            <w:r>
              <w:rPr>
                <w:rFonts w:eastAsia="Calibri"/>
              </w:rPr>
              <w:t>4.30 g</w:t>
            </w:r>
          </w:p>
        </w:tc>
      </w:tr>
      <w:tr w:rsidR="00CB0677" w:rsidRPr="00FD2055" w14:paraId="19B102B6" w14:textId="77777777" w:rsidTr="00CB0677">
        <w:trPr>
          <w:tblHeader/>
        </w:trPr>
        <w:tc>
          <w:tcPr>
            <w:tcW w:w="1724" w:type="pct"/>
            <w:vMerge w:val="restart"/>
            <w:tcMar>
              <w:top w:w="57" w:type="dxa"/>
              <w:bottom w:w="57" w:type="dxa"/>
            </w:tcMar>
          </w:tcPr>
          <w:p w14:paraId="27C69894" w14:textId="77777777" w:rsidR="00CB0677" w:rsidRPr="00FD2055" w:rsidRDefault="00CB0677" w:rsidP="00CB0677">
            <w:pPr>
              <w:pStyle w:val="Standaard-Tabellen"/>
              <w:rPr>
                <w:rFonts w:eastAsia="Calibri"/>
              </w:rPr>
            </w:pPr>
            <w:r w:rsidRPr="000B65BB">
              <w:rPr>
                <w:rFonts w:eastAsia="Calibri"/>
              </w:rPr>
              <w:t>Tier 1- Toddler</w:t>
            </w:r>
          </w:p>
        </w:tc>
        <w:tc>
          <w:tcPr>
            <w:tcW w:w="2604" w:type="pct"/>
            <w:shd w:val="clear" w:color="auto" w:fill="auto"/>
            <w:tcMar>
              <w:top w:w="57" w:type="dxa"/>
              <w:bottom w:w="57" w:type="dxa"/>
            </w:tcMar>
          </w:tcPr>
          <w:p w14:paraId="08D8374B" w14:textId="77777777" w:rsidR="00CB0677" w:rsidRPr="00FB7CBD" w:rsidRDefault="00CB0677" w:rsidP="00CB0677">
            <w:pPr>
              <w:pStyle w:val="Standaard-Tabellen"/>
              <w:rPr>
                <w:rFonts w:eastAsia="Calibri"/>
              </w:rPr>
            </w:pPr>
            <w:r w:rsidRPr="00190CFC">
              <w:rPr>
                <w:rFonts w:eastAsia="Calibri"/>
              </w:rPr>
              <w:t>Factor for oral intake by hand-mouth transfer</w:t>
            </w:r>
            <w:r>
              <w:rPr>
                <w:rFonts w:eastAsia="Calibri"/>
                <w:vertAlign w:val="superscript"/>
              </w:rPr>
              <w:t>2</w:t>
            </w:r>
            <w:r w:rsidRPr="00190CFC">
              <w:rPr>
                <w:rFonts w:eastAsia="Calibri"/>
              </w:rPr>
              <w:t xml:space="preserve">  </w:t>
            </w:r>
          </w:p>
        </w:tc>
        <w:tc>
          <w:tcPr>
            <w:tcW w:w="672" w:type="pct"/>
            <w:shd w:val="clear" w:color="auto" w:fill="auto"/>
            <w:tcMar>
              <w:top w:w="57" w:type="dxa"/>
              <w:bottom w:w="57" w:type="dxa"/>
            </w:tcMar>
          </w:tcPr>
          <w:p w14:paraId="69CDDD55" w14:textId="77777777" w:rsidR="00CB0677" w:rsidRDefault="00CB0677" w:rsidP="00CB0677">
            <w:pPr>
              <w:pStyle w:val="Standaard-Tabellen"/>
              <w:rPr>
                <w:rFonts w:eastAsia="Calibri"/>
              </w:rPr>
            </w:pPr>
            <w:r>
              <w:rPr>
                <w:rFonts w:eastAsia="Calibri"/>
              </w:rPr>
              <w:t>8 %</w:t>
            </w:r>
          </w:p>
        </w:tc>
      </w:tr>
      <w:tr w:rsidR="00CB0677" w:rsidRPr="00FD2055" w14:paraId="6E26DD3C" w14:textId="77777777" w:rsidTr="00CB0677">
        <w:trPr>
          <w:tblHeader/>
        </w:trPr>
        <w:tc>
          <w:tcPr>
            <w:tcW w:w="1724" w:type="pct"/>
            <w:vMerge/>
            <w:tcMar>
              <w:top w:w="57" w:type="dxa"/>
              <w:bottom w:w="57" w:type="dxa"/>
            </w:tcMar>
          </w:tcPr>
          <w:p w14:paraId="36C1CB1F" w14:textId="77777777" w:rsidR="00CB0677" w:rsidRPr="00FD2055" w:rsidRDefault="00CB0677" w:rsidP="00CB0677">
            <w:pPr>
              <w:pStyle w:val="Standaard-Tabellen"/>
              <w:rPr>
                <w:rFonts w:eastAsia="Calibri"/>
              </w:rPr>
            </w:pPr>
          </w:p>
        </w:tc>
        <w:tc>
          <w:tcPr>
            <w:tcW w:w="2604" w:type="pct"/>
            <w:shd w:val="clear" w:color="auto" w:fill="auto"/>
            <w:tcMar>
              <w:top w:w="57" w:type="dxa"/>
              <w:bottom w:w="57" w:type="dxa"/>
            </w:tcMar>
          </w:tcPr>
          <w:p w14:paraId="439A3748" w14:textId="77777777" w:rsidR="00CB0677" w:rsidRPr="00FB7CBD" w:rsidRDefault="00CB0677" w:rsidP="00CB0677">
            <w:pPr>
              <w:pStyle w:val="Standaard-Tabellen"/>
              <w:rPr>
                <w:rFonts w:eastAsia="Calibri"/>
              </w:rPr>
            </w:pPr>
            <w:r>
              <w:rPr>
                <w:rFonts w:eastAsia="Calibri"/>
              </w:rPr>
              <w:t>Body weight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0E47A8E4" w14:textId="77777777" w:rsidR="00CB0677" w:rsidRDefault="00CB0677" w:rsidP="00CB0677">
            <w:pPr>
              <w:pStyle w:val="Standaard-Tabellen"/>
              <w:rPr>
                <w:rFonts w:eastAsia="Calibri"/>
              </w:rPr>
            </w:pPr>
            <w:r>
              <w:rPr>
                <w:rFonts w:eastAsia="Calibri"/>
              </w:rPr>
              <w:t>10 kg</w:t>
            </w:r>
          </w:p>
        </w:tc>
      </w:tr>
      <w:tr w:rsidR="00CB0677" w:rsidRPr="00FD2055" w14:paraId="41C0549F" w14:textId="77777777" w:rsidTr="00CB0677">
        <w:trPr>
          <w:tblHeader/>
        </w:trPr>
        <w:tc>
          <w:tcPr>
            <w:tcW w:w="1724" w:type="pct"/>
            <w:vMerge/>
            <w:tcMar>
              <w:top w:w="57" w:type="dxa"/>
              <w:bottom w:w="57" w:type="dxa"/>
            </w:tcMar>
          </w:tcPr>
          <w:p w14:paraId="64023FA8" w14:textId="77777777" w:rsidR="00CB0677" w:rsidRPr="00FD2055" w:rsidRDefault="00CB0677" w:rsidP="00CB0677">
            <w:pPr>
              <w:pStyle w:val="Standaard-Tabellen"/>
              <w:rPr>
                <w:rFonts w:eastAsia="Calibri"/>
              </w:rPr>
            </w:pPr>
          </w:p>
        </w:tc>
        <w:tc>
          <w:tcPr>
            <w:tcW w:w="2604" w:type="pct"/>
            <w:shd w:val="clear" w:color="auto" w:fill="auto"/>
            <w:tcMar>
              <w:top w:w="57" w:type="dxa"/>
              <w:bottom w:w="57" w:type="dxa"/>
            </w:tcMar>
          </w:tcPr>
          <w:p w14:paraId="4550E96C" w14:textId="77777777" w:rsidR="00CB0677" w:rsidRPr="00FB7CBD" w:rsidRDefault="00CB0677" w:rsidP="00CB0677">
            <w:pPr>
              <w:pStyle w:val="Standaard-Tabellen"/>
              <w:rPr>
                <w:rFonts w:eastAsia="Calibri"/>
              </w:rPr>
            </w:pPr>
            <w:r w:rsidRPr="00FB7CBD">
              <w:rPr>
                <w:rFonts w:eastAsia="Calibri"/>
              </w:rPr>
              <w:t>Amount of biocidal product/ application</w:t>
            </w:r>
            <w:r>
              <w:rPr>
                <w:rFonts w:eastAsia="Calibri"/>
                <w:vertAlign w:val="superscript"/>
              </w:rPr>
              <w:t>1</w:t>
            </w:r>
          </w:p>
        </w:tc>
        <w:tc>
          <w:tcPr>
            <w:tcW w:w="672" w:type="pct"/>
            <w:shd w:val="clear" w:color="auto" w:fill="auto"/>
            <w:tcMar>
              <w:top w:w="57" w:type="dxa"/>
              <w:bottom w:w="57" w:type="dxa"/>
            </w:tcMar>
          </w:tcPr>
          <w:p w14:paraId="4C17A276" w14:textId="77777777" w:rsidR="00CB0677" w:rsidRDefault="00CB0677" w:rsidP="00CB0677">
            <w:pPr>
              <w:pStyle w:val="Standaard-Tabellen"/>
              <w:rPr>
                <w:rFonts w:eastAsia="Calibri"/>
              </w:rPr>
            </w:pPr>
            <w:r>
              <w:rPr>
                <w:rFonts w:eastAsia="Calibri"/>
              </w:rPr>
              <w:t>3.04 g</w:t>
            </w:r>
          </w:p>
        </w:tc>
      </w:tr>
      <w:tr w:rsidR="00CB0677" w:rsidRPr="00FD2055" w14:paraId="011D8E1A" w14:textId="77777777" w:rsidTr="00CB0677">
        <w:trPr>
          <w:tblHeader/>
        </w:trPr>
        <w:tc>
          <w:tcPr>
            <w:tcW w:w="1724" w:type="pct"/>
            <w:vMerge w:val="restart"/>
            <w:tcMar>
              <w:top w:w="57" w:type="dxa"/>
              <w:bottom w:w="57" w:type="dxa"/>
            </w:tcMar>
          </w:tcPr>
          <w:p w14:paraId="0A7B23BE" w14:textId="77777777" w:rsidR="00CB0677" w:rsidRPr="00FD2055" w:rsidRDefault="00CB0677" w:rsidP="00CB0677">
            <w:pPr>
              <w:pStyle w:val="Standaard-Tabellen"/>
              <w:rPr>
                <w:rFonts w:eastAsia="Calibri"/>
              </w:rPr>
            </w:pPr>
            <w:r w:rsidRPr="000B65BB">
              <w:rPr>
                <w:rFonts w:eastAsia="Calibri"/>
              </w:rPr>
              <w:t>Tier 1- Infant</w:t>
            </w:r>
          </w:p>
        </w:tc>
        <w:tc>
          <w:tcPr>
            <w:tcW w:w="2604" w:type="pct"/>
            <w:shd w:val="clear" w:color="auto" w:fill="auto"/>
            <w:tcMar>
              <w:top w:w="57" w:type="dxa"/>
              <w:bottom w:w="57" w:type="dxa"/>
            </w:tcMar>
          </w:tcPr>
          <w:p w14:paraId="3116EA8B" w14:textId="77777777" w:rsidR="00CB0677" w:rsidRPr="00FD2055" w:rsidRDefault="00CB0677" w:rsidP="00CB0677">
            <w:pPr>
              <w:pStyle w:val="Standaard-Tabellen"/>
              <w:rPr>
                <w:rFonts w:eastAsia="Calibri"/>
              </w:rPr>
            </w:pPr>
            <w:r w:rsidRPr="00190CFC">
              <w:rPr>
                <w:rFonts w:eastAsia="Calibri"/>
              </w:rPr>
              <w:t>Factor for oral intake by hand-mouth transfer</w:t>
            </w:r>
            <w:r>
              <w:rPr>
                <w:rFonts w:eastAsia="Calibri"/>
                <w:vertAlign w:val="superscript"/>
              </w:rPr>
              <w:t>2</w:t>
            </w:r>
            <w:r w:rsidRPr="00190CFC">
              <w:rPr>
                <w:rFonts w:eastAsia="Calibri"/>
              </w:rPr>
              <w:t xml:space="preserve"> </w:t>
            </w:r>
          </w:p>
        </w:tc>
        <w:tc>
          <w:tcPr>
            <w:tcW w:w="672" w:type="pct"/>
            <w:shd w:val="clear" w:color="auto" w:fill="auto"/>
            <w:tcMar>
              <w:top w:w="57" w:type="dxa"/>
              <w:bottom w:w="57" w:type="dxa"/>
            </w:tcMar>
          </w:tcPr>
          <w:p w14:paraId="5730AB04" w14:textId="77777777" w:rsidR="00CB0677" w:rsidRPr="00FD2055" w:rsidRDefault="00CB0677" w:rsidP="00CB0677">
            <w:pPr>
              <w:pStyle w:val="Standaard-Tabellen"/>
              <w:rPr>
                <w:rFonts w:eastAsia="Calibri"/>
              </w:rPr>
            </w:pPr>
            <w:r>
              <w:rPr>
                <w:rFonts w:eastAsia="Calibri"/>
              </w:rPr>
              <w:t>8 %</w:t>
            </w:r>
          </w:p>
        </w:tc>
      </w:tr>
      <w:tr w:rsidR="00CB0677" w:rsidRPr="00FD2055" w14:paraId="74BD9A7A" w14:textId="77777777" w:rsidTr="00CB0677">
        <w:trPr>
          <w:tblHeader/>
        </w:trPr>
        <w:tc>
          <w:tcPr>
            <w:tcW w:w="1724" w:type="pct"/>
            <w:vMerge/>
            <w:tcMar>
              <w:top w:w="57" w:type="dxa"/>
              <w:bottom w:w="57" w:type="dxa"/>
            </w:tcMar>
          </w:tcPr>
          <w:p w14:paraId="65E12028" w14:textId="77777777" w:rsidR="00CB0677" w:rsidRPr="00FD2055" w:rsidRDefault="00CB0677" w:rsidP="00CB0677">
            <w:pPr>
              <w:pStyle w:val="Standaard-Tabellen"/>
              <w:rPr>
                <w:rFonts w:eastAsia="Calibri"/>
              </w:rPr>
            </w:pPr>
          </w:p>
        </w:tc>
        <w:tc>
          <w:tcPr>
            <w:tcW w:w="2604" w:type="pct"/>
            <w:shd w:val="clear" w:color="auto" w:fill="auto"/>
            <w:tcMar>
              <w:top w:w="57" w:type="dxa"/>
              <w:bottom w:w="57" w:type="dxa"/>
            </w:tcMar>
          </w:tcPr>
          <w:p w14:paraId="089B9EE3" w14:textId="77777777" w:rsidR="00CB0677" w:rsidRPr="00FD2055" w:rsidRDefault="00CB0677" w:rsidP="00CB0677">
            <w:pPr>
              <w:pStyle w:val="Standaard-Tabellen"/>
              <w:rPr>
                <w:rFonts w:eastAsia="Calibri"/>
              </w:rPr>
            </w:pPr>
            <w:r>
              <w:rPr>
                <w:rFonts w:eastAsia="Calibri"/>
              </w:rPr>
              <w:t>Body weight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552B2F2C" w14:textId="77777777" w:rsidR="00CB0677" w:rsidRPr="00FD2055" w:rsidRDefault="00CB0677" w:rsidP="00CB0677">
            <w:pPr>
              <w:pStyle w:val="Standaard-Tabellen"/>
              <w:rPr>
                <w:rFonts w:eastAsia="Calibri"/>
              </w:rPr>
            </w:pPr>
            <w:r>
              <w:rPr>
                <w:rFonts w:eastAsia="Calibri"/>
              </w:rPr>
              <w:t>8 kg</w:t>
            </w:r>
          </w:p>
        </w:tc>
      </w:tr>
      <w:tr w:rsidR="00CB0677" w:rsidRPr="00FD2055" w14:paraId="65382F7D" w14:textId="77777777" w:rsidTr="00CB0677">
        <w:trPr>
          <w:tblHeader/>
        </w:trPr>
        <w:tc>
          <w:tcPr>
            <w:tcW w:w="1724" w:type="pct"/>
            <w:vMerge/>
            <w:tcMar>
              <w:top w:w="57" w:type="dxa"/>
              <w:bottom w:w="57" w:type="dxa"/>
            </w:tcMar>
          </w:tcPr>
          <w:p w14:paraId="28DC1EF3" w14:textId="77777777" w:rsidR="00CB0677" w:rsidRPr="00FD2055" w:rsidRDefault="00CB0677" w:rsidP="00CB0677">
            <w:pPr>
              <w:pStyle w:val="Standaard-Tabellen"/>
              <w:rPr>
                <w:rFonts w:eastAsia="Calibri"/>
              </w:rPr>
            </w:pPr>
          </w:p>
        </w:tc>
        <w:tc>
          <w:tcPr>
            <w:tcW w:w="2604" w:type="pct"/>
            <w:shd w:val="clear" w:color="auto" w:fill="auto"/>
            <w:tcMar>
              <w:top w:w="57" w:type="dxa"/>
              <w:bottom w:w="57" w:type="dxa"/>
            </w:tcMar>
          </w:tcPr>
          <w:p w14:paraId="1F9C2805" w14:textId="77777777" w:rsidR="00CB0677" w:rsidRPr="00FD2055" w:rsidRDefault="00CB0677" w:rsidP="00CB0677">
            <w:pPr>
              <w:pStyle w:val="Standaard-Tabellen"/>
              <w:rPr>
                <w:rFonts w:eastAsia="Calibri"/>
              </w:rPr>
            </w:pPr>
            <w:r w:rsidRPr="00FB7CBD">
              <w:rPr>
                <w:rFonts w:eastAsia="Calibri"/>
              </w:rPr>
              <w:t>Amount of biocidal product/ application</w:t>
            </w:r>
            <w:r>
              <w:rPr>
                <w:rFonts w:eastAsia="Calibri"/>
                <w:vertAlign w:val="superscript"/>
              </w:rPr>
              <w:t>1</w:t>
            </w:r>
          </w:p>
        </w:tc>
        <w:tc>
          <w:tcPr>
            <w:tcW w:w="672" w:type="pct"/>
            <w:shd w:val="clear" w:color="auto" w:fill="auto"/>
            <w:tcMar>
              <w:top w:w="57" w:type="dxa"/>
              <w:bottom w:w="57" w:type="dxa"/>
            </w:tcMar>
          </w:tcPr>
          <w:p w14:paraId="44B81631" w14:textId="77777777" w:rsidR="00CB0677" w:rsidRPr="00FD2055" w:rsidRDefault="00CB0677" w:rsidP="00CB0677">
            <w:pPr>
              <w:pStyle w:val="Standaard-Tabellen"/>
              <w:rPr>
                <w:rFonts w:eastAsia="Calibri"/>
              </w:rPr>
            </w:pPr>
            <w:r>
              <w:rPr>
                <w:rFonts w:eastAsia="Calibri"/>
              </w:rPr>
              <w:t>2.59 g</w:t>
            </w:r>
          </w:p>
        </w:tc>
      </w:tr>
    </w:tbl>
    <w:p w14:paraId="2B98BD0F" w14:textId="77777777" w:rsidR="00881426" w:rsidRDefault="00881426" w:rsidP="00881426">
      <w:pPr>
        <w:pStyle w:val="Voetnoot"/>
        <w:rPr>
          <w:rFonts w:eastAsia="Calibri"/>
        </w:rPr>
      </w:pPr>
      <w:r>
        <w:rPr>
          <w:rStyle w:val="Appelnotedebasdep"/>
          <w:rFonts w:eastAsia="Calibri"/>
          <w:vertAlign w:val="superscript"/>
        </w:rPr>
        <w:t xml:space="preserve">1 </w:t>
      </w:r>
      <w:r w:rsidRPr="00606070">
        <w:rPr>
          <w:rStyle w:val="Appelnotedebasdep"/>
          <w:rFonts w:eastAsia="Calibri"/>
        </w:rPr>
        <w:t>General information, see justification above</w:t>
      </w:r>
    </w:p>
    <w:p w14:paraId="75BBE94F" w14:textId="77777777" w:rsidR="00CB0677" w:rsidRDefault="00CB0677" w:rsidP="00CB0677">
      <w:pPr>
        <w:pStyle w:val="Voetnoot"/>
        <w:rPr>
          <w:rFonts w:eastAsia="Calibri"/>
        </w:rPr>
      </w:pPr>
      <w:r w:rsidRPr="00FA0BAC">
        <w:rPr>
          <w:rFonts w:eastAsia="Calibri"/>
          <w:vertAlign w:val="superscript"/>
        </w:rPr>
        <w:lastRenderedPageBreak/>
        <w:t>2</w:t>
      </w:r>
      <w:r>
        <w:rPr>
          <w:rFonts w:eastAsia="Calibri"/>
          <w:vertAlign w:val="superscript"/>
        </w:rPr>
        <w:t xml:space="preserve"> </w:t>
      </w:r>
      <w:r w:rsidRPr="009400D3">
        <w:rPr>
          <w:rStyle w:val="Appelnotedebasdep"/>
          <w:rFonts w:eastAsia="Calibri"/>
        </w:rPr>
        <w:t xml:space="preserve"> </w:t>
      </w:r>
      <w:r>
        <w:rPr>
          <w:rFonts w:eastAsia="Calibri"/>
        </w:rPr>
        <w:t>R</w:t>
      </w:r>
      <w:r w:rsidRPr="00904771">
        <w:rPr>
          <w:rFonts w:eastAsia="Calibri"/>
        </w:rPr>
        <w:t xml:space="preserve">ecommendation 11 of the BPC Ad hoc Working Group on Human Exposure : Proposal for harmonising the assessment of human exposure to repellents (PT19) – Version 2.1 agreed at WGV 2017.  </w:t>
      </w:r>
    </w:p>
    <w:p w14:paraId="2ED0A1C8" w14:textId="77777777" w:rsidR="00586AC3" w:rsidRDefault="00586AC3" w:rsidP="00586AC3">
      <w:pPr>
        <w:rPr>
          <w:rFonts w:eastAsia="Calibri"/>
        </w:rPr>
      </w:pPr>
    </w:p>
    <w:p w14:paraId="14DB3653" w14:textId="77777777" w:rsidR="00586AC3" w:rsidRDefault="00586AC3" w:rsidP="00586AC3">
      <w:pPr>
        <w:rPr>
          <w:rFonts w:eastAsia="Calibri"/>
        </w:rPr>
      </w:pPr>
    </w:p>
    <w:p w14:paraId="38BFB843" w14:textId="77777777" w:rsidR="00881426" w:rsidRPr="00586AC3" w:rsidRDefault="00881426" w:rsidP="00586AC3">
      <w:pPr>
        <w:pStyle w:val="Titre7"/>
      </w:pPr>
      <w:proofErr w:type="spellStart"/>
      <w:r w:rsidRPr="00586AC3">
        <w:t>Calculations</w:t>
      </w:r>
      <w:proofErr w:type="spellEnd"/>
      <w:r w:rsidRPr="00586AC3">
        <w:t xml:space="preserve"> </w:t>
      </w:r>
      <w:proofErr w:type="spellStart"/>
      <w:r w:rsidRPr="00586AC3">
        <w:t>for</w:t>
      </w:r>
      <w:proofErr w:type="spellEnd"/>
      <w:r w:rsidRPr="00586AC3">
        <w:t xml:space="preserve"> </w:t>
      </w:r>
      <w:proofErr w:type="spellStart"/>
      <w:r w:rsidRPr="00586AC3">
        <w:t>scenario</w:t>
      </w:r>
      <w:proofErr w:type="spellEnd"/>
      <w:r w:rsidRPr="00586AC3">
        <w:t xml:space="preserve"> 2</w:t>
      </w: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75"/>
        <w:gridCol w:w="2694"/>
        <w:gridCol w:w="4046"/>
      </w:tblGrid>
      <w:tr w:rsidR="00CB0677" w:rsidRPr="00C20709" w14:paraId="590C1161" w14:textId="77777777" w:rsidTr="00CB0677">
        <w:trPr>
          <w:cantSplit/>
          <w:trHeight w:val="594"/>
          <w:tblHeader/>
        </w:trPr>
        <w:tc>
          <w:tcPr>
            <w:tcW w:w="5000" w:type="pct"/>
            <w:gridSpan w:val="3"/>
            <w:shd w:val="clear" w:color="auto" w:fill="FFFFCC"/>
          </w:tcPr>
          <w:p w14:paraId="1705EAC4" w14:textId="77777777" w:rsidR="00CB0677" w:rsidRPr="00C20709" w:rsidRDefault="00CB0677" w:rsidP="00CB0677">
            <w:pPr>
              <w:pStyle w:val="Standaard-Tabellen"/>
              <w:jc w:val="center"/>
              <w:rPr>
                <w:rFonts w:eastAsia="Calibri"/>
                <w:b/>
              </w:rPr>
            </w:pPr>
            <w:r w:rsidRPr="00485489">
              <w:rPr>
                <w:rFonts w:eastAsia="Calibri"/>
                <w:b/>
              </w:rPr>
              <w:t>Summary table: estimated exposure for Hand-mouth transfer reverse reference scenario (oral exposure)</w:t>
            </w:r>
          </w:p>
        </w:tc>
      </w:tr>
      <w:tr w:rsidR="00CB0677" w:rsidRPr="00C20709" w14:paraId="489E2E84" w14:textId="77777777" w:rsidTr="00CB0677">
        <w:trPr>
          <w:cantSplit/>
          <w:trHeight w:val="594"/>
          <w:tblHeader/>
        </w:trPr>
        <w:tc>
          <w:tcPr>
            <w:tcW w:w="1382" w:type="pct"/>
            <w:shd w:val="clear" w:color="auto" w:fill="BFBFBF" w:themeFill="background1" w:themeFillShade="BF"/>
          </w:tcPr>
          <w:p w14:paraId="3F03AE93" w14:textId="77777777" w:rsidR="00CB0677" w:rsidRPr="00C20709" w:rsidRDefault="00CB0677" w:rsidP="00CB0677">
            <w:pPr>
              <w:pStyle w:val="Standaard-Tabellen"/>
              <w:rPr>
                <w:rFonts w:eastAsia="Calibri"/>
                <w:b/>
              </w:rPr>
            </w:pPr>
            <w:r w:rsidRPr="00C20709">
              <w:rPr>
                <w:rFonts w:eastAsia="Calibri"/>
                <w:b/>
              </w:rPr>
              <w:t>Exposure scenario</w:t>
            </w:r>
          </w:p>
        </w:tc>
        <w:tc>
          <w:tcPr>
            <w:tcW w:w="1446" w:type="pct"/>
            <w:shd w:val="clear" w:color="auto" w:fill="BFBFBF" w:themeFill="background1" w:themeFillShade="BF"/>
          </w:tcPr>
          <w:p w14:paraId="0B4D0C4E" w14:textId="77777777" w:rsidR="00CB0677" w:rsidRPr="00C20709" w:rsidRDefault="00CB0677" w:rsidP="00CB0677">
            <w:pPr>
              <w:pStyle w:val="Standaard-Tabellen"/>
              <w:rPr>
                <w:rFonts w:eastAsia="Calibri"/>
                <w:b/>
              </w:rPr>
            </w:pPr>
            <w:r w:rsidRPr="00C20709">
              <w:rPr>
                <w:rFonts w:eastAsia="Calibri"/>
                <w:b/>
              </w:rPr>
              <w:t>Tier/PPE</w:t>
            </w:r>
          </w:p>
        </w:tc>
        <w:tc>
          <w:tcPr>
            <w:tcW w:w="2172" w:type="pct"/>
            <w:shd w:val="clear" w:color="auto" w:fill="BFBFBF" w:themeFill="background1" w:themeFillShade="BF"/>
          </w:tcPr>
          <w:p w14:paraId="25DDCA14" w14:textId="77777777" w:rsidR="00CB0677" w:rsidRPr="00C20709" w:rsidRDefault="00CB0677" w:rsidP="00CB0677">
            <w:pPr>
              <w:pStyle w:val="Standaard-Tabellen"/>
              <w:rPr>
                <w:rFonts w:eastAsia="Calibri"/>
                <w:b/>
              </w:rPr>
            </w:pPr>
            <w:r w:rsidRPr="001C4A1C">
              <w:rPr>
                <w:rFonts w:eastAsia="Calibri"/>
                <w:b/>
              </w:rPr>
              <w:t>Calculated exposure to IR3535</w:t>
            </w:r>
            <w:r w:rsidRPr="001C4A1C">
              <w:rPr>
                <w:rFonts w:eastAsia="Calibri"/>
                <w:b/>
                <w:vertAlign w:val="superscript"/>
              </w:rPr>
              <w:t>®</w:t>
            </w:r>
          </w:p>
        </w:tc>
      </w:tr>
      <w:tr w:rsidR="00CB0677" w:rsidRPr="00FD2055" w14:paraId="3DC7E27B" w14:textId="77777777" w:rsidTr="00CB0677">
        <w:trPr>
          <w:cantSplit/>
          <w:trHeight w:val="391"/>
          <w:tblHeader/>
        </w:trPr>
        <w:tc>
          <w:tcPr>
            <w:tcW w:w="1382" w:type="pct"/>
            <w:shd w:val="clear" w:color="auto" w:fill="auto"/>
            <w:vAlign w:val="center"/>
          </w:tcPr>
          <w:p w14:paraId="776B6234" w14:textId="77777777" w:rsidR="00CB0677" w:rsidRPr="00FD2055" w:rsidRDefault="00CB0677" w:rsidP="00CB0677">
            <w:pPr>
              <w:pStyle w:val="Standaard-Tabellen"/>
              <w:rPr>
                <w:rFonts w:eastAsia="Calibri"/>
              </w:rPr>
            </w:pPr>
            <w:r w:rsidRPr="00CF46C5">
              <w:rPr>
                <w:rFonts w:eastAsia="Calibri"/>
              </w:rPr>
              <w:t xml:space="preserve">Scenario </w:t>
            </w:r>
            <w:r>
              <w:rPr>
                <w:rFonts w:eastAsia="Calibri"/>
              </w:rPr>
              <w:t>2</w:t>
            </w:r>
            <w:r w:rsidRPr="00CF46C5">
              <w:rPr>
                <w:rFonts w:eastAsia="Calibri"/>
              </w:rPr>
              <w:t xml:space="preserve"> – ADULT</w:t>
            </w:r>
          </w:p>
        </w:tc>
        <w:tc>
          <w:tcPr>
            <w:tcW w:w="1446" w:type="pct"/>
            <w:vAlign w:val="center"/>
          </w:tcPr>
          <w:p w14:paraId="6DA36670" w14:textId="77777777" w:rsidR="00CB0677" w:rsidRPr="00CF46C5" w:rsidRDefault="00CB0677" w:rsidP="00CB0677">
            <w:pPr>
              <w:pStyle w:val="Standaard-Tabellen"/>
              <w:rPr>
                <w:rFonts w:eastAsia="Calibri"/>
              </w:rPr>
            </w:pPr>
            <w:r w:rsidRPr="00CF46C5">
              <w:rPr>
                <w:rFonts w:eastAsia="Calibri"/>
              </w:rPr>
              <w:t>Tier 1 /</w:t>
            </w:r>
          </w:p>
          <w:p w14:paraId="309DD924" w14:textId="77777777" w:rsidR="00CB0677" w:rsidRPr="00FD2055" w:rsidRDefault="00CB0677" w:rsidP="00CB0677">
            <w:pPr>
              <w:pStyle w:val="Standaard-Tabellen"/>
              <w:rPr>
                <w:rFonts w:eastAsia="Calibri"/>
              </w:rPr>
            </w:pPr>
            <w:r w:rsidRPr="00CF46C5">
              <w:rPr>
                <w:rFonts w:eastAsia="Calibri"/>
              </w:rPr>
              <w:t>no PPE</w:t>
            </w:r>
          </w:p>
        </w:tc>
        <w:tc>
          <w:tcPr>
            <w:tcW w:w="2172" w:type="pct"/>
            <w:vAlign w:val="center"/>
          </w:tcPr>
          <w:p w14:paraId="329FF6B2" w14:textId="77777777" w:rsidR="00CB0677" w:rsidRPr="00FD2055" w:rsidRDefault="00CB0677" w:rsidP="00CB0677">
            <w:pPr>
              <w:pStyle w:val="Standaard-Tabellen"/>
              <w:rPr>
                <w:rFonts w:eastAsia="Calibri"/>
              </w:rPr>
            </w:pPr>
            <w:r w:rsidRPr="00412894">
              <w:rPr>
                <w:rFonts w:eastAsia="Calibri"/>
              </w:rPr>
              <w:t xml:space="preserve">Adult up to </w:t>
            </w:r>
            <w:r>
              <w:rPr>
                <w:rFonts w:eastAsia="Calibri"/>
              </w:rPr>
              <w:t>7.14</w:t>
            </w:r>
            <w:r w:rsidRPr="00412894">
              <w:rPr>
                <w:rFonts w:eastAsia="Calibri"/>
              </w:rPr>
              <w:t xml:space="preserve"> applications</w:t>
            </w:r>
          </w:p>
        </w:tc>
      </w:tr>
      <w:tr w:rsidR="00CB0677" w:rsidRPr="00FD2055" w14:paraId="491E2DF5" w14:textId="77777777" w:rsidTr="00CB0677">
        <w:trPr>
          <w:cantSplit/>
          <w:trHeight w:val="391"/>
          <w:tblHeader/>
        </w:trPr>
        <w:tc>
          <w:tcPr>
            <w:tcW w:w="1382" w:type="pct"/>
            <w:shd w:val="clear" w:color="auto" w:fill="auto"/>
            <w:vAlign w:val="center"/>
          </w:tcPr>
          <w:p w14:paraId="38485E07" w14:textId="77777777" w:rsidR="00CB0677" w:rsidRPr="00FD2055" w:rsidRDefault="00CB0677" w:rsidP="00CB0677">
            <w:pPr>
              <w:pStyle w:val="Standaard-Tabellen"/>
              <w:rPr>
                <w:rFonts w:eastAsia="Calibri"/>
              </w:rPr>
            </w:pPr>
            <w:r>
              <w:rPr>
                <w:rFonts w:eastAsia="Calibri"/>
              </w:rPr>
              <w:t>Scenario 2</w:t>
            </w:r>
            <w:r w:rsidRPr="00CF46C5">
              <w:rPr>
                <w:rFonts w:eastAsia="Calibri"/>
              </w:rPr>
              <w:t xml:space="preserve"> – CHILD</w:t>
            </w:r>
            <w:r>
              <w:rPr>
                <w:rFonts w:eastAsia="Calibri"/>
              </w:rPr>
              <w:t xml:space="preserve"> (6-12)</w:t>
            </w:r>
          </w:p>
        </w:tc>
        <w:tc>
          <w:tcPr>
            <w:tcW w:w="1446" w:type="pct"/>
            <w:vAlign w:val="center"/>
          </w:tcPr>
          <w:p w14:paraId="4B4C081C" w14:textId="77777777" w:rsidR="00CB0677" w:rsidRPr="00CF46C5" w:rsidRDefault="00CB0677" w:rsidP="00CB0677">
            <w:pPr>
              <w:pStyle w:val="Standaard-Tabellen"/>
              <w:rPr>
                <w:rFonts w:eastAsia="Calibri"/>
              </w:rPr>
            </w:pPr>
            <w:r w:rsidRPr="00CF46C5">
              <w:rPr>
                <w:rFonts w:eastAsia="Calibri"/>
              </w:rPr>
              <w:t>Tier 1 /</w:t>
            </w:r>
          </w:p>
          <w:p w14:paraId="3EE004A5" w14:textId="77777777" w:rsidR="00CB0677" w:rsidRPr="00FD2055" w:rsidRDefault="00CB0677" w:rsidP="00CB0677">
            <w:pPr>
              <w:pStyle w:val="Standaard-Tabellen"/>
              <w:rPr>
                <w:rFonts w:eastAsia="Calibri"/>
              </w:rPr>
            </w:pPr>
            <w:r w:rsidRPr="00CF46C5">
              <w:rPr>
                <w:rFonts w:eastAsia="Calibri"/>
              </w:rPr>
              <w:t>no PPE</w:t>
            </w:r>
          </w:p>
        </w:tc>
        <w:tc>
          <w:tcPr>
            <w:tcW w:w="2172" w:type="pct"/>
            <w:vAlign w:val="center"/>
          </w:tcPr>
          <w:p w14:paraId="331F0C0D" w14:textId="77777777" w:rsidR="00CB0677" w:rsidRPr="00FD2055" w:rsidRDefault="00CB0677" w:rsidP="00CB0677">
            <w:pPr>
              <w:pStyle w:val="Standaard-Tabellen"/>
              <w:rPr>
                <w:rFonts w:eastAsia="Calibri"/>
              </w:rPr>
            </w:pPr>
            <w:r w:rsidRPr="00412894">
              <w:rPr>
                <w:rFonts w:eastAsia="Calibri"/>
              </w:rPr>
              <w:t xml:space="preserve">Child (6-12) up to </w:t>
            </w:r>
            <w:r>
              <w:rPr>
                <w:rFonts w:eastAsia="Calibri"/>
              </w:rPr>
              <w:t>2.57</w:t>
            </w:r>
            <w:r w:rsidRPr="00412894">
              <w:rPr>
                <w:rFonts w:eastAsia="Calibri"/>
              </w:rPr>
              <w:t xml:space="preserve"> applications</w:t>
            </w:r>
          </w:p>
        </w:tc>
      </w:tr>
      <w:tr w:rsidR="00CB0677" w:rsidRPr="00FD2055" w14:paraId="32B413A8" w14:textId="77777777" w:rsidTr="00CB0677">
        <w:trPr>
          <w:cantSplit/>
          <w:trHeight w:val="391"/>
          <w:tblHeader/>
        </w:trPr>
        <w:tc>
          <w:tcPr>
            <w:tcW w:w="1382" w:type="pct"/>
            <w:shd w:val="clear" w:color="auto" w:fill="auto"/>
            <w:vAlign w:val="center"/>
          </w:tcPr>
          <w:p w14:paraId="25D5E4AD" w14:textId="77777777" w:rsidR="00CB0677" w:rsidRPr="00FD2055" w:rsidRDefault="00CB0677" w:rsidP="00CB0677">
            <w:pPr>
              <w:pStyle w:val="Standaard-Tabellen"/>
              <w:rPr>
                <w:rFonts w:eastAsia="Calibri"/>
              </w:rPr>
            </w:pPr>
            <w:r>
              <w:rPr>
                <w:rFonts w:eastAsia="Calibri"/>
              </w:rPr>
              <w:t>Scenario 2</w:t>
            </w:r>
            <w:r w:rsidRPr="00CF46C5">
              <w:rPr>
                <w:rFonts w:eastAsia="Calibri"/>
              </w:rPr>
              <w:t xml:space="preserve"> – CHILD</w:t>
            </w:r>
            <w:r>
              <w:rPr>
                <w:rFonts w:eastAsia="Calibri"/>
              </w:rPr>
              <w:t xml:space="preserve"> (2-6)</w:t>
            </w:r>
          </w:p>
        </w:tc>
        <w:tc>
          <w:tcPr>
            <w:tcW w:w="1446" w:type="pct"/>
            <w:vAlign w:val="center"/>
          </w:tcPr>
          <w:p w14:paraId="19B27E11" w14:textId="77777777" w:rsidR="00CB0677" w:rsidRPr="00CF46C5" w:rsidRDefault="00CB0677" w:rsidP="00CB0677">
            <w:pPr>
              <w:pStyle w:val="Standaard-Tabellen"/>
              <w:rPr>
                <w:rFonts w:eastAsia="Calibri"/>
              </w:rPr>
            </w:pPr>
            <w:r w:rsidRPr="00CF46C5">
              <w:rPr>
                <w:rFonts w:eastAsia="Calibri"/>
              </w:rPr>
              <w:t>Tier 1 /</w:t>
            </w:r>
          </w:p>
          <w:p w14:paraId="6F9B1502" w14:textId="77777777" w:rsidR="00CB0677" w:rsidRPr="00FD2055" w:rsidRDefault="00CB0677" w:rsidP="00CB0677">
            <w:pPr>
              <w:pStyle w:val="Standaard-Tabellen"/>
              <w:rPr>
                <w:rFonts w:eastAsia="Calibri"/>
              </w:rPr>
            </w:pPr>
            <w:r w:rsidRPr="00CF46C5">
              <w:rPr>
                <w:rFonts w:eastAsia="Calibri"/>
              </w:rPr>
              <w:t>no PPE</w:t>
            </w:r>
          </w:p>
        </w:tc>
        <w:tc>
          <w:tcPr>
            <w:tcW w:w="2172" w:type="pct"/>
            <w:vAlign w:val="center"/>
          </w:tcPr>
          <w:p w14:paraId="2B81EED4" w14:textId="77777777" w:rsidR="00CB0677" w:rsidRPr="00FD2055" w:rsidRDefault="00CB0677" w:rsidP="00CB0677">
            <w:pPr>
              <w:pStyle w:val="Standaard-Tabellen"/>
              <w:rPr>
                <w:rFonts w:eastAsia="Calibri"/>
              </w:rPr>
            </w:pPr>
            <w:r w:rsidRPr="00412894">
              <w:rPr>
                <w:rFonts w:eastAsia="Calibri"/>
              </w:rPr>
              <w:t xml:space="preserve">Child (2-6) up to  </w:t>
            </w:r>
            <w:r>
              <w:rPr>
                <w:rFonts w:eastAsia="Calibri"/>
              </w:rPr>
              <w:t xml:space="preserve">2.27 </w:t>
            </w:r>
            <w:r w:rsidRPr="00412894">
              <w:rPr>
                <w:rFonts w:eastAsia="Calibri"/>
              </w:rPr>
              <w:t>applications</w:t>
            </w:r>
          </w:p>
        </w:tc>
      </w:tr>
      <w:tr w:rsidR="00CB0677" w:rsidRPr="00FD2055" w14:paraId="4ED9E93F" w14:textId="77777777" w:rsidTr="00CB0677">
        <w:trPr>
          <w:cantSplit/>
          <w:trHeight w:val="391"/>
          <w:tblHeader/>
        </w:trPr>
        <w:tc>
          <w:tcPr>
            <w:tcW w:w="1382" w:type="pct"/>
            <w:shd w:val="clear" w:color="auto" w:fill="auto"/>
            <w:vAlign w:val="center"/>
          </w:tcPr>
          <w:p w14:paraId="4162E94D" w14:textId="77777777" w:rsidR="00CB0677" w:rsidRPr="00FD2055" w:rsidRDefault="00CB0677" w:rsidP="00CB0677">
            <w:pPr>
              <w:pStyle w:val="Standaard-Tabellen"/>
              <w:rPr>
                <w:rFonts w:eastAsia="Calibri"/>
              </w:rPr>
            </w:pPr>
            <w:r>
              <w:rPr>
                <w:rFonts w:eastAsia="Calibri"/>
              </w:rPr>
              <w:t>Scenario 2</w:t>
            </w:r>
            <w:r w:rsidRPr="00CF46C5">
              <w:rPr>
                <w:rFonts w:eastAsia="Calibri"/>
              </w:rPr>
              <w:t xml:space="preserve"> – TODDLER</w:t>
            </w:r>
          </w:p>
        </w:tc>
        <w:tc>
          <w:tcPr>
            <w:tcW w:w="1446" w:type="pct"/>
            <w:vAlign w:val="center"/>
          </w:tcPr>
          <w:p w14:paraId="0A9CFD93" w14:textId="77777777" w:rsidR="00CB0677" w:rsidRPr="00CF46C5" w:rsidRDefault="00CB0677" w:rsidP="00CB0677">
            <w:pPr>
              <w:pStyle w:val="Standaard-Tabellen"/>
              <w:rPr>
                <w:rFonts w:eastAsia="Calibri"/>
              </w:rPr>
            </w:pPr>
            <w:r w:rsidRPr="00CF46C5">
              <w:rPr>
                <w:rFonts w:eastAsia="Calibri"/>
              </w:rPr>
              <w:t>Tier 1 /</w:t>
            </w:r>
          </w:p>
          <w:p w14:paraId="43B8B8A2" w14:textId="77777777" w:rsidR="00CB0677" w:rsidRPr="00FD2055" w:rsidRDefault="00CB0677" w:rsidP="00CB0677">
            <w:pPr>
              <w:pStyle w:val="Standaard-Tabellen"/>
              <w:rPr>
                <w:rFonts w:eastAsia="Calibri"/>
              </w:rPr>
            </w:pPr>
            <w:r w:rsidRPr="00CF46C5">
              <w:rPr>
                <w:rFonts w:eastAsia="Calibri"/>
              </w:rPr>
              <w:t>no PPE</w:t>
            </w:r>
          </w:p>
        </w:tc>
        <w:tc>
          <w:tcPr>
            <w:tcW w:w="2172" w:type="pct"/>
            <w:vAlign w:val="center"/>
          </w:tcPr>
          <w:p w14:paraId="208FFC97" w14:textId="77777777" w:rsidR="00CB0677" w:rsidRPr="00FD2055" w:rsidRDefault="00CB0677" w:rsidP="00CB0677">
            <w:pPr>
              <w:pStyle w:val="Standaard-Tabellen"/>
              <w:rPr>
                <w:rFonts w:eastAsia="Calibri"/>
              </w:rPr>
            </w:pPr>
            <w:r w:rsidRPr="000908EA">
              <w:rPr>
                <w:rFonts w:eastAsia="Calibri"/>
              </w:rPr>
              <w:t xml:space="preserve">Toddler up to </w:t>
            </w:r>
            <w:r>
              <w:rPr>
                <w:rFonts w:eastAsia="Calibri"/>
              </w:rPr>
              <w:t>2.06</w:t>
            </w:r>
            <w:r w:rsidRPr="00412894">
              <w:rPr>
                <w:rFonts w:eastAsia="Calibri"/>
              </w:rPr>
              <w:t xml:space="preserve"> applications</w:t>
            </w:r>
          </w:p>
        </w:tc>
      </w:tr>
      <w:tr w:rsidR="00CB0677" w:rsidRPr="00FD2055" w14:paraId="141E2991" w14:textId="77777777" w:rsidTr="00CB0677">
        <w:trPr>
          <w:cantSplit/>
          <w:trHeight w:val="391"/>
          <w:tblHeader/>
        </w:trPr>
        <w:tc>
          <w:tcPr>
            <w:tcW w:w="1382" w:type="pct"/>
            <w:shd w:val="clear" w:color="auto" w:fill="auto"/>
            <w:vAlign w:val="center"/>
          </w:tcPr>
          <w:p w14:paraId="18D5FF2A" w14:textId="77777777" w:rsidR="00CB0677" w:rsidRDefault="00CB0677" w:rsidP="00CB0677">
            <w:pPr>
              <w:pStyle w:val="Standaard-Tabellen"/>
              <w:rPr>
                <w:rFonts w:eastAsia="Calibri"/>
              </w:rPr>
            </w:pPr>
            <w:r>
              <w:rPr>
                <w:rFonts w:eastAsia="Calibri"/>
              </w:rPr>
              <w:t>Scenario 2</w:t>
            </w:r>
            <w:r w:rsidRPr="00CF46C5">
              <w:rPr>
                <w:rFonts w:eastAsia="Calibri"/>
              </w:rPr>
              <w:t xml:space="preserve"> – INFANT</w:t>
            </w:r>
          </w:p>
        </w:tc>
        <w:tc>
          <w:tcPr>
            <w:tcW w:w="1446" w:type="pct"/>
            <w:vAlign w:val="center"/>
          </w:tcPr>
          <w:p w14:paraId="64AAA999" w14:textId="77777777" w:rsidR="00CB0677" w:rsidRPr="00CF46C5" w:rsidRDefault="00CB0677" w:rsidP="00CB0677">
            <w:pPr>
              <w:pStyle w:val="Standaard-Tabellen"/>
              <w:rPr>
                <w:rFonts w:eastAsia="Calibri"/>
              </w:rPr>
            </w:pPr>
            <w:r w:rsidRPr="00CF46C5">
              <w:rPr>
                <w:rFonts w:eastAsia="Calibri"/>
              </w:rPr>
              <w:t>Tier 1 /</w:t>
            </w:r>
          </w:p>
          <w:p w14:paraId="02394D65" w14:textId="77777777" w:rsidR="00CB0677" w:rsidRDefault="00CB0677" w:rsidP="00CB0677">
            <w:pPr>
              <w:pStyle w:val="Standaard-Tabellen"/>
              <w:rPr>
                <w:rFonts w:eastAsia="Calibri"/>
              </w:rPr>
            </w:pPr>
            <w:r w:rsidRPr="00CF46C5">
              <w:rPr>
                <w:rFonts w:eastAsia="Calibri"/>
              </w:rPr>
              <w:t>no PPE</w:t>
            </w:r>
          </w:p>
        </w:tc>
        <w:tc>
          <w:tcPr>
            <w:tcW w:w="2172" w:type="pct"/>
            <w:vAlign w:val="center"/>
          </w:tcPr>
          <w:p w14:paraId="6B5AC400" w14:textId="77777777" w:rsidR="00CB0677" w:rsidRPr="001C4A1C" w:rsidRDefault="00CB0677" w:rsidP="00CB0677">
            <w:pPr>
              <w:pStyle w:val="Standaard-Tabellen"/>
              <w:rPr>
                <w:rFonts w:eastAsia="Calibri"/>
              </w:rPr>
            </w:pPr>
            <w:r w:rsidRPr="00412894">
              <w:rPr>
                <w:rFonts w:eastAsia="Calibri"/>
              </w:rPr>
              <w:t xml:space="preserve">Infant up to </w:t>
            </w:r>
            <w:r>
              <w:rPr>
                <w:rFonts w:eastAsia="Calibri"/>
              </w:rPr>
              <w:t>1.93</w:t>
            </w:r>
            <w:r w:rsidRPr="00412894">
              <w:rPr>
                <w:rFonts w:eastAsia="Calibri"/>
              </w:rPr>
              <w:t xml:space="preserve"> applications</w:t>
            </w:r>
          </w:p>
        </w:tc>
      </w:tr>
    </w:tbl>
    <w:p w14:paraId="27919E79" w14:textId="77777777" w:rsidR="00881426" w:rsidRPr="00532A83" w:rsidRDefault="00881426" w:rsidP="00881426">
      <w:pPr>
        <w:pStyle w:val="Titre6"/>
        <w:rPr>
          <w:lang w:val="en-US"/>
        </w:rPr>
      </w:pPr>
      <w:r w:rsidRPr="00532A83">
        <w:rPr>
          <w:lang w:val="en-US"/>
        </w:rPr>
        <w:lastRenderedPageBreak/>
        <w:t xml:space="preserve">Scenario </w:t>
      </w:r>
      <w:r>
        <w:rPr>
          <w:lang w:val="en-US"/>
        </w:rPr>
        <w:t xml:space="preserve">3: </w:t>
      </w:r>
      <w:r w:rsidRPr="007F63D0">
        <w:rPr>
          <w:lang w:val="en-US"/>
        </w:rPr>
        <w:t xml:space="preserve">Inhalation of </w:t>
      </w:r>
      <w:proofErr w:type="spellStart"/>
      <w:r w:rsidRPr="007F63D0">
        <w:rPr>
          <w:lang w:val="en-US"/>
        </w:rPr>
        <w:t>volatilised</w:t>
      </w:r>
      <w:proofErr w:type="spellEnd"/>
      <w:r w:rsidRPr="007F63D0">
        <w:rPr>
          <w:lang w:val="en-US"/>
        </w:rPr>
        <w:t xml:space="preserve"> residues after application (</w:t>
      </w:r>
      <w:proofErr w:type="spellStart"/>
      <w:r w:rsidRPr="007F63D0">
        <w:rPr>
          <w:lang w:val="en-US"/>
        </w:rPr>
        <w:t>inhalative</w:t>
      </w:r>
      <w:proofErr w:type="spellEnd"/>
      <w:r w:rsidRPr="007F63D0">
        <w:rPr>
          <w:lang w:val="en-US"/>
        </w:rPr>
        <w:t xml:space="preserve"> exposure)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17"/>
        <w:gridCol w:w="4422"/>
        <w:gridCol w:w="3157"/>
      </w:tblGrid>
      <w:tr w:rsidR="00CB0677" w:rsidRPr="00332AD5" w14:paraId="5F61AC93" w14:textId="77777777" w:rsidTr="00CB0677">
        <w:trPr>
          <w:tblHeader/>
        </w:trPr>
        <w:tc>
          <w:tcPr>
            <w:tcW w:w="5000" w:type="pct"/>
            <w:gridSpan w:val="3"/>
            <w:shd w:val="clear" w:color="auto" w:fill="FFFFCC"/>
            <w:tcMar>
              <w:top w:w="57" w:type="dxa"/>
              <w:bottom w:w="57" w:type="dxa"/>
            </w:tcMar>
          </w:tcPr>
          <w:p w14:paraId="324A1703" w14:textId="77777777" w:rsidR="00CB0677" w:rsidRPr="00332AD5" w:rsidRDefault="00CB0677" w:rsidP="00CB0677">
            <w:pPr>
              <w:pStyle w:val="Standaard-Tabellen"/>
              <w:jc w:val="center"/>
              <w:rPr>
                <w:rFonts w:eastAsia="Calibri"/>
                <w:b/>
              </w:rPr>
            </w:pPr>
            <w:r w:rsidRPr="00332AD5">
              <w:rPr>
                <w:rFonts w:eastAsia="Calibri"/>
                <w:b/>
              </w:rPr>
              <w:lastRenderedPageBreak/>
              <w:t xml:space="preserve">Description of Scenario </w:t>
            </w:r>
            <w:r>
              <w:rPr>
                <w:rFonts w:eastAsia="Calibri"/>
                <w:b/>
              </w:rPr>
              <w:t>3</w:t>
            </w:r>
          </w:p>
        </w:tc>
      </w:tr>
      <w:tr w:rsidR="00CB0677" w:rsidRPr="00FD2055" w14:paraId="29535308" w14:textId="77777777" w:rsidTr="00CB0677">
        <w:trPr>
          <w:tblHeader/>
        </w:trPr>
        <w:tc>
          <w:tcPr>
            <w:tcW w:w="5000" w:type="pct"/>
            <w:gridSpan w:val="3"/>
            <w:shd w:val="clear" w:color="auto" w:fill="auto"/>
            <w:tcMar>
              <w:top w:w="57" w:type="dxa"/>
              <w:bottom w:w="57" w:type="dxa"/>
            </w:tcMar>
          </w:tcPr>
          <w:p w14:paraId="41265F1D" w14:textId="77777777" w:rsidR="00CB0677" w:rsidRDefault="00CB0677" w:rsidP="00CB0677">
            <w:pPr>
              <w:pStyle w:val="Explanatorynotes"/>
              <w:rPr>
                <w:rFonts w:ascii="Verdana" w:eastAsia="Calibri" w:hAnsi="Verdana"/>
                <w:i w:val="0"/>
              </w:rPr>
            </w:pPr>
            <w:r w:rsidRPr="000440B7">
              <w:rPr>
                <w:rFonts w:ascii="Verdana" w:eastAsia="Calibri" w:hAnsi="Verdana"/>
                <w:i w:val="0"/>
              </w:rPr>
              <w:t>This scenario is not based on the one available in the CAR of IR3535</w:t>
            </w:r>
            <w:r w:rsidRPr="00BF5148">
              <w:rPr>
                <w:rFonts w:ascii="Verdana" w:eastAsia="Calibri" w:hAnsi="Verdana"/>
                <w:i w:val="0"/>
                <w:vertAlign w:val="superscript"/>
              </w:rPr>
              <w:t>®</w:t>
            </w:r>
            <w:r w:rsidRPr="000440B7">
              <w:rPr>
                <w:rFonts w:ascii="Verdana" w:eastAsia="Calibri" w:hAnsi="Verdana"/>
                <w:i w:val="0"/>
              </w:rPr>
              <w:t xml:space="preserve"> because it’s has been demonstrated that the SVC could exceed 1% in a number of cases. Considering HEEG opinion 13 (Assessment of Inhalation Exposure of Volatilized Biocide Active Substance), the inhalation of volatilised residues after application has to be taken into account for this product.</w:t>
            </w:r>
          </w:p>
          <w:p w14:paraId="781BC1F6" w14:textId="77777777" w:rsidR="00CB0677" w:rsidRDefault="00CB0677" w:rsidP="00CB0677">
            <w:pPr>
              <w:pStyle w:val="Explanatorynotes"/>
              <w:rPr>
                <w:rFonts w:ascii="Verdana" w:eastAsia="Calibri" w:hAnsi="Verdana"/>
                <w:i w:val="0"/>
              </w:rPr>
            </w:pPr>
          </w:p>
          <w:p w14:paraId="5BECDFD2" w14:textId="77777777" w:rsidR="00CB0677" w:rsidRPr="00CC147D" w:rsidRDefault="00CB0677" w:rsidP="00CB0677">
            <w:pPr>
              <w:pStyle w:val="Explanatorynotes"/>
              <w:rPr>
                <w:rFonts w:ascii="Verdana" w:eastAsia="Calibri" w:hAnsi="Verdana"/>
                <w:i w:val="0"/>
              </w:rPr>
            </w:pPr>
            <w:r w:rsidRPr="000440B7">
              <w:rPr>
                <w:rFonts w:ascii="Verdana" w:eastAsia="Calibri" w:hAnsi="Verdana"/>
                <w:i w:val="0"/>
              </w:rPr>
              <w:t>This scenario is based on the one available in the CAR of IR3535</w:t>
            </w:r>
            <w:r w:rsidRPr="00BF5148">
              <w:rPr>
                <w:rFonts w:ascii="Verdana" w:eastAsia="Calibri" w:hAnsi="Verdana"/>
                <w:i w:val="0"/>
                <w:vertAlign w:val="superscript"/>
              </w:rPr>
              <w:t>®</w:t>
            </w:r>
            <w:r w:rsidRPr="000440B7">
              <w:rPr>
                <w:rFonts w:ascii="Verdana" w:eastAsia="Calibri" w:hAnsi="Verdana"/>
                <w:i w:val="0"/>
              </w:rPr>
              <w:t xml:space="preserve">. It has been updated according the recommendation 11 of the BPC Ad hoc Working Group on Human Exposure : Proposal for harmonising the assessment of human exposure to repellents (PT19) – Version 2.1 agreed at WGV 2017.  </w:t>
            </w:r>
          </w:p>
        </w:tc>
      </w:tr>
      <w:tr w:rsidR="00CB0677" w:rsidRPr="00FD2055" w14:paraId="6AA59E7A" w14:textId="77777777" w:rsidTr="00CB0677">
        <w:trPr>
          <w:tblHeader/>
        </w:trPr>
        <w:tc>
          <w:tcPr>
            <w:tcW w:w="5000" w:type="pct"/>
            <w:gridSpan w:val="3"/>
            <w:shd w:val="clear" w:color="auto" w:fill="auto"/>
            <w:tcMar>
              <w:top w:w="57" w:type="dxa"/>
              <w:bottom w:w="57" w:type="dxa"/>
            </w:tcMar>
          </w:tcPr>
          <w:p w14:paraId="7CA52847" w14:textId="77777777" w:rsidR="00CB0677" w:rsidRPr="000440B7" w:rsidRDefault="00CB0677" w:rsidP="00CB0677">
            <w:pPr>
              <w:spacing w:before="0" w:after="0"/>
              <w:rPr>
                <w:rFonts w:eastAsia="Calibri"/>
              </w:rPr>
            </w:pPr>
            <w:r w:rsidRPr="000440B7">
              <w:rPr>
                <w:rFonts w:eastAsia="Calibri"/>
              </w:rPr>
              <w:t xml:space="preserve">Inhalation of volatilized residues after application is relevant considering the HEEG opinion on Assessment of Inhalation Exposure of Volatilized Biocide Active Substance: </w:t>
            </w:r>
          </w:p>
          <w:p w14:paraId="67072BD8" w14:textId="77777777" w:rsidR="00CB0677" w:rsidRPr="000440B7" w:rsidRDefault="00C85279" w:rsidP="00CB0677">
            <w:pPr>
              <w:widowControl w:val="0"/>
              <w:shd w:val="clear" w:color="auto" w:fill="FFFFFF"/>
              <w:autoSpaceDE w:val="0"/>
              <w:autoSpaceDN w:val="0"/>
              <w:adjustRightInd w:val="0"/>
              <w:jc w:val="both"/>
              <w:rPr>
                <w:rFonts w:eastAsia="Calibri"/>
              </w:rPr>
            </w:pPr>
            <m:oMathPara>
              <m:oMath>
                <m:f>
                  <m:fPr>
                    <m:ctrlPr>
                      <w:rPr>
                        <w:rFonts w:ascii="Cambria Math" w:eastAsia="Calibri" w:hAnsi="Cambria Math"/>
                        <w:i/>
                        <w:sz w:val="22"/>
                        <w:szCs w:val="16"/>
                        <w:lang w:val="en-US" w:eastAsia="en-US"/>
                      </w:rPr>
                    </m:ctrlPr>
                  </m:fPr>
                  <m:num>
                    <m:r>
                      <w:rPr>
                        <w:rFonts w:ascii="Cambria Math" w:eastAsia="Calibri" w:hAnsi="Cambria Math"/>
                        <w:sz w:val="22"/>
                        <w:szCs w:val="16"/>
                        <w:lang w:val="en-US" w:eastAsia="en-US"/>
                      </w:rPr>
                      <m:t>0.328</m:t>
                    </m:r>
                    <m:r>
                      <w:rPr>
                        <w:rFonts w:ascii="Cambria Math" w:eastAsia="Calibri" w:hAnsi="Cambria Math" w:cs="Symbol"/>
                        <w:sz w:val="22"/>
                        <w:szCs w:val="16"/>
                        <w:lang w:val="en-US" w:eastAsia="en-US"/>
                      </w:rPr>
                      <m:t>× 215.29×</m:t>
                    </m:r>
                    <m:r>
                      <w:rPr>
                        <w:rFonts w:ascii="Cambria Math" w:hAnsi="Cambria Math"/>
                        <w:sz w:val="22"/>
                        <w:szCs w:val="16"/>
                        <w:lang w:val="en-US" w:eastAsia="en-US"/>
                      </w:rPr>
                      <m:t>0.15</m:t>
                    </m:r>
                  </m:num>
                  <m:den>
                    <m:r>
                      <w:rPr>
                        <w:rFonts w:ascii="Cambria Math" w:eastAsia="Calibri" w:hAnsi="Cambria Math"/>
                        <w:sz w:val="22"/>
                        <w:szCs w:val="16"/>
                        <w:lang w:val="en-US" w:eastAsia="en-US"/>
                      </w:rPr>
                      <m:t>5</m:t>
                    </m:r>
                  </m:den>
                </m:f>
                <m:r>
                  <w:rPr>
                    <w:rFonts w:ascii="Cambria Math" w:eastAsia="Calibri" w:hAnsi="Cambria Math" w:cs="Symbol"/>
                    <w:sz w:val="22"/>
                    <w:szCs w:val="16"/>
                    <w:lang w:val="en-US" w:eastAsia="en-US"/>
                  </w:rPr>
                  <m:t xml:space="preserve">=2.12 </m:t>
                </m:r>
              </m:oMath>
            </m:oMathPara>
          </w:p>
          <w:p w14:paraId="1929E7A5" w14:textId="77777777" w:rsidR="00CB0677" w:rsidRPr="000440B7" w:rsidRDefault="00CB0677" w:rsidP="00CB0677">
            <w:pPr>
              <w:spacing w:before="0" w:after="0"/>
              <w:rPr>
                <w:rFonts w:eastAsia="Calibri"/>
              </w:rPr>
            </w:pPr>
            <w:r w:rsidRPr="000440B7">
              <w:rPr>
                <w:rFonts w:eastAsia="Calibri"/>
              </w:rPr>
              <w:t xml:space="preserve">The result of this equation is superior to 1 which means that the inhalation exposure couldn’t be considered as negligible. </w:t>
            </w:r>
          </w:p>
          <w:p w14:paraId="77A8672D" w14:textId="77777777" w:rsidR="00CB0677" w:rsidRPr="000440B7" w:rsidRDefault="00CB0677" w:rsidP="00CB0677">
            <w:pPr>
              <w:spacing w:before="0" w:after="0"/>
              <w:rPr>
                <w:rFonts w:eastAsia="Calibri"/>
              </w:rPr>
            </w:pPr>
            <w:r w:rsidRPr="000440B7">
              <w:rPr>
                <w:rFonts w:eastAsia="Calibri"/>
              </w:rPr>
              <w:t xml:space="preserve">So this exposure was assessed using </w:t>
            </w:r>
            <w:proofErr w:type="spellStart"/>
            <w:r w:rsidRPr="000440B7">
              <w:rPr>
                <w:rFonts w:eastAsia="Calibri"/>
              </w:rPr>
              <w:t>ConsExpo</w:t>
            </w:r>
            <w:proofErr w:type="spellEnd"/>
            <w:r w:rsidRPr="000440B7">
              <w:rPr>
                <w:rFonts w:eastAsia="Calibri"/>
              </w:rPr>
              <w:t xml:space="preserve"> – exposure to vapour – instantaneous release. </w:t>
            </w:r>
          </w:p>
          <w:p w14:paraId="128B1912" w14:textId="77777777" w:rsidR="00CB0677" w:rsidRPr="000440B7" w:rsidRDefault="00CB0677" w:rsidP="00CB0677">
            <w:pPr>
              <w:spacing w:before="0" w:after="0"/>
              <w:rPr>
                <w:rFonts w:eastAsia="Calibri"/>
              </w:rPr>
            </w:pPr>
          </w:p>
          <w:p w14:paraId="7D4D746B" w14:textId="77777777" w:rsidR="00CB0677" w:rsidRPr="000440B7" w:rsidRDefault="00CB0677" w:rsidP="00CB0677">
            <w:pPr>
              <w:spacing w:before="0" w:after="0"/>
              <w:rPr>
                <w:rFonts w:eastAsia="Calibri"/>
                <w:b/>
              </w:rPr>
            </w:pPr>
            <w:r w:rsidRPr="000440B7">
              <w:rPr>
                <w:rFonts w:eastAsia="Calibri"/>
                <w:b/>
              </w:rPr>
              <w:t xml:space="preserve">General inputs to the model : </w:t>
            </w:r>
          </w:p>
          <w:p w14:paraId="1F782582" w14:textId="77777777" w:rsidR="00CB0677" w:rsidRPr="000440B7" w:rsidRDefault="00CB0677" w:rsidP="00CB0677">
            <w:pPr>
              <w:spacing w:before="0" w:after="0"/>
              <w:rPr>
                <w:rFonts w:eastAsia="Calibri"/>
              </w:rPr>
            </w:pPr>
            <w:r w:rsidRPr="000440B7">
              <w:rPr>
                <w:rFonts w:eastAsia="Calibri"/>
              </w:rPr>
              <w:t>Exposure duration: 24 hours (all day)</w:t>
            </w:r>
          </w:p>
          <w:p w14:paraId="5F43B0C9" w14:textId="77777777" w:rsidR="00CB0677" w:rsidRPr="000440B7" w:rsidRDefault="00CB0677" w:rsidP="00CB0677">
            <w:pPr>
              <w:spacing w:before="0" w:after="0"/>
              <w:rPr>
                <w:rFonts w:eastAsia="Calibri"/>
              </w:rPr>
            </w:pPr>
            <w:r w:rsidRPr="000440B7">
              <w:rPr>
                <w:rFonts w:eastAsia="Calibri"/>
              </w:rPr>
              <w:t>Product amount: calculated dependant of the amount applied per day and per age categories</w:t>
            </w:r>
          </w:p>
          <w:p w14:paraId="42E1F094" w14:textId="77777777" w:rsidR="00CB0677" w:rsidRPr="000440B7" w:rsidRDefault="00CB0677" w:rsidP="00CB0677">
            <w:pPr>
              <w:spacing w:before="0" w:after="0"/>
              <w:rPr>
                <w:rFonts w:eastAsia="Calibri"/>
              </w:rPr>
            </w:pPr>
            <w:r w:rsidRPr="000440B7">
              <w:rPr>
                <w:rFonts w:eastAsia="Calibri"/>
              </w:rPr>
              <w:t>Weight fraction comp</w:t>
            </w:r>
            <w:r>
              <w:rPr>
                <w:rFonts w:eastAsia="Calibri"/>
              </w:rPr>
              <w:t>ound: 1</w:t>
            </w:r>
            <w:r w:rsidRPr="000440B7">
              <w:rPr>
                <w:rFonts w:eastAsia="Calibri"/>
              </w:rPr>
              <w:t>0% (biocidal product information)</w:t>
            </w:r>
          </w:p>
          <w:p w14:paraId="70D72445" w14:textId="77777777" w:rsidR="00CB0677" w:rsidRPr="000440B7" w:rsidRDefault="00CB0677" w:rsidP="00CB0677">
            <w:pPr>
              <w:spacing w:before="0" w:after="0"/>
              <w:rPr>
                <w:rFonts w:eastAsia="Calibri"/>
              </w:rPr>
            </w:pPr>
            <w:r w:rsidRPr="000440B7">
              <w:rPr>
                <w:rFonts w:eastAsia="Calibri"/>
              </w:rPr>
              <w:t>Room volume: 20m</w:t>
            </w:r>
            <w:r w:rsidRPr="000440B7">
              <w:rPr>
                <w:rFonts w:eastAsia="Calibri"/>
                <w:vertAlign w:val="superscript"/>
              </w:rPr>
              <w:t>3</w:t>
            </w:r>
            <w:r w:rsidRPr="000440B7">
              <w:rPr>
                <w:rFonts w:eastAsia="Calibri"/>
              </w:rPr>
              <w:t xml:space="preserve"> (default value of </w:t>
            </w:r>
            <w:proofErr w:type="spellStart"/>
            <w:r w:rsidRPr="000440B7">
              <w:rPr>
                <w:rFonts w:eastAsia="Calibri"/>
              </w:rPr>
              <w:t>ConsExpo</w:t>
            </w:r>
            <w:proofErr w:type="spellEnd"/>
            <w:r w:rsidRPr="000440B7">
              <w:rPr>
                <w:rFonts w:eastAsia="Calibri"/>
              </w:rPr>
              <w:t>)</w:t>
            </w:r>
          </w:p>
          <w:p w14:paraId="0897685A" w14:textId="77777777" w:rsidR="00CB0677" w:rsidRPr="000440B7" w:rsidRDefault="00CB0677" w:rsidP="00CB0677">
            <w:pPr>
              <w:spacing w:before="0" w:after="0"/>
              <w:rPr>
                <w:rFonts w:eastAsia="Calibri"/>
              </w:rPr>
            </w:pPr>
            <w:r w:rsidRPr="000440B7">
              <w:rPr>
                <w:rFonts w:eastAsia="Calibri"/>
              </w:rPr>
              <w:t xml:space="preserve">Ventilation rate: 0.6 /h (default value of </w:t>
            </w:r>
            <w:proofErr w:type="spellStart"/>
            <w:r w:rsidRPr="000440B7">
              <w:rPr>
                <w:rFonts w:eastAsia="Calibri"/>
              </w:rPr>
              <w:t>ConsExpo</w:t>
            </w:r>
            <w:proofErr w:type="spellEnd"/>
            <w:r w:rsidRPr="000440B7">
              <w:rPr>
                <w:rFonts w:eastAsia="Calibri"/>
              </w:rPr>
              <w:t>)</w:t>
            </w:r>
          </w:p>
          <w:p w14:paraId="338AECC8" w14:textId="77777777" w:rsidR="00CB0677" w:rsidRPr="000440B7" w:rsidRDefault="00CB0677" w:rsidP="00CB0677">
            <w:pPr>
              <w:spacing w:before="0" w:after="0"/>
              <w:rPr>
                <w:rFonts w:eastAsia="Calibri"/>
              </w:rPr>
            </w:pPr>
          </w:p>
          <w:p w14:paraId="73AA9550" w14:textId="77777777" w:rsidR="00CB0677" w:rsidRPr="000440B7" w:rsidRDefault="00CB0677" w:rsidP="00CB0677">
            <w:pPr>
              <w:spacing w:before="0" w:after="0"/>
              <w:rPr>
                <w:rFonts w:eastAsia="Calibri"/>
                <w:lang w:val="fr-BE"/>
              </w:rPr>
            </w:pPr>
            <w:proofErr w:type="spellStart"/>
            <w:r w:rsidRPr="000440B7">
              <w:rPr>
                <w:rFonts w:eastAsia="Calibri"/>
                <w:lang w:val="fr-BE"/>
              </w:rPr>
              <w:t>Vapour</w:t>
            </w:r>
            <w:proofErr w:type="spellEnd"/>
            <w:r w:rsidRPr="000440B7">
              <w:rPr>
                <w:rFonts w:eastAsia="Calibri"/>
                <w:lang w:val="fr-BE"/>
              </w:rPr>
              <w:t xml:space="preserve"> pressure: 0.15 Pa (at 20 °C) (active substance information)</w:t>
            </w:r>
          </w:p>
          <w:p w14:paraId="722F040A" w14:textId="77777777" w:rsidR="00CB0677" w:rsidRPr="000440B7" w:rsidRDefault="00CB0677" w:rsidP="00CB0677">
            <w:pPr>
              <w:spacing w:before="0" w:after="0"/>
              <w:rPr>
                <w:rFonts w:eastAsia="Calibri"/>
              </w:rPr>
            </w:pPr>
            <w:r w:rsidRPr="000440B7">
              <w:rPr>
                <w:rFonts w:eastAsia="Calibri"/>
              </w:rPr>
              <w:t>Molecular weight: 215.29 g/mol (active substance information)</w:t>
            </w:r>
          </w:p>
          <w:p w14:paraId="10BAD5B8" w14:textId="77777777" w:rsidR="00CB0677" w:rsidRPr="00FD2055" w:rsidRDefault="00CB0677" w:rsidP="00CB0677">
            <w:pPr>
              <w:rPr>
                <w:rFonts w:eastAsia="Calibri"/>
              </w:rPr>
            </w:pPr>
            <w:r w:rsidRPr="000440B7">
              <w:rPr>
                <w:rFonts w:eastAsia="Calibri"/>
                <w:bCs/>
                <w:lang w:eastAsia="en-GB"/>
              </w:rPr>
              <w:t xml:space="preserve">Temperature : 25°c (ambient temperature) </w:t>
            </w:r>
          </w:p>
        </w:tc>
      </w:tr>
      <w:tr w:rsidR="00CB0677" w:rsidRPr="00FD2055" w14:paraId="0D03810D" w14:textId="77777777" w:rsidTr="00CB0677">
        <w:trPr>
          <w:tblHeader/>
        </w:trPr>
        <w:tc>
          <w:tcPr>
            <w:tcW w:w="967" w:type="pct"/>
            <w:shd w:val="clear" w:color="auto" w:fill="BFBFBF" w:themeFill="background1" w:themeFillShade="BF"/>
            <w:tcMar>
              <w:top w:w="57" w:type="dxa"/>
              <w:bottom w:w="57" w:type="dxa"/>
            </w:tcMar>
          </w:tcPr>
          <w:p w14:paraId="6EBD95B8" w14:textId="77777777" w:rsidR="00CB0677" w:rsidRPr="00D63FA7" w:rsidRDefault="00CB0677" w:rsidP="00CB0677">
            <w:pPr>
              <w:pStyle w:val="Standaard-Tabellen"/>
              <w:rPr>
                <w:rFonts w:eastAsia="Calibri"/>
                <w:b/>
              </w:rPr>
            </w:pPr>
          </w:p>
        </w:tc>
        <w:tc>
          <w:tcPr>
            <w:tcW w:w="2353" w:type="pct"/>
            <w:shd w:val="clear" w:color="auto" w:fill="BFBFBF" w:themeFill="background1" w:themeFillShade="BF"/>
            <w:tcMar>
              <w:top w:w="57" w:type="dxa"/>
              <w:bottom w:w="57" w:type="dxa"/>
            </w:tcMar>
          </w:tcPr>
          <w:p w14:paraId="7A25A728" w14:textId="77777777" w:rsidR="00CB0677" w:rsidRPr="00D63FA7" w:rsidRDefault="00CB0677" w:rsidP="00CB0677">
            <w:pPr>
              <w:pStyle w:val="Standaard-Tabellen"/>
              <w:rPr>
                <w:rFonts w:eastAsia="Calibri"/>
                <w:b/>
              </w:rPr>
            </w:pPr>
            <w:r w:rsidRPr="00F34321">
              <w:rPr>
                <w:rFonts w:eastAsia="Calibri"/>
                <w:b/>
              </w:rPr>
              <w:t>Parameters</w:t>
            </w:r>
          </w:p>
        </w:tc>
        <w:tc>
          <w:tcPr>
            <w:tcW w:w="1680" w:type="pct"/>
            <w:shd w:val="clear" w:color="auto" w:fill="BFBFBF" w:themeFill="background1" w:themeFillShade="BF"/>
            <w:tcMar>
              <w:top w:w="57" w:type="dxa"/>
              <w:bottom w:w="57" w:type="dxa"/>
            </w:tcMar>
          </w:tcPr>
          <w:p w14:paraId="118A985A" w14:textId="77777777" w:rsidR="00CB0677" w:rsidRPr="00D63FA7" w:rsidRDefault="00CB0677" w:rsidP="00CB0677">
            <w:pPr>
              <w:pStyle w:val="Standaard-Tabellen"/>
              <w:rPr>
                <w:rFonts w:eastAsia="Calibri"/>
                <w:b/>
              </w:rPr>
            </w:pPr>
            <w:r w:rsidRPr="00F34321">
              <w:rPr>
                <w:rFonts w:eastAsia="Calibri"/>
                <w:b/>
              </w:rPr>
              <w:t>Value</w:t>
            </w:r>
          </w:p>
        </w:tc>
      </w:tr>
      <w:tr w:rsidR="00CB0677" w:rsidRPr="00FD2055" w14:paraId="731D5D20" w14:textId="77777777" w:rsidTr="00CB0677">
        <w:trPr>
          <w:tblHeader/>
        </w:trPr>
        <w:tc>
          <w:tcPr>
            <w:tcW w:w="967" w:type="pct"/>
            <w:vMerge w:val="restart"/>
            <w:tcMar>
              <w:top w:w="57" w:type="dxa"/>
              <w:bottom w:w="57" w:type="dxa"/>
            </w:tcMar>
          </w:tcPr>
          <w:p w14:paraId="5A7A86B8" w14:textId="77777777" w:rsidR="00CB0677" w:rsidRPr="00FD2055" w:rsidRDefault="00CB0677" w:rsidP="00CB0677">
            <w:pPr>
              <w:pStyle w:val="Standaard-Tabellen"/>
              <w:rPr>
                <w:rFonts w:eastAsia="Calibri"/>
              </w:rPr>
            </w:pPr>
            <w:r w:rsidRPr="000B65BB">
              <w:rPr>
                <w:rFonts w:eastAsia="Calibri"/>
              </w:rPr>
              <w:t>Tier 1- Adult</w:t>
            </w:r>
          </w:p>
        </w:tc>
        <w:tc>
          <w:tcPr>
            <w:tcW w:w="2353" w:type="pct"/>
            <w:shd w:val="clear" w:color="auto" w:fill="auto"/>
            <w:tcMar>
              <w:top w:w="57" w:type="dxa"/>
              <w:bottom w:w="57" w:type="dxa"/>
            </w:tcMar>
          </w:tcPr>
          <w:p w14:paraId="298F271F" w14:textId="77777777" w:rsidR="00CB0677" w:rsidRPr="00FD2055" w:rsidRDefault="00CB0677" w:rsidP="00CB0677">
            <w:pPr>
              <w:pStyle w:val="Standaard-Tabellen"/>
              <w:rPr>
                <w:rFonts w:eastAsia="Calibri"/>
              </w:rPr>
            </w:pPr>
            <w:r>
              <w:rPr>
                <w:rFonts w:eastAsia="Calibri"/>
              </w:rPr>
              <w:t>Product amount</w:t>
            </w:r>
            <w:r>
              <w:rPr>
                <w:rFonts w:eastAsia="Calibri"/>
                <w:vertAlign w:val="superscript"/>
              </w:rPr>
              <w:t>1</w:t>
            </w:r>
          </w:p>
        </w:tc>
        <w:tc>
          <w:tcPr>
            <w:tcW w:w="1680" w:type="pct"/>
            <w:shd w:val="clear" w:color="auto" w:fill="auto"/>
            <w:tcMar>
              <w:top w:w="57" w:type="dxa"/>
              <w:bottom w:w="57" w:type="dxa"/>
            </w:tcMar>
          </w:tcPr>
          <w:p w14:paraId="73DCA7C6" w14:textId="77777777" w:rsidR="00CB0677" w:rsidRPr="00FD2055" w:rsidRDefault="00CB0677" w:rsidP="00CB0677">
            <w:pPr>
              <w:pStyle w:val="Standaard-Tabellen"/>
              <w:rPr>
                <w:rFonts w:eastAsia="Calibri"/>
              </w:rPr>
            </w:pPr>
            <w:r>
              <w:rPr>
                <w:rFonts w:eastAsia="Calibri"/>
              </w:rPr>
              <w:t>21.0</w:t>
            </w:r>
            <w:r w:rsidRPr="000908EA">
              <w:rPr>
                <w:rFonts w:eastAsia="Calibri"/>
              </w:rPr>
              <w:t xml:space="preserve"> g</w:t>
            </w:r>
          </w:p>
        </w:tc>
      </w:tr>
      <w:tr w:rsidR="00CB0677" w:rsidRPr="00FD2055" w14:paraId="126D2712" w14:textId="77777777" w:rsidTr="00CB0677">
        <w:trPr>
          <w:tblHeader/>
        </w:trPr>
        <w:tc>
          <w:tcPr>
            <w:tcW w:w="967" w:type="pct"/>
            <w:vMerge/>
            <w:tcMar>
              <w:top w:w="57" w:type="dxa"/>
              <w:bottom w:w="57" w:type="dxa"/>
            </w:tcMar>
          </w:tcPr>
          <w:p w14:paraId="488A7AC1" w14:textId="77777777" w:rsidR="00CB0677" w:rsidRPr="00FD2055" w:rsidRDefault="00CB0677" w:rsidP="00CB0677">
            <w:pPr>
              <w:pStyle w:val="Standaard-Tabellen"/>
              <w:rPr>
                <w:rFonts w:eastAsia="Calibri"/>
              </w:rPr>
            </w:pPr>
          </w:p>
        </w:tc>
        <w:tc>
          <w:tcPr>
            <w:tcW w:w="2353" w:type="pct"/>
            <w:shd w:val="clear" w:color="auto" w:fill="auto"/>
            <w:tcMar>
              <w:top w:w="57" w:type="dxa"/>
              <w:bottom w:w="57" w:type="dxa"/>
            </w:tcMar>
          </w:tcPr>
          <w:p w14:paraId="039407C6" w14:textId="77777777" w:rsidR="00CB0677" w:rsidRPr="00FD2055" w:rsidRDefault="00CB0677" w:rsidP="00CB0677">
            <w:pPr>
              <w:pStyle w:val="Standaard-Tabellen"/>
              <w:rPr>
                <w:rFonts w:eastAsia="Calibri"/>
              </w:rPr>
            </w:pPr>
            <w:r w:rsidRPr="00F34321">
              <w:rPr>
                <w:rFonts w:eastAsia="Calibri"/>
              </w:rPr>
              <w:t>Body weight</w:t>
            </w:r>
            <w:r>
              <w:rPr>
                <w:rFonts w:eastAsia="Calibri"/>
                <w:vertAlign w:val="superscript"/>
              </w:rPr>
              <w:t>2</w:t>
            </w:r>
            <w:r w:rsidRPr="00F34321">
              <w:rPr>
                <w:rFonts w:eastAsia="Calibri"/>
                <w:vertAlign w:val="superscript"/>
              </w:rPr>
              <w:t xml:space="preserve"> </w:t>
            </w:r>
          </w:p>
        </w:tc>
        <w:tc>
          <w:tcPr>
            <w:tcW w:w="1680" w:type="pct"/>
            <w:shd w:val="clear" w:color="auto" w:fill="auto"/>
            <w:tcMar>
              <w:top w:w="57" w:type="dxa"/>
              <w:bottom w:w="57" w:type="dxa"/>
            </w:tcMar>
          </w:tcPr>
          <w:p w14:paraId="60FAD93F" w14:textId="77777777" w:rsidR="00CB0677" w:rsidRPr="00FD2055" w:rsidRDefault="00CB0677" w:rsidP="00CB0677">
            <w:pPr>
              <w:pStyle w:val="Standaard-Tabellen"/>
              <w:rPr>
                <w:rFonts w:eastAsia="Calibri"/>
              </w:rPr>
            </w:pPr>
            <w:r w:rsidRPr="00F34321">
              <w:rPr>
                <w:rFonts w:eastAsia="Calibri"/>
              </w:rPr>
              <w:t>60 kg</w:t>
            </w:r>
          </w:p>
        </w:tc>
      </w:tr>
      <w:tr w:rsidR="00CB0677" w:rsidRPr="00FD2055" w14:paraId="6101892C" w14:textId="77777777" w:rsidTr="00CB0677">
        <w:trPr>
          <w:tblHeader/>
        </w:trPr>
        <w:tc>
          <w:tcPr>
            <w:tcW w:w="967" w:type="pct"/>
            <w:vMerge/>
            <w:tcMar>
              <w:top w:w="57" w:type="dxa"/>
              <w:bottom w:w="57" w:type="dxa"/>
            </w:tcMar>
          </w:tcPr>
          <w:p w14:paraId="0080A793" w14:textId="77777777" w:rsidR="00CB0677" w:rsidRPr="00FD2055" w:rsidRDefault="00CB0677" w:rsidP="00CB0677">
            <w:pPr>
              <w:pStyle w:val="Standaard-Tabellen"/>
              <w:rPr>
                <w:rFonts w:eastAsia="Calibri"/>
              </w:rPr>
            </w:pPr>
          </w:p>
        </w:tc>
        <w:tc>
          <w:tcPr>
            <w:tcW w:w="2353" w:type="pct"/>
            <w:shd w:val="clear" w:color="auto" w:fill="auto"/>
            <w:tcMar>
              <w:top w:w="57" w:type="dxa"/>
              <w:bottom w:w="57" w:type="dxa"/>
            </w:tcMar>
          </w:tcPr>
          <w:p w14:paraId="62A95132" w14:textId="77777777" w:rsidR="00CB0677" w:rsidRPr="00785109" w:rsidRDefault="00CB0677" w:rsidP="00CB0677">
            <w:pPr>
              <w:pStyle w:val="Standaard-Tabellen"/>
              <w:rPr>
                <w:rFonts w:eastAsia="Calibri"/>
              </w:rPr>
            </w:pPr>
            <w:r w:rsidRPr="00F34321">
              <w:rPr>
                <w:rFonts w:eastAsia="Calibri"/>
              </w:rPr>
              <w:t>Respiration rate [m</w:t>
            </w:r>
            <w:r w:rsidRPr="00F34321">
              <w:rPr>
                <w:rFonts w:eastAsia="Calibri"/>
                <w:vertAlign w:val="superscript"/>
              </w:rPr>
              <w:t>3</w:t>
            </w:r>
            <w:r w:rsidRPr="00F34321">
              <w:rPr>
                <w:rFonts w:eastAsia="Calibri"/>
              </w:rPr>
              <w:t>/air/hour]</w:t>
            </w:r>
            <w:r>
              <w:rPr>
                <w:rFonts w:eastAsia="Calibri"/>
                <w:vertAlign w:val="superscript"/>
              </w:rPr>
              <w:t>2</w:t>
            </w:r>
          </w:p>
        </w:tc>
        <w:tc>
          <w:tcPr>
            <w:tcW w:w="1680" w:type="pct"/>
            <w:shd w:val="clear" w:color="auto" w:fill="auto"/>
            <w:tcMar>
              <w:top w:w="57" w:type="dxa"/>
              <w:bottom w:w="57" w:type="dxa"/>
            </w:tcMar>
          </w:tcPr>
          <w:p w14:paraId="149CDE1C" w14:textId="77777777" w:rsidR="00CB0677" w:rsidRPr="00785109" w:rsidRDefault="00CB0677" w:rsidP="00CB0677">
            <w:pPr>
              <w:pStyle w:val="Standaard-Tabellen"/>
              <w:rPr>
                <w:rFonts w:eastAsia="Calibri"/>
              </w:rPr>
            </w:pPr>
            <w:r>
              <w:rPr>
                <w:rFonts w:eastAsia="Calibri"/>
              </w:rPr>
              <w:t>1.</w:t>
            </w:r>
            <w:r w:rsidRPr="00F34321">
              <w:rPr>
                <w:rFonts w:eastAsia="Calibri"/>
              </w:rPr>
              <w:t>25 m³/h</w:t>
            </w:r>
          </w:p>
        </w:tc>
      </w:tr>
      <w:tr w:rsidR="00CB0677" w:rsidRPr="00FD2055" w14:paraId="6ECB580B" w14:textId="77777777" w:rsidTr="00CB0677">
        <w:trPr>
          <w:tblHeader/>
        </w:trPr>
        <w:tc>
          <w:tcPr>
            <w:tcW w:w="967" w:type="pct"/>
            <w:vMerge w:val="restart"/>
            <w:tcMar>
              <w:top w:w="57" w:type="dxa"/>
              <w:bottom w:w="57" w:type="dxa"/>
            </w:tcMar>
          </w:tcPr>
          <w:p w14:paraId="12F8553F" w14:textId="77777777" w:rsidR="00CB0677" w:rsidRPr="00FD2055" w:rsidRDefault="00CB0677" w:rsidP="00CB0677">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6 to &lt; 12 years old</w:t>
            </w:r>
          </w:p>
        </w:tc>
        <w:tc>
          <w:tcPr>
            <w:tcW w:w="2353" w:type="pct"/>
            <w:shd w:val="clear" w:color="auto" w:fill="auto"/>
            <w:tcMar>
              <w:top w:w="57" w:type="dxa"/>
              <w:bottom w:w="57" w:type="dxa"/>
            </w:tcMar>
          </w:tcPr>
          <w:p w14:paraId="5BEB19D1" w14:textId="77777777" w:rsidR="00CB0677" w:rsidRPr="00FD2055" w:rsidRDefault="00CB0677" w:rsidP="00CB0677">
            <w:pPr>
              <w:pStyle w:val="Standaard-Tabellen"/>
              <w:rPr>
                <w:rFonts w:eastAsia="Calibri"/>
              </w:rPr>
            </w:pPr>
            <w:r>
              <w:rPr>
                <w:rFonts w:eastAsia="Calibri"/>
              </w:rPr>
              <w:t>Product amount</w:t>
            </w:r>
            <w:r>
              <w:rPr>
                <w:rFonts w:eastAsia="Calibri"/>
                <w:vertAlign w:val="superscript"/>
              </w:rPr>
              <w:t>1</w:t>
            </w:r>
          </w:p>
        </w:tc>
        <w:tc>
          <w:tcPr>
            <w:tcW w:w="1680" w:type="pct"/>
            <w:shd w:val="clear" w:color="auto" w:fill="auto"/>
            <w:tcMar>
              <w:top w:w="57" w:type="dxa"/>
              <w:bottom w:w="57" w:type="dxa"/>
            </w:tcMar>
          </w:tcPr>
          <w:p w14:paraId="654A4F26" w14:textId="77777777" w:rsidR="00CB0677" w:rsidRPr="00FD2055" w:rsidRDefault="00CB0677" w:rsidP="00CB0677">
            <w:pPr>
              <w:pStyle w:val="Standaard-Tabellen"/>
              <w:rPr>
                <w:rFonts w:eastAsia="Calibri"/>
              </w:rPr>
            </w:pPr>
            <w:r>
              <w:rPr>
                <w:rFonts w:eastAsia="Calibri"/>
              </w:rPr>
              <w:t>5.82</w:t>
            </w:r>
            <w:r w:rsidRPr="000908EA">
              <w:rPr>
                <w:rFonts w:eastAsia="Calibri"/>
              </w:rPr>
              <w:t xml:space="preserve"> g</w:t>
            </w:r>
          </w:p>
        </w:tc>
      </w:tr>
      <w:tr w:rsidR="00CB0677" w:rsidRPr="00FD2055" w14:paraId="2EDA7263" w14:textId="77777777" w:rsidTr="00CB0677">
        <w:trPr>
          <w:tblHeader/>
        </w:trPr>
        <w:tc>
          <w:tcPr>
            <w:tcW w:w="967" w:type="pct"/>
            <w:vMerge/>
            <w:tcMar>
              <w:top w:w="57" w:type="dxa"/>
              <w:bottom w:w="57" w:type="dxa"/>
            </w:tcMar>
          </w:tcPr>
          <w:p w14:paraId="09FD85C7" w14:textId="77777777" w:rsidR="00CB0677" w:rsidRPr="000B65BB" w:rsidRDefault="00CB0677" w:rsidP="00CB0677">
            <w:pPr>
              <w:pStyle w:val="Standaard-Tabellen"/>
              <w:rPr>
                <w:rFonts w:eastAsia="Calibri"/>
              </w:rPr>
            </w:pPr>
          </w:p>
        </w:tc>
        <w:tc>
          <w:tcPr>
            <w:tcW w:w="2353" w:type="pct"/>
            <w:shd w:val="clear" w:color="auto" w:fill="auto"/>
            <w:tcMar>
              <w:top w:w="57" w:type="dxa"/>
              <w:bottom w:w="57" w:type="dxa"/>
            </w:tcMar>
          </w:tcPr>
          <w:p w14:paraId="5E01C66F" w14:textId="77777777" w:rsidR="00CB0677" w:rsidRDefault="00CB0677" w:rsidP="00CB0677">
            <w:pPr>
              <w:pStyle w:val="Standaard-Tabellen"/>
              <w:rPr>
                <w:rFonts w:eastAsia="Calibri"/>
              </w:rPr>
            </w:pPr>
            <w:r w:rsidRPr="00F34321">
              <w:rPr>
                <w:rFonts w:eastAsia="Calibri"/>
              </w:rPr>
              <w:t>Body weight</w:t>
            </w:r>
            <w:r>
              <w:rPr>
                <w:rFonts w:eastAsia="Calibri"/>
                <w:vertAlign w:val="superscript"/>
              </w:rPr>
              <w:t>2</w:t>
            </w:r>
          </w:p>
        </w:tc>
        <w:tc>
          <w:tcPr>
            <w:tcW w:w="1680" w:type="pct"/>
            <w:shd w:val="clear" w:color="auto" w:fill="auto"/>
            <w:tcMar>
              <w:top w:w="57" w:type="dxa"/>
              <w:bottom w:w="57" w:type="dxa"/>
            </w:tcMar>
          </w:tcPr>
          <w:p w14:paraId="0526716F" w14:textId="77777777" w:rsidR="00CB0677" w:rsidRPr="000908EA" w:rsidRDefault="00CB0677" w:rsidP="00CB0677">
            <w:pPr>
              <w:pStyle w:val="Standaard-Tabellen"/>
              <w:rPr>
                <w:rFonts w:eastAsia="Calibri"/>
              </w:rPr>
            </w:pPr>
            <w:r w:rsidRPr="00F34321">
              <w:rPr>
                <w:rFonts w:eastAsia="Calibri"/>
              </w:rPr>
              <w:t>23</w:t>
            </w:r>
            <w:r>
              <w:rPr>
                <w:rFonts w:eastAsia="Calibri"/>
              </w:rPr>
              <w:t>.</w:t>
            </w:r>
            <w:r w:rsidRPr="00F34321">
              <w:rPr>
                <w:rFonts w:eastAsia="Calibri"/>
              </w:rPr>
              <w:t>9 kg</w:t>
            </w:r>
          </w:p>
        </w:tc>
      </w:tr>
      <w:tr w:rsidR="00CB0677" w:rsidRPr="00FD2055" w14:paraId="192E6FD1" w14:textId="77777777" w:rsidTr="00CB0677">
        <w:trPr>
          <w:tblHeader/>
        </w:trPr>
        <w:tc>
          <w:tcPr>
            <w:tcW w:w="967" w:type="pct"/>
            <w:vMerge/>
            <w:tcMar>
              <w:top w:w="57" w:type="dxa"/>
              <w:bottom w:w="57" w:type="dxa"/>
            </w:tcMar>
          </w:tcPr>
          <w:p w14:paraId="0D630940" w14:textId="77777777" w:rsidR="00CB0677" w:rsidRPr="00FD2055" w:rsidRDefault="00CB0677" w:rsidP="00CB0677">
            <w:pPr>
              <w:pStyle w:val="Standaard-Tabellen"/>
              <w:rPr>
                <w:rFonts w:eastAsia="Calibri"/>
              </w:rPr>
            </w:pPr>
          </w:p>
        </w:tc>
        <w:tc>
          <w:tcPr>
            <w:tcW w:w="2353" w:type="pct"/>
            <w:shd w:val="clear" w:color="auto" w:fill="auto"/>
            <w:tcMar>
              <w:top w:w="57" w:type="dxa"/>
              <w:bottom w:w="57" w:type="dxa"/>
            </w:tcMar>
          </w:tcPr>
          <w:p w14:paraId="2B668217" w14:textId="77777777" w:rsidR="00CB0677" w:rsidRPr="00FD2055" w:rsidRDefault="00CB0677" w:rsidP="00CB0677">
            <w:pPr>
              <w:pStyle w:val="Standaard-Tabellen"/>
              <w:rPr>
                <w:rFonts w:eastAsia="Calibri"/>
              </w:rPr>
            </w:pPr>
            <w:r w:rsidRPr="00F34321">
              <w:rPr>
                <w:rFonts w:eastAsia="Calibri"/>
              </w:rPr>
              <w:t>Respiration rate [m</w:t>
            </w:r>
            <w:r w:rsidRPr="00F34321">
              <w:rPr>
                <w:rFonts w:eastAsia="Calibri"/>
                <w:vertAlign w:val="superscript"/>
              </w:rPr>
              <w:t>3</w:t>
            </w:r>
            <w:r w:rsidRPr="00F34321">
              <w:rPr>
                <w:rFonts w:eastAsia="Calibri"/>
              </w:rPr>
              <w:t>/air/hour]</w:t>
            </w:r>
            <w:r>
              <w:rPr>
                <w:rFonts w:eastAsia="Calibri"/>
                <w:vertAlign w:val="superscript"/>
              </w:rPr>
              <w:t>2</w:t>
            </w:r>
          </w:p>
        </w:tc>
        <w:tc>
          <w:tcPr>
            <w:tcW w:w="1680" w:type="pct"/>
            <w:shd w:val="clear" w:color="auto" w:fill="auto"/>
            <w:tcMar>
              <w:top w:w="57" w:type="dxa"/>
              <w:bottom w:w="57" w:type="dxa"/>
            </w:tcMar>
          </w:tcPr>
          <w:p w14:paraId="16997BC8" w14:textId="77777777" w:rsidR="00CB0677" w:rsidRPr="00FD2055" w:rsidRDefault="00CB0677" w:rsidP="00CB0677">
            <w:pPr>
              <w:pStyle w:val="Standaard-Tabellen"/>
              <w:rPr>
                <w:rFonts w:eastAsia="Calibri"/>
              </w:rPr>
            </w:pPr>
            <w:r>
              <w:rPr>
                <w:rFonts w:eastAsia="Calibri"/>
              </w:rPr>
              <w:t>1.</w:t>
            </w:r>
            <w:r w:rsidRPr="00F34321">
              <w:rPr>
                <w:rFonts w:eastAsia="Calibri"/>
              </w:rPr>
              <w:t>32 m³/h</w:t>
            </w:r>
          </w:p>
        </w:tc>
      </w:tr>
      <w:tr w:rsidR="00CB0677" w:rsidRPr="00FD2055" w14:paraId="207F954D" w14:textId="77777777" w:rsidTr="00CB0677">
        <w:trPr>
          <w:tblHeader/>
        </w:trPr>
        <w:tc>
          <w:tcPr>
            <w:tcW w:w="967" w:type="pct"/>
            <w:vMerge w:val="restart"/>
            <w:tcMar>
              <w:top w:w="57" w:type="dxa"/>
              <w:bottom w:w="57" w:type="dxa"/>
            </w:tcMar>
          </w:tcPr>
          <w:p w14:paraId="25845555" w14:textId="77777777" w:rsidR="00CB0677" w:rsidRPr="00FD2055" w:rsidRDefault="00CB0677" w:rsidP="00CB0677">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w:t>
            </w:r>
            <w:r>
              <w:rPr>
                <w:rFonts w:eastAsia="Calibri"/>
              </w:rPr>
              <w:t>2 to &lt; 6</w:t>
            </w:r>
            <w:r w:rsidRPr="00994E49">
              <w:rPr>
                <w:rFonts w:eastAsia="Calibri"/>
              </w:rPr>
              <w:t xml:space="preserve"> years old</w:t>
            </w:r>
          </w:p>
        </w:tc>
        <w:tc>
          <w:tcPr>
            <w:tcW w:w="2353" w:type="pct"/>
            <w:shd w:val="clear" w:color="auto" w:fill="auto"/>
            <w:tcMar>
              <w:top w:w="57" w:type="dxa"/>
              <w:bottom w:w="57" w:type="dxa"/>
            </w:tcMar>
          </w:tcPr>
          <w:p w14:paraId="60CA5E64" w14:textId="77777777" w:rsidR="00CB0677" w:rsidRPr="00FD2055" w:rsidRDefault="00CB0677" w:rsidP="00CB0677">
            <w:pPr>
              <w:pStyle w:val="Standaard-Tabellen"/>
              <w:rPr>
                <w:rFonts w:eastAsia="Calibri"/>
              </w:rPr>
            </w:pPr>
            <w:r>
              <w:rPr>
                <w:rFonts w:eastAsia="Calibri"/>
              </w:rPr>
              <w:t>Product amount</w:t>
            </w:r>
            <w:r>
              <w:rPr>
                <w:rFonts w:eastAsia="Calibri"/>
                <w:vertAlign w:val="superscript"/>
              </w:rPr>
              <w:t>1</w:t>
            </w:r>
          </w:p>
        </w:tc>
        <w:tc>
          <w:tcPr>
            <w:tcW w:w="1680" w:type="pct"/>
            <w:shd w:val="clear" w:color="auto" w:fill="auto"/>
            <w:tcMar>
              <w:top w:w="57" w:type="dxa"/>
              <w:bottom w:w="57" w:type="dxa"/>
            </w:tcMar>
          </w:tcPr>
          <w:p w14:paraId="4E940B3A" w14:textId="77777777" w:rsidR="00CB0677" w:rsidRPr="00FD2055" w:rsidRDefault="00CB0677" w:rsidP="00CB0677">
            <w:pPr>
              <w:pStyle w:val="Standaard-Tabellen"/>
              <w:rPr>
                <w:rFonts w:eastAsia="Calibri"/>
              </w:rPr>
            </w:pPr>
            <w:r>
              <w:rPr>
                <w:rFonts w:eastAsia="Calibri"/>
              </w:rPr>
              <w:t>4.30</w:t>
            </w:r>
            <w:r w:rsidRPr="000908EA">
              <w:rPr>
                <w:rFonts w:eastAsia="Calibri"/>
              </w:rPr>
              <w:t xml:space="preserve"> g</w:t>
            </w:r>
          </w:p>
        </w:tc>
      </w:tr>
      <w:tr w:rsidR="00CB0677" w:rsidRPr="00FD2055" w14:paraId="72108501" w14:textId="77777777" w:rsidTr="00CB0677">
        <w:trPr>
          <w:tblHeader/>
        </w:trPr>
        <w:tc>
          <w:tcPr>
            <w:tcW w:w="967" w:type="pct"/>
            <w:vMerge/>
            <w:tcMar>
              <w:top w:w="57" w:type="dxa"/>
              <w:bottom w:w="57" w:type="dxa"/>
            </w:tcMar>
          </w:tcPr>
          <w:p w14:paraId="598F6DA8" w14:textId="77777777" w:rsidR="00CB0677" w:rsidRPr="00FD2055" w:rsidRDefault="00CB0677" w:rsidP="00CB0677">
            <w:pPr>
              <w:pStyle w:val="Standaard-Tabellen"/>
              <w:rPr>
                <w:rFonts w:eastAsia="Calibri"/>
              </w:rPr>
            </w:pPr>
          </w:p>
        </w:tc>
        <w:tc>
          <w:tcPr>
            <w:tcW w:w="2353" w:type="pct"/>
            <w:shd w:val="clear" w:color="auto" w:fill="auto"/>
            <w:tcMar>
              <w:top w:w="57" w:type="dxa"/>
              <w:bottom w:w="57" w:type="dxa"/>
            </w:tcMar>
          </w:tcPr>
          <w:p w14:paraId="6E6EB932" w14:textId="77777777" w:rsidR="00CB0677" w:rsidRPr="00FD2055" w:rsidRDefault="00CB0677" w:rsidP="00CB0677">
            <w:pPr>
              <w:pStyle w:val="Standaard-Tabellen"/>
              <w:rPr>
                <w:rFonts w:eastAsia="Calibri"/>
              </w:rPr>
            </w:pPr>
            <w:r w:rsidRPr="00F34321">
              <w:rPr>
                <w:rFonts w:eastAsia="Calibri"/>
              </w:rPr>
              <w:t>Body weight</w:t>
            </w:r>
            <w:r>
              <w:rPr>
                <w:rFonts w:eastAsia="Calibri"/>
                <w:vertAlign w:val="superscript"/>
              </w:rPr>
              <w:t>2</w:t>
            </w:r>
          </w:p>
        </w:tc>
        <w:tc>
          <w:tcPr>
            <w:tcW w:w="1680" w:type="pct"/>
            <w:shd w:val="clear" w:color="auto" w:fill="auto"/>
            <w:tcMar>
              <w:top w:w="57" w:type="dxa"/>
              <w:bottom w:w="57" w:type="dxa"/>
            </w:tcMar>
          </w:tcPr>
          <w:p w14:paraId="28C393F9" w14:textId="77777777" w:rsidR="00CB0677" w:rsidRPr="00FD2055" w:rsidRDefault="00CB0677" w:rsidP="00CB0677">
            <w:pPr>
              <w:pStyle w:val="Standaard-Tabellen"/>
              <w:rPr>
                <w:rFonts w:eastAsia="Calibri"/>
              </w:rPr>
            </w:pPr>
            <w:r>
              <w:rPr>
                <w:rFonts w:eastAsia="Calibri"/>
              </w:rPr>
              <w:t>15.6</w:t>
            </w:r>
            <w:r w:rsidRPr="00F34321">
              <w:rPr>
                <w:rFonts w:eastAsia="Calibri"/>
              </w:rPr>
              <w:t xml:space="preserve"> kg</w:t>
            </w:r>
          </w:p>
        </w:tc>
      </w:tr>
      <w:tr w:rsidR="00CB0677" w:rsidRPr="00FD2055" w14:paraId="77563CE1" w14:textId="77777777" w:rsidTr="00CB0677">
        <w:trPr>
          <w:tblHeader/>
        </w:trPr>
        <w:tc>
          <w:tcPr>
            <w:tcW w:w="967" w:type="pct"/>
            <w:vMerge/>
            <w:tcMar>
              <w:top w:w="57" w:type="dxa"/>
              <w:bottom w:w="57" w:type="dxa"/>
            </w:tcMar>
          </w:tcPr>
          <w:p w14:paraId="7ECB777D" w14:textId="77777777" w:rsidR="00CB0677" w:rsidRPr="00FD2055" w:rsidRDefault="00CB0677" w:rsidP="00CB0677">
            <w:pPr>
              <w:pStyle w:val="Standaard-Tabellen"/>
              <w:rPr>
                <w:rFonts w:eastAsia="Calibri"/>
              </w:rPr>
            </w:pPr>
          </w:p>
        </w:tc>
        <w:tc>
          <w:tcPr>
            <w:tcW w:w="2353" w:type="pct"/>
            <w:shd w:val="clear" w:color="auto" w:fill="auto"/>
            <w:tcMar>
              <w:top w:w="57" w:type="dxa"/>
              <w:bottom w:w="57" w:type="dxa"/>
            </w:tcMar>
          </w:tcPr>
          <w:p w14:paraId="5EB3E7A0" w14:textId="77777777" w:rsidR="00CB0677" w:rsidRDefault="00CB0677" w:rsidP="00CB0677">
            <w:pPr>
              <w:pStyle w:val="Standaard-Tabellen"/>
              <w:rPr>
                <w:rFonts w:eastAsia="Calibri"/>
              </w:rPr>
            </w:pPr>
            <w:r w:rsidRPr="00F34321">
              <w:rPr>
                <w:rFonts w:eastAsia="Calibri"/>
              </w:rPr>
              <w:t>Respiration rate [m</w:t>
            </w:r>
            <w:r w:rsidRPr="00F34321">
              <w:rPr>
                <w:rFonts w:eastAsia="Calibri"/>
                <w:vertAlign w:val="superscript"/>
              </w:rPr>
              <w:t>3</w:t>
            </w:r>
            <w:r w:rsidRPr="00F34321">
              <w:rPr>
                <w:rFonts w:eastAsia="Calibri"/>
              </w:rPr>
              <w:t>/air/hour]</w:t>
            </w:r>
            <w:r>
              <w:rPr>
                <w:rFonts w:eastAsia="Calibri"/>
                <w:vertAlign w:val="superscript"/>
              </w:rPr>
              <w:t>2</w:t>
            </w:r>
          </w:p>
        </w:tc>
        <w:tc>
          <w:tcPr>
            <w:tcW w:w="1680" w:type="pct"/>
            <w:shd w:val="clear" w:color="auto" w:fill="auto"/>
            <w:tcMar>
              <w:top w:w="57" w:type="dxa"/>
              <w:bottom w:w="57" w:type="dxa"/>
            </w:tcMar>
          </w:tcPr>
          <w:p w14:paraId="36C9D0A6" w14:textId="77777777" w:rsidR="00CB0677" w:rsidRPr="000908EA" w:rsidRDefault="00CB0677" w:rsidP="00CB0677">
            <w:pPr>
              <w:pStyle w:val="Standaard-Tabellen"/>
              <w:rPr>
                <w:rFonts w:eastAsia="Calibri"/>
              </w:rPr>
            </w:pPr>
            <w:r>
              <w:rPr>
                <w:rFonts w:eastAsia="Calibri"/>
              </w:rPr>
              <w:t xml:space="preserve">1.26 </w:t>
            </w:r>
            <w:r w:rsidRPr="00F34321">
              <w:rPr>
                <w:rFonts w:eastAsia="Calibri"/>
              </w:rPr>
              <w:t>m³/h</w:t>
            </w:r>
          </w:p>
        </w:tc>
      </w:tr>
      <w:tr w:rsidR="00CB0677" w:rsidRPr="00FD2055" w14:paraId="6DCD3B7B" w14:textId="77777777" w:rsidTr="00CB0677">
        <w:trPr>
          <w:tblHeader/>
        </w:trPr>
        <w:tc>
          <w:tcPr>
            <w:tcW w:w="967" w:type="pct"/>
            <w:vMerge w:val="restart"/>
            <w:tcMar>
              <w:top w:w="57" w:type="dxa"/>
              <w:bottom w:w="57" w:type="dxa"/>
            </w:tcMar>
          </w:tcPr>
          <w:p w14:paraId="426A7601" w14:textId="77777777" w:rsidR="00CB0677" w:rsidRPr="00FD2055" w:rsidRDefault="00CB0677" w:rsidP="00CB0677">
            <w:pPr>
              <w:pStyle w:val="Standaard-Tabellen"/>
              <w:rPr>
                <w:rFonts w:eastAsia="Calibri"/>
              </w:rPr>
            </w:pPr>
            <w:r w:rsidRPr="000B65BB">
              <w:rPr>
                <w:rFonts w:eastAsia="Calibri"/>
              </w:rPr>
              <w:t>Tier 1- Toddler</w:t>
            </w:r>
          </w:p>
        </w:tc>
        <w:tc>
          <w:tcPr>
            <w:tcW w:w="2353" w:type="pct"/>
            <w:shd w:val="clear" w:color="auto" w:fill="auto"/>
            <w:tcMar>
              <w:top w:w="57" w:type="dxa"/>
              <w:bottom w:w="57" w:type="dxa"/>
            </w:tcMar>
          </w:tcPr>
          <w:p w14:paraId="093DDE5B" w14:textId="77777777" w:rsidR="00CB0677" w:rsidRPr="00FD2055" w:rsidRDefault="00CB0677" w:rsidP="00CB0677">
            <w:pPr>
              <w:pStyle w:val="Standaard-Tabellen"/>
              <w:rPr>
                <w:rFonts w:eastAsia="Calibri"/>
              </w:rPr>
            </w:pPr>
            <w:r>
              <w:rPr>
                <w:rFonts w:eastAsia="Calibri"/>
              </w:rPr>
              <w:t>Product amount</w:t>
            </w:r>
            <w:r>
              <w:rPr>
                <w:rFonts w:eastAsia="Calibri"/>
                <w:vertAlign w:val="superscript"/>
              </w:rPr>
              <w:t>1</w:t>
            </w:r>
          </w:p>
        </w:tc>
        <w:tc>
          <w:tcPr>
            <w:tcW w:w="1680" w:type="pct"/>
            <w:shd w:val="clear" w:color="auto" w:fill="auto"/>
            <w:tcMar>
              <w:top w:w="57" w:type="dxa"/>
              <w:bottom w:w="57" w:type="dxa"/>
            </w:tcMar>
          </w:tcPr>
          <w:p w14:paraId="2588024E" w14:textId="77777777" w:rsidR="00CB0677" w:rsidRPr="00FD2055" w:rsidRDefault="00CB0677" w:rsidP="00CB0677">
            <w:pPr>
              <w:pStyle w:val="Standaard-Tabellen"/>
              <w:rPr>
                <w:rFonts w:eastAsia="Calibri"/>
              </w:rPr>
            </w:pPr>
            <w:r>
              <w:rPr>
                <w:rFonts w:eastAsia="Calibri"/>
              </w:rPr>
              <w:t>3.04</w:t>
            </w:r>
            <w:r w:rsidRPr="000908EA">
              <w:rPr>
                <w:rFonts w:eastAsia="Calibri"/>
              </w:rPr>
              <w:t xml:space="preserve"> g</w:t>
            </w:r>
          </w:p>
        </w:tc>
      </w:tr>
      <w:tr w:rsidR="00CB0677" w:rsidRPr="00FD2055" w14:paraId="0B252F4A" w14:textId="77777777" w:rsidTr="00CB0677">
        <w:trPr>
          <w:tblHeader/>
        </w:trPr>
        <w:tc>
          <w:tcPr>
            <w:tcW w:w="967" w:type="pct"/>
            <w:vMerge/>
            <w:tcMar>
              <w:top w:w="57" w:type="dxa"/>
              <w:bottom w:w="57" w:type="dxa"/>
            </w:tcMar>
          </w:tcPr>
          <w:p w14:paraId="756FD305" w14:textId="77777777" w:rsidR="00CB0677" w:rsidRPr="00FD2055" w:rsidRDefault="00CB0677" w:rsidP="00CB0677">
            <w:pPr>
              <w:pStyle w:val="Standaard-Tabellen"/>
              <w:rPr>
                <w:rFonts w:eastAsia="Calibri"/>
              </w:rPr>
            </w:pPr>
          </w:p>
        </w:tc>
        <w:tc>
          <w:tcPr>
            <w:tcW w:w="2353" w:type="pct"/>
            <w:shd w:val="clear" w:color="auto" w:fill="auto"/>
            <w:tcMar>
              <w:top w:w="57" w:type="dxa"/>
              <w:bottom w:w="57" w:type="dxa"/>
            </w:tcMar>
          </w:tcPr>
          <w:p w14:paraId="5DFF520A" w14:textId="77777777" w:rsidR="00CB0677" w:rsidRPr="00F34321" w:rsidRDefault="00CB0677" w:rsidP="00CB0677">
            <w:pPr>
              <w:pStyle w:val="Standaard-Tabellen"/>
              <w:rPr>
                <w:rFonts w:eastAsia="Calibri"/>
              </w:rPr>
            </w:pPr>
            <w:r w:rsidRPr="00F34321">
              <w:rPr>
                <w:rFonts w:eastAsia="Calibri"/>
              </w:rPr>
              <w:t>Body weight</w:t>
            </w:r>
            <w:r>
              <w:rPr>
                <w:rFonts w:eastAsia="Calibri"/>
                <w:vertAlign w:val="superscript"/>
              </w:rPr>
              <w:t>2</w:t>
            </w:r>
          </w:p>
        </w:tc>
        <w:tc>
          <w:tcPr>
            <w:tcW w:w="1680" w:type="pct"/>
            <w:shd w:val="clear" w:color="auto" w:fill="auto"/>
            <w:tcMar>
              <w:top w:w="57" w:type="dxa"/>
              <w:bottom w:w="57" w:type="dxa"/>
            </w:tcMar>
          </w:tcPr>
          <w:p w14:paraId="26FB20C7" w14:textId="77777777" w:rsidR="00CB0677" w:rsidRDefault="00CB0677" w:rsidP="00CB0677">
            <w:pPr>
              <w:pStyle w:val="Standaard-Tabellen"/>
              <w:rPr>
                <w:rFonts w:eastAsia="Calibri"/>
              </w:rPr>
            </w:pPr>
            <w:r w:rsidRPr="00F34321">
              <w:rPr>
                <w:rFonts w:eastAsia="Calibri"/>
              </w:rPr>
              <w:t>10 kg</w:t>
            </w:r>
          </w:p>
        </w:tc>
      </w:tr>
      <w:tr w:rsidR="00CB0677" w:rsidRPr="00FD2055" w14:paraId="08C53F65" w14:textId="77777777" w:rsidTr="00CB0677">
        <w:trPr>
          <w:tblHeader/>
        </w:trPr>
        <w:tc>
          <w:tcPr>
            <w:tcW w:w="967" w:type="pct"/>
            <w:vMerge/>
            <w:tcMar>
              <w:top w:w="57" w:type="dxa"/>
              <w:bottom w:w="57" w:type="dxa"/>
            </w:tcMar>
          </w:tcPr>
          <w:p w14:paraId="2C93D7D1" w14:textId="77777777" w:rsidR="00CB0677" w:rsidRPr="00FD2055" w:rsidRDefault="00CB0677" w:rsidP="00CB0677">
            <w:pPr>
              <w:pStyle w:val="Standaard-Tabellen"/>
              <w:rPr>
                <w:rFonts w:eastAsia="Calibri"/>
              </w:rPr>
            </w:pPr>
          </w:p>
        </w:tc>
        <w:tc>
          <w:tcPr>
            <w:tcW w:w="2353" w:type="pct"/>
            <w:shd w:val="clear" w:color="auto" w:fill="auto"/>
            <w:tcMar>
              <w:top w:w="57" w:type="dxa"/>
              <w:bottom w:w="57" w:type="dxa"/>
            </w:tcMar>
          </w:tcPr>
          <w:p w14:paraId="3ECB2DAA" w14:textId="77777777" w:rsidR="00CB0677" w:rsidRPr="00FD2055" w:rsidRDefault="00CB0677" w:rsidP="00CB0677">
            <w:pPr>
              <w:pStyle w:val="Standaard-Tabellen"/>
              <w:rPr>
                <w:rFonts w:eastAsia="Calibri"/>
              </w:rPr>
            </w:pPr>
            <w:r w:rsidRPr="00F34321">
              <w:rPr>
                <w:rFonts w:eastAsia="Calibri"/>
              </w:rPr>
              <w:t>Respiration rate [m</w:t>
            </w:r>
            <w:r w:rsidRPr="00F34321">
              <w:rPr>
                <w:rFonts w:eastAsia="Calibri"/>
                <w:vertAlign w:val="superscript"/>
              </w:rPr>
              <w:t>3</w:t>
            </w:r>
            <w:r w:rsidRPr="00F34321">
              <w:rPr>
                <w:rFonts w:eastAsia="Calibri"/>
              </w:rPr>
              <w:t>/air/hour]</w:t>
            </w:r>
            <w:r>
              <w:rPr>
                <w:rFonts w:eastAsia="Calibri"/>
                <w:vertAlign w:val="superscript"/>
              </w:rPr>
              <w:t>2</w:t>
            </w:r>
          </w:p>
        </w:tc>
        <w:tc>
          <w:tcPr>
            <w:tcW w:w="1680" w:type="pct"/>
            <w:shd w:val="clear" w:color="auto" w:fill="auto"/>
            <w:tcMar>
              <w:top w:w="57" w:type="dxa"/>
              <w:bottom w:w="57" w:type="dxa"/>
            </w:tcMar>
          </w:tcPr>
          <w:p w14:paraId="13A3AA34" w14:textId="77777777" w:rsidR="00CB0677" w:rsidRPr="00FD2055" w:rsidRDefault="00CB0677" w:rsidP="00CB0677">
            <w:pPr>
              <w:pStyle w:val="Standaard-Tabellen"/>
              <w:rPr>
                <w:rFonts w:eastAsia="Calibri"/>
              </w:rPr>
            </w:pPr>
            <w:r>
              <w:rPr>
                <w:rFonts w:eastAsia="Calibri"/>
              </w:rPr>
              <w:t>1.</w:t>
            </w:r>
            <w:r w:rsidRPr="00F34321">
              <w:rPr>
                <w:rFonts w:eastAsia="Calibri"/>
              </w:rPr>
              <w:t>26 m³/h</w:t>
            </w:r>
          </w:p>
        </w:tc>
      </w:tr>
      <w:tr w:rsidR="00CB0677" w:rsidRPr="00FD2055" w14:paraId="5AD8BDA4" w14:textId="77777777" w:rsidTr="00CB0677">
        <w:trPr>
          <w:tblHeader/>
        </w:trPr>
        <w:tc>
          <w:tcPr>
            <w:tcW w:w="967" w:type="pct"/>
            <w:vMerge w:val="restart"/>
            <w:tcMar>
              <w:top w:w="57" w:type="dxa"/>
              <w:bottom w:w="57" w:type="dxa"/>
            </w:tcMar>
          </w:tcPr>
          <w:p w14:paraId="121DC981" w14:textId="77777777" w:rsidR="00CB0677" w:rsidRPr="00FD2055" w:rsidRDefault="00CB0677" w:rsidP="00CB0677">
            <w:pPr>
              <w:pStyle w:val="Standaard-Tabellen"/>
              <w:rPr>
                <w:rFonts w:eastAsia="Calibri"/>
              </w:rPr>
            </w:pPr>
            <w:r w:rsidRPr="000B65BB">
              <w:rPr>
                <w:rFonts w:eastAsia="Calibri"/>
              </w:rPr>
              <w:t>Tier 1- Infant</w:t>
            </w:r>
          </w:p>
        </w:tc>
        <w:tc>
          <w:tcPr>
            <w:tcW w:w="2353" w:type="pct"/>
            <w:shd w:val="clear" w:color="auto" w:fill="auto"/>
            <w:tcMar>
              <w:top w:w="57" w:type="dxa"/>
              <w:bottom w:w="57" w:type="dxa"/>
            </w:tcMar>
          </w:tcPr>
          <w:p w14:paraId="1BC81C1A" w14:textId="77777777" w:rsidR="00CB0677" w:rsidRPr="00FD2055" w:rsidRDefault="00CB0677" w:rsidP="00CB0677">
            <w:pPr>
              <w:pStyle w:val="Standaard-Tabellen"/>
              <w:rPr>
                <w:rFonts w:eastAsia="Calibri"/>
              </w:rPr>
            </w:pPr>
            <w:r>
              <w:rPr>
                <w:rFonts w:eastAsia="Calibri"/>
              </w:rPr>
              <w:t>Product amount</w:t>
            </w:r>
            <w:r>
              <w:rPr>
                <w:rFonts w:eastAsia="Calibri"/>
                <w:vertAlign w:val="superscript"/>
              </w:rPr>
              <w:t>1</w:t>
            </w:r>
          </w:p>
        </w:tc>
        <w:tc>
          <w:tcPr>
            <w:tcW w:w="1680" w:type="pct"/>
            <w:shd w:val="clear" w:color="auto" w:fill="auto"/>
            <w:tcMar>
              <w:top w:w="57" w:type="dxa"/>
              <w:bottom w:w="57" w:type="dxa"/>
            </w:tcMar>
          </w:tcPr>
          <w:p w14:paraId="66EADACC" w14:textId="77777777" w:rsidR="00CB0677" w:rsidRPr="00FD2055" w:rsidRDefault="00CB0677" w:rsidP="00CB0677">
            <w:pPr>
              <w:pStyle w:val="Standaard-Tabellen"/>
              <w:rPr>
                <w:rFonts w:eastAsia="Calibri"/>
              </w:rPr>
            </w:pPr>
            <w:r>
              <w:rPr>
                <w:rFonts w:eastAsia="Calibri"/>
              </w:rPr>
              <w:t>2.59</w:t>
            </w:r>
            <w:r w:rsidRPr="000908EA">
              <w:rPr>
                <w:rFonts w:eastAsia="Calibri"/>
              </w:rPr>
              <w:t xml:space="preserve"> g</w:t>
            </w:r>
          </w:p>
        </w:tc>
      </w:tr>
      <w:tr w:rsidR="00CB0677" w:rsidRPr="00FD2055" w14:paraId="665DE42B" w14:textId="77777777" w:rsidTr="00CB0677">
        <w:trPr>
          <w:tblHeader/>
        </w:trPr>
        <w:tc>
          <w:tcPr>
            <w:tcW w:w="967" w:type="pct"/>
            <w:vMerge/>
            <w:tcMar>
              <w:top w:w="57" w:type="dxa"/>
              <w:bottom w:w="57" w:type="dxa"/>
            </w:tcMar>
          </w:tcPr>
          <w:p w14:paraId="47F02E3F" w14:textId="77777777" w:rsidR="00CB0677" w:rsidRPr="00FD2055" w:rsidRDefault="00CB0677" w:rsidP="00CB0677">
            <w:pPr>
              <w:pStyle w:val="Standaard-Tabellen"/>
              <w:rPr>
                <w:rFonts w:eastAsia="Calibri"/>
              </w:rPr>
            </w:pPr>
          </w:p>
        </w:tc>
        <w:tc>
          <w:tcPr>
            <w:tcW w:w="2353" w:type="pct"/>
            <w:shd w:val="clear" w:color="auto" w:fill="auto"/>
            <w:tcMar>
              <w:top w:w="57" w:type="dxa"/>
              <w:bottom w:w="57" w:type="dxa"/>
            </w:tcMar>
          </w:tcPr>
          <w:p w14:paraId="642AEF6A" w14:textId="77777777" w:rsidR="00CB0677" w:rsidRPr="00F34321" w:rsidRDefault="00CB0677" w:rsidP="00CB0677">
            <w:pPr>
              <w:pStyle w:val="Standaard-Tabellen"/>
              <w:rPr>
                <w:rFonts w:eastAsia="Calibri"/>
              </w:rPr>
            </w:pPr>
            <w:r w:rsidRPr="00F34321">
              <w:rPr>
                <w:rFonts w:eastAsia="Calibri"/>
              </w:rPr>
              <w:t>Body weight</w:t>
            </w:r>
            <w:r>
              <w:rPr>
                <w:rFonts w:eastAsia="Calibri"/>
                <w:vertAlign w:val="superscript"/>
              </w:rPr>
              <w:t>2</w:t>
            </w:r>
          </w:p>
        </w:tc>
        <w:tc>
          <w:tcPr>
            <w:tcW w:w="1680" w:type="pct"/>
            <w:shd w:val="clear" w:color="auto" w:fill="auto"/>
            <w:tcMar>
              <w:top w:w="57" w:type="dxa"/>
              <w:bottom w:w="57" w:type="dxa"/>
            </w:tcMar>
          </w:tcPr>
          <w:p w14:paraId="5E2FAF1D" w14:textId="77777777" w:rsidR="00CB0677" w:rsidRPr="00F34321" w:rsidRDefault="00CB0677" w:rsidP="00CB0677">
            <w:pPr>
              <w:pStyle w:val="Standaard-Tabellen"/>
              <w:rPr>
                <w:rFonts w:eastAsia="Calibri"/>
              </w:rPr>
            </w:pPr>
            <w:r w:rsidRPr="00F34321">
              <w:rPr>
                <w:rFonts w:eastAsia="Calibri"/>
              </w:rPr>
              <w:t>8 kg</w:t>
            </w:r>
          </w:p>
        </w:tc>
      </w:tr>
      <w:tr w:rsidR="00CB0677" w:rsidRPr="00FD2055" w14:paraId="6D85D6BA" w14:textId="77777777" w:rsidTr="00CB0677">
        <w:trPr>
          <w:tblHeader/>
        </w:trPr>
        <w:tc>
          <w:tcPr>
            <w:tcW w:w="967" w:type="pct"/>
            <w:vMerge/>
            <w:tcMar>
              <w:top w:w="57" w:type="dxa"/>
              <w:bottom w:w="57" w:type="dxa"/>
            </w:tcMar>
          </w:tcPr>
          <w:p w14:paraId="3B073065" w14:textId="77777777" w:rsidR="00CB0677" w:rsidRPr="00FD2055" w:rsidRDefault="00CB0677" w:rsidP="00CB0677">
            <w:pPr>
              <w:pStyle w:val="Standaard-Tabellen"/>
              <w:rPr>
                <w:rFonts w:eastAsia="Calibri"/>
              </w:rPr>
            </w:pPr>
          </w:p>
        </w:tc>
        <w:tc>
          <w:tcPr>
            <w:tcW w:w="2353" w:type="pct"/>
            <w:shd w:val="clear" w:color="auto" w:fill="auto"/>
            <w:tcMar>
              <w:top w:w="57" w:type="dxa"/>
              <w:bottom w:w="57" w:type="dxa"/>
            </w:tcMar>
          </w:tcPr>
          <w:p w14:paraId="1DD86650" w14:textId="77777777" w:rsidR="00CB0677" w:rsidRPr="00FD2055" w:rsidRDefault="00CB0677" w:rsidP="00CB0677">
            <w:pPr>
              <w:pStyle w:val="Standaard-Tabellen"/>
              <w:rPr>
                <w:rFonts w:eastAsia="Calibri"/>
              </w:rPr>
            </w:pPr>
            <w:r w:rsidRPr="00F34321">
              <w:rPr>
                <w:rFonts w:eastAsia="Calibri"/>
              </w:rPr>
              <w:t>Respiration rate [m</w:t>
            </w:r>
            <w:r w:rsidRPr="00F34321">
              <w:rPr>
                <w:rFonts w:eastAsia="Calibri"/>
                <w:vertAlign w:val="superscript"/>
              </w:rPr>
              <w:t>3</w:t>
            </w:r>
            <w:r w:rsidRPr="00F34321">
              <w:rPr>
                <w:rFonts w:eastAsia="Calibri"/>
              </w:rPr>
              <w:t>/air/hour]</w:t>
            </w:r>
            <w:r>
              <w:rPr>
                <w:rFonts w:eastAsia="Calibri"/>
                <w:vertAlign w:val="superscript"/>
              </w:rPr>
              <w:t>2</w:t>
            </w:r>
          </w:p>
        </w:tc>
        <w:tc>
          <w:tcPr>
            <w:tcW w:w="1680" w:type="pct"/>
            <w:shd w:val="clear" w:color="auto" w:fill="auto"/>
            <w:tcMar>
              <w:top w:w="57" w:type="dxa"/>
              <w:bottom w:w="57" w:type="dxa"/>
            </w:tcMar>
          </w:tcPr>
          <w:p w14:paraId="11D9D9D1" w14:textId="77777777" w:rsidR="00CB0677" w:rsidRPr="00FD2055" w:rsidRDefault="00CB0677" w:rsidP="00CB0677">
            <w:pPr>
              <w:pStyle w:val="Standaard-Tabellen"/>
              <w:rPr>
                <w:rFonts w:eastAsia="Calibri"/>
              </w:rPr>
            </w:pPr>
            <w:r>
              <w:rPr>
                <w:rFonts w:eastAsia="Calibri"/>
              </w:rPr>
              <w:t>0.</w:t>
            </w:r>
            <w:r w:rsidRPr="00F34321">
              <w:rPr>
                <w:rFonts w:eastAsia="Calibri"/>
              </w:rPr>
              <w:t>84 m³/h</w:t>
            </w:r>
          </w:p>
        </w:tc>
      </w:tr>
    </w:tbl>
    <w:p w14:paraId="294C53CD" w14:textId="77777777" w:rsidR="00CB0677" w:rsidRPr="000440B7" w:rsidRDefault="00CB0677" w:rsidP="00CB0677">
      <w:pPr>
        <w:spacing w:before="0" w:after="0"/>
        <w:ind w:left="170" w:hanging="170"/>
        <w:rPr>
          <w:rFonts w:eastAsia="Calibri"/>
          <w:position w:val="4"/>
          <w:sz w:val="16"/>
          <w:szCs w:val="16"/>
        </w:rPr>
      </w:pPr>
      <w:r w:rsidRPr="000440B7">
        <w:rPr>
          <w:rFonts w:eastAsia="Calibri"/>
          <w:position w:val="8"/>
          <w:sz w:val="16"/>
          <w:szCs w:val="16"/>
          <w:vertAlign w:val="superscript"/>
        </w:rPr>
        <w:lastRenderedPageBreak/>
        <w:t>1</w:t>
      </w:r>
      <w:r w:rsidRPr="000440B7">
        <w:rPr>
          <w:rFonts w:eastAsia="Calibri"/>
          <w:position w:val="8"/>
          <w:sz w:val="16"/>
          <w:szCs w:val="16"/>
        </w:rPr>
        <w:t xml:space="preserve"> </w:t>
      </w:r>
      <w:r w:rsidRPr="000440B7">
        <w:rPr>
          <w:rFonts w:eastAsia="Calibri"/>
          <w:position w:val="4"/>
          <w:sz w:val="16"/>
          <w:szCs w:val="16"/>
        </w:rPr>
        <w:t xml:space="preserve">According the primary exposure, only </w:t>
      </w:r>
      <w:r>
        <w:rPr>
          <w:rFonts w:eastAsia="Calibri"/>
          <w:position w:val="4"/>
          <w:sz w:val="16"/>
          <w:szCs w:val="16"/>
        </w:rPr>
        <w:t>two</w:t>
      </w:r>
      <w:r w:rsidRPr="000440B7">
        <w:rPr>
          <w:rFonts w:eastAsia="Calibri"/>
          <w:position w:val="4"/>
          <w:sz w:val="16"/>
          <w:szCs w:val="16"/>
        </w:rPr>
        <w:t xml:space="preserve"> application</w:t>
      </w:r>
      <w:r>
        <w:rPr>
          <w:rFonts w:eastAsia="Calibri"/>
          <w:position w:val="4"/>
          <w:sz w:val="16"/>
          <w:szCs w:val="16"/>
        </w:rPr>
        <w:t>s</w:t>
      </w:r>
      <w:r w:rsidRPr="000440B7">
        <w:rPr>
          <w:rFonts w:eastAsia="Calibri"/>
          <w:position w:val="4"/>
          <w:sz w:val="16"/>
          <w:szCs w:val="16"/>
        </w:rPr>
        <w:t xml:space="preserve"> per day can be authorized</w:t>
      </w:r>
      <w:r>
        <w:rPr>
          <w:rFonts w:eastAsia="Calibri"/>
          <w:position w:val="4"/>
          <w:sz w:val="16"/>
          <w:szCs w:val="16"/>
        </w:rPr>
        <w:t xml:space="preserve"> for adults and one application per day for the other age categories</w:t>
      </w:r>
      <w:r w:rsidRPr="000440B7">
        <w:rPr>
          <w:rFonts w:eastAsia="Calibri"/>
          <w:position w:val="4"/>
          <w:sz w:val="16"/>
          <w:szCs w:val="16"/>
        </w:rPr>
        <w:t xml:space="preserve">. Therefore, the product amount corresponds to </w:t>
      </w:r>
      <w:r>
        <w:rPr>
          <w:rFonts w:eastAsia="Calibri"/>
          <w:position w:val="4"/>
          <w:sz w:val="16"/>
          <w:szCs w:val="16"/>
        </w:rPr>
        <w:t>2</w:t>
      </w:r>
      <w:r w:rsidRPr="000440B7">
        <w:rPr>
          <w:rFonts w:eastAsia="Calibri"/>
          <w:position w:val="4"/>
          <w:sz w:val="16"/>
          <w:szCs w:val="16"/>
        </w:rPr>
        <w:t xml:space="preserve"> application/day</w:t>
      </w:r>
      <w:r>
        <w:rPr>
          <w:rFonts w:eastAsia="Calibri"/>
          <w:position w:val="4"/>
          <w:sz w:val="16"/>
          <w:szCs w:val="16"/>
        </w:rPr>
        <w:t xml:space="preserve"> for adults and 1 application/day for child, toddler and infant</w:t>
      </w:r>
      <w:r w:rsidRPr="000440B7">
        <w:rPr>
          <w:rFonts w:eastAsia="Calibri"/>
          <w:position w:val="4"/>
          <w:sz w:val="16"/>
          <w:szCs w:val="16"/>
        </w:rPr>
        <w:t xml:space="preserve">. </w:t>
      </w:r>
    </w:p>
    <w:p w14:paraId="7037BA48" w14:textId="77777777" w:rsidR="00CB0677" w:rsidRPr="000440B7" w:rsidRDefault="00CB0677" w:rsidP="00CB0677">
      <w:pPr>
        <w:spacing w:before="0" w:after="0"/>
        <w:ind w:left="170" w:hanging="170"/>
        <w:rPr>
          <w:rFonts w:eastAsia="Calibri"/>
          <w:position w:val="4"/>
          <w:sz w:val="16"/>
          <w:szCs w:val="16"/>
        </w:rPr>
      </w:pPr>
      <w:r w:rsidRPr="000440B7">
        <w:rPr>
          <w:rFonts w:eastAsia="Calibri"/>
          <w:position w:val="8"/>
          <w:sz w:val="16"/>
          <w:szCs w:val="16"/>
          <w:vertAlign w:val="superscript"/>
        </w:rPr>
        <w:t>2</w:t>
      </w:r>
      <w:r w:rsidRPr="000440B7">
        <w:rPr>
          <w:rFonts w:eastAsia="Calibri"/>
          <w:position w:val="8"/>
          <w:sz w:val="16"/>
          <w:szCs w:val="16"/>
        </w:rPr>
        <w:t xml:space="preserve"> General information, see justification above</w:t>
      </w:r>
    </w:p>
    <w:p w14:paraId="23090FC9" w14:textId="77777777" w:rsidR="00CB0677" w:rsidRDefault="00CB0677" w:rsidP="00CB0677">
      <w:pPr>
        <w:rPr>
          <w:rFonts w:eastAsia="Calibri"/>
        </w:rPr>
      </w:pPr>
    </w:p>
    <w:p w14:paraId="2DAF5F4F" w14:textId="77777777" w:rsidR="00CB0677" w:rsidRDefault="00CB0677" w:rsidP="00CB0677">
      <w:pPr>
        <w:rPr>
          <w:rFonts w:eastAsia="Calibri"/>
        </w:rPr>
      </w:pPr>
    </w:p>
    <w:p w14:paraId="409ED300" w14:textId="77777777" w:rsidR="00881426" w:rsidRPr="00C20709" w:rsidRDefault="00881426" w:rsidP="00881426">
      <w:pPr>
        <w:pStyle w:val="Titre7"/>
        <w:rPr>
          <w:lang w:val="en-US"/>
        </w:rPr>
      </w:pPr>
      <w:r w:rsidRPr="00C20709">
        <w:rPr>
          <w:lang w:val="en-US"/>
        </w:rPr>
        <w:t xml:space="preserve">Calculations for scenario </w:t>
      </w:r>
      <w:r>
        <w:rPr>
          <w:lang w:val="en-US"/>
        </w:rPr>
        <w:t>3</w:t>
      </w: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24"/>
        <w:gridCol w:w="998"/>
        <w:gridCol w:w="5973"/>
      </w:tblGrid>
      <w:tr w:rsidR="00CB0677" w:rsidRPr="00C20709" w14:paraId="3A50947F" w14:textId="77777777" w:rsidTr="00CB0677">
        <w:trPr>
          <w:cantSplit/>
          <w:trHeight w:val="647"/>
          <w:tblHeader/>
        </w:trPr>
        <w:tc>
          <w:tcPr>
            <w:tcW w:w="5000" w:type="pct"/>
            <w:gridSpan w:val="3"/>
            <w:shd w:val="clear" w:color="auto" w:fill="FFFFCC"/>
          </w:tcPr>
          <w:p w14:paraId="54A4334B" w14:textId="77777777" w:rsidR="00CB0677" w:rsidRPr="00C20709" w:rsidRDefault="00CB0677" w:rsidP="00CB0677">
            <w:pPr>
              <w:pStyle w:val="Standaard-Tabellen"/>
              <w:jc w:val="center"/>
              <w:rPr>
                <w:rFonts w:eastAsia="Calibri"/>
                <w:b/>
              </w:rPr>
            </w:pPr>
            <w:r w:rsidRPr="00F34321">
              <w:rPr>
                <w:rFonts w:eastAsia="Calibri"/>
                <w:b/>
              </w:rPr>
              <w:t>Summary table: estimated exposure for inhalation of volatilised residues after application (</w:t>
            </w:r>
            <w:proofErr w:type="spellStart"/>
            <w:r w:rsidRPr="00F34321">
              <w:rPr>
                <w:rFonts w:eastAsia="Calibri"/>
                <w:b/>
              </w:rPr>
              <w:t>inhalative</w:t>
            </w:r>
            <w:proofErr w:type="spellEnd"/>
            <w:r w:rsidRPr="00F34321">
              <w:rPr>
                <w:rFonts w:eastAsia="Calibri"/>
                <w:b/>
              </w:rPr>
              <w:t xml:space="preserve"> exposure)</w:t>
            </w:r>
          </w:p>
        </w:tc>
      </w:tr>
      <w:tr w:rsidR="00CB0677" w:rsidRPr="00C20709" w14:paraId="63E90358" w14:textId="77777777" w:rsidTr="00CB0677">
        <w:trPr>
          <w:cantSplit/>
          <w:trHeight w:val="647"/>
          <w:tblHeader/>
        </w:trPr>
        <w:tc>
          <w:tcPr>
            <w:tcW w:w="1250" w:type="pct"/>
            <w:shd w:val="clear" w:color="auto" w:fill="BFBFBF" w:themeFill="background1" w:themeFillShade="BF"/>
          </w:tcPr>
          <w:p w14:paraId="405D9438" w14:textId="77777777" w:rsidR="00CB0677" w:rsidRPr="00C20709" w:rsidRDefault="00CB0677" w:rsidP="00CB0677">
            <w:pPr>
              <w:pStyle w:val="Standaard-Tabellen"/>
              <w:rPr>
                <w:rFonts w:eastAsia="Calibri"/>
                <w:b/>
              </w:rPr>
            </w:pPr>
            <w:r w:rsidRPr="00C20709">
              <w:rPr>
                <w:rFonts w:eastAsia="Calibri"/>
                <w:b/>
              </w:rPr>
              <w:t>Exposure scenario</w:t>
            </w:r>
          </w:p>
        </w:tc>
        <w:tc>
          <w:tcPr>
            <w:tcW w:w="537" w:type="pct"/>
            <w:shd w:val="clear" w:color="auto" w:fill="BFBFBF" w:themeFill="background1" w:themeFillShade="BF"/>
          </w:tcPr>
          <w:p w14:paraId="610BF824" w14:textId="77777777" w:rsidR="00CB0677" w:rsidRDefault="00CB0677" w:rsidP="00CB0677">
            <w:pPr>
              <w:pStyle w:val="Standaard-Tabellen"/>
              <w:rPr>
                <w:rFonts w:eastAsia="Calibri"/>
                <w:b/>
              </w:rPr>
            </w:pPr>
            <w:r w:rsidRPr="00C20709">
              <w:rPr>
                <w:rFonts w:eastAsia="Calibri"/>
                <w:b/>
              </w:rPr>
              <w:t>Tier</w:t>
            </w:r>
            <w:r>
              <w:rPr>
                <w:rFonts w:eastAsia="Calibri"/>
                <w:b/>
              </w:rPr>
              <w:t xml:space="preserve"> </w:t>
            </w:r>
            <w:r w:rsidRPr="00C20709">
              <w:rPr>
                <w:rFonts w:eastAsia="Calibri"/>
                <w:b/>
              </w:rPr>
              <w:t>/</w:t>
            </w:r>
          </w:p>
          <w:p w14:paraId="233B6814" w14:textId="77777777" w:rsidR="00CB0677" w:rsidRPr="00C20709" w:rsidRDefault="00CB0677" w:rsidP="00CB0677">
            <w:pPr>
              <w:pStyle w:val="Standaard-Tabellen"/>
              <w:rPr>
                <w:rFonts w:eastAsia="Calibri"/>
                <w:b/>
              </w:rPr>
            </w:pPr>
            <w:r w:rsidRPr="00C20709">
              <w:rPr>
                <w:rFonts w:eastAsia="Calibri"/>
                <w:b/>
              </w:rPr>
              <w:t>PPE</w:t>
            </w:r>
          </w:p>
        </w:tc>
        <w:tc>
          <w:tcPr>
            <w:tcW w:w="3213" w:type="pct"/>
            <w:shd w:val="clear" w:color="auto" w:fill="BFBFBF" w:themeFill="background1" w:themeFillShade="BF"/>
          </w:tcPr>
          <w:p w14:paraId="3914896E" w14:textId="77777777" w:rsidR="00CB0677" w:rsidRPr="00C20709" w:rsidRDefault="00CB0677" w:rsidP="00CB0677">
            <w:pPr>
              <w:pStyle w:val="Standaard-Tabellen"/>
              <w:rPr>
                <w:rFonts w:eastAsia="Calibri"/>
                <w:b/>
              </w:rPr>
            </w:pPr>
            <w:r w:rsidRPr="00C20709">
              <w:rPr>
                <w:rFonts w:eastAsia="Calibri"/>
                <w:b/>
              </w:rPr>
              <w:t>Estimated inhalation uptake</w:t>
            </w:r>
            <w:r>
              <w:rPr>
                <w:rFonts w:eastAsia="Calibri"/>
                <w:b/>
              </w:rPr>
              <w:t xml:space="preserve"> of volatilised </w:t>
            </w:r>
            <w:r w:rsidRPr="00B42BEF">
              <w:rPr>
                <w:rFonts w:eastAsia="Calibri"/>
                <w:b/>
              </w:rPr>
              <w:t>residues after application</w:t>
            </w:r>
          </w:p>
        </w:tc>
      </w:tr>
      <w:tr w:rsidR="00CB0677" w:rsidRPr="00FD2055" w14:paraId="4B268313" w14:textId="77777777" w:rsidTr="00CB0677">
        <w:trPr>
          <w:cantSplit/>
          <w:trHeight w:val="632"/>
          <w:tblHeader/>
        </w:trPr>
        <w:tc>
          <w:tcPr>
            <w:tcW w:w="1250" w:type="pct"/>
            <w:shd w:val="clear" w:color="auto" w:fill="auto"/>
            <w:vAlign w:val="center"/>
          </w:tcPr>
          <w:p w14:paraId="7D32449F" w14:textId="77777777" w:rsidR="00CB0677" w:rsidRPr="00FD2055" w:rsidRDefault="00CB0677" w:rsidP="00CB0677">
            <w:pPr>
              <w:pStyle w:val="Standaard-Tabellen"/>
              <w:rPr>
                <w:rFonts w:eastAsia="Calibri"/>
              </w:rPr>
            </w:pPr>
            <w:r w:rsidRPr="00CF46C5">
              <w:rPr>
                <w:rFonts w:eastAsia="Calibri"/>
              </w:rPr>
              <w:t xml:space="preserve">Scenario </w:t>
            </w:r>
            <w:r>
              <w:rPr>
                <w:rFonts w:eastAsia="Calibri"/>
              </w:rPr>
              <w:t>3</w:t>
            </w:r>
            <w:r w:rsidRPr="00CF46C5">
              <w:rPr>
                <w:rFonts w:eastAsia="Calibri"/>
              </w:rPr>
              <w:t xml:space="preserve"> – ADULT</w:t>
            </w:r>
          </w:p>
        </w:tc>
        <w:tc>
          <w:tcPr>
            <w:tcW w:w="537" w:type="pct"/>
            <w:vAlign w:val="center"/>
          </w:tcPr>
          <w:p w14:paraId="0C7F790F" w14:textId="77777777" w:rsidR="00CB0677" w:rsidRPr="00412894" w:rsidRDefault="00CB0677" w:rsidP="00CB0677">
            <w:pPr>
              <w:pStyle w:val="Standaard-Tabellen"/>
              <w:rPr>
                <w:rFonts w:eastAsia="Calibri"/>
              </w:rPr>
            </w:pPr>
            <w:r w:rsidRPr="00412894">
              <w:rPr>
                <w:rFonts w:eastAsia="Calibri"/>
              </w:rPr>
              <w:t>Tier 1 /</w:t>
            </w:r>
          </w:p>
          <w:p w14:paraId="1153DA24" w14:textId="77777777" w:rsidR="00CB0677" w:rsidRPr="00FD2055" w:rsidRDefault="00CB0677" w:rsidP="00CB0677">
            <w:pPr>
              <w:pStyle w:val="Standaard-Tabellen"/>
              <w:rPr>
                <w:rFonts w:eastAsia="Calibri"/>
              </w:rPr>
            </w:pPr>
            <w:r w:rsidRPr="00412894">
              <w:rPr>
                <w:rFonts w:eastAsia="Calibri"/>
              </w:rPr>
              <w:t>no PPE</w:t>
            </w:r>
          </w:p>
        </w:tc>
        <w:tc>
          <w:tcPr>
            <w:tcW w:w="3213" w:type="pct"/>
            <w:vAlign w:val="center"/>
          </w:tcPr>
          <w:p w14:paraId="58E45890" w14:textId="77777777" w:rsidR="00CB0677" w:rsidRPr="00B30D9D" w:rsidRDefault="00CB0677" w:rsidP="00CB0677">
            <w:pPr>
              <w:pStyle w:val="Standaard-Tabellen"/>
              <w:rPr>
                <w:rFonts w:eastAsia="Calibri"/>
              </w:rPr>
            </w:pPr>
            <w:r w:rsidRPr="00892C32">
              <w:rPr>
                <w:rFonts w:eastAsia="Calibri"/>
              </w:rPr>
              <w:t>3.65</w:t>
            </w:r>
            <w:r w:rsidRPr="00B30D9D">
              <w:rPr>
                <w:rFonts w:eastAsia="Calibri"/>
              </w:rPr>
              <w:t xml:space="preserve"> mg/kg </w:t>
            </w:r>
            <w:proofErr w:type="spellStart"/>
            <w:r w:rsidRPr="00B30D9D">
              <w:rPr>
                <w:rFonts w:eastAsia="Calibri"/>
              </w:rPr>
              <w:t>bw</w:t>
            </w:r>
            <w:proofErr w:type="spellEnd"/>
            <w:r w:rsidRPr="00B30D9D">
              <w:rPr>
                <w:rFonts w:eastAsia="Calibri"/>
              </w:rPr>
              <w:t>/day</w:t>
            </w:r>
          </w:p>
        </w:tc>
      </w:tr>
      <w:tr w:rsidR="00CB0677" w:rsidRPr="00FD2055" w14:paraId="22A5CCBD" w14:textId="77777777" w:rsidTr="00CB0677">
        <w:trPr>
          <w:cantSplit/>
          <w:trHeight w:val="426"/>
          <w:tblHeader/>
        </w:trPr>
        <w:tc>
          <w:tcPr>
            <w:tcW w:w="1250" w:type="pct"/>
            <w:shd w:val="clear" w:color="auto" w:fill="auto"/>
            <w:vAlign w:val="center"/>
          </w:tcPr>
          <w:p w14:paraId="1F7F45EC" w14:textId="77777777" w:rsidR="00CB0677" w:rsidRPr="00FD2055" w:rsidRDefault="00CB0677" w:rsidP="00CB0677">
            <w:pPr>
              <w:pStyle w:val="Standaard-Tabellen"/>
              <w:rPr>
                <w:rFonts w:eastAsia="Calibri"/>
              </w:rPr>
            </w:pPr>
            <w:r>
              <w:rPr>
                <w:rFonts w:eastAsia="Calibri"/>
              </w:rPr>
              <w:t>Scenario 3</w:t>
            </w:r>
            <w:r w:rsidRPr="00CF46C5">
              <w:rPr>
                <w:rFonts w:eastAsia="Calibri"/>
              </w:rPr>
              <w:t xml:space="preserve"> – CHILD</w:t>
            </w:r>
            <w:r>
              <w:rPr>
                <w:rFonts w:eastAsia="Calibri"/>
              </w:rPr>
              <w:t xml:space="preserve"> (6-12)</w:t>
            </w:r>
          </w:p>
        </w:tc>
        <w:tc>
          <w:tcPr>
            <w:tcW w:w="537" w:type="pct"/>
            <w:vAlign w:val="center"/>
          </w:tcPr>
          <w:p w14:paraId="70AA364A" w14:textId="77777777" w:rsidR="00CB0677" w:rsidRPr="00412894" w:rsidRDefault="00CB0677" w:rsidP="00CB0677">
            <w:pPr>
              <w:pStyle w:val="Standaard-Tabellen"/>
              <w:rPr>
                <w:rFonts w:eastAsia="Calibri"/>
              </w:rPr>
            </w:pPr>
            <w:r w:rsidRPr="00412894">
              <w:rPr>
                <w:rFonts w:eastAsia="Calibri"/>
              </w:rPr>
              <w:t>Tier 1 /</w:t>
            </w:r>
          </w:p>
          <w:p w14:paraId="4CF1A0A1" w14:textId="77777777" w:rsidR="00CB0677" w:rsidRPr="00FD2055" w:rsidRDefault="00CB0677" w:rsidP="00CB0677">
            <w:pPr>
              <w:pStyle w:val="Standaard-Tabellen"/>
              <w:rPr>
                <w:rFonts w:eastAsia="Calibri"/>
              </w:rPr>
            </w:pPr>
            <w:r w:rsidRPr="00412894">
              <w:rPr>
                <w:rFonts w:eastAsia="Calibri"/>
              </w:rPr>
              <w:t>no PPE</w:t>
            </w:r>
          </w:p>
        </w:tc>
        <w:tc>
          <w:tcPr>
            <w:tcW w:w="3213" w:type="pct"/>
            <w:vAlign w:val="center"/>
          </w:tcPr>
          <w:p w14:paraId="6CAC221E" w14:textId="77777777" w:rsidR="00CB0677" w:rsidRPr="00B30D9D" w:rsidRDefault="00CB0677" w:rsidP="00CB0677">
            <w:pPr>
              <w:pStyle w:val="Standaard-Tabellen"/>
              <w:rPr>
                <w:rFonts w:eastAsia="Calibri"/>
              </w:rPr>
            </w:pPr>
            <w:r w:rsidRPr="00892C32">
              <w:rPr>
                <w:rFonts w:eastAsia="Calibri"/>
              </w:rPr>
              <w:t>2.68</w:t>
            </w:r>
            <w:r w:rsidRPr="00B30D9D">
              <w:rPr>
                <w:rFonts w:eastAsia="Calibri"/>
              </w:rPr>
              <w:t xml:space="preserve"> mg/kg </w:t>
            </w:r>
            <w:proofErr w:type="spellStart"/>
            <w:r w:rsidRPr="00B30D9D">
              <w:rPr>
                <w:rFonts w:eastAsia="Calibri"/>
              </w:rPr>
              <w:t>bw</w:t>
            </w:r>
            <w:proofErr w:type="spellEnd"/>
            <w:r w:rsidRPr="00B30D9D">
              <w:rPr>
                <w:rFonts w:eastAsia="Calibri"/>
              </w:rPr>
              <w:t>/day</w:t>
            </w:r>
          </w:p>
        </w:tc>
      </w:tr>
      <w:tr w:rsidR="00CB0677" w:rsidRPr="00FD2055" w14:paraId="49599940" w14:textId="77777777" w:rsidTr="00CB0677">
        <w:trPr>
          <w:cantSplit/>
          <w:trHeight w:val="647"/>
          <w:tblHeader/>
        </w:trPr>
        <w:tc>
          <w:tcPr>
            <w:tcW w:w="1250" w:type="pct"/>
            <w:shd w:val="clear" w:color="auto" w:fill="auto"/>
            <w:vAlign w:val="center"/>
          </w:tcPr>
          <w:p w14:paraId="4DAC419B" w14:textId="77777777" w:rsidR="00CB0677" w:rsidRPr="00FD2055" w:rsidRDefault="00CB0677" w:rsidP="00CB0677">
            <w:pPr>
              <w:pStyle w:val="Standaard-Tabellen"/>
              <w:rPr>
                <w:rFonts w:eastAsia="Calibri"/>
              </w:rPr>
            </w:pPr>
            <w:r>
              <w:rPr>
                <w:rFonts w:eastAsia="Calibri"/>
              </w:rPr>
              <w:t>Scenario 2</w:t>
            </w:r>
            <w:r w:rsidRPr="00CF46C5">
              <w:rPr>
                <w:rFonts w:eastAsia="Calibri"/>
              </w:rPr>
              <w:t xml:space="preserve"> – CHILD</w:t>
            </w:r>
            <w:r>
              <w:rPr>
                <w:rFonts w:eastAsia="Calibri"/>
              </w:rPr>
              <w:t xml:space="preserve"> (2-6)</w:t>
            </w:r>
          </w:p>
        </w:tc>
        <w:tc>
          <w:tcPr>
            <w:tcW w:w="537" w:type="pct"/>
            <w:vAlign w:val="center"/>
          </w:tcPr>
          <w:p w14:paraId="645DB411" w14:textId="77777777" w:rsidR="00CB0677" w:rsidRPr="00412894" w:rsidRDefault="00CB0677" w:rsidP="00CB0677">
            <w:pPr>
              <w:pStyle w:val="Standaard-Tabellen"/>
              <w:rPr>
                <w:rFonts w:eastAsia="Calibri"/>
              </w:rPr>
            </w:pPr>
            <w:r w:rsidRPr="00412894">
              <w:rPr>
                <w:rFonts w:eastAsia="Calibri"/>
              </w:rPr>
              <w:t>Tier 1 /</w:t>
            </w:r>
          </w:p>
          <w:p w14:paraId="79D1EB6E" w14:textId="77777777" w:rsidR="00CB0677" w:rsidRPr="00FD2055" w:rsidRDefault="00CB0677" w:rsidP="00CB0677">
            <w:pPr>
              <w:pStyle w:val="Standaard-Tabellen"/>
              <w:rPr>
                <w:rFonts w:eastAsia="Calibri"/>
              </w:rPr>
            </w:pPr>
            <w:r w:rsidRPr="00412894">
              <w:rPr>
                <w:rFonts w:eastAsia="Calibri"/>
              </w:rPr>
              <w:t>no PPE</w:t>
            </w:r>
          </w:p>
        </w:tc>
        <w:tc>
          <w:tcPr>
            <w:tcW w:w="3213" w:type="pct"/>
            <w:vAlign w:val="center"/>
          </w:tcPr>
          <w:p w14:paraId="0541D373" w14:textId="77777777" w:rsidR="00CB0677" w:rsidRPr="00B30D9D" w:rsidRDefault="00CB0677" w:rsidP="00CB0677">
            <w:pPr>
              <w:pStyle w:val="Standaard-Tabellen"/>
              <w:rPr>
                <w:rFonts w:eastAsia="Calibri"/>
              </w:rPr>
            </w:pPr>
            <w:r w:rsidRPr="00892C32">
              <w:rPr>
                <w:rFonts w:eastAsia="Calibri"/>
              </w:rPr>
              <w:t>2.89</w:t>
            </w:r>
            <w:r w:rsidRPr="00B30D9D">
              <w:rPr>
                <w:rFonts w:eastAsia="Calibri"/>
              </w:rPr>
              <w:t xml:space="preserve"> mg/kg </w:t>
            </w:r>
            <w:proofErr w:type="spellStart"/>
            <w:r w:rsidRPr="00B30D9D">
              <w:rPr>
                <w:rFonts w:eastAsia="Calibri"/>
              </w:rPr>
              <w:t>bw</w:t>
            </w:r>
            <w:proofErr w:type="spellEnd"/>
            <w:r w:rsidRPr="00B30D9D">
              <w:rPr>
                <w:rFonts w:eastAsia="Calibri"/>
              </w:rPr>
              <w:t>/day</w:t>
            </w:r>
          </w:p>
        </w:tc>
      </w:tr>
      <w:tr w:rsidR="00CB0677" w:rsidRPr="00FD2055" w14:paraId="00CC3F71" w14:textId="77777777" w:rsidTr="00CB0677">
        <w:trPr>
          <w:cantSplit/>
          <w:trHeight w:val="647"/>
          <w:tblHeader/>
        </w:trPr>
        <w:tc>
          <w:tcPr>
            <w:tcW w:w="1250" w:type="pct"/>
            <w:shd w:val="clear" w:color="auto" w:fill="auto"/>
            <w:vAlign w:val="center"/>
          </w:tcPr>
          <w:p w14:paraId="0D59081E" w14:textId="77777777" w:rsidR="00CB0677" w:rsidRDefault="00CB0677" w:rsidP="00CB0677">
            <w:pPr>
              <w:pStyle w:val="Standaard-Tabellen"/>
              <w:rPr>
                <w:rFonts w:eastAsia="Calibri"/>
              </w:rPr>
            </w:pPr>
            <w:r>
              <w:rPr>
                <w:rFonts w:eastAsia="Calibri"/>
              </w:rPr>
              <w:t>Scenario 3</w:t>
            </w:r>
            <w:r w:rsidRPr="00CF46C5">
              <w:rPr>
                <w:rFonts w:eastAsia="Calibri"/>
              </w:rPr>
              <w:t xml:space="preserve"> – TODDLER</w:t>
            </w:r>
          </w:p>
        </w:tc>
        <w:tc>
          <w:tcPr>
            <w:tcW w:w="537" w:type="pct"/>
            <w:vAlign w:val="center"/>
          </w:tcPr>
          <w:p w14:paraId="2B990E89" w14:textId="77777777" w:rsidR="00CB0677" w:rsidRPr="00412894" w:rsidRDefault="00CB0677" w:rsidP="00CB0677">
            <w:pPr>
              <w:pStyle w:val="Standaard-Tabellen"/>
              <w:rPr>
                <w:rFonts w:eastAsia="Calibri"/>
              </w:rPr>
            </w:pPr>
            <w:r w:rsidRPr="00412894">
              <w:rPr>
                <w:rFonts w:eastAsia="Calibri"/>
              </w:rPr>
              <w:t>Tier 1 /</w:t>
            </w:r>
          </w:p>
          <w:p w14:paraId="29CF7AFB" w14:textId="77777777" w:rsidR="00CB0677" w:rsidRDefault="00CB0677" w:rsidP="00CB0677">
            <w:pPr>
              <w:pStyle w:val="Standaard-Tabellen"/>
              <w:rPr>
                <w:rFonts w:eastAsia="Calibri"/>
              </w:rPr>
            </w:pPr>
            <w:r w:rsidRPr="00412894">
              <w:rPr>
                <w:rFonts w:eastAsia="Calibri"/>
              </w:rPr>
              <w:t>no PPE</w:t>
            </w:r>
          </w:p>
        </w:tc>
        <w:tc>
          <w:tcPr>
            <w:tcW w:w="3213" w:type="pct"/>
            <w:vAlign w:val="center"/>
          </w:tcPr>
          <w:p w14:paraId="17ADC787" w14:textId="77777777" w:rsidR="00CB0677" w:rsidRPr="00B30D9D" w:rsidRDefault="00CB0677" w:rsidP="00CB0677">
            <w:pPr>
              <w:pStyle w:val="Standaard-Tabellen"/>
              <w:rPr>
                <w:rFonts w:eastAsia="Calibri"/>
              </w:rPr>
            </w:pPr>
            <w:r w:rsidRPr="00892C32">
              <w:rPr>
                <w:rFonts w:eastAsia="Calibri"/>
              </w:rPr>
              <w:t>3.19</w:t>
            </w:r>
            <w:r w:rsidRPr="00B30D9D">
              <w:rPr>
                <w:rFonts w:eastAsia="Calibri"/>
              </w:rPr>
              <w:t xml:space="preserve"> mg/kg </w:t>
            </w:r>
            <w:proofErr w:type="spellStart"/>
            <w:r w:rsidRPr="00B30D9D">
              <w:rPr>
                <w:rFonts w:eastAsia="Calibri"/>
              </w:rPr>
              <w:t>bw</w:t>
            </w:r>
            <w:proofErr w:type="spellEnd"/>
            <w:r w:rsidRPr="00B30D9D">
              <w:rPr>
                <w:rFonts w:eastAsia="Calibri"/>
              </w:rPr>
              <w:t>/day</w:t>
            </w:r>
          </w:p>
        </w:tc>
      </w:tr>
      <w:tr w:rsidR="00CB0677" w:rsidRPr="00FD2055" w14:paraId="31B4D004" w14:textId="77777777" w:rsidTr="00CB0677">
        <w:trPr>
          <w:cantSplit/>
          <w:trHeight w:val="647"/>
          <w:tblHeader/>
        </w:trPr>
        <w:tc>
          <w:tcPr>
            <w:tcW w:w="1250" w:type="pct"/>
            <w:shd w:val="clear" w:color="auto" w:fill="auto"/>
            <w:vAlign w:val="center"/>
          </w:tcPr>
          <w:p w14:paraId="36AA8AC6" w14:textId="77777777" w:rsidR="00CB0677" w:rsidRPr="00FD2055" w:rsidRDefault="00CB0677" w:rsidP="00CB0677">
            <w:pPr>
              <w:pStyle w:val="Standaard-Tabellen"/>
              <w:rPr>
                <w:rFonts w:eastAsia="Calibri"/>
              </w:rPr>
            </w:pPr>
            <w:r>
              <w:rPr>
                <w:rFonts w:eastAsia="Calibri"/>
              </w:rPr>
              <w:t>Scenario 3</w:t>
            </w:r>
            <w:r w:rsidRPr="00CF46C5">
              <w:rPr>
                <w:rFonts w:eastAsia="Calibri"/>
              </w:rPr>
              <w:t xml:space="preserve"> – INFANT</w:t>
            </w:r>
          </w:p>
        </w:tc>
        <w:tc>
          <w:tcPr>
            <w:tcW w:w="537" w:type="pct"/>
            <w:vAlign w:val="center"/>
          </w:tcPr>
          <w:p w14:paraId="479A94AA" w14:textId="77777777" w:rsidR="00CB0677" w:rsidRPr="00412894" w:rsidRDefault="00CB0677" w:rsidP="00CB0677">
            <w:pPr>
              <w:pStyle w:val="Standaard-Tabellen"/>
              <w:rPr>
                <w:rFonts w:eastAsia="Calibri"/>
              </w:rPr>
            </w:pPr>
            <w:r w:rsidRPr="00412894">
              <w:rPr>
                <w:rFonts w:eastAsia="Calibri"/>
              </w:rPr>
              <w:t>Tier 1 /</w:t>
            </w:r>
          </w:p>
          <w:p w14:paraId="10460EAF" w14:textId="77777777" w:rsidR="00CB0677" w:rsidRPr="00FD2055" w:rsidRDefault="00CB0677" w:rsidP="00CB0677">
            <w:pPr>
              <w:pStyle w:val="Standaard-Tabellen"/>
              <w:rPr>
                <w:rFonts w:eastAsia="Calibri"/>
              </w:rPr>
            </w:pPr>
            <w:r w:rsidRPr="00412894">
              <w:rPr>
                <w:rFonts w:eastAsia="Calibri"/>
              </w:rPr>
              <w:t>no PPE</w:t>
            </w:r>
          </w:p>
        </w:tc>
        <w:tc>
          <w:tcPr>
            <w:tcW w:w="3213" w:type="pct"/>
            <w:vAlign w:val="center"/>
          </w:tcPr>
          <w:p w14:paraId="6AAE09A4" w14:textId="77777777" w:rsidR="00CB0677" w:rsidRPr="00B30D9D" w:rsidRDefault="00CB0677" w:rsidP="00CB0677">
            <w:pPr>
              <w:pStyle w:val="Standaard-Tabellen"/>
              <w:rPr>
                <w:rFonts w:eastAsia="Calibri"/>
              </w:rPr>
            </w:pPr>
            <w:r w:rsidRPr="00892C32">
              <w:rPr>
                <w:rFonts w:eastAsia="Calibri"/>
              </w:rPr>
              <w:t>2.27</w:t>
            </w:r>
            <w:r w:rsidRPr="00B30D9D">
              <w:rPr>
                <w:rFonts w:eastAsia="Calibri"/>
              </w:rPr>
              <w:t xml:space="preserve"> mg/kg </w:t>
            </w:r>
            <w:proofErr w:type="spellStart"/>
            <w:r w:rsidRPr="00B30D9D">
              <w:rPr>
                <w:rFonts w:eastAsia="Calibri"/>
              </w:rPr>
              <w:t>bw</w:t>
            </w:r>
            <w:proofErr w:type="spellEnd"/>
            <w:r w:rsidRPr="00B30D9D">
              <w:rPr>
                <w:rFonts w:eastAsia="Calibri"/>
              </w:rPr>
              <w:t>/day</w:t>
            </w:r>
          </w:p>
        </w:tc>
      </w:tr>
    </w:tbl>
    <w:p w14:paraId="5C8534BA" w14:textId="59F182A6" w:rsidR="00881426" w:rsidRDefault="00881426" w:rsidP="007E5F71">
      <w:pPr>
        <w:rPr>
          <w:rFonts w:eastAsia="Calibri"/>
          <w:lang w:eastAsia="en-US"/>
        </w:rPr>
      </w:pPr>
    </w:p>
    <w:p w14:paraId="0552B41C" w14:textId="77777777" w:rsidR="00643CC1" w:rsidRPr="00643CC1" w:rsidRDefault="00643CC1" w:rsidP="00643CC1">
      <w:pPr>
        <w:pStyle w:val="Titre7"/>
        <w:rPr>
          <w:lang w:val="en-US"/>
        </w:rPr>
      </w:pPr>
      <w:r w:rsidRPr="00643CC1">
        <w:rPr>
          <w:lang w:val="en-US"/>
        </w:rPr>
        <w:t xml:space="preserve">Combined exposure : </w:t>
      </w:r>
    </w:p>
    <w:p w14:paraId="50D4435A" w14:textId="77777777" w:rsidR="00643CC1" w:rsidRPr="00F42A6F" w:rsidRDefault="00643CC1" w:rsidP="00643CC1">
      <w:pPr>
        <w:rPr>
          <w:rFonts w:eastAsia="Calibri"/>
          <w:sz w:val="18"/>
          <w:szCs w:val="18"/>
        </w:rPr>
      </w:pPr>
      <w:r w:rsidRPr="00F42A6F">
        <w:rPr>
          <w:rFonts w:eastAsia="Calibri"/>
          <w:sz w:val="18"/>
          <w:szCs w:val="18"/>
        </w:rPr>
        <w:t>Combine</w:t>
      </w:r>
      <w:r>
        <w:rPr>
          <w:rFonts w:eastAsia="Calibri"/>
          <w:sz w:val="18"/>
          <w:szCs w:val="18"/>
        </w:rPr>
        <w:t>d</w:t>
      </w:r>
      <w:r w:rsidRPr="00F42A6F">
        <w:rPr>
          <w:rFonts w:eastAsia="Calibri"/>
          <w:sz w:val="18"/>
          <w:szCs w:val="18"/>
        </w:rPr>
        <w:t xml:space="preserve"> exposure is not performed in this case considering the following facts: </w:t>
      </w:r>
    </w:p>
    <w:p w14:paraId="7A28C1D6" w14:textId="77777777" w:rsidR="00643CC1" w:rsidRPr="009A3C76" w:rsidRDefault="00643CC1" w:rsidP="00643CC1">
      <w:pPr>
        <w:pStyle w:val="Paragraphedeliste"/>
        <w:numPr>
          <w:ilvl w:val="0"/>
          <w:numId w:val="15"/>
        </w:numPr>
        <w:rPr>
          <w:rFonts w:eastAsia="Calibri"/>
          <w:sz w:val="18"/>
          <w:szCs w:val="18"/>
        </w:rPr>
      </w:pPr>
      <w:r w:rsidRPr="00F42A6F">
        <w:rPr>
          <w:rFonts w:eastAsia="Calibri"/>
          <w:sz w:val="18"/>
          <w:szCs w:val="18"/>
        </w:rPr>
        <w:t xml:space="preserve">Dermal exposure and inhalation exposure: to addition of the two routes of exposure will result in an unrealistic worst case as it is considered that all the product </w:t>
      </w:r>
      <w:r w:rsidRPr="009A3C76">
        <w:rPr>
          <w:rFonts w:eastAsia="Calibri"/>
          <w:sz w:val="18"/>
          <w:szCs w:val="18"/>
        </w:rPr>
        <w:t xml:space="preserve">applied </w:t>
      </w:r>
      <w:r w:rsidRPr="00F42A6F">
        <w:rPr>
          <w:rFonts w:eastAsia="Calibri"/>
          <w:sz w:val="18"/>
          <w:szCs w:val="18"/>
        </w:rPr>
        <w:t>will be available for dermal exposure and for inhalation exposure.</w:t>
      </w:r>
      <w:r w:rsidRPr="009A3C76">
        <w:rPr>
          <w:rFonts w:eastAsia="Calibri"/>
          <w:sz w:val="18"/>
          <w:szCs w:val="18"/>
        </w:rPr>
        <w:t xml:space="preserve"> A part of the product will either be only absorbed by dermal route or by inhalation route and therefore will not be available for the other route. </w:t>
      </w:r>
    </w:p>
    <w:p w14:paraId="08A12F66" w14:textId="77777777" w:rsidR="00643CC1" w:rsidRPr="00F42A6F" w:rsidRDefault="00643CC1" w:rsidP="00643CC1">
      <w:pPr>
        <w:pStyle w:val="Paragraphedeliste"/>
        <w:ind w:left="360"/>
        <w:rPr>
          <w:rFonts w:eastAsia="Calibri"/>
          <w:sz w:val="18"/>
          <w:szCs w:val="18"/>
        </w:rPr>
      </w:pPr>
      <w:r w:rsidRPr="009A3C76">
        <w:rPr>
          <w:rFonts w:eastAsia="Calibri"/>
          <w:sz w:val="18"/>
          <w:szCs w:val="18"/>
        </w:rPr>
        <w:t xml:space="preserve">It is not possible to know which route will be the most used. Therefore, it was considered that all the product might be absorbed by one or the other route as a worst case and that it should not be summed up. </w:t>
      </w:r>
      <w:r w:rsidRPr="00F42A6F">
        <w:rPr>
          <w:rFonts w:eastAsia="Calibri"/>
          <w:sz w:val="18"/>
          <w:szCs w:val="18"/>
        </w:rPr>
        <w:t xml:space="preserve"> </w:t>
      </w:r>
    </w:p>
    <w:p w14:paraId="2AA40AE3" w14:textId="77777777" w:rsidR="00643CC1" w:rsidRPr="009A3C76" w:rsidRDefault="00643CC1" w:rsidP="00643CC1">
      <w:pPr>
        <w:pStyle w:val="Paragraphedeliste"/>
        <w:numPr>
          <w:ilvl w:val="0"/>
          <w:numId w:val="15"/>
        </w:numPr>
        <w:rPr>
          <w:rFonts w:eastAsia="Calibri"/>
          <w:sz w:val="18"/>
          <w:szCs w:val="18"/>
        </w:rPr>
      </w:pPr>
      <w:r w:rsidRPr="009A3C76">
        <w:rPr>
          <w:rFonts w:eastAsia="Calibri"/>
          <w:sz w:val="18"/>
          <w:szCs w:val="18"/>
        </w:rPr>
        <w:t>Oral exposure by hand-to-mouth transfer is not considered to be a significant route of primary exposure, because of the repellent taste (bad palatability) of the active substance, thus, preventing repeated mouthing of IR3535</w:t>
      </w:r>
      <w:r w:rsidRPr="00BF5148">
        <w:rPr>
          <w:rFonts w:eastAsia="Calibri"/>
          <w:sz w:val="18"/>
          <w:szCs w:val="18"/>
          <w:vertAlign w:val="superscript"/>
        </w:rPr>
        <w:t>®</w:t>
      </w:r>
      <w:r w:rsidRPr="009A3C76">
        <w:rPr>
          <w:rFonts w:eastAsia="Calibri"/>
          <w:sz w:val="18"/>
          <w:szCs w:val="18"/>
        </w:rPr>
        <w:t xml:space="preserve"> by children and infants. Furthermore, the biocidal product is not intended to </w:t>
      </w:r>
      <w:r w:rsidRPr="009A3C76">
        <w:rPr>
          <w:rFonts w:eastAsia="Calibri"/>
          <w:b/>
          <w:sz w:val="18"/>
          <w:szCs w:val="18"/>
        </w:rPr>
        <w:t>be applied on hands of children</w:t>
      </w:r>
      <w:r w:rsidRPr="009A3C76">
        <w:rPr>
          <w:rFonts w:eastAsia="Calibri"/>
          <w:sz w:val="18"/>
          <w:szCs w:val="18"/>
        </w:rPr>
        <w:t xml:space="preserve"> which excludes an oral uptake of the dermally applied active substance.</w:t>
      </w:r>
      <w:r w:rsidRPr="00F42A6F">
        <w:rPr>
          <w:rFonts w:eastAsia="Calibri"/>
          <w:sz w:val="18"/>
          <w:szCs w:val="18"/>
        </w:rPr>
        <w:t xml:space="preserve"> The scenario could be seen as a worst case and therefore should not be added to the total exposure. In addition, a part of it, will not be available anymore for oral uptake since it will be dermally absorbed</w:t>
      </w:r>
      <w:r>
        <w:rPr>
          <w:rFonts w:eastAsia="Calibri"/>
          <w:sz w:val="18"/>
          <w:szCs w:val="18"/>
        </w:rPr>
        <w:t>.</w:t>
      </w:r>
      <w:r w:rsidRPr="00F42A6F">
        <w:rPr>
          <w:rFonts w:eastAsia="Calibri"/>
          <w:sz w:val="18"/>
          <w:szCs w:val="18"/>
        </w:rPr>
        <w:t xml:space="preserve"> </w:t>
      </w:r>
    </w:p>
    <w:p w14:paraId="72426E18" w14:textId="77777777" w:rsidR="00643CC1" w:rsidRDefault="00643CC1" w:rsidP="00643CC1">
      <w:pPr>
        <w:pStyle w:val="Titre6"/>
        <w:rPr>
          <w:lang w:val="en-US"/>
        </w:rPr>
      </w:pPr>
      <w:r>
        <w:rPr>
          <w:lang w:val="en-US"/>
        </w:rPr>
        <w:lastRenderedPageBreak/>
        <w:t>USE 2 against ticks – application rate 1.0 mg/cm</w:t>
      </w:r>
      <w:r w:rsidRPr="002F5C9C">
        <w:rPr>
          <w:vertAlign w:val="superscript"/>
          <w:lang w:val="en-US"/>
        </w:rPr>
        <w:t>2</w:t>
      </w:r>
    </w:p>
    <w:p w14:paraId="7986816E" w14:textId="77777777" w:rsidR="00643CC1" w:rsidRDefault="00643CC1" w:rsidP="00643CC1">
      <w:pPr>
        <w:pStyle w:val="Titre7"/>
        <w:rPr>
          <w:lang w:val="en-US"/>
        </w:rPr>
      </w:pPr>
      <w:r w:rsidRPr="00293032">
        <w:rPr>
          <w:lang w:val="en-US"/>
        </w:rPr>
        <w:t>Scenario</w:t>
      </w:r>
      <w:r w:rsidRPr="002E1D83">
        <w:rPr>
          <w:lang w:val="en-US"/>
        </w:rPr>
        <w:t xml:space="preserve"> 1: Primary exposure: Dermal exposure assessment for adults, children, toddlers and infants.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56"/>
        <w:gridCol w:w="4711"/>
        <w:gridCol w:w="1229"/>
      </w:tblGrid>
      <w:tr w:rsidR="00643CC1" w:rsidRPr="00071DE1" w14:paraId="4C936BCC" w14:textId="77777777" w:rsidTr="00CC3AED">
        <w:trPr>
          <w:tblHeader/>
        </w:trPr>
        <w:tc>
          <w:tcPr>
            <w:tcW w:w="5000" w:type="pct"/>
            <w:gridSpan w:val="3"/>
            <w:shd w:val="clear" w:color="auto" w:fill="FFFFCC"/>
            <w:tcMar>
              <w:top w:w="57" w:type="dxa"/>
              <w:bottom w:w="57" w:type="dxa"/>
            </w:tcMar>
          </w:tcPr>
          <w:p w14:paraId="38205CC3" w14:textId="77777777" w:rsidR="00643CC1" w:rsidRPr="00071DE1" w:rsidRDefault="00643CC1" w:rsidP="00CC3AED">
            <w:pPr>
              <w:spacing w:before="0" w:after="0"/>
              <w:jc w:val="center"/>
              <w:rPr>
                <w:rFonts w:eastAsia="Calibri"/>
                <w:b/>
                <w:bCs/>
                <w:sz w:val="18"/>
                <w:szCs w:val="24"/>
                <w:lang w:eastAsia="en-GB"/>
              </w:rPr>
            </w:pPr>
            <w:r w:rsidRPr="00071DE1">
              <w:rPr>
                <w:rFonts w:eastAsia="Calibri"/>
                <w:b/>
                <w:bCs/>
                <w:sz w:val="18"/>
                <w:szCs w:val="24"/>
                <w:lang w:eastAsia="en-GB"/>
              </w:rPr>
              <w:t>Description of Scenario 1</w:t>
            </w:r>
          </w:p>
        </w:tc>
      </w:tr>
      <w:tr w:rsidR="00643CC1" w:rsidRPr="00071DE1" w14:paraId="36AB3D0B" w14:textId="77777777" w:rsidTr="00CC3AED">
        <w:trPr>
          <w:tblHeader/>
        </w:trPr>
        <w:tc>
          <w:tcPr>
            <w:tcW w:w="5000" w:type="pct"/>
            <w:gridSpan w:val="3"/>
            <w:shd w:val="clear" w:color="auto" w:fill="auto"/>
            <w:tcMar>
              <w:top w:w="57" w:type="dxa"/>
              <w:bottom w:w="57" w:type="dxa"/>
            </w:tcMar>
          </w:tcPr>
          <w:p w14:paraId="4E9B4B79" w14:textId="77777777" w:rsidR="00643CC1" w:rsidRPr="002A4F9D" w:rsidRDefault="00643CC1" w:rsidP="00CC3AED">
            <w:pPr>
              <w:pStyle w:val="Explanatorynotes"/>
              <w:rPr>
                <w:rFonts w:ascii="Verdana" w:eastAsia="Calibri" w:hAnsi="Verdana"/>
                <w:i w:val="0"/>
              </w:rPr>
            </w:pPr>
            <w:r w:rsidRPr="002A4F9D">
              <w:rPr>
                <w:rFonts w:ascii="Verdana" w:eastAsia="Calibri" w:hAnsi="Verdana"/>
                <w:i w:val="0"/>
              </w:rPr>
              <w:t>This scenario is based on the one available in the CAR</w:t>
            </w:r>
            <w:r>
              <w:rPr>
                <w:rFonts w:ascii="Verdana" w:eastAsia="Calibri" w:hAnsi="Verdana"/>
                <w:i w:val="0"/>
              </w:rPr>
              <w:t xml:space="preserve"> of </w:t>
            </w:r>
            <w:r w:rsidRPr="007874A0">
              <w:rPr>
                <w:rFonts w:ascii="Verdana" w:eastAsia="Calibri" w:hAnsi="Verdana"/>
                <w:i w:val="0"/>
              </w:rPr>
              <w:t>IR3535</w:t>
            </w:r>
            <w:r w:rsidRPr="007874A0">
              <w:rPr>
                <w:rFonts w:ascii="Verdana" w:eastAsia="Calibri" w:hAnsi="Verdana"/>
                <w:i w:val="0"/>
                <w:vertAlign w:val="superscript"/>
              </w:rPr>
              <w:t>®</w:t>
            </w:r>
            <w:r>
              <w:rPr>
                <w:rFonts w:ascii="Verdana" w:eastAsia="Calibri" w:hAnsi="Verdana"/>
                <w:i w:val="0"/>
                <w:vertAlign w:val="superscript"/>
              </w:rPr>
              <w:t>.</w:t>
            </w:r>
            <w:r>
              <w:rPr>
                <w:rFonts w:ascii="Verdana" w:eastAsia="Calibri" w:hAnsi="Verdana"/>
                <w:i w:val="0"/>
              </w:rPr>
              <w:t xml:space="preserve"> It has been updated according </w:t>
            </w:r>
            <w:r w:rsidRPr="00523C06">
              <w:rPr>
                <w:rFonts w:ascii="Verdana" w:eastAsia="Calibri" w:hAnsi="Verdana"/>
                <w:i w:val="0"/>
              </w:rPr>
              <w:t>the recommendation 11 of the BPC Ad hoc Working Group on Human Exposure : Proposal for harmonising the assessment of human exposure to repellents (PT19) – Version 2.1 agreed at WGV 2017</w:t>
            </w:r>
            <w:r>
              <w:rPr>
                <w:rFonts w:ascii="Verdana" w:eastAsia="Calibri" w:hAnsi="Verdana"/>
                <w:i w:val="0"/>
              </w:rPr>
              <w:t>.</w:t>
            </w:r>
            <w:r w:rsidRPr="00523C06">
              <w:rPr>
                <w:rFonts w:ascii="Verdana" w:eastAsia="Calibri" w:hAnsi="Verdana"/>
                <w:i w:val="0"/>
              </w:rPr>
              <w:t xml:space="preserve"> </w:t>
            </w:r>
            <w:r>
              <w:rPr>
                <w:rFonts w:ascii="Verdana" w:eastAsia="Calibri" w:hAnsi="Verdana"/>
                <w:i w:val="0"/>
              </w:rPr>
              <w:t xml:space="preserve"> </w:t>
            </w:r>
          </w:p>
        </w:tc>
      </w:tr>
      <w:tr w:rsidR="00643CC1" w:rsidRPr="00071DE1" w14:paraId="118FD851" w14:textId="77777777" w:rsidTr="00CC3AED">
        <w:trPr>
          <w:tblHeader/>
        </w:trPr>
        <w:tc>
          <w:tcPr>
            <w:tcW w:w="5000" w:type="pct"/>
            <w:gridSpan w:val="3"/>
            <w:shd w:val="clear" w:color="auto" w:fill="auto"/>
            <w:tcMar>
              <w:top w:w="57" w:type="dxa"/>
              <w:bottom w:w="57" w:type="dxa"/>
            </w:tcMar>
          </w:tcPr>
          <w:p w14:paraId="6251B1E6" w14:textId="77777777" w:rsidR="00643CC1" w:rsidRPr="00F449E5" w:rsidRDefault="00643CC1" w:rsidP="00CC3AED">
            <w:pPr>
              <w:pStyle w:val="Explanatorynotes"/>
              <w:rPr>
                <w:rFonts w:ascii="Verdana" w:eastAsia="Calibri" w:hAnsi="Verdana"/>
                <w:b/>
                <w:i w:val="0"/>
              </w:rPr>
            </w:pPr>
            <w:r w:rsidRPr="00F449E5">
              <w:rPr>
                <w:rFonts w:ascii="Verdana" w:eastAsia="Calibri" w:hAnsi="Verdana"/>
                <w:b/>
                <w:i w:val="0"/>
              </w:rPr>
              <w:t xml:space="preserve">Dermal exposure: </w:t>
            </w:r>
          </w:p>
          <w:p w14:paraId="7322BBC3" w14:textId="77777777" w:rsidR="00643CC1" w:rsidRPr="00F449E5" w:rsidRDefault="00643CC1" w:rsidP="00CC3AED">
            <w:pPr>
              <w:pStyle w:val="Explanatorynotes"/>
              <w:ind w:left="348"/>
              <w:rPr>
                <w:rFonts w:ascii="Verdana" w:eastAsia="Calibri" w:hAnsi="Verdana"/>
                <w:i w:val="0"/>
              </w:rPr>
            </w:pPr>
            <w:r>
              <w:rPr>
                <w:rFonts w:ascii="Verdana" w:eastAsia="Calibri" w:hAnsi="Verdana"/>
                <w:i w:val="0"/>
              </w:rPr>
              <w:t>Number of application</w:t>
            </w:r>
            <w:r w:rsidRPr="00F449E5">
              <w:rPr>
                <w:rFonts w:ascii="Verdana" w:eastAsia="Calibri" w:hAnsi="Verdana"/>
                <w:i w:val="0"/>
              </w:rPr>
              <w:t xml:space="preserve">/day x amount </w:t>
            </w:r>
            <w:proofErr w:type="spellStart"/>
            <w:r>
              <w:rPr>
                <w:rFonts w:ascii="Verdana" w:eastAsia="Calibri" w:hAnsi="Verdana"/>
                <w:i w:val="0"/>
              </w:rPr>
              <w:t>b.p.</w:t>
            </w:r>
            <w:proofErr w:type="spellEnd"/>
            <w:r w:rsidRPr="00F449E5">
              <w:rPr>
                <w:rFonts w:ascii="Verdana" w:eastAsia="Calibri" w:hAnsi="Verdana"/>
                <w:i w:val="0"/>
              </w:rPr>
              <w:t xml:space="preserve">/application x percent of </w:t>
            </w:r>
            <w:proofErr w:type="spellStart"/>
            <w:r w:rsidRPr="00F449E5">
              <w:rPr>
                <w:rFonts w:ascii="Verdana" w:eastAsia="Calibri" w:hAnsi="Verdana"/>
                <w:i w:val="0"/>
              </w:rPr>
              <w:t>a.s.</w:t>
            </w:r>
            <w:proofErr w:type="spellEnd"/>
            <w:r w:rsidRPr="00F449E5">
              <w:rPr>
                <w:rFonts w:ascii="Verdana" w:eastAsia="Calibri" w:hAnsi="Verdana"/>
                <w:i w:val="0"/>
              </w:rPr>
              <w:t xml:space="preserve"> in </w:t>
            </w:r>
            <w:proofErr w:type="spellStart"/>
            <w:r w:rsidRPr="00CE5931">
              <w:rPr>
                <w:rFonts w:ascii="Verdana" w:eastAsia="Calibri" w:hAnsi="Verdana"/>
                <w:i w:val="0"/>
              </w:rPr>
              <w:t>b.p</w:t>
            </w:r>
            <w:r>
              <w:rPr>
                <w:rFonts w:ascii="Verdana" w:eastAsia="Calibri" w:hAnsi="Verdana"/>
                <w:i w:val="0"/>
              </w:rPr>
              <w:t>.</w:t>
            </w:r>
            <w:proofErr w:type="spellEnd"/>
          </w:p>
          <w:p w14:paraId="168A27AC" w14:textId="77777777" w:rsidR="00643CC1" w:rsidRPr="00F449E5" w:rsidRDefault="00643CC1" w:rsidP="00CC3AED">
            <w:pPr>
              <w:pStyle w:val="Explanatorynotes"/>
              <w:rPr>
                <w:rFonts w:ascii="Verdana" w:eastAsia="Calibri" w:hAnsi="Verdana"/>
                <w:b/>
                <w:i w:val="0"/>
              </w:rPr>
            </w:pPr>
            <w:r w:rsidRPr="00F449E5">
              <w:rPr>
                <w:rFonts w:ascii="Verdana" w:eastAsia="Calibri" w:hAnsi="Verdana"/>
                <w:b/>
                <w:i w:val="0"/>
              </w:rPr>
              <w:t>Systemic exposure:</w:t>
            </w:r>
          </w:p>
          <w:p w14:paraId="4D20A077" w14:textId="77777777" w:rsidR="00643CC1" w:rsidRPr="00F449E5" w:rsidRDefault="00643CC1" w:rsidP="00CC3AED">
            <w:pPr>
              <w:pStyle w:val="Explanatorynotes"/>
              <w:ind w:left="348"/>
              <w:rPr>
                <w:rFonts w:ascii="Verdana" w:eastAsia="Calibri" w:hAnsi="Verdana"/>
                <w:i w:val="0"/>
              </w:rPr>
            </w:pPr>
            <w:r w:rsidRPr="00F449E5">
              <w:rPr>
                <w:rFonts w:ascii="Verdana" w:eastAsia="Calibri" w:hAnsi="Verdana"/>
                <w:i w:val="0"/>
              </w:rPr>
              <w:t>Dermal exposure x percent of dermal absorption</w:t>
            </w:r>
          </w:p>
          <w:p w14:paraId="77B8CACC" w14:textId="77777777" w:rsidR="00643CC1" w:rsidRPr="00F449E5" w:rsidRDefault="00643CC1" w:rsidP="00CC3AED">
            <w:pPr>
              <w:pStyle w:val="Explanatorynotes"/>
              <w:rPr>
                <w:rFonts w:ascii="Verdana" w:eastAsia="Calibri" w:hAnsi="Verdana"/>
                <w:b/>
                <w:i w:val="0"/>
              </w:rPr>
            </w:pPr>
            <w:r w:rsidRPr="00F449E5">
              <w:rPr>
                <w:rFonts w:ascii="Verdana" w:eastAsia="Calibri" w:hAnsi="Verdana"/>
                <w:b/>
                <w:i w:val="0"/>
              </w:rPr>
              <w:t xml:space="preserve">Dermal systemic exposure: </w:t>
            </w:r>
          </w:p>
          <w:p w14:paraId="0748DE96" w14:textId="77777777" w:rsidR="00643CC1" w:rsidRPr="00586AC3" w:rsidRDefault="00643CC1" w:rsidP="00CC3AED">
            <w:pPr>
              <w:widowControl w:val="0"/>
              <w:shd w:val="clear" w:color="auto" w:fill="FFFFFF"/>
              <w:autoSpaceDE w:val="0"/>
              <w:autoSpaceDN w:val="0"/>
              <w:adjustRightInd w:val="0"/>
              <w:ind w:left="348"/>
              <w:jc w:val="both"/>
              <w:rPr>
                <w:rFonts w:ascii="Times New Roman" w:eastAsia="Calibri" w:hAnsi="Times New Roman"/>
              </w:rPr>
            </w:pPr>
            <w:r w:rsidRPr="00586AC3">
              <w:rPr>
                <w:rFonts w:eastAsia="Calibri"/>
              </w:rPr>
              <w:t>Systemic exposure / body weight</w:t>
            </w:r>
          </w:p>
        </w:tc>
      </w:tr>
      <w:tr w:rsidR="00643CC1" w:rsidRPr="00071DE1" w14:paraId="1079EF92" w14:textId="77777777" w:rsidTr="00CC3AED">
        <w:trPr>
          <w:tblHeader/>
        </w:trPr>
        <w:tc>
          <w:tcPr>
            <w:tcW w:w="1839" w:type="pct"/>
            <w:shd w:val="clear" w:color="auto" w:fill="BFBFBF" w:themeFill="background1" w:themeFillShade="BF"/>
            <w:tcMar>
              <w:top w:w="57" w:type="dxa"/>
              <w:bottom w:w="57" w:type="dxa"/>
            </w:tcMar>
          </w:tcPr>
          <w:p w14:paraId="566A5B43" w14:textId="77777777" w:rsidR="00643CC1" w:rsidRPr="00586AC3" w:rsidRDefault="00643CC1" w:rsidP="00CC3AED">
            <w:pPr>
              <w:pStyle w:val="Standaard-Tabellen"/>
              <w:rPr>
                <w:rFonts w:eastAsia="Calibri"/>
                <w:b/>
              </w:rPr>
            </w:pPr>
          </w:p>
        </w:tc>
        <w:tc>
          <w:tcPr>
            <w:tcW w:w="2507" w:type="pct"/>
            <w:shd w:val="clear" w:color="auto" w:fill="BFBFBF" w:themeFill="background1" w:themeFillShade="BF"/>
            <w:tcMar>
              <w:top w:w="57" w:type="dxa"/>
              <w:bottom w:w="57" w:type="dxa"/>
            </w:tcMar>
          </w:tcPr>
          <w:p w14:paraId="493C1040" w14:textId="77777777" w:rsidR="00643CC1" w:rsidRPr="00586AC3" w:rsidRDefault="00643CC1" w:rsidP="00CC3AED">
            <w:pPr>
              <w:pStyle w:val="Standaard-Tabellen"/>
              <w:rPr>
                <w:rFonts w:eastAsia="Calibri"/>
                <w:b/>
              </w:rPr>
            </w:pPr>
            <w:r w:rsidRPr="00586AC3">
              <w:rPr>
                <w:rFonts w:eastAsia="Calibri"/>
                <w:b/>
              </w:rPr>
              <w:t>Parameters</w:t>
            </w:r>
          </w:p>
        </w:tc>
        <w:tc>
          <w:tcPr>
            <w:tcW w:w="654" w:type="pct"/>
            <w:shd w:val="clear" w:color="auto" w:fill="BFBFBF" w:themeFill="background1" w:themeFillShade="BF"/>
            <w:tcMar>
              <w:top w:w="57" w:type="dxa"/>
              <w:bottom w:w="57" w:type="dxa"/>
            </w:tcMar>
          </w:tcPr>
          <w:p w14:paraId="20484B35" w14:textId="77777777" w:rsidR="00643CC1" w:rsidRPr="00586AC3" w:rsidRDefault="00643CC1" w:rsidP="00CC3AED">
            <w:pPr>
              <w:pStyle w:val="Standaard-Tabellen"/>
              <w:rPr>
                <w:rFonts w:eastAsia="Calibri"/>
                <w:b/>
              </w:rPr>
            </w:pPr>
            <w:r w:rsidRPr="00586AC3">
              <w:rPr>
                <w:rFonts w:eastAsia="Calibri"/>
                <w:b/>
              </w:rPr>
              <w:t>Value</w:t>
            </w:r>
          </w:p>
        </w:tc>
      </w:tr>
      <w:tr w:rsidR="00643CC1" w:rsidRPr="00071DE1" w14:paraId="129C63AC" w14:textId="77777777" w:rsidTr="00CC3AED">
        <w:trPr>
          <w:tblHeader/>
        </w:trPr>
        <w:tc>
          <w:tcPr>
            <w:tcW w:w="1839" w:type="pct"/>
            <w:vMerge w:val="restart"/>
            <w:tcMar>
              <w:top w:w="57" w:type="dxa"/>
              <w:bottom w:w="57" w:type="dxa"/>
            </w:tcMar>
          </w:tcPr>
          <w:p w14:paraId="30E87A2C" w14:textId="77777777" w:rsidR="00643CC1" w:rsidRPr="00071DE1" w:rsidRDefault="00643CC1" w:rsidP="00CC3AED">
            <w:pPr>
              <w:pStyle w:val="Standaard-Tabellen"/>
              <w:rPr>
                <w:rFonts w:eastAsia="Calibri"/>
              </w:rPr>
            </w:pPr>
            <w:r w:rsidRPr="00071DE1">
              <w:rPr>
                <w:rFonts w:eastAsia="Calibri"/>
              </w:rPr>
              <w:t>For All categories</w:t>
            </w:r>
          </w:p>
        </w:tc>
        <w:tc>
          <w:tcPr>
            <w:tcW w:w="2507" w:type="pct"/>
            <w:shd w:val="clear" w:color="auto" w:fill="auto"/>
            <w:tcMar>
              <w:top w:w="57" w:type="dxa"/>
              <w:bottom w:w="57" w:type="dxa"/>
            </w:tcMar>
          </w:tcPr>
          <w:p w14:paraId="61A3C46C" w14:textId="77777777" w:rsidR="00643CC1" w:rsidRPr="00071DE1" w:rsidRDefault="00643CC1" w:rsidP="00CC3AED">
            <w:pPr>
              <w:pStyle w:val="Standaard-Tabellen"/>
              <w:rPr>
                <w:rFonts w:eastAsia="Calibri"/>
                <w:vertAlign w:val="superscript"/>
              </w:rPr>
            </w:pPr>
            <w:r w:rsidRPr="00071DE1">
              <w:rPr>
                <w:rFonts w:eastAsia="Calibri"/>
              </w:rPr>
              <w:t>Dermal absorption</w:t>
            </w:r>
            <w:r w:rsidRPr="00071DE1">
              <w:rPr>
                <w:rFonts w:eastAsia="Calibri"/>
                <w:vertAlign w:val="superscript"/>
              </w:rPr>
              <w:t>1</w:t>
            </w:r>
          </w:p>
        </w:tc>
        <w:tc>
          <w:tcPr>
            <w:tcW w:w="654" w:type="pct"/>
            <w:shd w:val="clear" w:color="auto" w:fill="auto"/>
            <w:tcMar>
              <w:top w:w="57" w:type="dxa"/>
              <w:bottom w:w="57" w:type="dxa"/>
            </w:tcMar>
          </w:tcPr>
          <w:p w14:paraId="62B3464A" w14:textId="77777777" w:rsidR="00643CC1" w:rsidRPr="00071DE1" w:rsidRDefault="00643CC1" w:rsidP="00CC3AED">
            <w:pPr>
              <w:pStyle w:val="Standaard-Tabellen"/>
              <w:rPr>
                <w:rFonts w:eastAsia="Calibri"/>
              </w:rPr>
            </w:pPr>
            <w:r>
              <w:rPr>
                <w:rFonts w:eastAsia="Calibri"/>
              </w:rPr>
              <w:t>14</w:t>
            </w:r>
            <w:r w:rsidRPr="00071DE1">
              <w:rPr>
                <w:rFonts w:eastAsia="Calibri"/>
              </w:rPr>
              <w:t>%</w:t>
            </w:r>
          </w:p>
        </w:tc>
      </w:tr>
      <w:tr w:rsidR="00643CC1" w:rsidRPr="00071DE1" w14:paraId="7D319915" w14:textId="77777777" w:rsidTr="00CC3AED">
        <w:trPr>
          <w:tblHeader/>
        </w:trPr>
        <w:tc>
          <w:tcPr>
            <w:tcW w:w="1839" w:type="pct"/>
            <w:vMerge/>
            <w:tcMar>
              <w:top w:w="57" w:type="dxa"/>
              <w:bottom w:w="57" w:type="dxa"/>
            </w:tcMar>
          </w:tcPr>
          <w:p w14:paraId="14A86859" w14:textId="77777777" w:rsidR="00643CC1" w:rsidRPr="00071DE1" w:rsidRDefault="00643CC1" w:rsidP="00CC3AED">
            <w:pPr>
              <w:pStyle w:val="Standaard-Tabellen"/>
              <w:rPr>
                <w:rFonts w:eastAsia="Calibri"/>
              </w:rPr>
            </w:pPr>
          </w:p>
        </w:tc>
        <w:tc>
          <w:tcPr>
            <w:tcW w:w="2507" w:type="pct"/>
            <w:shd w:val="clear" w:color="auto" w:fill="auto"/>
            <w:tcMar>
              <w:top w:w="57" w:type="dxa"/>
              <w:bottom w:w="57" w:type="dxa"/>
            </w:tcMar>
          </w:tcPr>
          <w:p w14:paraId="1BB7CDEA" w14:textId="77777777" w:rsidR="00643CC1" w:rsidRPr="00071DE1" w:rsidRDefault="00643CC1" w:rsidP="00CC3AED">
            <w:pPr>
              <w:pStyle w:val="Standaard-Tabellen"/>
              <w:rPr>
                <w:rFonts w:eastAsia="Calibri"/>
              </w:rPr>
            </w:pPr>
            <w:r w:rsidRPr="00071DE1">
              <w:rPr>
                <w:rFonts w:eastAsia="Calibri"/>
              </w:rPr>
              <w:t>% of active substance in biocidal product</w:t>
            </w:r>
            <w:r w:rsidRPr="00071DE1">
              <w:rPr>
                <w:rFonts w:eastAsia="Calibri"/>
                <w:vertAlign w:val="superscript"/>
              </w:rPr>
              <w:t>1</w:t>
            </w:r>
            <w:r w:rsidRPr="00071DE1">
              <w:rPr>
                <w:rFonts w:eastAsia="Calibri"/>
              </w:rPr>
              <w:t xml:space="preserve"> </w:t>
            </w:r>
          </w:p>
        </w:tc>
        <w:tc>
          <w:tcPr>
            <w:tcW w:w="654" w:type="pct"/>
            <w:shd w:val="clear" w:color="auto" w:fill="auto"/>
            <w:tcMar>
              <w:top w:w="57" w:type="dxa"/>
              <w:bottom w:w="57" w:type="dxa"/>
            </w:tcMar>
          </w:tcPr>
          <w:p w14:paraId="75634A98" w14:textId="77777777" w:rsidR="00643CC1" w:rsidRPr="00071DE1" w:rsidRDefault="00643CC1" w:rsidP="00CC3AED">
            <w:pPr>
              <w:pStyle w:val="Standaard-Tabellen"/>
              <w:rPr>
                <w:rFonts w:eastAsia="Calibri"/>
              </w:rPr>
            </w:pPr>
            <w:r>
              <w:rPr>
                <w:rFonts w:eastAsia="Calibri"/>
              </w:rPr>
              <w:t>10</w:t>
            </w:r>
            <w:r w:rsidRPr="00071DE1">
              <w:rPr>
                <w:rFonts w:eastAsia="Calibri"/>
              </w:rPr>
              <w:t>%</w:t>
            </w:r>
          </w:p>
        </w:tc>
      </w:tr>
      <w:tr w:rsidR="00643CC1" w:rsidRPr="00071DE1" w14:paraId="21284765" w14:textId="77777777" w:rsidTr="00CC3AED">
        <w:trPr>
          <w:tblHeader/>
        </w:trPr>
        <w:tc>
          <w:tcPr>
            <w:tcW w:w="1839" w:type="pct"/>
            <w:vMerge w:val="restart"/>
            <w:tcMar>
              <w:top w:w="57" w:type="dxa"/>
              <w:bottom w:w="57" w:type="dxa"/>
            </w:tcMar>
          </w:tcPr>
          <w:p w14:paraId="72CAC22C" w14:textId="77777777" w:rsidR="00643CC1" w:rsidRPr="00071DE1" w:rsidRDefault="00643CC1" w:rsidP="00CC3AED">
            <w:pPr>
              <w:pStyle w:val="Standaard-Tabellen"/>
              <w:rPr>
                <w:rFonts w:eastAsia="Calibri"/>
              </w:rPr>
            </w:pPr>
            <w:r w:rsidRPr="000B65BB">
              <w:rPr>
                <w:rFonts w:eastAsia="Calibri"/>
              </w:rPr>
              <w:t>Tier 1- Adult</w:t>
            </w:r>
          </w:p>
        </w:tc>
        <w:tc>
          <w:tcPr>
            <w:tcW w:w="2507" w:type="pct"/>
            <w:shd w:val="clear" w:color="auto" w:fill="auto"/>
            <w:tcMar>
              <w:top w:w="57" w:type="dxa"/>
              <w:bottom w:w="57" w:type="dxa"/>
            </w:tcMar>
          </w:tcPr>
          <w:p w14:paraId="67880273" w14:textId="77777777" w:rsidR="00643CC1" w:rsidRPr="005D7417" w:rsidRDefault="00643CC1" w:rsidP="00CC3AED">
            <w:pPr>
              <w:pStyle w:val="Standaard-Tabellen"/>
              <w:rPr>
                <w:rFonts w:eastAsia="Calibri"/>
              </w:rPr>
            </w:pPr>
            <w:r w:rsidRPr="005D7417">
              <w:rPr>
                <w:rFonts w:eastAsia="Calibri"/>
              </w:rPr>
              <w:t>Number of application / day</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67D2E857" w14:textId="77777777" w:rsidR="00643CC1" w:rsidRPr="005D7417" w:rsidRDefault="00643CC1" w:rsidP="00CC3AED">
            <w:pPr>
              <w:pStyle w:val="Standaard-Tabellen"/>
              <w:rPr>
                <w:rFonts w:eastAsia="Calibri"/>
              </w:rPr>
            </w:pPr>
            <w:r w:rsidRPr="005D7417">
              <w:rPr>
                <w:rFonts w:eastAsia="Calibri"/>
              </w:rPr>
              <w:t>7</w:t>
            </w:r>
          </w:p>
        </w:tc>
      </w:tr>
      <w:tr w:rsidR="00643CC1" w:rsidRPr="00071DE1" w14:paraId="5B347167" w14:textId="77777777" w:rsidTr="00CC3AED">
        <w:trPr>
          <w:tblHeader/>
        </w:trPr>
        <w:tc>
          <w:tcPr>
            <w:tcW w:w="1839" w:type="pct"/>
            <w:vMerge/>
            <w:tcMar>
              <w:top w:w="57" w:type="dxa"/>
              <w:bottom w:w="57" w:type="dxa"/>
            </w:tcMar>
          </w:tcPr>
          <w:p w14:paraId="2147B5D9" w14:textId="77777777" w:rsidR="00643CC1" w:rsidRPr="00071DE1" w:rsidRDefault="00643CC1" w:rsidP="00CC3AED">
            <w:pPr>
              <w:pStyle w:val="Standaard-Tabellen"/>
              <w:rPr>
                <w:rFonts w:eastAsia="Calibri"/>
              </w:rPr>
            </w:pPr>
          </w:p>
        </w:tc>
        <w:tc>
          <w:tcPr>
            <w:tcW w:w="2507" w:type="pct"/>
            <w:shd w:val="clear" w:color="auto" w:fill="auto"/>
            <w:tcMar>
              <w:top w:w="57" w:type="dxa"/>
              <w:bottom w:w="57" w:type="dxa"/>
            </w:tcMar>
          </w:tcPr>
          <w:p w14:paraId="57181C99" w14:textId="77777777" w:rsidR="00643CC1" w:rsidRPr="005D7417" w:rsidRDefault="00643CC1" w:rsidP="00CC3AED">
            <w:pPr>
              <w:pStyle w:val="Standaard-Tabellen"/>
              <w:rPr>
                <w:rFonts w:eastAsia="Calibri"/>
              </w:rPr>
            </w:pPr>
            <w:r w:rsidRPr="005D7417">
              <w:rPr>
                <w:rFonts w:eastAsia="Calibri"/>
              </w:rPr>
              <w:t>Body weight</w:t>
            </w:r>
            <w:r w:rsidRPr="005D7417">
              <w:rPr>
                <w:rFonts w:eastAsia="Calibri"/>
                <w:vertAlign w:val="superscript"/>
              </w:rPr>
              <w:t>1</w:t>
            </w:r>
          </w:p>
        </w:tc>
        <w:tc>
          <w:tcPr>
            <w:tcW w:w="654" w:type="pct"/>
            <w:shd w:val="clear" w:color="auto" w:fill="auto"/>
            <w:tcMar>
              <w:top w:w="57" w:type="dxa"/>
              <w:bottom w:w="57" w:type="dxa"/>
            </w:tcMar>
          </w:tcPr>
          <w:p w14:paraId="530E0075" w14:textId="77777777" w:rsidR="00643CC1" w:rsidRPr="005D7417" w:rsidRDefault="00643CC1" w:rsidP="00CC3AED">
            <w:pPr>
              <w:pStyle w:val="Standaard-Tabellen"/>
              <w:rPr>
                <w:rFonts w:eastAsia="Calibri"/>
              </w:rPr>
            </w:pPr>
            <w:r w:rsidRPr="005D7417">
              <w:rPr>
                <w:rFonts w:eastAsia="Calibri"/>
              </w:rPr>
              <w:t>60 kg</w:t>
            </w:r>
          </w:p>
        </w:tc>
      </w:tr>
      <w:tr w:rsidR="00643CC1" w:rsidRPr="00071DE1" w14:paraId="14F319B6" w14:textId="77777777" w:rsidTr="00CC3AED">
        <w:trPr>
          <w:tblHeader/>
        </w:trPr>
        <w:tc>
          <w:tcPr>
            <w:tcW w:w="1839" w:type="pct"/>
            <w:vMerge/>
            <w:tcMar>
              <w:top w:w="57" w:type="dxa"/>
              <w:bottom w:w="57" w:type="dxa"/>
            </w:tcMar>
          </w:tcPr>
          <w:p w14:paraId="05EF61A6" w14:textId="77777777" w:rsidR="00643CC1" w:rsidRPr="00071DE1" w:rsidRDefault="00643CC1" w:rsidP="00CC3AED">
            <w:pPr>
              <w:pStyle w:val="Standaard-Tabellen"/>
              <w:rPr>
                <w:rFonts w:eastAsia="Calibri"/>
              </w:rPr>
            </w:pPr>
          </w:p>
        </w:tc>
        <w:tc>
          <w:tcPr>
            <w:tcW w:w="2507" w:type="pct"/>
            <w:shd w:val="clear" w:color="auto" w:fill="auto"/>
            <w:tcMar>
              <w:top w:w="57" w:type="dxa"/>
              <w:bottom w:w="57" w:type="dxa"/>
            </w:tcMar>
          </w:tcPr>
          <w:p w14:paraId="4B81DFFE" w14:textId="77777777" w:rsidR="00643CC1" w:rsidRPr="005D7417" w:rsidRDefault="00643CC1" w:rsidP="00CC3AED">
            <w:pPr>
              <w:pStyle w:val="Standaard-Tabellen"/>
              <w:rPr>
                <w:rFonts w:eastAsia="Calibri"/>
              </w:rPr>
            </w:pPr>
            <w:r w:rsidRPr="005D7417">
              <w:rPr>
                <w:rFonts w:eastAsia="Calibri"/>
              </w:rPr>
              <w:t>Amount of biocidal product/ application</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507AE013" w14:textId="77777777" w:rsidR="00643CC1" w:rsidRPr="005D7417" w:rsidRDefault="00643CC1" w:rsidP="00CC3AED">
            <w:pPr>
              <w:pStyle w:val="Standaard-Tabellen"/>
              <w:rPr>
                <w:rFonts w:eastAsia="Calibri"/>
              </w:rPr>
            </w:pPr>
            <w:r>
              <w:rPr>
                <w:rFonts w:eastAsia="Calibri"/>
              </w:rPr>
              <w:t>9.13</w:t>
            </w:r>
            <w:r w:rsidRPr="005D7417">
              <w:rPr>
                <w:rFonts w:eastAsia="Calibri"/>
              </w:rPr>
              <w:t xml:space="preserve"> g</w:t>
            </w:r>
          </w:p>
        </w:tc>
      </w:tr>
      <w:tr w:rsidR="00643CC1" w:rsidRPr="00071DE1" w14:paraId="767F4B34" w14:textId="77777777" w:rsidTr="00CC3AED">
        <w:trPr>
          <w:tblHeader/>
        </w:trPr>
        <w:tc>
          <w:tcPr>
            <w:tcW w:w="1839" w:type="pct"/>
            <w:vMerge w:val="restart"/>
            <w:tcMar>
              <w:top w:w="57" w:type="dxa"/>
              <w:bottom w:w="57" w:type="dxa"/>
            </w:tcMar>
          </w:tcPr>
          <w:p w14:paraId="4D2E28AB" w14:textId="77777777" w:rsidR="00643CC1" w:rsidRPr="00071DE1" w:rsidRDefault="00643CC1" w:rsidP="00CC3AED">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6 to &lt; 12 years old</w:t>
            </w:r>
          </w:p>
        </w:tc>
        <w:tc>
          <w:tcPr>
            <w:tcW w:w="2507" w:type="pct"/>
            <w:shd w:val="clear" w:color="auto" w:fill="auto"/>
            <w:tcMar>
              <w:top w:w="57" w:type="dxa"/>
              <w:bottom w:w="57" w:type="dxa"/>
            </w:tcMar>
          </w:tcPr>
          <w:p w14:paraId="7EDB01E2" w14:textId="77777777" w:rsidR="00643CC1" w:rsidRPr="005D7417" w:rsidRDefault="00643CC1" w:rsidP="00CC3AED">
            <w:pPr>
              <w:pStyle w:val="Standaard-Tabellen"/>
              <w:rPr>
                <w:rFonts w:eastAsia="Calibri"/>
              </w:rPr>
            </w:pPr>
            <w:r w:rsidRPr="005D7417">
              <w:rPr>
                <w:rFonts w:eastAsia="Calibri"/>
              </w:rPr>
              <w:t>Number of application / day</w:t>
            </w:r>
            <w:r w:rsidRPr="005D7417">
              <w:rPr>
                <w:rFonts w:eastAsia="Calibri"/>
                <w:vertAlign w:val="superscript"/>
              </w:rPr>
              <w:t>1</w:t>
            </w:r>
          </w:p>
        </w:tc>
        <w:tc>
          <w:tcPr>
            <w:tcW w:w="654" w:type="pct"/>
            <w:shd w:val="clear" w:color="auto" w:fill="auto"/>
            <w:tcMar>
              <w:top w:w="57" w:type="dxa"/>
              <w:bottom w:w="57" w:type="dxa"/>
            </w:tcMar>
          </w:tcPr>
          <w:p w14:paraId="32E42C2B" w14:textId="77777777" w:rsidR="00643CC1" w:rsidRPr="005D7417" w:rsidRDefault="00643CC1" w:rsidP="00CC3AED">
            <w:pPr>
              <w:pStyle w:val="Standaard-Tabellen"/>
              <w:rPr>
                <w:rFonts w:eastAsia="Calibri"/>
              </w:rPr>
            </w:pPr>
            <w:r>
              <w:rPr>
                <w:rFonts w:eastAsia="Calibri"/>
              </w:rPr>
              <w:t>4</w:t>
            </w:r>
          </w:p>
        </w:tc>
      </w:tr>
      <w:tr w:rsidR="00643CC1" w:rsidRPr="00071DE1" w14:paraId="1928307D" w14:textId="77777777" w:rsidTr="00CC3AED">
        <w:trPr>
          <w:tblHeader/>
        </w:trPr>
        <w:tc>
          <w:tcPr>
            <w:tcW w:w="1839" w:type="pct"/>
            <w:vMerge/>
            <w:tcMar>
              <w:top w:w="57" w:type="dxa"/>
              <w:bottom w:w="57" w:type="dxa"/>
            </w:tcMar>
          </w:tcPr>
          <w:p w14:paraId="0C750514" w14:textId="77777777" w:rsidR="00643CC1" w:rsidRPr="00071DE1" w:rsidRDefault="00643CC1" w:rsidP="00CC3AED">
            <w:pPr>
              <w:pStyle w:val="Standaard-Tabellen"/>
              <w:rPr>
                <w:rFonts w:eastAsia="Calibri"/>
              </w:rPr>
            </w:pPr>
          </w:p>
        </w:tc>
        <w:tc>
          <w:tcPr>
            <w:tcW w:w="2507" w:type="pct"/>
            <w:shd w:val="clear" w:color="auto" w:fill="auto"/>
            <w:tcMar>
              <w:top w:w="57" w:type="dxa"/>
              <w:bottom w:w="57" w:type="dxa"/>
            </w:tcMar>
          </w:tcPr>
          <w:p w14:paraId="0050750F" w14:textId="77777777" w:rsidR="00643CC1" w:rsidRPr="005D7417" w:rsidRDefault="00643CC1" w:rsidP="00CC3AED">
            <w:pPr>
              <w:pStyle w:val="Standaard-Tabellen"/>
              <w:rPr>
                <w:rFonts w:eastAsia="Calibri"/>
              </w:rPr>
            </w:pPr>
            <w:r w:rsidRPr="005D7417">
              <w:rPr>
                <w:rFonts w:eastAsia="Calibri"/>
              </w:rPr>
              <w:t>Body weight</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29A77B0B" w14:textId="77777777" w:rsidR="00643CC1" w:rsidRPr="005D7417" w:rsidRDefault="00643CC1" w:rsidP="00CC3AED">
            <w:pPr>
              <w:pStyle w:val="Standaard-Tabellen"/>
              <w:rPr>
                <w:rFonts w:eastAsia="Calibri"/>
              </w:rPr>
            </w:pPr>
            <w:r w:rsidRPr="005D7417">
              <w:rPr>
                <w:rFonts w:eastAsia="Calibri"/>
              </w:rPr>
              <w:t>23</w:t>
            </w:r>
            <w:r>
              <w:rPr>
                <w:rFonts w:eastAsia="Calibri"/>
              </w:rPr>
              <w:t>.</w:t>
            </w:r>
            <w:r w:rsidRPr="005D7417">
              <w:rPr>
                <w:rFonts w:eastAsia="Calibri"/>
              </w:rPr>
              <w:t>9 kg</w:t>
            </w:r>
          </w:p>
        </w:tc>
      </w:tr>
      <w:tr w:rsidR="00643CC1" w:rsidRPr="00071DE1" w14:paraId="35C94E75" w14:textId="77777777" w:rsidTr="00CC3AED">
        <w:trPr>
          <w:tblHeader/>
        </w:trPr>
        <w:tc>
          <w:tcPr>
            <w:tcW w:w="1839" w:type="pct"/>
            <w:vMerge/>
            <w:tcMar>
              <w:top w:w="57" w:type="dxa"/>
              <w:bottom w:w="57" w:type="dxa"/>
            </w:tcMar>
          </w:tcPr>
          <w:p w14:paraId="35D8E4F5" w14:textId="77777777" w:rsidR="00643CC1" w:rsidRPr="00071DE1" w:rsidRDefault="00643CC1" w:rsidP="00CC3AED">
            <w:pPr>
              <w:pStyle w:val="Standaard-Tabellen"/>
              <w:rPr>
                <w:rFonts w:eastAsia="Calibri"/>
              </w:rPr>
            </w:pPr>
          </w:p>
        </w:tc>
        <w:tc>
          <w:tcPr>
            <w:tcW w:w="2507" w:type="pct"/>
            <w:shd w:val="clear" w:color="auto" w:fill="auto"/>
            <w:tcMar>
              <w:top w:w="57" w:type="dxa"/>
              <w:bottom w:w="57" w:type="dxa"/>
            </w:tcMar>
          </w:tcPr>
          <w:p w14:paraId="5CD451A9" w14:textId="77777777" w:rsidR="00643CC1" w:rsidRPr="00BD0DC7" w:rsidRDefault="00643CC1" w:rsidP="00CC3AED">
            <w:pPr>
              <w:pStyle w:val="Standaard-Tabellen"/>
              <w:rPr>
                <w:rFonts w:eastAsia="Calibri"/>
              </w:rPr>
            </w:pPr>
            <w:r w:rsidRPr="00BD0DC7">
              <w:rPr>
                <w:rFonts w:eastAsia="Calibri"/>
              </w:rPr>
              <w:t>Amount of biocidal product/ application</w:t>
            </w:r>
            <w:r w:rsidRPr="00BD0DC7">
              <w:rPr>
                <w:rFonts w:eastAsia="Calibri"/>
                <w:vertAlign w:val="superscript"/>
              </w:rPr>
              <w:t>1</w:t>
            </w:r>
          </w:p>
        </w:tc>
        <w:tc>
          <w:tcPr>
            <w:tcW w:w="654" w:type="pct"/>
            <w:shd w:val="clear" w:color="auto" w:fill="auto"/>
            <w:tcMar>
              <w:top w:w="57" w:type="dxa"/>
              <w:bottom w:w="57" w:type="dxa"/>
            </w:tcMar>
          </w:tcPr>
          <w:p w14:paraId="584DA53F" w14:textId="77777777" w:rsidR="00643CC1" w:rsidRPr="00BD0DC7" w:rsidRDefault="00643CC1" w:rsidP="00CC3AED">
            <w:pPr>
              <w:pStyle w:val="Standaard-Tabellen"/>
              <w:rPr>
                <w:rFonts w:eastAsia="Calibri"/>
              </w:rPr>
            </w:pPr>
            <w:r>
              <w:rPr>
                <w:rFonts w:eastAsia="Calibri"/>
              </w:rPr>
              <w:t>5.06</w:t>
            </w:r>
            <w:r w:rsidRPr="00BD0DC7">
              <w:rPr>
                <w:rFonts w:eastAsia="Calibri"/>
              </w:rPr>
              <w:t xml:space="preserve"> g</w:t>
            </w:r>
          </w:p>
        </w:tc>
      </w:tr>
      <w:tr w:rsidR="00643CC1" w:rsidRPr="00071DE1" w14:paraId="3DF839CC" w14:textId="77777777" w:rsidTr="00CC3AED">
        <w:trPr>
          <w:tblHeader/>
        </w:trPr>
        <w:tc>
          <w:tcPr>
            <w:tcW w:w="1839" w:type="pct"/>
            <w:vMerge w:val="restart"/>
            <w:tcMar>
              <w:top w:w="57" w:type="dxa"/>
              <w:bottom w:w="57" w:type="dxa"/>
            </w:tcMar>
          </w:tcPr>
          <w:p w14:paraId="06D3BFEA" w14:textId="77777777" w:rsidR="00643CC1" w:rsidRPr="00071DE1" w:rsidRDefault="00643CC1" w:rsidP="00CC3AED">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w:t>
            </w:r>
            <w:r>
              <w:rPr>
                <w:rFonts w:eastAsia="Calibri"/>
              </w:rPr>
              <w:t>2 to &lt; 6</w:t>
            </w:r>
            <w:r w:rsidRPr="00994E49">
              <w:rPr>
                <w:rFonts w:eastAsia="Calibri"/>
              </w:rPr>
              <w:t xml:space="preserve"> years old</w:t>
            </w:r>
          </w:p>
        </w:tc>
        <w:tc>
          <w:tcPr>
            <w:tcW w:w="2507" w:type="pct"/>
            <w:shd w:val="clear" w:color="auto" w:fill="auto"/>
            <w:tcMar>
              <w:top w:w="57" w:type="dxa"/>
              <w:bottom w:w="57" w:type="dxa"/>
            </w:tcMar>
          </w:tcPr>
          <w:p w14:paraId="04762C95" w14:textId="77777777" w:rsidR="00643CC1" w:rsidRPr="005D7417" w:rsidRDefault="00643CC1" w:rsidP="00CC3AED">
            <w:pPr>
              <w:pStyle w:val="Standaard-Tabellen"/>
              <w:rPr>
                <w:rFonts w:eastAsia="Calibri"/>
              </w:rPr>
            </w:pPr>
            <w:r w:rsidRPr="005D7417">
              <w:rPr>
                <w:rFonts w:eastAsia="Calibri"/>
              </w:rPr>
              <w:t>Number of application / day</w:t>
            </w:r>
            <w:r w:rsidRPr="005D7417">
              <w:rPr>
                <w:rFonts w:eastAsia="Calibri"/>
                <w:vertAlign w:val="superscript"/>
              </w:rPr>
              <w:t>1</w:t>
            </w:r>
          </w:p>
        </w:tc>
        <w:tc>
          <w:tcPr>
            <w:tcW w:w="654" w:type="pct"/>
            <w:shd w:val="clear" w:color="auto" w:fill="auto"/>
            <w:tcMar>
              <w:top w:w="57" w:type="dxa"/>
              <w:bottom w:w="57" w:type="dxa"/>
            </w:tcMar>
          </w:tcPr>
          <w:p w14:paraId="449908ED" w14:textId="77777777" w:rsidR="00643CC1" w:rsidRPr="005D7417" w:rsidRDefault="00643CC1" w:rsidP="00CC3AED">
            <w:pPr>
              <w:pStyle w:val="Standaard-Tabellen"/>
              <w:rPr>
                <w:rFonts w:eastAsia="Calibri"/>
              </w:rPr>
            </w:pPr>
            <w:r w:rsidRPr="005D7417">
              <w:rPr>
                <w:rFonts w:eastAsia="Calibri"/>
              </w:rPr>
              <w:t>2</w:t>
            </w:r>
          </w:p>
        </w:tc>
      </w:tr>
      <w:tr w:rsidR="00643CC1" w:rsidRPr="00071DE1" w14:paraId="20638DBB" w14:textId="77777777" w:rsidTr="00CC3AED">
        <w:trPr>
          <w:tblHeader/>
        </w:trPr>
        <w:tc>
          <w:tcPr>
            <w:tcW w:w="1839" w:type="pct"/>
            <w:vMerge/>
            <w:tcMar>
              <w:top w:w="57" w:type="dxa"/>
              <w:bottom w:w="57" w:type="dxa"/>
            </w:tcMar>
          </w:tcPr>
          <w:p w14:paraId="76CE2ECF" w14:textId="77777777" w:rsidR="00643CC1" w:rsidRPr="00071DE1" w:rsidRDefault="00643CC1" w:rsidP="00CC3AED">
            <w:pPr>
              <w:pStyle w:val="Standaard-Tabellen"/>
              <w:rPr>
                <w:rFonts w:eastAsia="Calibri"/>
              </w:rPr>
            </w:pPr>
          </w:p>
        </w:tc>
        <w:tc>
          <w:tcPr>
            <w:tcW w:w="2507" w:type="pct"/>
            <w:shd w:val="clear" w:color="auto" w:fill="auto"/>
            <w:tcMar>
              <w:top w:w="57" w:type="dxa"/>
              <w:bottom w:w="57" w:type="dxa"/>
            </w:tcMar>
          </w:tcPr>
          <w:p w14:paraId="5EE6A406" w14:textId="77777777" w:rsidR="00643CC1" w:rsidRPr="005D7417" w:rsidRDefault="00643CC1" w:rsidP="00CC3AED">
            <w:pPr>
              <w:pStyle w:val="Standaard-Tabellen"/>
              <w:rPr>
                <w:rFonts w:eastAsia="Calibri"/>
              </w:rPr>
            </w:pPr>
            <w:r w:rsidRPr="005D7417">
              <w:rPr>
                <w:rFonts w:eastAsia="Calibri"/>
              </w:rPr>
              <w:t>Body weight</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512F5884" w14:textId="77777777" w:rsidR="00643CC1" w:rsidRPr="005D7417" w:rsidRDefault="00643CC1" w:rsidP="00CC3AED">
            <w:pPr>
              <w:pStyle w:val="Standaard-Tabellen"/>
              <w:rPr>
                <w:rFonts w:eastAsia="Calibri"/>
              </w:rPr>
            </w:pPr>
            <w:r w:rsidRPr="005D7417">
              <w:rPr>
                <w:rFonts w:eastAsia="Calibri"/>
              </w:rPr>
              <w:t>1</w:t>
            </w:r>
            <w:r>
              <w:rPr>
                <w:rFonts w:eastAsia="Calibri"/>
              </w:rPr>
              <w:t>5.6</w:t>
            </w:r>
            <w:r w:rsidRPr="005D7417">
              <w:rPr>
                <w:rFonts w:eastAsia="Calibri"/>
              </w:rPr>
              <w:t xml:space="preserve"> kg</w:t>
            </w:r>
          </w:p>
        </w:tc>
      </w:tr>
      <w:tr w:rsidR="00643CC1" w:rsidRPr="00071DE1" w14:paraId="203E1806" w14:textId="77777777" w:rsidTr="00CC3AED">
        <w:trPr>
          <w:tblHeader/>
        </w:trPr>
        <w:tc>
          <w:tcPr>
            <w:tcW w:w="1839" w:type="pct"/>
            <w:vMerge/>
            <w:tcMar>
              <w:top w:w="57" w:type="dxa"/>
              <w:bottom w:w="57" w:type="dxa"/>
            </w:tcMar>
          </w:tcPr>
          <w:p w14:paraId="2641073E" w14:textId="77777777" w:rsidR="00643CC1" w:rsidRPr="00071DE1" w:rsidRDefault="00643CC1" w:rsidP="00CC3AED">
            <w:pPr>
              <w:pStyle w:val="Standaard-Tabellen"/>
              <w:rPr>
                <w:rFonts w:eastAsia="Calibri"/>
              </w:rPr>
            </w:pPr>
          </w:p>
        </w:tc>
        <w:tc>
          <w:tcPr>
            <w:tcW w:w="2507" w:type="pct"/>
            <w:shd w:val="clear" w:color="auto" w:fill="auto"/>
            <w:tcMar>
              <w:top w:w="57" w:type="dxa"/>
              <w:bottom w:w="57" w:type="dxa"/>
            </w:tcMar>
          </w:tcPr>
          <w:p w14:paraId="27BF93DE" w14:textId="77777777" w:rsidR="00643CC1" w:rsidRPr="005D7417" w:rsidRDefault="00643CC1" w:rsidP="00CC3AED">
            <w:pPr>
              <w:pStyle w:val="Standaard-Tabellen"/>
              <w:rPr>
                <w:rFonts w:eastAsia="Calibri"/>
              </w:rPr>
            </w:pPr>
            <w:r w:rsidRPr="005D7417">
              <w:rPr>
                <w:rFonts w:eastAsia="Calibri"/>
              </w:rPr>
              <w:t>Amount of biocidal product/ application</w:t>
            </w:r>
            <w:r w:rsidRPr="005D7417">
              <w:rPr>
                <w:rFonts w:eastAsia="Calibri"/>
                <w:vertAlign w:val="superscript"/>
              </w:rPr>
              <w:t>1</w:t>
            </w:r>
          </w:p>
        </w:tc>
        <w:tc>
          <w:tcPr>
            <w:tcW w:w="654" w:type="pct"/>
            <w:shd w:val="clear" w:color="auto" w:fill="auto"/>
            <w:tcMar>
              <w:top w:w="57" w:type="dxa"/>
              <w:bottom w:w="57" w:type="dxa"/>
            </w:tcMar>
          </w:tcPr>
          <w:p w14:paraId="7B9863EB" w14:textId="77777777" w:rsidR="00643CC1" w:rsidRPr="005D7417" w:rsidRDefault="00643CC1" w:rsidP="00CC3AED">
            <w:pPr>
              <w:pStyle w:val="Standaard-Tabellen"/>
              <w:rPr>
                <w:rFonts w:eastAsia="Calibri"/>
              </w:rPr>
            </w:pPr>
            <w:r>
              <w:rPr>
                <w:rFonts w:eastAsia="Calibri"/>
              </w:rPr>
              <w:t>3.74</w:t>
            </w:r>
            <w:r w:rsidRPr="005D7417">
              <w:rPr>
                <w:rFonts w:eastAsia="Calibri"/>
              </w:rPr>
              <w:t xml:space="preserve"> g</w:t>
            </w:r>
          </w:p>
        </w:tc>
      </w:tr>
      <w:tr w:rsidR="00643CC1" w:rsidRPr="00071DE1" w14:paraId="1730E00D" w14:textId="77777777" w:rsidTr="00CC3AED">
        <w:trPr>
          <w:tblHeader/>
        </w:trPr>
        <w:tc>
          <w:tcPr>
            <w:tcW w:w="1839" w:type="pct"/>
            <w:vMerge w:val="restart"/>
            <w:tcMar>
              <w:top w:w="57" w:type="dxa"/>
              <w:bottom w:w="57" w:type="dxa"/>
            </w:tcMar>
          </w:tcPr>
          <w:p w14:paraId="092C5628" w14:textId="77777777" w:rsidR="00643CC1" w:rsidRPr="00071DE1" w:rsidRDefault="00643CC1" w:rsidP="00CC3AED">
            <w:pPr>
              <w:pStyle w:val="Standaard-Tabellen"/>
              <w:rPr>
                <w:rFonts w:eastAsia="Calibri"/>
              </w:rPr>
            </w:pPr>
            <w:r w:rsidRPr="000B65BB">
              <w:rPr>
                <w:rFonts w:eastAsia="Calibri"/>
              </w:rPr>
              <w:t>Tier 1- Toddler</w:t>
            </w:r>
          </w:p>
        </w:tc>
        <w:tc>
          <w:tcPr>
            <w:tcW w:w="2507" w:type="pct"/>
            <w:shd w:val="clear" w:color="auto" w:fill="auto"/>
            <w:tcMar>
              <w:top w:w="57" w:type="dxa"/>
              <w:bottom w:w="57" w:type="dxa"/>
            </w:tcMar>
          </w:tcPr>
          <w:p w14:paraId="04F1E3F3" w14:textId="77777777" w:rsidR="00643CC1" w:rsidRPr="005D7417" w:rsidRDefault="00643CC1" w:rsidP="00CC3AED">
            <w:pPr>
              <w:pStyle w:val="Standaard-Tabellen"/>
              <w:rPr>
                <w:rFonts w:eastAsia="Calibri"/>
              </w:rPr>
            </w:pPr>
            <w:r w:rsidRPr="005D7417">
              <w:rPr>
                <w:rFonts w:eastAsia="Calibri"/>
              </w:rPr>
              <w:t>Number of application / day</w:t>
            </w:r>
            <w:r w:rsidRPr="005D7417">
              <w:rPr>
                <w:rFonts w:eastAsia="Calibri"/>
                <w:vertAlign w:val="superscript"/>
              </w:rPr>
              <w:t>1</w:t>
            </w:r>
          </w:p>
        </w:tc>
        <w:tc>
          <w:tcPr>
            <w:tcW w:w="654" w:type="pct"/>
            <w:shd w:val="clear" w:color="auto" w:fill="auto"/>
            <w:tcMar>
              <w:top w:w="57" w:type="dxa"/>
              <w:bottom w:w="57" w:type="dxa"/>
            </w:tcMar>
          </w:tcPr>
          <w:p w14:paraId="4EC28338" w14:textId="77777777" w:rsidR="00643CC1" w:rsidRPr="005D7417" w:rsidRDefault="00643CC1" w:rsidP="00CC3AED">
            <w:pPr>
              <w:pStyle w:val="Standaard-Tabellen"/>
              <w:rPr>
                <w:rFonts w:eastAsia="Calibri"/>
              </w:rPr>
            </w:pPr>
            <w:r>
              <w:rPr>
                <w:rFonts w:eastAsia="Calibri"/>
              </w:rPr>
              <w:t>2</w:t>
            </w:r>
          </w:p>
        </w:tc>
      </w:tr>
      <w:tr w:rsidR="00643CC1" w:rsidRPr="00071DE1" w14:paraId="1B723F93" w14:textId="77777777" w:rsidTr="00CC3AED">
        <w:trPr>
          <w:tblHeader/>
        </w:trPr>
        <w:tc>
          <w:tcPr>
            <w:tcW w:w="1839" w:type="pct"/>
            <w:vMerge/>
            <w:tcMar>
              <w:top w:w="57" w:type="dxa"/>
              <w:bottom w:w="57" w:type="dxa"/>
            </w:tcMar>
          </w:tcPr>
          <w:p w14:paraId="49100AFE" w14:textId="77777777" w:rsidR="00643CC1" w:rsidRPr="00071DE1" w:rsidRDefault="00643CC1" w:rsidP="00CC3AED">
            <w:pPr>
              <w:pStyle w:val="Standaard-Tabellen"/>
              <w:rPr>
                <w:rFonts w:eastAsia="Calibri"/>
              </w:rPr>
            </w:pPr>
          </w:p>
        </w:tc>
        <w:tc>
          <w:tcPr>
            <w:tcW w:w="2507" w:type="pct"/>
            <w:shd w:val="clear" w:color="auto" w:fill="auto"/>
            <w:tcMar>
              <w:top w:w="57" w:type="dxa"/>
              <w:bottom w:w="57" w:type="dxa"/>
            </w:tcMar>
          </w:tcPr>
          <w:p w14:paraId="07829BED" w14:textId="77777777" w:rsidR="00643CC1" w:rsidRPr="005D7417" w:rsidRDefault="00643CC1" w:rsidP="00CC3AED">
            <w:pPr>
              <w:pStyle w:val="Standaard-Tabellen"/>
              <w:rPr>
                <w:rFonts w:eastAsia="Calibri"/>
              </w:rPr>
            </w:pPr>
            <w:r w:rsidRPr="005D7417">
              <w:rPr>
                <w:rFonts w:eastAsia="Calibri"/>
              </w:rPr>
              <w:t>Body weight</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38A48AEC" w14:textId="77777777" w:rsidR="00643CC1" w:rsidRPr="005D7417" w:rsidRDefault="00643CC1" w:rsidP="00CC3AED">
            <w:pPr>
              <w:pStyle w:val="Standaard-Tabellen"/>
              <w:rPr>
                <w:rFonts w:eastAsia="Calibri"/>
              </w:rPr>
            </w:pPr>
            <w:r>
              <w:rPr>
                <w:rFonts w:eastAsia="Calibri"/>
              </w:rPr>
              <w:t>10</w:t>
            </w:r>
            <w:r w:rsidRPr="005D7417">
              <w:rPr>
                <w:rFonts w:eastAsia="Calibri"/>
              </w:rPr>
              <w:t xml:space="preserve"> kg</w:t>
            </w:r>
          </w:p>
        </w:tc>
      </w:tr>
      <w:tr w:rsidR="00643CC1" w:rsidRPr="00071DE1" w14:paraId="5295A7AB" w14:textId="77777777" w:rsidTr="00CC3AED">
        <w:trPr>
          <w:tblHeader/>
        </w:trPr>
        <w:tc>
          <w:tcPr>
            <w:tcW w:w="1839" w:type="pct"/>
            <w:vMerge/>
            <w:tcMar>
              <w:top w:w="57" w:type="dxa"/>
              <w:bottom w:w="57" w:type="dxa"/>
            </w:tcMar>
          </w:tcPr>
          <w:p w14:paraId="08FDBAF4" w14:textId="77777777" w:rsidR="00643CC1" w:rsidRPr="00071DE1" w:rsidRDefault="00643CC1" w:rsidP="00CC3AED">
            <w:pPr>
              <w:pStyle w:val="Standaard-Tabellen"/>
              <w:rPr>
                <w:rFonts w:eastAsia="Calibri"/>
              </w:rPr>
            </w:pPr>
          </w:p>
        </w:tc>
        <w:tc>
          <w:tcPr>
            <w:tcW w:w="2507" w:type="pct"/>
            <w:shd w:val="clear" w:color="auto" w:fill="auto"/>
            <w:tcMar>
              <w:top w:w="57" w:type="dxa"/>
              <w:bottom w:w="57" w:type="dxa"/>
            </w:tcMar>
          </w:tcPr>
          <w:p w14:paraId="08F9E03C" w14:textId="77777777" w:rsidR="00643CC1" w:rsidRPr="00071DE1" w:rsidRDefault="00643CC1" w:rsidP="00CC3AED">
            <w:pPr>
              <w:pStyle w:val="Standaard-Tabellen"/>
              <w:rPr>
                <w:rFonts w:eastAsia="Calibri"/>
              </w:rPr>
            </w:pPr>
            <w:r w:rsidRPr="00071DE1">
              <w:rPr>
                <w:rFonts w:eastAsia="Calibri"/>
              </w:rPr>
              <w:t>Amount of biocidal product/ application</w:t>
            </w:r>
            <w:r w:rsidRPr="00071DE1">
              <w:rPr>
                <w:rFonts w:eastAsia="Calibri"/>
                <w:vertAlign w:val="superscript"/>
              </w:rPr>
              <w:t>1</w:t>
            </w:r>
            <w:r w:rsidRPr="00071DE1">
              <w:rPr>
                <w:rFonts w:eastAsia="Calibri"/>
              </w:rPr>
              <w:t xml:space="preserve"> </w:t>
            </w:r>
          </w:p>
        </w:tc>
        <w:tc>
          <w:tcPr>
            <w:tcW w:w="654" w:type="pct"/>
            <w:shd w:val="clear" w:color="auto" w:fill="auto"/>
            <w:tcMar>
              <w:top w:w="57" w:type="dxa"/>
              <w:bottom w:w="57" w:type="dxa"/>
            </w:tcMar>
          </w:tcPr>
          <w:p w14:paraId="751C1D1C" w14:textId="77777777" w:rsidR="00643CC1" w:rsidRPr="00071DE1" w:rsidRDefault="00643CC1" w:rsidP="00CC3AED">
            <w:pPr>
              <w:pStyle w:val="Standaard-Tabellen"/>
              <w:rPr>
                <w:rFonts w:eastAsia="Calibri"/>
              </w:rPr>
            </w:pPr>
            <w:r>
              <w:rPr>
                <w:rFonts w:eastAsia="Calibri"/>
              </w:rPr>
              <w:t>2.64</w:t>
            </w:r>
            <w:r w:rsidRPr="00071DE1">
              <w:rPr>
                <w:rFonts w:eastAsia="Calibri"/>
              </w:rPr>
              <w:t xml:space="preserve"> g</w:t>
            </w:r>
          </w:p>
        </w:tc>
      </w:tr>
      <w:tr w:rsidR="00643CC1" w:rsidRPr="00071DE1" w14:paraId="17B8A608" w14:textId="77777777" w:rsidTr="00CC3AED">
        <w:trPr>
          <w:tblHeader/>
        </w:trPr>
        <w:tc>
          <w:tcPr>
            <w:tcW w:w="1839" w:type="pct"/>
            <w:vMerge w:val="restart"/>
            <w:tcMar>
              <w:top w:w="57" w:type="dxa"/>
              <w:bottom w:w="57" w:type="dxa"/>
            </w:tcMar>
          </w:tcPr>
          <w:p w14:paraId="524E258F" w14:textId="77777777" w:rsidR="00643CC1" w:rsidRPr="00071DE1" w:rsidRDefault="00643CC1" w:rsidP="00CC3AED">
            <w:pPr>
              <w:pStyle w:val="Standaard-Tabellen"/>
              <w:rPr>
                <w:rFonts w:eastAsia="Calibri"/>
              </w:rPr>
            </w:pPr>
            <w:r w:rsidRPr="000B65BB">
              <w:rPr>
                <w:rFonts w:eastAsia="Calibri"/>
              </w:rPr>
              <w:t>Tier 1- Infant</w:t>
            </w:r>
          </w:p>
        </w:tc>
        <w:tc>
          <w:tcPr>
            <w:tcW w:w="2507" w:type="pct"/>
            <w:shd w:val="clear" w:color="auto" w:fill="auto"/>
            <w:tcMar>
              <w:top w:w="57" w:type="dxa"/>
              <w:bottom w:w="57" w:type="dxa"/>
            </w:tcMar>
          </w:tcPr>
          <w:p w14:paraId="1B03C202" w14:textId="77777777" w:rsidR="00643CC1" w:rsidRPr="00071DE1" w:rsidRDefault="00643CC1" w:rsidP="00CC3AED">
            <w:pPr>
              <w:pStyle w:val="Standaard-Tabellen"/>
              <w:rPr>
                <w:rFonts w:eastAsia="Calibri"/>
              </w:rPr>
            </w:pPr>
            <w:r w:rsidRPr="005D7417">
              <w:rPr>
                <w:rFonts w:eastAsia="Calibri"/>
              </w:rPr>
              <w:t>Number of application / day</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7A367F25" w14:textId="77777777" w:rsidR="00643CC1" w:rsidRDefault="00643CC1" w:rsidP="00CC3AED">
            <w:pPr>
              <w:pStyle w:val="Standaard-Tabellen"/>
              <w:rPr>
                <w:rFonts w:eastAsia="Calibri"/>
              </w:rPr>
            </w:pPr>
            <w:r>
              <w:rPr>
                <w:rFonts w:eastAsia="Calibri"/>
              </w:rPr>
              <w:t>2</w:t>
            </w:r>
          </w:p>
        </w:tc>
      </w:tr>
      <w:tr w:rsidR="00643CC1" w:rsidRPr="00071DE1" w14:paraId="713E86F8" w14:textId="77777777" w:rsidTr="00CC3AED">
        <w:trPr>
          <w:tblHeader/>
        </w:trPr>
        <w:tc>
          <w:tcPr>
            <w:tcW w:w="1839" w:type="pct"/>
            <w:vMerge/>
            <w:tcMar>
              <w:top w:w="57" w:type="dxa"/>
              <w:bottom w:w="57" w:type="dxa"/>
            </w:tcMar>
          </w:tcPr>
          <w:p w14:paraId="21C6307D" w14:textId="77777777" w:rsidR="00643CC1" w:rsidRPr="00071DE1" w:rsidRDefault="00643CC1" w:rsidP="00CC3AED">
            <w:pPr>
              <w:pStyle w:val="Standaard-Tabellen"/>
              <w:rPr>
                <w:rFonts w:eastAsia="Calibri"/>
              </w:rPr>
            </w:pPr>
          </w:p>
        </w:tc>
        <w:tc>
          <w:tcPr>
            <w:tcW w:w="2507" w:type="pct"/>
            <w:shd w:val="clear" w:color="auto" w:fill="auto"/>
            <w:tcMar>
              <w:top w:w="57" w:type="dxa"/>
              <w:bottom w:w="57" w:type="dxa"/>
            </w:tcMar>
          </w:tcPr>
          <w:p w14:paraId="4B3EEBFF" w14:textId="77777777" w:rsidR="00643CC1" w:rsidRPr="00071DE1" w:rsidRDefault="00643CC1" w:rsidP="00CC3AED">
            <w:pPr>
              <w:pStyle w:val="Standaard-Tabellen"/>
              <w:rPr>
                <w:rFonts w:eastAsia="Calibri"/>
              </w:rPr>
            </w:pPr>
            <w:r w:rsidRPr="005D7417">
              <w:rPr>
                <w:rFonts w:eastAsia="Calibri"/>
              </w:rPr>
              <w:t>Body weight</w:t>
            </w:r>
            <w:r w:rsidRPr="005D7417">
              <w:rPr>
                <w:rFonts w:eastAsia="Calibri"/>
                <w:vertAlign w:val="superscript"/>
              </w:rPr>
              <w:t>1</w:t>
            </w:r>
          </w:p>
        </w:tc>
        <w:tc>
          <w:tcPr>
            <w:tcW w:w="654" w:type="pct"/>
            <w:shd w:val="clear" w:color="auto" w:fill="auto"/>
            <w:tcMar>
              <w:top w:w="57" w:type="dxa"/>
              <w:bottom w:w="57" w:type="dxa"/>
            </w:tcMar>
          </w:tcPr>
          <w:p w14:paraId="47F08581" w14:textId="77777777" w:rsidR="00643CC1" w:rsidRDefault="00643CC1" w:rsidP="00CC3AED">
            <w:pPr>
              <w:pStyle w:val="Standaard-Tabellen"/>
              <w:rPr>
                <w:rFonts w:eastAsia="Calibri"/>
              </w:rPr>
            </w:pPr>
            <w:r>
              <w:rPr>
                <w:rFonts w:eastAsia="Calibri"/>
              </w:rPr>
              <w:t>8</w:t>
            </w:r>
            <w:r w:rsidRPr="005D7417">
              <w:rPr>
                <w:rFonts w:eastAsia="Calibri"/>
              </w:rPr>
              <w:t xml:space="preserve"> kg</w:t>
            </w:r>
          </w:p>
        </w:tc>
      </w:tr>
      <w:tr w:rsidR="00643CC1" w:rsidRPr="00071DE1" w14:paraId="5B74017C" w14:textId="77777777" w:rsidTr="00CC3AED">
        <w:trPr>
          <w:tblHeader/>
        </w:trPr>
        <w:tc>
          <w:tcPr>
            <w:tcW w:w="1839" w:type="pct"/>
            <w:vMerge/>
            <w:tcMar>
              <w:top w:w="57" w:type="dxa"/>
              <w:bottom w:w="57" w:type="dxa"/>
            </w:tcMar>
          </w:tcPr>
          <w:p w14:paraId="06CCC186" w14:textId="77777777" w:rsidR="00643CC1" w:rsidRPr="00071DE1" w:rsidRDefault="00643CC1" w:rsidP="00CC3AED">
            <w:pPr>
              <w:pStyle w:val="Standaard-Tabellen"/>
              <w:rPr>
                <w:rFonts w:eastAsia="Calibri"/>
              </w:rPr>
            </w:pPr>
          </w:p>
        </w:tc>
        <w:tc>
          <w:tcPr>
            <w:tcW w:w="2507" w:type="pct"/>
            <w:shd w:val="clear" w:color="auto" w:fill="auto"/>
            <w:tcMar>
              <w:top w:w="57" w:type="dxa"/>
              <w:bottom w:w="57" w:type="dxa"/>
            </w:tcMar>
          </w:tcPr>
          <w:p w14:paraId="7828D4AB" w14:textId="77777777" w:rsidR="00643CC1" w:rsidRPr="00071DE1" w:rsidRDefault="00643CC1" w:rsidP="00CC3AED">
            <w:pPr>
              <w:pStyle w:val="Standaard-Tabellen"/>
              <w:rPr>
                <w:rFonts w:eastAsia="Calibri"/>
              </w:rPr>
            </w:pPr>
            <w:r w:rsidRPr="005D7417">
              <w:rPr>
                <w:rFonts w:eastAsia="Calibri"/>
              </w:rPr>
              <w:t>Amount of biocidal product/ application</w:t>
            </w:r>
            <w:r w:rsidRPr="005D7417">
              <w:rPr>
                <w:rFonts w:eastAsia="Calibri"/>
                <w:vertAlign w:val="superscript"/>
              </w:rPr>
              <w:t>1</w:t>
            </w:r>
            <w:r w:rsidRPr="005D7417">
              <w:rPr>
                <w:rFonts w:eastAsia="Calibri"/>
              </w:rPr>
              <w:t xml:space="preserve"> </w:t>
            </w:r>
          </w:p>
        </w:tc>
        <w:tc>
          <w:tcPr>
            <w:tcW w:w="654" w:type="pct"/>
            <w:shd w:val="clear" w:color="auto" w:fill="auto"/>
            <w:tcMar>
              <w:top w:w="57" w:type="dxa"/>
              <w:bottom w:w="57" w:type="dxa"/>
            </w:tcMar>
          </w:tcPr>
          <w:p w14:paraId="51739DA7" w14:textId="77777777" w:rsidR="00643CC1" w:rsidRDefault="00643CC1" w:rsidP="00CC3AED">
            <w:pPr>
              <w:pStyle w:val="Standaard-Tabellen"/>
              <w:rPr>
                <w:rFonts w:eastAsia="Calibri"/>
              </w:rPr>
            </w:pPr>
            <w:r>
              <w:rPr>
                <w:rFonts w:eastAsia="Calibri"/>
              </w:rPr>
              <w:t>2.255</w:t>
            </w:r>
            <w:r w:rsidRPr="005D7417">
              <w:rPr>
                <w:rFonts w:eastAsia="Calibri"/>
              </w:rPr>
              <w:t xml:space="preserve"> g</w:t>
            </w:r>
          </w:p>
        </w:tc>
      </w:tr>
      <w:tr w:rsidR="00643CC1" w:rsidRPr="00071DE1" w14:paraId="573675E8" w14:textId="77777777" w:rsidTr="00CC3AED">
        <w:trPr>
          <w:tblHeader/>
        </w:trPr>
        <w:tc>
          <w:tcPr>
            <w:tcW w:w="1839" w:type="pct"/>
            <w:tcMar>
              <w:top w:w="57" w:type="dxa"/>
              <w:bottom w:w="57" w:type="dxa"/>
            </w:tcMar>
          </w:tcPr>
          <w:p w14:paraId="0C69C885" w14:textId="77777777" w:rsidR="00643CC1" w:rsidRPr="00071DE1" w:rsidRDefault="00643CC1" w:rsidP="00CC3AED">
            <w:pPr>
              <w:pStyle w:val="Standaard-Tabellen"/>
              <w:rPr>
                <w:rFonts w:eastAsia="Calibri"/>
              </w:rPr>
            </w:pPr>
            <w:r w:rsidRPr="000B65BB">
              <w:rPr>
                <w:rFonts w:eastAsia="Calibri"/>
              </w:rPr>
              <w:t xml:space="preserve">Tier </w:t>
            </w:r>
            <w:r>
              <w:rPr>
                <w:rFonts w:eastAsia="Calibri"/>
              </w:rPr>
              <w:t>2</w:t>
            </w:r>
            <w:r w:rsidRPr="000B65BB">
              <w:rPr>
                <w:rFonts w:eastAsia="Calibri"/>
              </w:rPr>
              <w:t>- Adult</w:t>
            </w:r>
          </w:p>
        </w:tc>
        <w:tc>
          <w:tcPr>
            <w:tcW w:w="2507" w:type="pct"/>
            <w:shd w:val="clear" w:color="auto" w:fill="auto"/>
            <w:tcMar>
              <w:top w:w="57" w:type="dxa"/>
              <w:bottom w:w="57" w:type="dxa"/>
            </w:tcMar>
          </w:tcPr>
          <w:p w14:paraId="513E3AF5" w14:textId="77777777" w:rsidR="00643CC1" w:rsidRPr="005D7417" w:rsidRDefault="00643CC1" w:rsidP="00CC3AED">
            <w:pPr>
              <w:pStyle w:val="Standaard-Tabellen"/>
              <w:rPr>
                <w:rFonts w:eastAsia="Calibri"/>
              </w:rPr>
            </w:pPr>
            <w:r w:rsidRPr="000B65BB">
              <w:rPr>
                <w:rFonts w:eastAsia="Calibri"/>
              </w:rPr>
              <w:t>Number of application / day</w:t>
            </w:r>
            <w:r>
              <w:rPr>
                <w:rFonts w:eastAsia="Calibri"/>
                <w:vertAlign w:val="superscript"/>
              </w:rPr>
              <w:t>2</w:t>
            </w:r>
          </w:p>
        </w:tc>
        <w:tc>
          <w:tcPr>
            <w:tcW w:w="654" w:type="pct"/>
            <w:shd w:val="clear" w:color="auto" w:fill="auto"/>
            <w:tcMar>
              <w:top w:w="57" w:type="dxa"/>
              <w:bottom w:w="57" w:type="dxa"/>
            </w:tcMar>
          </w:tcPr>
          <w:p w14:paraId="5B689C06" w14:textId="77777777" w:rsidR="00643CC1" w:rsidRDefault="00643CC1" w:rsidP="00CC3AED">
            <w:pPr>
              <w:pStyle w:val="Standaard-Tabellen"/>
              <w:rPr>
                <w:rFonts w:eastAsia="Calibri"/>
              </w:rPr>
            </w:pPr>
            <w:r>
              <w:rPr>
                <w:rFonts w:eastAsia="Calibri"/>
              </w:rPr>
              <w:t>6</w:t>
            </w:r>
          </w:p>
        </w:tc>
      </w:tr>
      <w:tr w:rsidR="00643CC1" w:rsidRPr="00071DE1" w14:paraId="1F478E7D" w14:textId="77777777" w:rsidTr="00CC3AED">
        <w:trPr>
          <w:tblHeader/>
        </w:trPr>
        <w:tc>
          <w:tcPr>
            <w:tcW w:w="1839" w:type="pct"/>
            <w:tcMar>
              <w:top w:w="57" w:type="dxa"/>
              <w:bottom w:w="57" w:type="dxa"/>
            </w:tcMar>
          </w:tcPr>
          <w:p w14:paraId="5F563C6A" w14:textId="77777777" w:rsidR="00643CC1" w:rsidRPr="00071DE1" w:rsidRDefault="00643CC1" w:rsidP="00CC3AED">
            <w:pPr>
              <w:pStyle w:val="Standaard-Tabellen"/>
              <w:rPr>
                <w:rFonts w:eastAsia="Calibri"/>
              </w:rPr>
            </w:pPr>
            <w:r w:rsidRPr="00A22424">
              <w:rPr>
                <w:rFonts w:eastAsia="Calibri"/>
              </w:rPr>
              <w:t xml:space="preserve">Tier </w:t>
            </w:r>
            <w:r>
              <w:rPr>
                <w:rFonts w:eastAsia="Calibri"/>
              </w:rPr>
              <w:t>2</w:t>
            </w:r>
            <w:r w:rsidRPr="00A22424">
              <w:rPr>
                <w:rFonts w:eastAsia="Calibri"/>
              </w:rPr>
              <w:t>- Child 6 to &lt; 12 years old</w:t>
            </w:r>
          </w:p>
        </w:tc>
        <w:tc>
          <w:tcPr>
            <w:tcW w:w="2507" w:type="pct"/>
            <w:shd w:val="clear" w:color="auto" w:fill="auto"/>
            <w:tcMar>
              <w:top w:w="57" w:type="dxa"/>
              <w:bottom w:w="57" w:type="dxa"/>
            </w:tcMar>
          </w:tcPr>
          <w:p w14:paraId="0A58A75F" w14:textId="77777777" w:rsidR="00643CC1" w:rsidRPr="005D7417" w:rsidRDefault="00643CC1" w:rsidP="00CC3AED">
            <w:pPr>
              <w:pStyle w:val="Standaard-Tabellen"/>
              <w:rPr>
                <w:rFonts w:eastAsia="Calibri"/>
              </w:rPr>
            </w:pPr>
            <w:r w:rsidRPr="000B65BB">
              <w:rPr>
                <w:rFonts w:eastAsia="Calibri"/>
              </w:rPr>
              <w:t>Number of application / day</w:t>
            </w:r>
            <w:r>
              <w:rPr>
                <w:rFonts w:eastAsia="Calibri"/>
                <w:vertAlign w:val="superscript"/>
              </w:rPr>
              <w:t>2</w:t>
            </w:r>
          </w:p>
        </w:tc>
        <w:tc>
          <w:tcPr>
            <w:tcW w:w="654" w:type="pct"/>
            <w:shd w:val="clear" w:color="auto" w:fill="auto"/>
            <w:tcMar>
              <w:top w:w="57" w:type="dxa"/>
              <w:bottom w:w="57" w:type="dxa"/>
            </w:tcMar>
          </w:tcPr>
          <w:p w14:paraId="06199A78" w14:textId="77777777" w:rsidR="00643CC1" w:rsidRDefault="00643CC1" w:rsidP="00CC3AED">
            <w:pPr>
              <w:pStyle w:val="Standaard-Tabellen"/>
              <w:rPr>
                <w:rFonts w:eastAsia="Calibri"/>
              </w:rPr>
            </w:pPr>
            <w:r>
              <w:rPr>
                <w:rFonts w:eastAsia="Calibri"/>
              </w:rPr>
              <w:t>3</w:t>
            </w:r>
          </w:p>
        </w:tc>
      </w:tr>
      <w:tr w:rsidR="00643CC1" w:rsidRPr="00071DE1" w14:paraId="6B0C68E1" w14:textId="77777777" w:rsidTr="00CC3AED">
        <w:trPr>
          <w:tblHeader/>
        </w:trPr>
        <w:tc>
          <w:tcPr>
            <w:tcW w:w="1839" w:type="pct"/>
            <w:tcMar>
              <w:top w:w="57" w:type="dxa"/>
              <w:bottom w:w="57" w:type="dxa"/>
            </w:tcMar>
          </w:tcPr>
          <w:p w14:paraId="17322149" w14:textId="77777777" w:rsidR="00643CC1" w:rsidRPr="00071DE1" w:rsidRDefault="00643CC1" w:rsidP="00CC3AED">
            <w:pPr>
              <w:pStyle w:val="Standaard-Tabellen"/>
              <w:rPr>
                <w:rFonts w:eastAsia="Calibri"/>
              </w:rPr>
            </w:pPr>
            <w:r w:rsidRPr="00A22424">
              <w:rPr>
                <w:rFonts w:eastAsia="Calibri"/>
              </w:rPr>
              <w:t xml:space="preserve">Tier </w:t>
            </w:r>
            <w:r>
              <w:rPr>
                <w:rFonts w:eastAsia="Calibri"/>
              </w:rPr>
              <w:t>2</w:t>
            </w:r>
            <w:r w:rsidRPr="00A22424">
              <w:rPr>
                <w:rFonts w:eastAsia="Calibri"/>
              </w:rPr>
              <w:t>- Child 2 to &lt; 6 years old</w:t>
            </w:r>
          </w:p>
        </w:tc>
        <w:tc>
          <w:tcPr>
            <w:tcW w:w="2507" w:type="pct"/>
            <w:shd w:val="clear" w:color="auto" w:fill="auto"/>
            <w:tcMar>
              <w:top w:w="57" w:type="dxa"/>
              <w:bottom w:w="57" w:type="dxa"/>
            </w:tcMar>
          </w:tcPr>
          <w:p w14:paraId="7933B91E" w14:textId="77777777" w:rsidR="00643CC1" w:rsidRPr="005D7417" w:rsidRDefault="00643CC1" w:rsidP="00CC3AED">
            <w:pPr>
              <w:pStyle w:val="Standaard-Tabellen"/>
              <w:rPr>
                <w:rFonts w:eastAsia="Calibri"/>
              </w:rPr>
            </w:pPr>
            <w:r w:rsidRPr="000B65BB">
              <w:rPr>
                <w:rFonts w:eastAsia="Calibri"/>
              </w:rPr>
              <w:t>Number of application / day</w:t>
            </w:r>
            <w:r>
              <w:rPr>
                <w:rFonts w:eastAsia="Calibri"/>
                <w:vertAlign w:val="superscript"/>
              </w:rPr>
              <w:t>2</w:t>
            </w:r>
          </w:p>
        </w:tc>
        <w:tc>
          <w:tcPr>
            <w:tcW w:w="654" w:type="pct"/>
            <w:shd w:val="clear" w:color="auto" w:fill="auto"/>
            <w:tcMar>
              <w:top w:w="57" w:type="dxa"/>
              <w:bottom w:w="57" w:type="dxa"/>
            </w:tcMar>
          </w:tcPr>
          <w:p w14:paraId="5051BEAA" w14:textId="77777777" w:rsidR="00643CC1" w:rsidRDefault="00643CC1" w:rsidP="00CC3AED">
            <w:pPr>
              <w:pStyle w:val="Standaard-Tabellen"/>
              <w:rPr>
                <w:rFonts w:eastAsia="Calibri"/>
              </w:rPr>
            </w:pPr>
            <w:r>
              <w:rPr>
                <w:rFonts w:eastAsia="Calibri"/>
              </w:rPr>
              <w:t>1</w:t>
            </w:r>
          </w:p>
        </w:tc>
      </w:tr>
      <w:tr w:rsidR="00643CC1" w:rsidRPr="00071DE1" w14:paraId="79CE76A9" w14:textId="77777777" w:rsidTr="00CC3AED">
        <w:trPr>
          <w:tblHeader/>
        </w:trPr>
        <w:tc>
          <w:tcPr>
            <w:tcW w:w="1839" w:type="pct"/>
            <w:tcMar>
              <w:top w:w="57" w:type="dxa"/>
              <w:bottom w:w="57" w:type="dxa"/>
            </w:tcMar>
          </w:tcPr>
          <w:p w14:paraId="562079DF" w14:textId="77777777" w:rsidR="00643CC1" w:rsidRPr="00A22424" w:rsidRDefault="00643CC1" w:rsidP="00CC3AED">
            <w:pPr>
              <w:pStyle w:val="Standaard-Tabellen"/>
              <w:rPr>
                <w:rFonts w:eastAsia="Calibri"/>
              </w:rPr>
            </w:pPr>
            <w:r w:rsidRPr="001E42A4">
              <w:rPr>
                <w:rFonts w:eastAsia="Calibri"/>
              </w:rPr>
              <w:t xml:space="preserve">Tier </w:t>
            </w:r>
            <w:r>
              <w:rPr>
                <w:rFonts w:eastAsia="Calibri"/>
              </w:rPr>
              <w:t>2</w:t>
            </w:r>
            <w:r w:rsidRPr="001E42A4">
              <w:rPr>
                <w:rFonts w:eastAsia="Calibri"/>
              </w:rPr>
              <w:t>- Toddler</w:t>
            </w:r>
          </w:p>
        </w:tc>
        <w:tc>
          <w:tcPr>
            <w:tcW w:w="2507" w:type="pct"/>
            <w:shd w:val="clear" w:color="auto" w:fill="auto"/>
            <w:tcMar>
              <w:top w:w="57" w:type="dxa"/>
              <w:bottom w:w="57" w:type="dxa"/>
            </w:tcMar>
          </w:tcPr>
          <w:p w14:paraId="36F03CD9" w14:textId="77777777" w:rsidR="00643CC1" w:rsidRPr="000B65BB" w:rsidRDefault="00643CC1" w:rsidP="00CC3AED">
            <w:pPr>
              <w:pStyle w:val="Standaard-Tabellen"/>
              <w:rPr>
                <w:rFonts w:eastAsia="Calibri"/>
              </w:rPr>
            </w:pPr>
            <w:r w:rsidRPr="000B65BB">
              <w:rPr>
                <w:rFonts w:eastAsia="Calibri"/>
              </w:rPr>
              <w:t>Number of application / day</w:t>
            </w:r>
            <w:r>
              <w:rPr>
                <w:rFonts w:eastAsia="Calibri"/>
                <w:vertAlign w:val="superscript"/>
              </w:rPr>
              <w:t>2</w:t>
            </w:r>
          </w:p>
        </w:tc>
        <w:tc>
          <w:tcPr>
            <w:tcW w:w="654" w:type="pct"/>
            <w:shd w:val="clear" w:color="auto" w:fill="auto"/>
            <w:tcMar>
              <w:top w:w="57" w:type="dxa"/>
              <w:bottom w:w="57" w:type="dxa"/>
            </w:tcMar>
          </w:tcPr>
          <w:p w14:paraId="395B2CB2" w14:textId="77777777" w:rsidR="00643CC1" w:rsidRDefault="00643CC1" w:rsidP="00CC3AED">
            <w:pPr>
              <w:pStyle w:val="Standaard-Tabellen"/>
              <w:rPr>
                <w:rFonts w:eastAsia="Calibri"/>
              </w:rPr>
            </w:pPr>
            <w:r>
              <w:rPr>
                <w:rFonts w:eastAsia="Calibri"/>
              </w:rPr>
              <w:t>1</w:t>
            </w:r>
          </w:p>
        </w:tc>
      </w:tr>
      <w:tr w:rsidR="00643CC1" w:rsidRPr="00071DE1" w14:paraId="39C9E02D" w14:textId="77777777" w:rsidTr="00CC3AED">
        <w:trPr>
          <w:tblHeader/>
        </w:trPr>
        <w:tc>
          <w:tcPr>
            <w:tcW w:w="1839" w:type="pct"/>
            <w:tcMar>
              <w:top w:w="57" w:type="dxa"/>
              <w:bottom w:w="57" w:type="dxa"/>
            </w:tcMar>
          </w:tcPr>
          <w:p w14:paraId="00AB34F9" w14:textId="77777777" w:rsidR="00643CC1" w:rsidRPr="00A22424" w:rsidRDefault="00643CC1" w:rsidP="00CC3AED">
            <w:pPr>
              <w:pStyle w:val="Standaard-Tabellen"/>
              <w:rPr>
                <w:rFonts w:eastAsia="Calibri"/>
              </w:rPr>
            </w:pPr>
            <w:r>
              <w:rPr>
                <w:rFonts w:eastAsia="Calibri"/>
              </w:rPr>
              <w:t>Tier 2</w:t>
            </w:r>
            <w:r w:rsidRPr="001E42A4">
              <w:rPr>
                <w:rFonts w:eastAsia="Calibri"/>
              </w:rPr>
              <w:t>- Infant</w:t>
            </w:r>
          </w:p>
        </w:tc>
        <w:tc>
          <w:tcPr>
            <w:tcW w:w="2507" w:type="pct"/>
            <w:shd w:val="clear" w:color="auto" w:fill="auto"/>
            <w:tcMar>
              <w:top w:w="57" w:type="dxa"/>
              <w:bottom w:w="57" w:type="dxa"/>
            </w:tcMar>
          </w:tcPr>
          <w:p w14:paraId="431BE66F" w14:textId="77777777" w:rsidR="00643CC1" w:rsidRPr="000B65BB" w:rsidRDefault="00643CC1" w:rsidP="00CC3AED">
            <w:pPr>
              <w:pStyle w:val="Standaard-Tabellen"/>
              <w:rPr>
                <w:rFonts w:eastAsia="Calibri"/>
              </w:rPr>
            </w:pPr>
            <w:r w:rsidRPr="000B65BB">
              <w:rPr>
                <w:rFonts w:eastAsia="Calibri"/>
              </w:rPr>
              <w:t>Number of application / day</w:t>
            </w:r>
            <w:r>
              <w:rPr>
                <w:rFonts w:eastAsia="Calibri"/>
                <w:vertAlign w:val="superscript"/>
              </w:rPr>
              <w:t>2</w:t>
            </w:r>
          </w:p>
        </w:tc>
        <w:tc>
          <w:tcPr>
            <w:tcW w:w="654" w:type="pct"/>
            <w:shd w:val="clear" w:color="auto" w:fill="auto"/>
            <w:tcMar>
              <w:top w:w="57" w:type="dxa"/>
              <w:bottom w:w="57" w:type="dxa"/>
            </w:tcMar>
          </w:tcPr>
          <w:p w14:paraId="20641016" w14:textId="77777777" w:rsidR="00643CC1" w:rsidRDefault="00643CC1" w:rsidP="00CC3AED">
            <w:pPr>
              <w:pStyle w:val="Standaard-Tabellen"/>
              <w:rPr>
                <w:rFonts w:eastAsia="Calibri"/>
              </w:rPr>
            </w:pPr>
            <w:r>
              <w:rPr>
                <w:rFonts w:eastAsia="Calibri"/>
              </w:rPr>
              <w:t>1</w:t>
            </w:r>
          </w:p>
        </w:tc>
      </w:tr>
      <w:tr w:rsidR="00643CC1" w:rsidRPr="00071DE1" w14:paraId="31AB92F4" w14:textId="77777777" w:rsidTr="00CC3AED">
        <w:trPr>
          <w:tblHeader/>
        </w:trPr>
        <w:tc>
          <w:tcPr>
            <w:tcW w:w="1839" w:type="pct"/>
            <w:tcMar>
              <w:top w:w="57" w:type="dxa"/>
              <w:bottom w:w="57" w:type="dxa"/>
            </w:tcMar>
          </w:tcPr>
          <w:p w14:paraId="10AA036E" w14:textId="77777777" w:rsidR="00643CC1" w:rsidRPr="00071DE1" w:rsidRDefault="00643CC1" w:rsidP="00CC3AED">
            <w:pPr>
              <w:pStyle w:val="Standaard-Tabellen"/>
              <w:rPr>
                <w:rFonts w:eastAsia="Calibri"/>
              </w:rPr>
            </w:pPr>
            <w:r w:rsidRPr="000B65BB">
              <w:rPr>
                <w:rFonts w:eastAsia="Calibri"/>
              </w:rPr>
              <w:t xml:space="preserve">Tier </w:t>
            </w:r>
            <w:r>
              <w:rPr>
                <w:rFonts w:eastAsia="Calibri"/>
              </w:rPr>
              <w:t>3</w:t>
            </w:r>
            <w:r w:rsidRPr="000B65BB">
              <w:rPr>
                <w:rFonts w:eastAsia="Calibri"/>
              </w:rPr>
              <w:t>- Adult</w:t>
            </w:r>
          </w:p>
        </w:tc>
        <w:tc>
          <w:tcPr>
            <w:tcW w:w="2507" w:type="pct"/>
            <w:shd w:val="clear" w:color="auto" w:fill="auto"/>
            <w:tcMar>
              <w:top w:w="57" w:type="dxa"/>
              <w:bottom w:w="57" w:type="dxa"/>
            </w:tcMar>
          </w:tcPr>
          <w:p w14:paraId="655247B5" w14:textId="77777777" w:rsidR="00643CC1" w:rsidRPr="005D7417" w:rsidRDefault="00643CC1" w:rsidP="00CC3AED">
            <w:pPr>
              <w:pStyle w:val="Standaard-Tabellen"/>
              <w:rPr>
                <w:rFonts w:eastAsia="Calibri"/>
              </w:rPr>
            </w:pPr>
            <w:r w:rsidRPr="000B65BB">
              <w:rPr>
                <w:rFonts w:eastAsia="Calibri"/>
              </w:rPr>
              <w:t>Number of application / day</w:t>
            </w:r>
            <w:r>
              <w:rPr>
                <w:rFonts w:eastAsia="Calibri"/>
                <w:vertAlign w:val="superscript"/>
              </w:rPr>
              <w:t>3</w:t>
            </w:r>
          </w:p>
        </w:tc>
        <w:tc>
          <w:tcPr>
            <w:tcW w:w="654" w:type="pct"/>
            <w:shd w:val="clear" w:color="auto" w:fill="auto"/>
            <w:tcMar>
              <w:top w:w="57" w:type="dxa"/>
              <w:bottom w:w="57" w:type="dxa"/>
            </w:tcMar>
          </w:tcPr>
          <w:p w14:paraId="2095E62A" w14:textId="77777777" w:rsidR="00643CC1" w:rsidRDefault="00643CC1" w:rsidP="00CC3AED">
            <w:pPr>
              <w:pStyle w:val="Standaard-Tabellen"/>
              <w:rPr>
                <w:rFonts w:eastAsia="Calibri"/>
              </w:rPr>
            </w:pPr>
            <w:r>
              <w:rPr>
                <w:rFonts w:eastAsia="Calibri"/>
              </w:rPr>
              <w:t>2</w:t>
            </w:r>
          </w:p>
        </w:tc>
      </w:tr>
      <w:tr w:rsidR="00643CC1" w:rsidRPr="00071DE1" w14:paraId="6EA7ABCE" w14:textId="77777777" w:rsidTr="00CC3AED">
        <w:trPr>
          <w:tblHeader/>
        </w:trPr>
        <w:tc>
          <w:tcPr>
            <w:tcW w:w="1839" w:type="pct"/>
            <w:tcMar>
              <w:top w:w="57" w:type="dxa"/>
              <w:bottom w:w="57" w:type="dxa"/>
            </w:tcMar>
          </w:tcPr>
          <w:p w14:paraId="1E316F3D" w14:textId="77777777" w:rsidR="00643CC1" w:rsidRPr="00071DE1" w:rsidRDefault="00643CC1" w:rsidP="00CC3AED">
            <w:pPr>
              <w:pStyle w:val="Standaard-Tabellen"/>
              <w:rPr>
                <w:rFonts w:eastAsia="Calibri"/>
              </w:rPr>
            </w:pPr>
            <w:r w:rsidRPr="001E42A4">
              <w:rPr>
                <w:rFonts w:eastAsia="Calibri"/>
              </w:rPr>
              <w:t xml:space="preserve">Tier </w:t>
            </w:r>
            <w:r>
              <w:rPr>
                <w:rFonts w:eastAsia="Calibri"/>
              </w:rPr>
              <w:t>3</w:t>
            </w:r>
            <w:r w:rsidRPr="001E42A4">
              <w:rPr>
                <w:rFonts w:eastAsia="Calibri"/>
              </w:rPr>
              <w:t>- Child 6 to &lt; 12 years old</w:t>
            </w:r>
          </w:p>
        </w:tc>
        <w:tc>
          <w:tcPr>
            <w:tcW w:w="2507" w:type="pct"/>
            <w:shd w:val="clear" w:color="auto" w:fill="auto"/>
            <w:tcMar>
              <w:top w:w="57" w:type="dxa"/>
              <w:bottom w:w="57" w:type="dxa"/>
            </w:tcMar>
          </w:tcPr>
          <w:p w14:paraId="69852D68" w14:textId="77777777" w:rsidR="00643CC1" w:rsidRPr="005D7417" w:rsidRDefault="00643CC1" w:rsidP="00CC3AED">
            <w:pPr>
              <w:pStyle w:val="Standaard-Tabellen"/>
              <w:rPr>
                <w:rFonts w:eastAsia="Calibri"/>
              </w:rPr>
            </w:pPr>
            <w:r w:rsidRPr="000B65BB">
              <w:rPr>
                <w:rFonts w:eastAsia="Calibri"/>
              </w:rPr>
              <w:t>Number of application / day</w:t>
            </w:r>
            <w:r>
              <w:rPr>
                <w:rFonts w:eastAsia="Calibri"/>
                <w:vertAlign w:val="superscript"/>
              </w:rPr>
              <w:t>3</w:t>
            </w:r>
          </w:p>
        </w:tc>
        <w:tc>
          <w:tcPr>
            <w:tcW w:w="654" w:type="pct"/>
            <w:shd w:val="clear" w:color="auto" w:fill="auto"/>
            <w:tcMar>
              <w:top w:w="57" w:type="dxa"/>
              <w:bottom w:w="57" w:type="dxa"/>
            </w:tcMar>
          </w:tcPr>
          <w:p w14:paraId="352BDC1A" w14:textId="77777777" w:rsidR="00643CC1" w:rsidRDefault="00643CC1" w:rsidP="00CC3AED">
            <w:pPr>
              <w:pStyle w:val="Standaard-Tabellen"/>
              <w:rPr>
                <w:rFonts w:eastAsia="Calibri"/>
              </w:rPr>
            </w:pPr>
            <w:r>
              <w:rPr>
                <w:rFonts w:eastAsia="Calibri"/>
              </w:rPr>
              <w:t>1</w:t>
            </w:r>
          </w:p>
        </w:tc>
      </w:tr>
    </w:tbl>
    <w:p w14:paraId="3177004A" w14:textId="77777777" w:rsidR="00643CC1" w:rsidRPr="000B65BB" w:rsidRDefault="00643CC1" w:rsidP="00643CC1">
      <w:pPr>
        <w:pStyle w:val="Voetnoot"/>
        <w:rPr>
          <w:rFonts w:eastAsia="Calibri"/>
        </w:rPr>
      </w:pPr>
      <w:r w:rsidRPr="000B65BB">
        <w:rPr>
          <w:rStyle w:val="Appelnotedebasdep"/>
          <w:rFonts w:eastAsia="Calibri"/>
          <w:position w:val="4"/>
          <w:vertAlign w:val="superscript"/>
        </w:rPr>
        <w:t>1</w:t>
      </w:r>
      <w:r w:rsidRPr="000B65BB">
        <w:rPr>
          <w:rStyle w:val="Appelnotedebasdep"/>
          <w:rFonts w:eastAsia="Calibri"/>
          <w:position w:val="4"/>
        </w:rPr>
        <w:t xml:space="preserve"> </w:t>
      </w:r>
      <w:r w:rsidRPr="000B65BB">
        <w:rPr>
          <w:rFonts w:eastAsia="Calibri"/>
        </w:rPr>
        <w:t>General information, see justification above</w:t>
      </w:r>
    </w:p>
    <w:p w14:paraId="3D52D380" w14:textId="77777777" w:rsidR="00643CC1" w:rsidRDefault="00643CC1" w:rsidP="00643CC1">
      <w:pPr>
        <w:spacing w:before="0" w:after="0"/>
        <w:ind w:left="170" w:hanging="170"/>
        <w:rPr>
          <w:rFonts w:eastAsia="Calibri"/>
          <w:position w:val="4"/>
          <w:sz w:val="16"/>
          <w:szCs w:val="16"/>
        </w:rPr>
      </w:pPr>
      <w:r w:rsidRPr="00BA55D2">
        <w:rPr>
          <w:rFonts w:eastAsia="Calibri"/>
          <w:position w:val="4"/>
          <w:sz w:val="16"/>
          <w:szCs w:val="16"/>
          <w:vertAlign w:val="superscript"/>
        </w:rPr>
        <w:t>2</w:t>
      </w:r>
      <w:r w:rsidRPr="00BA55D2">
        <w:rPr>
          <w:rFonts w:eastAsia="Calibri"/>
          <w:position w:val="4"/>
          <w:sz w:val="16"/>
          <w:szCs w:val="16"/>
        </w:rPr>
        <w:t xml:space="preserve"> Limitation of the exposure</w:t>
      </w:r>
    </w:p>
    <w:p w14:paraId="2D88AD51" w14:textId="77777777" w:rsidR="00643CC1" w:rsidRPr="00BA55D2" w:rsidRDefault="00643CC1" w:rsidP="00643CC1">
      <w:pPr>
        <w:spacing w:before="0" w:after="0"/>
        <w:ind w:left="170" w:hanging="170"/>
        <w:rPr>
          <w:rFonts w:eastAsia="Calibri"/>
          <w:position w:val="4"/>
          <w:sz w:val="16"/>
          <w:szCs w:val="16"/>
        </w:rPr>
      </w:pPr>
      <w:r>
        <w:rPr>
          <w:rFonts w:eastAsia="Calibri"/>
          <w:position w:val="4"/>
          <w:sz w:val="16"/>
          <w:szCs w:val="16"/>
          <w:vertAlign w:val="superscript"/>
        </w:rPr>
        <w:t>3</w:t>
      </w:r>
      <w:r w:rsidRPr="00BA55D2">
        <w:rPr>
          <w:rFonts w:eastAsia="Calibri"/>
          <w:position w:val="4"/>
          <w:sz w:val="16"/>
          <w:szCs w:val="16"/>
        </w:rPr>
        <w:t xml:space="preserve"> Limitation of the exposure</w:t>
      </w:r>
      <w:r>
        <w:rPr>
          <w:rFonts w:eastAsia="Calibri"/>
          <w:position w:val="4"/>
          <w:sz w:val="16"/>
          <w:szCs w:val="16"/>
        </w:rPr>
        <w:t xml:space="preserve"> </w:t>
      </w:r>
      <w:r w:rsidRPr="0061292B">
        <w:rPr>
          <w:rFonts w:eastAsia="Calibri"/>
          <w:position w:val="4"/>
          <w:sz w:val="16"/>
          <w:szCs w:val="16"/>
        </w:rPr>
        <w:t>(to the maximum safe use)</w:t>
      </w:r>
      <w:r>
        <w:rPr>
          <w:rFonts w:eastAsia="Calibri"/>
          <w:position w:val="4"/>
          <w:sz w:val="16"/>
          <w:szCs w:val="16"/>
        </w:rPr>
        <w:t xml:space="preserve"> </w:t>
      </w:r>
    </w:p>
    <w:p w14:paraId="6F6DD1C4" w14:textId="77777777" w:rsidR="00643CC1" w:rsidRPr="00FA0BAC" w:rsidRDefault="00643CC1" w:rsidP="00643CC1">
      <w:pPr>
        <w:pStyle w:val="Voetnoot"/>
        <w:rPr>
          <w:rFonts w:eastAsia="Calibri"/>
        </w:rPr>
      </w:pPr>
    </w:p>
    <w:p w14:paraId="63154822" w14:textId="77777777" w:rsidR="00643CC1" w:rsidRPr="00332AD5" w:rsidRDefault="00643CC1" w:rsidP="00643CC1">
      <w:pPr>
        <w:pStyle w:val="Voetnoot"/>
        <w:rPr>
          <w:rStyle w:val="Appelnotedebasdep"/>
          <w:rFonts w:eastAsia="Calibri"/>
        </w:rPr>
      </w:pPr>
    </w:p>
    <w:p w14:paraId="427D2AFA" w14:textId="77777777" w:rsidR="00643CC1" w:rsidRPr="00586AC3" w:rsidRDefault="00643CC1" w:rsidP="00643CC1">
      <w:pPr>
        <w:pStyle w:val="Titre8"/>
      </w:pPr>
      <w:r w:rsidRPr="00586AC3">
        <w:t>Calculations for scenario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70"/>
        <w:gridCol w:w="1607"/>
        <w:gridCol w:w="4119"/>
      </w:tblGrid>
      <w:tr w:rsidR="00643CC1" w:rsidRPr="00586AC3" w14:paraId="638FF1DA" w14:textId="77777777" w:rsidTr="00CC3AED">
        <w:trPr>
          <w:cantSplit/>
          <w:trHeight w:val="293"/>
          <w:tblHeader/>
        </w:trPr>
        <w:tc>
          <w:tcPr>
            <w:tcW w:w="5000" w:type="pct"/>
            <w:gridSpan w:val="3"/>
            <w:shd w:val="clear" w:color="auto" w:fill="FFFFCC"/>
          </w:tcPr>
          <w:p w14:paraId="56E67E81" w14:textId="77777777" w:rsidR="00643CC1" w:rsidRPr="00586AC3" w:rsidRDefault="00643CC1" w:rsidP="00CC3AED">
            <w:pPr>
              <w:pStyle w:val="Standaard-Tabellen"/>
              <w:rPr>
                <w:rFonts w:eastAsia="Calibri"/>
                <w:b/>
              </w:rPr>
            </w:pPr>
            <w:r w:rsidRPr="00586AC3">
              <w:rPr>
                <w:rFonts w:eastAsia="Calibri"/>
                <w:b/>
              </w:rPr>
              <w:t>Summary table: estimated exposure for Dermal Primary exposure</w:t>
            </w:r>
          </w:p>
        </w:tc>
      </w:tr>
      <w:tr w:rsidR="00643CC1" w:rsidRPr="00586AC3" w14:paraId="28EF89A2" w14:textId="77777777" w:rsidTr="00CC3AED">
        <w:trPr>
          <w:cantSplit/>
          <w:trHeight w:val="444"/>
          <w:tblHeader/>
        </w:trPr>
        <w:tc>
          <w:tcPr>
            <w:tcW w:w="1953" w:type="pct"/>
            <w:shd w:val="clear" w:color="auto" w:fill="BFBFBF" w:themeFill="background1" w:themeFillShade="BF"/>
          </w:tcPr>
          <w:p w14:paraId="243E33FB" w14:textId="77777777" w:rsidR="00643CC1" w:rsidRPr="00586AC3" w:rsidRDefault="00643CC1" w:rsidP="00CC3AED">
            <w:pPr>
              <w:pStyle w:val="Standaard-Tabellen"/>
              <w:rPr>
                <w:rFonts w:eastAsia="Calibri"/>
                <w:b/>
              </w:rPr>
            </w:pPr>
            <w:r w:rsidRPr="00586AC3">
              <w:rPr>
                <w:rFonts w:eastAsia="Calibri"/>
                <w:b/>
              </w:rPr>
              <w:t>Exposure scenario</w:t>
            </w:r>
          </w:p>
        </w:tc>
        <w:tc>
          <w:tcPr>
            <w:tcW w:w="855" w:type="pct"/>
            <w:shd w:val="clear" w:color="auto" w:fill="BFBFBF" w:themeFill="background1" w:themeFillShade="BF"/>
          </w:tcPr>
          <w:p w14:paraId="015CDA5C" w14:textId="77777777" w:rsidR="00643CC1" w:rsidRPr="00586AC3" w:rsidRDefault="00643CC1" w:rsidP="00CC3AED">
            <w:pPr>
              <w:pStyle w:val="Standaard-Tabellen"/>
              <w:rPr>
                <w:rFonts w:eastAsia="Calibri"/>
                <w:b/>
              </w:rPr>
            </w:pPr>
            <w:r w:rsidRPr="00586AC3">
              <w:rPr>
                <w:rFonts w:eastAsia="Calibri"/>
                <w:b/>
              </w:rPr>
              <w:t>Tier/PPE</w:t>
            </w:r>
          </w:p>
        </w:tc>
        <w:tc>
          <w:tcPr>
            <w:tcW w:w="2192" w:type="pct"/>
            <w:shd w:val="clear" w:color="auto" w:fill="BFBFBF" w:themeFill="background1" w:themeFillShade="BF"/>
          </w:tcPr>
          <w:p w14:paraId="6231BB69" w14:textId="77777777" w:rsidR="00643CC1" w:rsidRPr="00586AC3" w:rsidRDefault="00643CC1" w:rsidP="00CC3AED">
            <w:pPr>
              <w:pStyle w:val="Standaard-Tabellen"/>
              <w:rPr>
                <w:rFonts w:eastAsia="Calibri"/>
                <w:b/>
              </w:rPr>
            </w:pPr>
            <w:r w:rsidRPr="00586AC3">
              <w:rPr>
                <w:rFonts w:eastAsia="Calibri"/>
                <w:b/>
              </w:rPr>
              <w:t>Estimated dermal uptake</w:t>
            </w:r>
          </w:p>
        </w:tc>
      </w:tr>
      <w:tr w:rsidR="00643CC1" w:rsidRPr="00FD2055" w14:paraId="42544B1E" w14:textId="77777777" w:rsidTr="00CC3AED">
        <w:trPr>
          <w:cantSplit/>
          <w:trHeight w:val="587"/>
          <w:tblHeader/>
        </w:trPr>
        <w:tc>
          <w:tcPr>
            <w:tcW w:w="1953" w:type="pct"/>
            <w:shd w:val="clear" w:color="auto" w:fill="auto"/>
            <w:vAlign w:val="center"/>
          </w:tcPr>
          <w:p w14:paraId="087FCCAB" w14:textId="77777777" w:rsidR="00643CC1" w:rsidRPr="00CF46C5" w:rsidRDefault="00643CC1" w:rsidP="00CC3AED">
            <w:pPr>
              <w:pStyle w:val="Standaard-Tabellen"/>
              <w:rPr>
                <w:rFonts w:eastAsia="Calibri"/>
              </w:rPr>
            </w:pPr>
            <w:r w:rsidRPr="00CF46C5">
              <w:rPr>
                <w:rFonts w:eastAsia="Calibri"/>
              </w:rPr>
              <w:t>Scenario 1 – ADULT</w:t>
            </w:r>
          </w:p>
          <w:p w14:paraId="29DB742B" w14:textId="77777777" w:rsidR="00643CC1" w:rsidRPr="00FD2055" w:rsidRDefault="00643CC1" w:rsidP="00CC3AED">
            <w:pPr>
              <w:pStyle w:val="Standaard-Tabellen"/>
              <w:rPr>
                <w:rFonts w:eastAsia="Calibri"/>
              </w:rPr>
            </w:pPr>
            <w:r>
              <w:rPr>
                <w:rFonts w:eastAsia="Calibri"/>
              </w:rPr>
              <w:t>7</w:t>
            </w:r>
            <w:r w:rsidRPr="00CF46C5">
              <w:rPr>
                <w:rFonts w:eastAsia="Calibri"/>
              </w:rPr>
              <w:t xml:space="preserve"> applications/day</w:t>
            </w:r>
          </w:p>
        </w:tc>
        <w:tc>
          <w:tcPr>
            <w:tcW w:w="855" w:type="pct"/>
            <w:vAlign w:val="center"/>
          </w:tcPr>
          <w:p w14:paraId="63046A5D" w14:textId="77777777" w:rsidR="00643CC1" w:rsidRPr="00CF46C5" w:rsidRDefault="00643CC1" w:rsidP="00CC3AED">
            <w:pPr>
              <w:pStyle w:val="Standaard-Tabellen"/>
              <w:rPr>
                <w:rFonts w:eastAsia="Calibri"/>
              </w:rPr>
            </w:pPr>
            <w:r w:rsidRPr="00CF46C5">
              <w:rPr>
                <w:rFonts w:eastAsia="Calibri"/>
              </w:rPr>
              <w:t>Tier 1 /</w:t>
            </w:r>
          </w:p>
          <w:p w14:paraId="3B715C55" w14:textId="77777777" w:rsidR="00643CC1" w:rsidRDefault="00643CC1" w:rsidP="00CC3AED">
            <w:pPr>
              <w:pStyle w:val="Standaard-Tabellen"/>
              <w:rPr>
                <w:rFonts w:eastAsia="Calibri"/>
              </w:rPr>
            </w:pPr>
            <w:r w:rsidRPr="00CF46C5">
              <w:rPr>
                <w:rFonts w:eastAsia="Calibri"/>
              </w:rPr>
              <w:t>no PPE</w:t>
            </w:r>
          </w:p>
        </w:tc>
        <w:tc>
          <w:tcPr>
            <w:tcW w:w="2192" w:type="pct"/>
            <w:vAlign w:val="center"/>
          </w:tcPr>
          <w:p w14:paraId="06F00DF6" w14:textId="77777777" w:rsidR="00643CC1" w:rsidRPr="00570A64" w:rsidRDefault="00643CC1" w:rsidP="00CC3AED">
            <w:pPr>
              <w:pStyle w:val="Standaard-Tabellen"/>
              <w:rPr>
                <w:rFonts w:cs="Arial"/>
              </w:rPr>
            </w:pPr>
            <w:r>
              <w:rPr>
                <w:rFonts w:cs="Arial"/>
              </w:rPr>
              <w:t xml:space="preserve">14.91 </w:t>
            </w:r>
            <w:r w:rsidRPr="00EB3DC0">
              <w:rPr>
                <w:rFonts w:cs="Arial"/>
              </w:rPr>
              <w:t xml:space="preserve">mg/kg </w:t>
            </w:r>
            <w:proofErr w:type="spellStart"/>
            <w:r w:rsidRPr="00EB3DC0">
              <w:rPr>
                <w:rFonts w:cs="Arial"/>
              </w:rPr>
              <w:t>bw</w:t>
            </w:r>
            <w:proofErr w:type="spellEnd"/>
            <w:r w:rsidRPr="00EB3DC0">
              <w:rPr>
                <w:rFonts w:cs="Arial"/>
              </w:rPr>
              <w:t>/day</w:t>
            </w:r>
          </w:p>
        </w:tc>
      </w:tr>
      <w:tr w:rsidR="00643CC1" w:rsidRPr="00FD2055" w14:paraId="4BA680F7" w14:textId="77777777" w:rsidTr="00CC3AED">
        <w:trPr>
          <w:cantSplit/>
          <w:trHeight w:val="435"/>
          <w:tblHeader/>
        </w:trPr>
        <w:tc>
          <w:tcPr>
            <w:tcW w:w="1953" w:type="pct"/>
            <w:shd w:val="clear" w:color="auto" w:fill="auto"/>
            <w:vAlign w:val="center"/>
          </w:tcPr>
          <w:p w14:paraId="36D292F1" w14:textId="77777777" w:rsidR="00643CC1" w:rsidRPr="00CF46C5" w:rsidRDefault="00643CC1" w:rsidP="00CC3AED">
            <w:pPr>
              <w:pStyle w:val="Standaard-Tabellen"/>
              <w:rPr>
                <w:rFonts w:eastAsia="Calibri"/>
              </w:rPr>
            </w:pPr>
            <w:r w:rsidRPr="00CF46C5">
              <w:rPr>
                <w:rFonts w:eastAsia="Calibri"/>
              </w:rPr>
              <w:t>Scenario 1 – CHILD</w:t>
            </w:r>
            <w:r>
              <w:rPr>
                <w:rFonts w:eastAsia="Calibri"/>
              </w:rPr>
              <w:t xml:space="preserve"> (6-12)</w:t>
            </w:r>
          </w:p>
          <w:p w14:paraId="475C079C" w14:textId="77777777" w:rsidR="00643CC1" w:rsidRPr="00FD2055" w:rsidRDefault="00643CC1" w:rsidP="00CC3AED">
            <w:pPr>
              <w:pStyle w:val="Standaard-Tabellen"/>
              <w:rPr>
                <w:rFonts w:eastAsia="Calibri"/>
              </w:rPr>
            </w:pPr>
            <w:r>
              <w:rPr>
                <w:rFonts w:eastAsia="Calibri"/>
              </w:rPr>
              <w:t>4</w:t>
            </w:r>
            <w:r w:rsidRPr="00CF46C5">
              <w:rPr>
                <w:rFonts w:eastAsia="Calibri"/>
              </w:rPr>
              <w:t xml:space="preserve"> applications/day</w:t>
            </w:r>
          </w:p>
        </w:tc>
        <w:tc>
          <w:tcPr>
            <w:tcW w:w="855" w:type="pct"/>
            <w:vAlign w:val="center"/>
          </w:tcPr>
          <w:p w14:paraId="309CC044" w14:textId="77777777" w:rsidR="00643CC1" w:rsidRPr="00CF46C5" w:rsidRDefault="00643CC1" w:rsidP="00CC3AED">
            <w:pPr>
              <w:pStyle w:val="Standaard-Tabellen"/>
              <w:rPr>
                <w:rFonts w:eastAsia="Calibri"/>
              </w:rPr>
            </w:pPr>
            <w:r w:rsidRPr="00CF46C5">
              <w:rPr>
                <w:rFonts w:eastAsia="Calibri"/>
              </w:rPr>
              <w:t>Tier 1 /</w:t>
            </w:r>
          </w:p>
          <w:p w14:paraId="0888CD51" w14:textId="77777777" w:rsidR="00643CC1" w:rsidRPr="00B41694" w:rsidRDefault="00643CC1" w:rsidP="00CC3AED">
            <w:pPr>
              <w:pStyle w:val="Standaard-Tabellen"/>
              <w:rPr>
                <w:rFonts w:eastAsia="Calibri"/>
              </w:rPr>
            </w:pPr>
            <w:r w:rsidRPr="00CF46C5">
              <w:rPr>
                <w:rFonts w:eastAsia="Calibri"/>
              </w:rPr>
              <w:t>no PPE</w:t>
            </w:r>
          </w:p>
        </w:tc>
        <w:tc>
          <w:tcPr>
            <w:tcW w:w="2192" w:type="pct"/>
            <w:vAlign w:val="center"/>
          </w:tcPr>
          <w:p w14:paraId="03396363" w14:textId="77777777" w:rsidR="00643CC1" w:rsidRPr="00570A64" w:rsidRDefault="00643CC1" w:rsidP="00CC3AED">
            <w:pPr>
              <w:pStyle w:val="Standaard-Tabellen"/>
              <w:rPr>
                <w:rFonts w:cs="Arial"/>
              </w:rPr>
            </w:pPr>
            <w:r>
              <w:rPr>
                <w:rFonts w:cs="Arial"/>
              </w:rPr>
              <w:t>11.86</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643CC1" w:rsidRPr="00FD2055" w14:paraId="6E99EAA4" w14:textId="77777777" w:rsidTr="00CC3AED">
        <w:trPr>
          <w:cantSplit/>
          <w:trHeight w:val="595"/>
          <w:tblHeader/>
        </w:trPr>
        <w:tc>
          <w:tcPr>
            <w:tcW w:w="1953" w:type="pct"/>
            <w:shd w:val="clear" w:color="auto" w:fill="auto"/>
            <w:vAlign w:val="center"/>
          </w:tcPr>
          <w:p w14:paraId="4DAE5FD2" w14:textId="77777777" w:rsidR="00643CC1" w:rsidRPr="00CF46C5" w:rsidRDefault="00643CC1" w:rsidP="00CC3AED">
            <w:pPr>
              <w:pStyle w:val="Standaard-Tabellen"/>
              <w:rPr>
                <w:rFonts w:eastAsia="Calibri"/>
              </w:rPr>
            </w:pPr>
            <w:r w:rsidRPr="00CF46C5">
              <w:rPr>
                <w:rFonts w:eastAsia="Calibri"/>
              </w:rPr>
              <w:t>Scenario 1 – CHILD</w:t>
            </w:r>
            <w:r>
              <w:rPr>
                <w:rFonts w:eastAsia="Calibri"/>
              </w:rPr>
              <w:t xml:space="preserve"> (2-6)</w:t>
            </w:r>
          </w:p>
          <w:p w14:paraId="359ECED6" w14:textId="77777777" w:rsidR="00643CC1" w:rsidRPr="00FD2055" w:rsidRDefault="00643CC1" w:rsidP="00CC3AED">
            <w:pPr>
              <w:pStyle w:val="Standaard-Tabellen"/>
              <w:rPr>
                <w:rFonts w:eastAsia="Calibri"/>
              </w:rPr>
            </w:pPr>
            <w:r w:rsidRPr="00CF46C5">
              <w:rPr>
                <w:rFonts w:eastAsia="Calibri"/>
              </w:rPr>
              <w:t>2 applications/day</w:t>
            </w:r>
          </w:p>
        </w:tc>
        <w:tc>
          <w:tcPr>
            <w:tcW w:w="855" w:type="pct"/>
            <w:vAlign w:val="center"/>
          </w:tcPr>
          <w:p w14:paraId="2871AF86" w14:textId="77777777" w:rsidR="00643CC1" w:rsidRPr="00CF46C5" w:rsidRDefault="00643CC1" w:rsidP="00CC3AED">
            <w:pPr>
              <w:pStyle w:val="Standaard-Tabellen"/>
              <w:rPr>
                <w:rFonts w:eastAsia="Calibri"/>
              </w:rPr>
            </w:pPr>
            <w:r w:rsidRPr="00CF46C5">
              <w:rPr>
                <w:rFonts w:eastAsia="Calibri"/>
              </w:rPr>
              <w:t>Tier 1 /</w:t>
            </w:r>
          </w:p>
          <w:p w14:paraId="2C6781F8" w14:textId="77777777" w:rsidR="00643CC1" w:rsidRPr="00FD2055" w:rsidRDefault="00643CC1" w:rsidP="00CC3AED">
            <w:pPr>
              <w:pStyle w:val="Standaard-Tabellen"/>
              <w:rPr>
                <w:rFonts w:eastAsia="Calibri"/>
              </w:rPr>
            </w:pPr>
            <w:r w:rsidRPr="00CF46C5">
              <w:rPr>
                <w:rFonts w:eastAsia="Calibri"/>
              </w:rPr>
              <w:t>no PPE</w:t>
            </w:r>
          </w:p>
        </w:tc>
        <w:tc>
          <w:tcPr>
            <w:tcW w:w="2192" w:type="pct"/>
            <w:vAlign w:val="center"/>
          </w:tcPr>
          <w:p w14:paraId="19F1DC37" w14:textId="77777777" w:rsidR="00643CC1" w:rsidRPr="00570A64" w:rsidRDefault="00643CC1" w:rsidP="00CC3AED">
            <w:pPr>
              <w:pStyle w:val="Standaard-Tabellen"/>
              <w:rPr>
                <w:rFonts w:cs="Arial"/>
              </w:rPr>
            </w:pPr>
            <w:r>
              <w:rPr>
                <w:rFonts w:cs="Arial"/>
              </w:rPr>
              <w:t>6.71</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643CC1" w:rsidRPr="00FD2055" w14:paraId="721A6276" w14:textId="77777777" w:rsidTr="00CC3AED">
        <w:trPr>
          <w:cantSplit/>
          <w:trHeight w:val="595"/>
          <w:tblHeader/>
        </w:trPr>
        <w:tc>
          <w:tcPr>
            <w:tcW w:w="1953" w:type="pct"/>
            <w:shd w:val="clear" w:color="auto" w:fill="auto"/>
            <w:vAlign w:val="center"/>
          </w:tcPr>
          <w:p w14:paraId="21CB8C6B" w14:textId="77777777" w:rsidR="00643CC1" w:rsidRPr="00CF46C5" w:rsidRDefault="00643CC1" w:rsidP="00CC3AED">
            <w:pPr>
              <w:pStyle w:val="Standaard-Tabellen"/>
              <w:rPr>
                <w:rFonts w:eastAsia="Calibri"/>
              </w:rPr>
            </w:pPr>
            <w:r w:rsidRPr="00CF46C5">
              <w:rPr>
                <w:rFonts w:eastAsia="Calibri"/>
              </w:rPr>
              <w:t>Scenario 1 – TODDLER</w:t>
            </w:r>
          </w:p>
          <w:p w14:paraId="18D69BA5" w14:textId="77777777" w:rsidR="00643CC1" w:rsidRDefault="00643CC1" w:rsidP="00CC3AED">
            <w:pPr>
              <w:pStyle w:val="Standaard-Tabellen"/>
              <w:rPr>
                <w:rFonts w:eastAsia="Calibri"/>
              </w:rPr>
            </w:pPr>
            <w:r>
              <w:rPr>
                <w:rFonts w:eastAsia="Calibri"/>
              </w:rPr>
              <w:t>2</w:t>
            </w:r>
            <w:r w:rsidRPr="00CF46C5">
              <w:rPr>
                <w:rFonts w:eastAsia="Calibri"/>
              </w:rPr>
              <w:t xml:space="preserve"> application</w:t>
            </w:r>
            <w:r>
              <w:rPr>
                <w:rFonts w:eastAsia="Calibri"/>
              </w:rPr>
              <w:t>s</w:t>
            </w:r>
            <w:r w:rsidRPr="00CF46C5">
              <w:rPr>
                <w:rFonts w:eastAsia="Calibri"/>
              </w:rPr>
              <w:t>/day</w:t>
            </w:r>
          </w:p>
        </w:tc>
        <w:tc>
          <w:tcPr>
            <w:tcW w:w="855" w:type="pct"/>
            <w:vAlign w:val="center"/>
          </w:tcPr>
          <w:p w14:paraId="7C1DDA4F" w14:textId="77777777" w:rsidR="00643CC1" w:rsidRPr="00CF46C5" w:rsidRDefault="00643CC1" w:rsidP="00CC3AED">
            <w:pPr>
              <w:pStyle w:val="Standaard-Tabellen"/>
              <w:rPr>
                <w:rFonts w:eastAsia="Calibri"/>
              </w:rPr>
            </w:pPr>
            <w:r w:rsidRPr="00CF46C5">
              <w:rPr>
                <w:rFonts w:eastAsia="Calibri"/>
              </w:rPr>
              <w:t>Tier 1 /</w:t>
            </w:r>
          </w:p>
          <w:p w14:paraId="204D12F2" w14:textId="77777777" w:rsidR="00643CC1" w:rsidRPr="00B41694" w:rsidRDefault="00643CC1" w:rsidP="00CC3AED">
            <w:pPr>
              <w:pStyle w:val="Standaard-Tabellen"/>
              <w:rPr>
                <w:rFonts w:eastAsia="Calibri"/>
              </w:rPr>
            </w:pPr>
            <w:r w:rsidRPr="00CF46C5">
              <w:rPr>
                <w:rFonts w:eastAsia="Calibri"/>
              </w:rPr>
              <w:t>no PPE</w:t>
            </w:r>
          </w:p>
        </w:tc>
        <w:tc>
          <w:tcPr>
            <w:tcW w:w="2192" w:type="pct"/>
            <w:vAlign w:val="center"/>
          </w:tcPr>
          <w:p w14:paraId="47DC8656" w14:textId="77777777" w:rsidR="00643CC1" w:rsidRPr="00570A64" w:rsidRDefault="00643CC1" w:rsidP="00CC3AED">
            <w:pPr>
              <w:pStyle w:val="Standaard-Tabellen"/>
              <w:rPr>
                <w:rFonts w:cs="Arial"/>
              </w:rPr>
            </w:pPr>
            <w:r>
              <w:rPr>
                <w:rFonts w:cs="Arial"/>
              </w:rPr>
              <w:t>7.39</w:t>
            </w:r>
            <w:r w:rsidRPr="001E522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643CC1" w:rsidRPr="00FD2055" w14:paraId="64F222D8" w14:textId="77777777" w:rsidTr="00CC3AED">
        <w:trPr>
          <w:cantSplit/>
          <w:trHeight w:val="595"/>
          <w:tblHeader/>
        </w:trPr>
        <w:tc>
          <w:tcPr>
            <w:tcW w:w="1953" w:type="pct"/>
            <w:tcBorders>
              <w:bottom w:val="double" w:sz="4" w:space="0" w:color="auto"/>
            </w:tcBorders>
            <w:shd w:val="clear" w:color="auto" w:fill="auto"/>
            <w:vAlign w:val="center"/>
          </w:tcPr>
          <w:p w14:paraId="7940452C" w14:textId="77777777" w:rsidR="00643CC1" w:rsidRPr="00CF46C5" w:rsidRDefault="00643CC1" w:rsidP="00CC3AED">
            <w:pPr>
              <w:pStyle w:val="Standaard-Tabellen"/>
              <w:rPr>
                <w:rFonts w:eastAsia="Calibri"/>
              </w:rPr>
            </w:pPr>
            <w:r w:rsidRPr="00CF46C5">
              <w:rPr>
                <w:rFonts w:eastAsia="Calibri"/>
              </w:rPr>
              <w:t>Scenario 1 – INFANT</w:t>
            </w:r>
          </w:p>
          <w:p w14:paraId="31AA9003" w14:textId="77777777" w:rsidR="00643CC1" w:rsidRPr="00EB3DC0" w:rsidRDefault="00643CC1" w:rsidP="00CC3AED">
            <w:pPr>
              <w:pStyle w:val="Standaard-Tabellen"/>
              <w:rPr>
                <w:rFonts w:eastAsia="Calibri"/>
              </w:rPr>
            </w:pPr>
            <w:r>
              <w:rPr>
                <w:rFonts w:eastAsia="Calibri"/>
              </w:rPr>
              <w:t>2</w:t>
            </w:r>
            <w:r w:rsidRPr="00CF46C5">
              <w:rPr>
                <w:rFonts w:eastAsia="Calibri"/>
              </w:rPr>
              <w:t xml:space="preserve"> application</w:t>
            </w:r>
            <w:r>
              <w:rPr>
                <w:rFonts w:eastAsia="Calibri"/>
              </w:rPr>
              <w:t>s</w:t>
            </w:r>
            <w:r w:rsidRPr="00CF46C5">
              <w:rPr>
                <w:rFonts w:eastAsia="Calibri"/>
              </w:rPr>
              <w:t>/day</w:t>
            </w:r>
          </w:p>
        </w:tc>
        <w:tc>
          <w:tcPr>
            <w:tcW w:w="855" w:type="pct"/>
            <w:tcBorders>
              <w:bottom w:val="double" w:sz="4" w:space="0" w:color="auto"/>
            </w:tcBorders>
            <w:vAlign w:val="center"/>
          </w:tcPr>
          <w:p w14:paraId="776393A2" w14:textId="77777777" w:rsidR="00643CC1" w:rsidRPr="00CF46C5" w:rsidRDefault="00643CC1" w:rsidP="00CC3AED">
            <w:pPr>
              <w:pStyle w:val="Standaard-Tabellen"/>
              <w:rPr>
                <w:rFonts w:eastAsia="Calibri"/>
              </w:rPr>
            </w:pPr>
            <w:r w:rsidRPr="00CF46C5">
              <w:rPr>
                <w:rFonts w:eastAsia="Calibri"/>
              </w:rPr>
              <w:t>Tier 1 /</w:t>
            </w:r>
          </w:p>
          <w:p w14:paraId="4223B82B" w14:textId="77777777" w:rsidR="00643CC1" w:rsidRPr="00EB3DC0" w:rsidRDefault="00643CC1" w:rsidP="00CC3AED">
            <w:pPr>
              <w:pStyle w:val="Standaard-Tabellen"/>
              <w:rPr>
                <w:rFonts w:eastAsia="Calibri"/>
              </w:rPr>
            </w:pPr>
            <w:r w:rsidRPr="00CF46C5">
              <w:rPr>
                <w:rFonts w:eastAsia="Calibri"/>
              </w:rPr>
              <w:t>no PPE</w:t>
            </w:r>
          </w:p>
        </w:tc>
        <w:tc>
          <w:tcPr>
            <w:tcW w:w="2192" w:type="pct"/>
            <w:tcBorders>
              <w:bottom w:val="double" w:sz="4" w:space="0" w:color="auto"/>
            </w:tcBorders>
            <w:vAlign w:val="center"/>
          </w:tcPr>
          <w:p w14:paraId="6F5D2F72" w14:textId="77777777" w:rsidR="00643CC1" w:rsidRDefault="00643CC1" w:rsidP="00CC3AED">
            <w:pPr>
              <w:pStyle w:val="Standaard-Tabellen"/>
              <w:rPr>
                <w:rFonts w:cs="Arial"/>
              </w:rPr>
            </w:pPr>
            <w:r>
              <w:rPr>
                <w:rFonts w:cs="Arial"/>
              </w:rPr>
              <w:t xml:space="preserve">7.89 </w:t>
            </w:r>
            <w:r w:rsidRPr="00EB3DC0">
              <w:rPr>
                <w:rFonts w:cs="Arial"/>
              </w:rPr>
              <w:t xml:space="preserve">mg/kg </w:t>
            </w:r>
            <w:proofErr w:type="spellStart"/>
            <w:r w:rsidRPr="00EB3DC0">
              <w:rPr>
                <w:rFonts w:cs="Arial"/>
              </w:rPr>
              <w:t>bw</w:t>
            </w:r>
            <w:proofErr w:type="spellEnd"/>
            <w:r w:rsidRPr="00EB3DC0">
              <w:rPr>
                <w:rFonts w:cs="Arial"/>
              </w:rPr>
              <w:t>/day</w:t>
            </w:r>
          </w:p>
        </w:tc>
      </w:tr>
      <w:tr w:rsidR="00643CC1" w:rsidRPr="00FD2055" w14:paraId="561E1998" w14:textId="77777777" w:rsidTr="00CC3AED">
        <w:trPr>
          <w:cantSplit/>
          <w:trHeight w:val="595"/>
          <w:tblHeader/>
        </w:trPr>
        <w:tc>
          <w:tcPr>
            <w:tcW w:w="1953" w:type="pct"/>
            <w:tcBorders>
              <w:top w:val="double" w:sz="4" w:space="0" w:color="auto"/>
            </w:tcBorders>
            <w:shd w:val="clear" w:color="auto" w:fill="auto"/>
            <w:vAlign w:val="center"/>
          </w:tcPr>
          <w:p w14:paraId="382FB12E" w14:textId="77777777" w:rsidR="00643CC1" w:rsidRPr="00CF46C5" w:rsidRDefault="00643CC1" w:rsidP="00CC3AED">
            <w:pPr>
              <w:pStyle w:val="Standaard-Tabellen"/>
              <w:rPr>
                <w:rFonts w:eastAsia="Calibri"/>
              </w:rPr>
            </w:pPr>
            <w:r w:rsidRPr="00CF46C5">
              <w:rPr>
                <w:rFonts w:eastAsia="Calibri"/>
              </w:rPr>
              <w:t>Scenario 1 – ADULT</w:t>
            </w:r>
          </w:p>
          <w:p w14:paraId="18ACFD17" w14:textId="77777777" w:rsidR="00643CC1" w:rsidRPr="00EB3DC0" w:rsidRDefault="00643CC1" w:rsidP="00CC3AED">
            <w:pPr>
              <w:pStyle w:val="Standaard-Tabellen"/>
              <w:rPr>
                <w:rFonts w:eastAsia="Calibri"/>
              </w:rPr>
            </w:pPr>
            <w:r>
              <w:rPr>
                <w:rFonts w:eastAsia="Calibri"/>
              </w:rPr>
              <w:t>6</w:t>
            </w:r>
            <w:r w:rsidRPr="00CF46C5">
              <w:rPr>
                <w:rFonts w:eastAsia="Calibri"/>
              </w:rPr>
              <w:t xml:space="preserve"> applications/day</w:t>
            </w:r>
          </w:p>
        </w:tc>
        <w:tc>
          <w:tcPr>
            <w:tcW w:w="855" w:type="pct"/>
            <w:tcBorders>
              <w:top w:val="double" w:sz="4" w:space="0" w:color="auto"/>
            </w:tcBorders>
            <w:vAlign w:val="center"/>
          </w:tcPr>
          <w:p w14:paraId="3F762ADB" w14:textId="77777777" w:rsidR="00643CC1" w:rsidRPr="00CF46C5" w:rsidRDefault="00643CC1" w:rsidP="00CC3AED">
            <w:pPr>
              <w:pStyle w:val="Standaard-Tabellen"/>
              <w:rPr>
                <w:rFonts w:eastAsia="Calibri"/>
              </w:rPr>
            </w:pPr>
            <w:r w:rsidRPr="00CF46C5">
              <w:rPr>
                <w:rFonts w:eastAsia="Calibri"/>
              </w:rPr>
              <w:t xml:space="preserve">Tier </w:t>
            </w:r>
            <w:r>
              <w:rPr>
                <w:rFonts w:eastAsia="Calibri"/>
              </w:rPr>
              <w:t>2</w:t>
            </w:r>
            <w:r w:rsidRPr="00CF46C5">
              <w:rPr>
                <w:rFonts w:eastAsia="Calibri"/>
              </w:rPr>
              <w:t xml:space="preserve"> /</w:t>
            </w:r>
          </w:p>
          <w:p w14:paraId="3356E2AF" w14:textId="77777777" w:rsidR="00643CC1" w:rsidRPr="00EB3DC0" w:rsidRDefault="00643CC1" w:rsidP="00CC3AED">
            <w:pPr>
              <w:pStyle w:val="Standaard-Tabellen"/>
              <w:rPr>
                <w:rFonts w:eastAsia="Calibri"/>
              </w:rPr>
            </w:pPr>
            <w:r w:rsidRPr="00CF46C5">
              <w:rPr>
                <w:rFonts w:eastAsia="Calibri"/>
              </w:rPr>
              <w:t>no PPE</w:t>
            </w:r>
          </w:p>
        </w:tc>
        <w:tc>
          <w:tcPr>
            <w:tcW w:w="2192" w:type="pct"/>
            <w:tcBorders>
              <w:top w:val="double" w:sz="4" w:space="0" w:color="auto"/>
            </w:tcBorders>
            <w:vAlign w:val="center"/>
          </w:tcPr>
          <w:p w14:paraId="27432639" w14:textId="77777777" w:rsidR="00643CC1" w:rsidRDefault="00643CC1" w:rsidP="00CC3AED">
            <w:pPr>
              <w:pStyle w:val="Standaard-Tabellen"/>
              <w:rPr>
                <w:rFonts w:cs="Arial"/>
              </w:rPr>
            </w:pPr>
            <w:r>
              <w:rPr>
                <w:rFonts w:cs="Arial"/>
              </w:rPr>
              <w:t>12.78</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643CC1" w:rsidRPr="00FD2055" w14:paraId="5695C47B" w14:textId="77777777" w:rsidTr="00CC3AED">
        <w:trPr>
          <w:cantSplit/>
          <w:trHeight w:val="595"/>
          <w:tblHeader/>
        </w:trPr>
        <w:tc>
          <w:tcPr>
            <w:tcW w:w="1953" w:type="pct"/>
            <w:shd w:val="clear" w:color="auto" w:fill="auto"/>
            <w:vAlign w:val="center"/>
          </w:tcPr>
          <w:p w14:paraId="5BC8C198" w14:textId="77777777" w:rsidR="00643CC1" w:rsidRPr="00CF46C5" w:rsidRDefault="00643CC1" w:rsidP="00CC3AED">
            <w:pPr>
              <w:pStyle w:val="Standaard-Tabellen"/>
              <w:rPr>
                <w:rFonts w:eastAsia="Calibri"/>
              </w:rPr>
            </w:pPr>
            <w:r w:rsidRPr="00CF46C5">
              <w:rPr>
                <w:rFonts w:eastAsia="Calibri"/>
              </w:rPr>
              <w:t>Scenario 1 – CHILD</w:t>
            </w:r>
            <w:r>
              <w:rPr>
                <w:rFonts w:eastAsia="Calibri"/>
              </w:rPr>
              <w:t xml:space="preserve"> (6-12)</w:t>
            </w:r>
          </w:p>
          <w:p w14:paraId="3FB7DB35" w14:textId="77777777" w:rsidR="00643CC1" w:rsidRPr="00EB3DC0" w:rsidRDefault="00643CC1" w:rsidP="00CC3AED">
            <w:pPr>
              <w:pStyle w:val="Standaard-Tabellen"/>
              <w:rPr>
                <w:rFonts w:eastAsia="Calibri"/>
              </w:rPr>
            </w:pPr>
            <w:r>
              <w:rPr>
                <w:rFonts w:eastAsia="Calibri"/>
              </w:rPr>
              <w:t>3 applications</w:t>
            </w:r>
            <w:r w:rsidRPr="00CF46C5">
              <w:rPr>
                <w:rFonts w:eastAsia="Calibri"/>
              </w:rPr>
              <w:t>/day</w:t>
            </w:r>
          </w:p>
        </w:tc>
        <w:tc>
          <w:tcPr>
            <w:tcW w:w="855" w:type="pct"/>
            <w:vAlign w:val="center"/>
          </w:tcPr>
          <w:p w14:paraId="0B6144D1" w14:textId="77777777" w:rsidR="00643CC1" w:rsidRPr="00CF46C5" w:rsidRDefault="00643CC1" w:rsidP="00CC3AED">
            <w:pPr>
              <w:pStyle w:val="Standaard-Tabellen"/>
              <w:rPr>
                <w:rFonts w:eastAsia="Calibri"/>
              </w:rPr>
            </w:pPr>
            <w:r>
              <w:rPr>
                <w:rFonts w:eastAsia="Calibri"/>
              </w:rPr>
              <w:t>Tier 2</w:t>
            </w:r>
            <w:r w:rsidRPr="00CF46C5">
              <w:rPr>
                <w:rFonts w:eastAsia="Calibri"/>
              </w:rPr>
              <w:t xml:space="preserve"> /</w:t>
            </w:r>
          </w:p>
          <w:p w14:paraId="2D99C11F" w14:textId="77777777" w:rsidR="00643CC1" w:rsidRPr="00EB3DC0" w:rsidRDefault="00643CC1" w:rsidP="00CC3AED">
            <w:pPr>
              <w:pStyle w:val="Standaard-Tabellen"/>
              <w:rPr>
                <w:rFonts w:eastAsia="Calibri"/>
              </w:rPr>
            </w:pPr>
            <w:r w:rsidRPr="00CF46C5">
              <w:rPr>
                <w:rFonts w:eastAsia="Calibri"/>
              </w:rPr>
              <w:t>no PPE</w:t>
            </w:r>
          </w:p>
        </w:tc>
        <w:tc>
          <w:tcPr>
            <w:tcW w:w="2192" w:type="pct"/>
            <w:vAlign w:val="center"/>
          </w:tcPr>
          <w:p w14:paraId="7E9288C4" w14:textId="77777777" w:rsidR="00643CC1" w:rsidRDefault="00643CC1" w:rsidP="00CC3AED">
            <w:pPr>
              <w:pStyle w:val="Standaard-Tabellen"/>
              <w:rPr>
                <w:rFonts w:cs="Arial"/>
              </w:rPr>
            </w:pPr>
            <w:r>
              <w:rPr>
                <w:rFonts w:cs="Arial"/>
              </w:rPr>
              <w:t>8.89</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643CC1" w:rsidRPr="00FD2055" w14:paraId="0B56BB75" w14:textId="77777777" w:rsidTr="00CC3AED">
        <w:trPr>
          <w:cantSplit/>
          <w:trHeight w:val="595"/>
          <w:tblHeader/>
        </w:trPr>
        <w:tc>
          <w:tcPr>
            <w:tcW w:w="1953" w:type="pct"/>
            <w:shd w:val="clear" w:color="auto" w:fill="auto"/>
            <w:vAlign w:val="center"/>
          </w:tcPr>
          <w:p w14:paraId="4A9F977F" w14:textId="77777777" w:rsidR="00643CC1" w:rsidRPr="00CF46C5" w:rsidRDefault="00643CC1" w:rsidP="00CC3AED">
            <w:pPr>
              <w:pStyle w:val="Standaard-Tabellen"/>
              <w:rPr>
                <w:rFonts w:eastAsia="Calibri"/>
              </w:rPr>
            </w:pPr>
            <w:r w:rsidRPr="00CF46C5">
              <w:rPr>
                <w:rFonts w:eastAsia="Calibri"/>
              </w:rPr>
              <w:t>Scenario 1 – CHILD</w:t>
            </w:r>
            <w:r>
              <w:rPr>
                <w:rFonts w:eastAsia="Calibri"/>
              </w:rPr>
              <w:t xml:space="preserve"> (2-6)</w:t>
            </w:r>
          </w:p>
          <w:p w14:paraId="6783C3CB" w14:textId="77777777" w:rsidR="00643CC1" w:rsidRPr="00CF46C5" w:rsidRDefault="00643CC1" w:rsidP="00CC3AED">
            <w:pPr>
              <w:pStyle w:val="Standaard-Tabellen"/>
              <w:rPr>
                <w:rFonts w:eastAsia="Calibri"/>
              </w:rPr>
            </w:pPr>
            <w:r>
              <w:rPr>
                <w:rFonts w:eastAsia="Calibri"/>
              </w:rPr>
              <w:t>1 application</w:t>
            </w:r>
            <w:r w:rsidRPr="00CF46C5">
              <w:rPr>
                <w:rFonts w:eastAsia="Calibri"/>
              </w:rPr>
              <w:t>/day</w:t>
            </w:r>
          </w:p>
        </w:tc>
        <w:tc>
          <w:tcPr>
            <w:tcW w:w="855" w:type="pct"/>
            <w:vAlign w:val="center"/>
          </w:tcPr>
          <w:p w14:paraId="44FB28B9" w14:textId="77777777" w:rsidR="00643CC1" w:rsidRPr="00CF46C5" w:rsidRDefault="00643CC1" w:rsidP="00CC3AED">
            <w:pPr>
              <w:pStyle w:val="Standaard-Tabellen"/>
              <w:rPr>
                <w:rFonts w:eastAsia="Calibri"/>
              </w:rPr>
            </w:pPr>
            <w:r w:rsidRPr="00CF46C5">
              <w:rPr>
                <w:rFonts w:eastAsia="Calibri"/>
              </w:rPr>
              <w:t xml:space="preserve">Tier </w:t>
            </w:r>
            <w:r>
              <w:rPr>
                <w:rFonts w:eastAsia="Calibri"/>
              </w:rPr>
              <w:t>2</w:t>
            </w:r>
            <w:r w:rsidRPr="00CF46C5">
              <w:rPr>
                <w:rFonts w:eastAsia="Calibri"/>
              </w:rPr>
              <w:t xml:space="preserve"> /</w:t>
            </w:r>
          </w:p>
          <w:p w14:paraId="72562336" w14:textId="77777777" w:rsidR="00643CC1" w:rsidRDefault="00643CC1" w:rsidP="00CC3AED">
            <w:pPr>
              <w:pStyle w:val="Standaard-Tabellen"/>
              <w:rPr>
                <w:rFonts w:eastAsia="Calibri"/>
              </w:rPr>
            </w:pPr>
            <w:r w:rsidRPr="00CF46C5">
              <w:rPr>
                <w:rFonts w:eastAsia="Calibri"/>
              </w:rPr>
              <w:t>no PPE</w:t>
            </w:r>
          </w:p>
        </w:tc>
        <w:tc>
          <w:tcPr>
            <w:tcW w:w="2192" w:type="pct"/>
            <w:vAlign w:val="center"/>
          </w:tcPr>
          <w:p w14:paraId="6D91BEEF" w14:textId="77777777" w:rsidR="00643CC1" w:rsidRDefault="00643CC1" w:rsidP="00CC3AED">
            <w:pPr>
              <w:pStyle w:val="Standaard-Tabellen"/>
              <w:rPr>
                <w:rFonts w:cs="Arial"/>
              </w:rPr>
            </w:pPr>
            <w:r>
              <w:rPr>
                <w:rFonts w:cs="Arial"/>
              </w:rPr>
              <w:t>3.36</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643CC1" w:rsidRPr="00FD2055" w14:paraId="7B38C1FE" w14:textId="77777777" w:rsidTr="00CC3AED">
        <w:trPr>
          <w:cantSplit/>
          <w:trHeight w:val="595"/>
          <w:tblHeader/>
        </w:trPr>
        <w:tc>
          <w:tcPr>
            <w:tcW w:w="1953" w:type="pct"/>
            <w:shd w:val="clear" w:color="auto" w:fill="auto"/>
            <w:vAlign w:val="center"/>
          </w:tcPr>
          <w:p w14:paraId="196228E2" w14:textId="77777777" w:rsidR="00643CC1" w:rsidRPr="00CF46C5" w:rsidRDefault="00643CC1" w:rsidP="00CC3AED">
            <w:pPr>
              <w:pStyle w:val="Standaard-Tabellen"/>
              <w:rPr>
                <w:rFonts w:eastAsia="Calibri"/>
              </w:rPr>
            </w:pPr>
            <w:r w:rsidRPr="00CF46C5">
              <w:rPr>
                <w:rFonts w:eastAsia="Calibri"/>
              </w:rPr>
              <w:t>Scenario 1 – TODDLER</w:t>
            </w:r>
          </w:p>
          <w:p w14:paraId="65C73479" w14:textId="77777777" w:rsidR="00643CC1" w:rsidRPr="00CF46C5" w:rsidRDefault="00643CC1" w:rsidP="00CC3AED">
            <w:pPr>
              <w:pStyle w:val="Standaard-Tabellen"/>
              <w:rPr>
                <w:rFonts w:eastAsia="Calibri"/>
              </w:rPr>
            </w:pPr>
            <w:r>
              <w:rPr>
                <w:rFonts w:eastAsia="Calibri"/>
              </w:rPr>
              <w:t>1</w:t>
            </w:r>
            <w:r w:rsidRPr="00CF46C5">
              <w:rPr>
                <w:rFonts w:eastAsia="Calibri"/>
              </w:rPr>
              <w:t xml:space="preserve"> application/day</w:t>
            </w:r>
          </w:p>
        </w:tc>
        <w:tc>
          <w:tcPr>
            <w:tcW w:w="855" w:type="pct"/>
            <w:vAlign w:val="center"/>
          </w:tcPr>
          <w:p w14:paraId="26350603" w14:textId="77777777" w:rsidR="00643CC1" w:rsidRPr="00CF46C5" w:rsidRDefault="00643CC1" w:rsidP="00CC3AED">
            <w:pPr>
              <w:pStyle w:val="Standaard-Tabellen"/>
              <w:rPr>
                <w:rFonts w:eastAsia="Calibri"/>
              </w:rPr>
            </w:pPr>
            <w:r>
              <w:rPr>
                <w:rFonts w:eastAsia="Calibri"/>
              </w:rPr>
              <w:t>Tier 2</w:t>
            </w:r>
            <w:r w:rsidRPr="00CF46C5">
              <w:rPr>
                <w:rFonts w:eastAsia="Calibri"/>
              </w:rPr>
              <w:t xml:space="preserve"> /</w:t>
            </w:r>
          </w:p>
          <w:p w14:paraId="5B3464D3" w14:textId="77777777" w:rsidR="00643CC1" w:rsidRDefault="00643CC1" w:rsidP="00CC3AED">
            <w:pPr>
              <w:pStyle w:val="Standaard-Tabellen"/>
              <w:rPr>
                <w:rFonts w:eastAsia="Calibri"/>
              </w:rPr>
            </w:pPr>
            <w:r w:rsidRPr="00CF46C5">
              <w:rPr>
                <w:rFonts w:eastAsia="Calibri"/>
              </w:rPr>
              <w:t>no PPE</w:t>
            </w:r>
          </w:p>
        </w:tc>
        <w:tc>
          <w:tcPr>
            <w:tcW w:w="2192" w:type="pct"/>
            <w:vAlign w:val="center"/>
          </w:tcPr>
          <w:p w14:paraId="040CD44A" w14:textId="77777777" w:rsidR="00643CC1" w:rsidRDefault="00643CC1" w:rsidP="00CC3AED">
            <w:pPr>
              <w:pStyle w:val="Standaard-Tabellen"/>
              <w:rPr>
                <w:rFonts w:cs="Arial"/>
              </w:rPr>
            </w:pPr>
            <w:r>
              <w:rPr>
                <w:rFonts w:cs="Arial"/>
              </w:rPr>
              <w:t>3.70</w:t>
            </w:r>
            <w:r w:rsidRPr="001E522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643CC1" w:rsidRPr="00FD2055" w14:paraId="1416ED1E" w14:textId="77777777" w:rsidTr="00CC3AED">
        <w:trPr>
          <w:cantSplit/>
          <w:trHeight w:val="595"/>
          <w:tblHeader/>
        </w:trPr>
        <w:tc>
          <w:tcPr>
            <w:tcW w:w="1953" w:type="pct"/>
            <w:tcBorders>
              <w:bottom w:val="double" w:sz="4" w:space="0" w:color="auto"/>
            </w:tcBorders>
            <w:shd w:val="clear" w:color="auto" w:fill="auto"/>
            <w:vAlign w:val="center"/>
          </w:tcPr>
          <w:p w14:paraId="4B77266F" w14:textId="77777777" w:rsidR="00643CC1" w:rsidRPr="00CF46C5" w:rsidRDefault="00643CC1" w:rsidP="00CC3AED">
            <w:pPr>
              <w:pStyle w:val="Standaard-Tabellen"/>
              <w:rPr>
                <w:rFonts w:eastAsia="Calibri"/>
              </w:rPr>
            </w:pPr>
            <w:r w:rsidRPr="00CF46C5">
              <w:rPr>
                <w:rFonts w:eastAsia="Calibri"/>
              </w:rPr>
              <w:t>Scenario 1 – INFANT</w:t>
            </w:r>
          </w:p>
          <w:p w14:paraId="350A3F3A" w14:textId="77777777" w:rsidR="00643CC1" w:rsidRPr="00CF46C5" w:rsidRDefault="00643CC1" w:rsidP="00CC3AED">
            <w:pPr>
              <w:pStyle w:val="Standaard-Tabellen"/>
              <w:rPr>
                <w:rFonts w:eastAsia="Calibri"/>
              </w:rPr>
            </w:pPr>
            <w:r>
              <w:rPr>
                <w:rFonts w:eastAsia="Calibri"/>
              </w:rPr>
              <w:t>1</w:t>
            </w:r>
            <w:r w:rsidRPr="00CF46C5">
              <w:rPr>
                <w:rFonts w:eastAsia="Calibri"/>
              </w:rPr>
              <w:t xml:space="preserve"> application/day</w:t>
            </w:r>
          </w:p>
        </w:tc>
        <w:tc>
          <w:tcPr>
            <w:tcW w:w="855" w:type="pct"/>
            <w:tcBorders>
              <w:bottom w:val="double" w:sz="4" w:space="0" w:color="auto"/>
            </w:tcBorders>
            <w:vAlign w:val="center"/>
          </w:tcPr>
          <w:p w14:paraId="652851CF" w14:textId="77777777" w:rsidR="00643CC1" w:rsidRPr="00CF46C5" w:rsidRDefault="00643CC1" w:rsidP="00CC3AED">
            <w:pPr>
              <w:pStyle w:val="Standaard-Tabellen"/>
              <w:rPr>
                <w:rFonts w:eastAsia="Calibri"/>
              </w:rPr>
            </w:pPr>
            <w:r>
              <w:rPr>
                <w:rFonts w:eastAsia="Calibri"/>
              </w:rPr>
              <w:t>Tier 2</w:t>
            </w:r>
            <w:r w:rsidRPr="00CF46C5">
              <w:rPr>
                <w:rFonts w:eastAsia="Calibri"/>
              </w:rPr>
              <w:t xml:space="preserve"> /</w:t>
            </w:r>
          </w:p>
          <w:p w14:paraId="56D765D0" w14:textId="77777777" w:rsidR="00643CC1" w:rsidRDefault="00643CC1" w:rsidP="00CC3AED">
            <w:pPr>
              <w:pStyle w:val="Standaard-Tabellen"/>
              <w:rPr>
                <w:rFonts w:eastAsia="Calibri"/>
              </w:rPr>
            </w:pPr>
            <w:r w:rsidRPr="00CF46C5">
              <w:rPr>
                <w:rFonts w:eastAsia="Calibri"/>
              </w:rPr>
              <w:t>no PPE</w:t>
            </w:r>
          </w:p>
        </w:tc>
        <w:tc>
          <w:tcPr>
            <w:tcW w:w="2192" w:type="pct"/>
            <w:tcBorders>
              <w:bottom w:val="double" w:sz="4" w:space="0" w:color="auto"/>
            </w:tcBorders>
            <w:vAlign w:val="center"/>
          </w:tcPr>
          <w:p w14:paraId="2069C0D2" w14:textId="77777777" w:rsidR="00643CC1" w:rsidRDefault="00643CC1" w:rsidP="00CC3AED">
            <w:pPr>
              <w:pStyle w:val="Standaard-Tabellen"/>
              <w:rPr>
                <w:rFonts w:cs="Arial"/>
              </w:rPr>
            </w:pPr>
            <w:r>
              <w:rPr>
                <w:rFonts w:cs="Arial"/>
              </w:rPr>
              <w:t xml:space="preserve">3.95 </w:t>
            </w:r>
            <w:r w:rsidRPr="00EB3DC0">
              <w:rPr>
                <w:rFonts w:cs="Arial"/>
              </w:rPr>
              <w:t xml:space="preserve">mg/kg </w:t>
            </w:r>
            <w:proofErr w:type="spellStart"/>
            <w:r w:rsidRPr="00EB3DC0">
              <w:rPr>
                <w:rFonts w:cs="Arial"/>
              </w:rPr>
              <w:t>bw</w:t>
            </w:r>
            <w:proofErr w:type="spellEnd"/>
            <w:r w:rsidRPr="00EB3DC0">
              <w:rPr>
                <w:rFonts w:cs="Arial"/>
              </w:rPr>
              <w:t>/day</w:t>
            </w:r>
          </w:p>
        </w:tc>
      </w:tr>
      <w:tr w:rsidR="00643CC1" w:rsidRPr="00FD2055" w14:paraId="15E8D12B" w14:textId="77777777" w:rsidTr="00CC3AED">
        <w:trPr>
          <w:cantSplit/>
          <w:trHeight w:val="595"/>
          <w:tblHeader/>
        </w:trPr>
        <w:tc>
          <w:tcPr>
            <w:tcW w:w="1953" w:type="pct"/>
            <w:shd w:val="clear" w:color="auto" w:fill="auto"/>
            <w:vAlign w:val="center"/>
          </w:tcPr>
          <w:p w14:paraId="4E934D8C" w14:textId="77777777" w:rsidR="00643CC1" w:rsidRPr="00CF46C5" w:rsidRDefault="00643CC1" w:rsidP="00CC3AED">
            <w:pPr>
              <w:pStyle w:val="Standaard-Tabellen"/>
              <w:rPr>
                <w:rFonts w:eastAsia="Calibri"/>
              </w:rPr>
            </w:pPr>
            <w:r w:rsidRPr="00CF46C5">
              <w:rPr>
                <w:rFonts w:eastAsia="Calibri"/>
              </w:rPr>
              <w:t>Scenario 1 – ADULT</w:t>
            </w:r>
          </w:p>
          <w:p w14:paraId="0412CFCD" w14:textId="77777777" w:rsidR="00643CC1" w:rsidRPr="00EB3DC0" w:rsidRDefault="00643CC1" w:rsidP="00CC3AED">
            <w:pPr>
              <w:pStyle w:val="Standaard-Tabellen"/>
              <w:rPr>
                <w:rFonts w:eastAsia="Calibri"/>
              </w:rPr>
            </w:pPr>
            <w:r>
              <w:rPr>
                <w:rFonts w:eastAsia="Calibri"/>
              </w:rPr>
              <w:t>2</w:t>
            </w:r>
            <w:r w:rsidRPr="00CF46C5">
              <w:rPr>
                <w:rFonts w:eastAsia="Calibri"/>
              </w:rPr>
              <w:t xml:space="preserve"> applications/day</w:t>
            </w:r>
          </w:p>
        </w:tc>
        <w:tc>
          <w:tcPr>
            <w:tcW w:w="855" w:type="pct"/>
            <w:vAlign w:val="center"/>
          </w:tcPr>
          <w:p w14:paraId="60BA9A14" w14:textId="77777777" w:rsidR="00643CC1" w:rsidRPr="00CF46C5" w:rsidRDefault="00643CC1" w:rsidP="00CC3AED">
            <w:pPr>
              <w:pStyle w:val="Standaard-Tabellen"/>
              <w:rPr>
                <w:rFonts w:eastAsia="Calibri"/>
              </w:rPr>
            </w:pPr>
            <w:r w:rsidRPr="00CF46C5">
              <w:rPr>
                <w:rFonts w:eastAsia="Calibri"/>
              </w:rPr>
              <w:t xml:space="preserve">Tier </w:t>
            </w:r>
            <w:r>
              <w:rPr>
                <w:rFonts w:eastAsia="Calibri"/>
              </w:rPr>
              <w:t>3</w:t>
            </w:r>
            <w:r w:rsidRPr="00CF46C5">
              <w:rPr>
                <w:rFonts w:eastAsia="Calibri"/>
              </w:rPr>
              <w:t xml:space="preserve"> /</w:t>
            </w:r>
          </w:p>
          <w:p w14:paraId="71B5CA5A" w14:textId="77777777" w:rsidR="00643CC1" w:rsidRPr="00EB3DC0" w:rsidRDefault="00643CC1" w:rsidP="00CC3AED">
            <w:pPr>
              <w:pStyle w:val="Standaard-Tabellen"/>
              <w:rPr>
                <w:rFonts w:eastAsia="Calibri"/>
              </w:rPr>
            </w:pPr>
            <w:r w:rsidRPr="00CF46C5">
              <w:rPr>
                <w:rFonts w:eastAsia="Calibri"/>
              </w:rPr>
              <w:t>no PPE</w:t>
            </w:r>
          </w:p>
        </w:tc>
        <w:tc>
          <w:tcPr>
            <w:tcW w:w="2192" w:type="pct"/>
            <w:vAlign w:val="center"/>
          </w:tcPr>
          <w:p w14:paraId="6620DDC6" w14:textId="77777777" w:rsidR="00643CC1" w:rsidRDefault="00643CC1" w:rsidP="00CC3AED">
            <w:pPr>
              <w:pStyle w:val="Standaard-Tabellen"/>
              <w:rPr>
                <w:rFonts w:cs="Arial"/>
              </w:rPr>
            </w:pPr>
            <w:r>
              <w:rPr>
                <w:rFonts w:cs="Arial"/>
              </w:rPr>
              <w:t>4.26</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r w:rsidR="00643CC1" w:rsidRPr="00FD2055" w14:paraId="42804E6D" w14:textId="77777777" w:rsidTr="00CC3AED">
        <w:trPr>
          <w:cantSplit/>
          <w:trHeight w:val="595"/>
          <w:tblHeader/>
        </w:trPr>
        <w:tc>
          <w:tcPr>
            <w:tcW w:w="1953" w:type="pct"/>
            <w:shd w:val="clear" w:color="auto" w:fill="auto"/>
            <w:vAlign w:val="center"/>
          </w:tcPr>
          <w:p w14:paraId="1FAD291A" w14:textId="77777777" w:rsidR="00643CC1" w:rsidRPr="00CF46C5" w:rsidRDefault="00643CC1" w:rsidP="00CC3AED">
            <w:pPr>
              <w:pStyle w:val="Standaard-Tabellen"/>
              <w:rPr>
                <w:rFonts w:eastAsia="Calibri"/>
              </w:rPr>
            </w:pPr>
            <w:r w:rsidRPr="00CF46C5">
              <w:rPr>
                <w:rFonts w:eastAsia="Calibri"/>
              </w:rPr>
              <w:t>Scenario 1 – CHILD</w:t>
            </w:r>
            <w:r>
              <w:rPr>
                <w:rFonts w:eastAsia="Calibri"/>
              </w:rPr>
              <w:t xml:space="preserve"> (6-12)</w:t>
            </w:r>
          </w:p>
          <w:p w14:paraId="510E930D" w14:textId="77777777" w:rsidR="00643CC1" w:rsidRPr="00CF46C5" w:rsidRDefault="00643CC1" w:rsidP="00CC3AED">
            <w:pPr>
              <w:pStyle w:val="Standaard-Tabellen"/>
              <w:rPr>
                <w:rFonts w:eastAsia="Calibri"/>
              </w:rPr>
            </w:pPr>
            <w:r>
              <w:rPr>
                <w:rFonts w:eastAsia="Calibri"/>
              </w:rPr>
              <w:t>1 application</w:t>
            </w:r>
            <w:r w:rsidRPr="00CF46C5">
              <w:rPr>
                <w:rFonts w:eastAsia="Calibri"/>
              </w:rPr>
              <w:t>/day</w:t>
            </w:r>
          </w:p>
        </w:tc>
        <w:tc>
          <w:tcPr>
            <w:tcW w:w="855" w:type="pct"/>
            <w:vAlign w:val="center"/>
          </w:tcPr>
          <w:p w14:paraId="372C33F0" w14:textId="77777777" w:rsidR="00643CC1" w:rsidRPr="00CF46C5" w:rsidRDefault="00643CC1" w:rsidP="00CC3AED">
            <w:pPr>
              <w:pStyle w:val="Standaard-Tabellen"/>
              <w:rPr>
                <w:rFonts w:eastAsia="Calibri"/>
              </w:rPr>
            </w:pPr>
            <w:r>
              <w:rPr>
                <w:rFonts w:eastAsia="Calibri"/>
              </w:rPr>
              <w:t>Tier 3</w:t>
            </w:r>
            <w:r w:rsidRPr="00CF46C5">
              <w:rPr>
                <w:rFonts w:eastAsia="Calibri"/>
              </w:rPr>
              <w:t xml:space="preserve"> /</w:t>
            </w:r>
          </w:p>
          <w:p w14:paraId="35D14C57" w14:textId="77777777" w:rsidR="00643CC1" w:rsidRDefault="00643CC1" w:rsidP="00CC3AED">
            <w:pPr>
              <w:pStyle w:val="Standaard-Tabellen"/>
              <w:rPr>
                <w:rFonts w:eastAsia="Calibri"/>
              </w:rPr>
            </w:pPr>
            <w:r w:rsidRPr="00CF46C5">
              <w:rPr>
                <w:rFonts w:eastAsia="Calibri"/>
              </w:rPr>
              <w:t>no PPE</w:t>
            </w:r>
          </w:p>
        </w:tc>
        <w:tc>
          <w:tcPr>
            <w:tcW w:w="2192" w:type="pct"/>
            <w:vAlign w:val="center"/>
          </w:tcPr>
          <w:p w14:paraId="396A6A64" w14:textId="77777777" w:rsidR="00643CC1" w:rsidRDefault="00643CC1" w:rsidP="00CC3AED">
            <w:pPr>
              <w:pStyle w:val="Standaard-Tabellen"/>
              <w:rPr>
                <w:rFonts w:cs="Arial"/>
              </w:rPr>
            </w:pPr>
            <w:r>
              <w:rPr>
                <w:rFonts w:cs="Arial"/>
              </w:rPr>
              <w:t>2.96</w:t>
            </w:r>
            <w:r w:rsidRPr="00CD4FC3">
              <w:rPr>
                <w:rFonts w:cs="Arial"/>
              </w:rPr>
              <w:t xml:space="preserve"> </w:t>
            </w:r>
            <w:r w:rsidRPr="00EB3DC0">
              <w:rPr>
                <w:rFonts w:cs="Arial"/>
              </w:rPr>
              <w:t xml:space="preserve">mg/kg </w:t>
            </w:r>
            <w:proofErr w:type="spellStart"/>
            <w:r w:rsidRPr="00EB3DC0">
              <w:rPr>
                <w:rFonts w:cs="Arial"/>
              </w:rPr>
              <w:t>bw</w:t>
            </w:r>
            <w:proofErr w:type="spellEnd"/>
            <w:r w:rsidRPr="00EB3DC0">
              <w:rPr>
                <w:rFonts w:cs="Arial"/>
              </w:rPr>
              <w:t>/day</w:t>
            </w:r>
          </w:p>
        </w:tc>
      </w:tr>
    </w:tbl>
    <w:p w14:paraId="4F4D8C1B" w14:textId="77777777" w:rsidR="00643CC1" w:rsidRPr="00FD2055" w:rsidRDefault="00643CC1" w:rsidP="00643CC1">
      <w:pPr>
        <w:rPr>
          <w:rFonts w:eastAsia="Calibri"/>
          <w:lang w:eastAsia="en-US"/>
        </w:rPr>
      </w:pPr>
    </w:p>
    <w:p w14:paraId="6D04BFD9" w14:textId="77777777" w:rsidR="00643CC1" w:rsidRPr="00532A83" w:rsidRDefault="00643CC1" w:rsidP="00643CC1">
      <w:pPr>
        <w:pStyle w:val="Titre7"/>
        <w:rPr>
          <w:lang w:val="en-US"/>
        </w:rPr>
      </w:pPr>
      <w:r w:rsidRPr="00532A83">
        <w:rPr>
          <w:lang w:val="en-US"/>
        </w:rPr>
        <w:t xml:space="preserve">Scenario </w:t>
      </w:r>
      <w:r>
        <w:rPr>
          <w:lang w:val="en-US"/>
        </w:rPr>
        <w:t xml:space="preserve">2: </w:t>
      </w:r>
      <w:r w:rsidRPr="007F63D0">
        <w:rPr>
          <w:lang w:val="en-US"/>
        </w:rPr>
        <w:t xml:space="preserve">Secondary exposure (indirect exposure as a result of use): Hand-mouth transfer reverse reference scenario (oral exposure)  </w:t>
      </w:r>
    </w:p>
    <w:p w14:paraId="6A40D214" w14:textId="77777777" w:rsidR="00643CC1" w:rsidRPr="00C93E0D" w:rsidRDefault="00643CC1" w:rsidP="00643CC1">
      <w:pPr>
        <w:rPr>
          <w:rFonts w:eastAsia="Calibri"/>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40"/>
        <w:gridCol w:w="4893"/>
        <w:gridCol w:w="1263"/>
      </w:tblGrid>
      <w:tr w:rsidR="00643CC1" w:rsidRPr="00332AD5" w14:paraId="433EEEB8" w14:textId="77777777" w:rsidTr="00CC3AED">
        <w:trPr>
          <w:tblHeader/>
        </w:trPr>
        <w:tc>
          <w:tcPr>
            <w:tcW w:w="5000" w:type="pct"/>
            <w:gridSpan w:val="3"/>
            <w:shd w:val="clear" w:color="auto" w:fill="FFFFCC"/>
            <w:tcMar>
              <w:top w:w="57" w:type="dxa"/>
              <w:bottom w:w="57" w:type="dxa"/>
            </w:tcMar>
          </w:tcPr>
          <w:p w14:paraId="53C838FC" w14:textId="77777777" w:rsidR="00643CC1" w:rsidRPr="00332AD5" w:rsidRDefault="00643CC1" w:rsidP="00CC3AED">
            <w:pPr>
              <w:pStyle w:val="Standaard-Tabellen"/>
              <w:jc w:val="center"/>
              <w:rPr>
                <w:rFonts w:eastAsia="Calibri"/>
                <w:b/>
              </w:rPr>
            </w:pPr>
            <w:r w:rsidRPr="00332AD5">
              <w:rPr>
                <w:rFonts w:eastAsia="Calibri"/>
                <w:b/>
              </w:rPr>
              <w:lastRenderedPageBreak/>
              <w:t xml:space="preserve">Description of Scenario </w:t>
            </w:r>
            <w:r>
              <w:rPr>
                <w:rFonts w:eastAsia="Calibri"/>
                <w:b/>
              </w:rPr>
              <w:t>2</w:t>
            </w:r>
          </w:p>
        </w:tc>
      </w:tr>
      <w:tr w:rsidR="00643CC1" w:rsidRPr="004936D9" w14:paraId="4ACF7E56" w14:textId="77777777" w:rsidTr="00CC3AED">
        <w:trPr>
          <w:tblHeader/>
        </w:trPr>
        <w:tc>
          <w:tcPr>
            <w:tcW w:w="5000" w:type="pct"/>
            <w:gridSpan w:val="3"/>
            <w:shd w:val="clear" w:color="auto" w:fill="auto"/>
            <w:tcMar>
              <w:top w:w="57" w:type="dxa"/>
              <w:bottom w:w="57" w:type="dxa"/>
            </w:tcMar>
          </w:tcPr>
          <w:p w14:paraId="6058D425" w14:textId="77777777" w:rsidR="00643CC1" w:rsidRPr="004F6031" w:rsidRDefault="00643CC1" w:rsidP="00CC3AED">
            <w:pPr>
              <w:pStyle w:val="Explanatorynotes"/>
              <w:rPr>
                <w:rFonts w:ascii="Verdana" w:eastAsia="Calibri" w:hAnsi="Verdana"/>
                <w:i w:val="0"/>
              </w:rPr>
            </w:pPr>
            <w:r w:rsidRPr="00F42DF9">
              <w:rPr>
                <w:rFonts w:ascii="Verdana" w:eastAsia="Calibri" w:hAnsi="Verdana"/>
                <w:i w:val="0"/>
              </w:rPr>
              <w:t>This scenario is based on the one available in the CAR of IR3535</w:t>
            </w:r>
            <w:r w:rsidRPr="00BF5148">
              <w:rPr>
                <w:rFonts w:ascii="Verdana" w:eastAsia="Calibri" w:hAnsi="Verdana"/>
                <w:i w:val="0"/>
                <w:vertAlign w:val="superscript"/>
              </w:rPr>
              <w:t>®</w:t>
            </w:r>
            <w:r w:rsidRPr="00F42DF9">
              <w:rPr>
                <w:rFonts w:ascii="Verdana" w:eastAsia="Calibri" w:hAnsi="Verdana"/>
                <w:i w:val="0"/>
              </w:rPr>
              <w:t xml:space="preserve">. It has been updated according the recommendation 11 of the BPC Ad hoc Working Group on Human Exposure : Proposal for harmonising the assessment of human exposure to repellents (PT19) – Version 2.1 agreed at WGV 2017.  </w:t>
            </w:r>
          </w:p>
        </w:tc>
      </w:tr>
      <w:tr w:rsidR="00643CC1" w:rsidRPr="004936D9" w14:paraId="4B4FC983" w14:textId="77777777" w:rsidTr="00CC3AED">
        <w:trPr>
          <w:tblHeader/>
        </w:trPr>
        <w:tc>
          <w:tcPr>
            <w:tcW w:w="5000" w:type="pct"/>
            <w:gridSpan w:val="3"/>
            <w:shd w:val="clear" w:color="auto" w:fill="auto"/>
            <w:tcMar>
              <w:top w:w="57" w:type="dxa"/>
              <w:bottom w:w="57" w:type="dxa"/>
            </w:tcMar>
          </w:tcPr>
          <w:p w14:paraId="152E7C7E" w14:textId="77777777" w:rsidR="00643CC1" w:rsidRPr="000504BE" w:rsidRDefault="00643CC1" w:rsidP="00CC3AED">
            <w:pPr>
              <w:pStyle w:val="Explanatorynotes"/>
              <w:rPr>
                <w:rFonts w:ascii="Verdana" w:eastAsia="Calibri" w:hAnsi="Verdana"/>
                <w:i w:val="0"/>
              </w:rPr>
            </w:pPr>
            <w:r w:rsidRPr="000504BE">
              <w:rPr>
                <w:rFonts w:ascii="Verdana" w:eastAsia="Calibri" w:hAnsi="Verdana"/>
                <w:i w:val="0"/>
              </w:rPr>
              <w:t>Hand to mouth transfer might be possible for small children. However this scenario is not considered to be a significant route of exposure because of bad palatability (bitterness ) preventing repeated mouthing by small children and you may not apply to children’s hand.</w:t>
            </w:r>
          </w:p>
          <w:p w14:paraId="336A99AF" w14:textId="77777777" w:rsidR="00643CC1" w:rsidRPr="000504BE" w:rsidRDefault="00643CC1" w:rsidP="00CC3AED">
            <w:pPr>
              <w:pStyle w:val="Explanatorynotes"/>
              <w:rPr>
                <w:rFonts w:ascii="Verdana" w:eastAsia="Calibri" w:hAnsi="Verdana"/>
                <w:i w:val="0"/>
              </w:rPr>
            </w:pPr>
            <w:r w:rsidRPr="000504BE">
              <w:rPr>
                <w:rFonts w:ascii="Verdana" w:eastAsia="Calibri" w:hAnsi="Verdana"/>
                <w:i w:val="0"/>
              </w:rPr>
              <w:t xml:space="preserve">At TM IV 2010, it was agreed to develop the scenario “hand-mouth </w:t>
            </w:r>
            <w:r>
              <w:rPr>
                <w:rFonts w:ascii="Verdana" w:eastAsia="Calibri" w:hAnsi="Verdana"/>
                <w:i w:val="0"/>
              </w:rPr>
              <w:t xml:space="preserve">transfer” consistently with the </w:t>
            </w:r>
            <w:r w:rsidRPr="000504BE">
              <w:rPr>
                <w:rFonts w:ascii="Verdana" w:eastAsia="Calibri" w:hAnsi="Verdana"/>
                <w:i w:val="0"/>
              </w:rPr>
              <w:t>DEET dossier evaluated by SE and to be discus</w:t>
            </w:r>
            <w:r>
              <w:rPr>
                <w:rFonts w:ascii="Verdana" w:eastAsia="Calibri" w:hAnsi="Verdana"/>
                <w:i w:val="0"/>
              </w:rPr>
              <w:t>sed with HEEG a</w:t>
            </w:r>
            <w:r w:rsidRPr="002049A6">
              <w:rPr>
                <w:rFonts w:ascii="Verdana" w:eastAsia="Calibri" w:hAnsi="Verdana"/>
                <w:i w:val="0"/>
              </w:rPr>
              <w:t>nd TM agreed not to sum up the two routes</w:t>
            </w:r>
            <w:r w:rsidRPr="000504BE">
              <w:rPr>
                <w:rFonts w:ascii="Verdana" w:eastAsia="Calibri" w:hAnsi="Verdana"/>
                <w:i w:val="0"/>
              </w:rPr>
              <w:t xml:space="preserve"> (oral and dermal) in small children.</w:t>
            </w:r>
          </w:p>
          <w:p w14:paraId="1B9692FC" w14:textId="77777777" w:rsidR="00643CC1" w:rsidRDefault="00643CC1" w:rsidP="00CC3AED">
            <w:pPr>
              <w:pStyle w:val="Explanatorynotes"/>
              <w:rPr>
                <w:rFonts w:ascii="Verdana" w:eastAsia="Calibri" w:hAnsi="Verdana"/>
                <w:i w:val="0"/>
              </w:rPr>
            </w:pPr>
            <w:r w:rsidRPr="000504BE">
              <w:rPr>
                <w:rFonts w:ascii="Verdana" w:eastAsia="Calibri" w:hAnsi="Verdana"/>
                <w:i w:val="0"/>
              </w:rPr>
              <w:t>Reverse reference scenario  is included to show how much IR3535</w:t>
            </w:r>
            <w:r w:rsidRPr="00A068DB">
              <w:rPr>
                <w:rFonts w:ascii="Verdana" w:eastAsia="Calibri" w:hAnsi="Verdana"/>
                <w:i w:val="0"/>
                <w:vertAlign w:val="superscript"/>
              </w:rPr>
              <w:t>®</w:t>
            </w:r>
            <w:r w:rsidRPr="000504BE">
              <w:rPr>
                <w:rFonts w:ascii="Verdana" w:eastAsia="Calibri" w:hAnsi="Verdana"/>
                <w:i w:val="0"/>
              </w:rPr>
              <w:t xml:space="preserve"> anyone can be exposed to, after oral exposure w</w:t>
            </w:r>
            <w:r>
              <w:rPr>
                <w:rFonts w:ascii="Verdana" w:eastAsia="Calibri" w:hAnsi="Verdana"/>
                <w:i w:val="0"/>
              </w:rPr>
              <w:t>ithout exceeding reference dose (</w:t>
            </w:r>
            <w:r w:rsidRPr="000504BE">
              <w:rPr>
                <w:rFonts w:ascii="Verdana" w:eastAsia="Calibri" w:hAnsi="Verdana"/>
                <w:i w:val="0"/>
              </w:rPr>
              <w:t>AEL for IR3535</w:t>
            </w:r>
            <w:r w:rsidRPr="00A068DB">
              <w:rPr>
                <w:rFonts w:ascii="Verdana" w:eastAsia="Calibri" w:hAnsi="Verdana"/>
                <w:i w:val="0"/>
                <w:vertAlign w:val="superscript"/>
              </w:rPr>
              <w:t>®</w:t>
            </w:r>
            <w:r w:rsidRPr="000504BE">
              <w:rPr>
                <w:rFonts w:ascii="Verdana" w:eastAsia="Calibri" w:hAnsi="Verdana"/>
                <w:i w:val="0"/>
              </w:rPr>
              <w:t xml:space="preserve"> is 5 mg/kg </w:t>
            </w:r>
            <w:proofErr w:type="spellStart"/>
            <w:r w:rsidRPr="000504BE">
              <w:rPr>
                <w:rFonts w:ascii="Verdana" w:eastAsia="Calibri" w:hAnsi="Verdana"/>
                <w:i w:val="0"/>
              </w:rPr>
              <w:t>bw</w:t>
            </w:r>
            <w:proofErr w:type="spellEnd"/>
            <w:r w:rsidRPr="000504BE">
              <w:rPr>
                <w:rFonts w:ascii="Verdana" w:eastAsia="Calibri" w:hAnsi="Verdana"/>
                <w:i w:val="0"/>
              </w:rPr>
              <w:t>/d</w:t>
            </w:r>
            <w:r>
              <w:rPr>
                <w:rFonts w:ascii="Verdana" w:eastAsia="Calibri" w:hAnsi="Verdana"/>
                <w:i w:val="0"/>
              </w:rPr>
              <w:t>)</w:t>
            </w:r>
            <w:r w:rsidRPr="000504BE">
              <w:rPr>
                <w:rFonts w:ascii="Verdana" w:eastAsia="Calibri" w:hAnsi="Verdana"/>
                <w:i w:val="0"/>
              </w:rPr>
              <w:t>.</w:t>
            </w:r>
          </w:p>
          <w:p w14:paraId="7A91A12A" w14:textId="77777777" w:rsidR="00643CC1" w:rsidRPr="00F94E15" w:rsidRDefault="00643CC1" w:rsidP="00CC3AED">
            <w:pPr>
              <w:pStyle w:val="Explanatorynotes"/>
              <w:rPr>
                <w:rFonts w:ascii="Verdana" w:eastAsia="Calibri" w:hAnsi="Verdana"/>
                <w:i w:val="0"/>
              </w:rPr>
            </w:pPr>
          </w:p>
          <w:p w14:paraId="3FE0BD5F" w14:textId="77777777" w:rsidR="00643CC1" w:rsidRPr="00F94E15" w:rsidRDefault="00643CC1" w:rsidP="00CC3AED">
            <w:pPr>
              <w:pStyle w:val="Explanatorynotes"/>
              <w:rPr>
                <w:rFonts w:ascii="Verdana" w:eastAsia="Calibri" w:hAnsi="Verdana"/>
                <w:i w:val="0"/>
              </w:rPr>
            </w:pPr>
            <w:r w:rsidRPr="00F94E15">
              <w:rPr>
                <w:rFonts w:ascii="Verdana" w:eastAsia="Calibri" w:hAnsi="Verdana"/>
                <w:b/>
                <w:i w:val="0"/>
              </w:rPr>
              <w:t xml:space="preserve">External dermal amount of </w:t>
            </w:r>
            <w:proofErr w:type="spellStart"/>
            <w:r w:rsidRPr="00F94E15">
              <w:rPr>
                <w:rFonts w:ascii="Verdana" w:eastAsia="Calibri" w:hAnsi="Verdana"/>
                <w:b/>
                <w:i w:val="0"/>
              </w:rPr>
              <w:t>a.s.</w:t>
            </w:r>
            <w:proofErr w:type="spellEnd"/>
            <w:r w:rsidRPr="00F94E15">
              <w:rPr>
                <w:rFonts w:ascii="Verdana" w:eastAsia="Calibri" w:hAnsi="Verdana"/>
                <w:b/>
                <w:i w:val="0"/>
              </w:rPr>
              <w:t xml:space="preserve"> per application</w:t>
            </w:r>
            <w:r w:rsidRPr="00F94E15">
              <w:rPr>
                <w:rFonts w:ascii="Verdana" w:eastAsia="Calibri" w:hAnsi="Verdana"/>
                <w:i w:val="0"/>
              </w:rPr>
              <w:t xml:space="preserve">: </w:t>
            </w:r>
          </w:p>
          <w:p w14:paraId="2BCDBBC1" w14:textId="77777777" w:rsidR="00643CC1" w:rsidRPr="00F94E15" w:rsidRDefault="00643CC1" w:rsidP="00CC3AED">
            <w:pPr>
              <w:pStyle w:val="Explanatorynotes"/>
              <w:ind w:left="348"/>
              <w:rPr>
                <w:rFonts w:ascii="Verdana" w:eastAsia="Calibri" w:hAnsi="Verdana"/>
                <w:i w:val="0"/>
              </w:rPr>
            </w:pPr>
            <w:r w:rsidRPr="00F94E15">
              <w:rPr>
                <w:rFonts w:ascii="Verdana" w:eastAsia="Calibri" w:hAnsi="Verdana"/>
                <w:i w:val="0"/>
              </w:rPr>
              <w:t xml:space="preserve">Amount of </w:t>
            </w:r>
            <w:proofErr w:type="spellStart"/>
            <w:r w:rsidRPr="00F94E15">
              <w:rPr>
                <w:rFonts w:ascii="Verdana" w:eastAsia="Calibri" w:hAnsi="Verdana"/>
                <w:i w:val="0"/>
              </w:rPr>
              <w:t>b</w:t>
            </w:r>
            <w:r>
              <w:rPr>
                <w:rFonts w:ascii="Verdana" w:eastAsia="Calibri" w:hAnsi="Verdana"/>
                <w:i w:val="0"/>
              </w:rPr>
              <w:t>.</w:t>
            </w:r>
            <w:r w:rsidRPr="00F94E15">
              <w:rPr>
                <w:rFonts w:ascii="Verdana" w:eastAsia="Calibri" w:hAnsi="Verdana"/>
                <w:i w:val="0"/>
              </w:rPr>
              <w:t>p</w:t>
            </w:r>
            <w:r>
              <w:rPr>
                <w:rFonts w:ascii="Verdana" w:eastAsia="Calibri" w:hAnsi="Verdana"/>
                <w:i w:val="0"/>
              </w:rPr>
              <w:t>.</w:t>
            </w:r>
            <w:proofErr w:type="spellEnd"/>
            <w:r>
              <w:rPr>
                <w:rFonts w:ascii="Verdana" w:eastAsia="Calibri" w:hAnsi="Verdana"/>
                <w:i w:val="0"/>
              </w:rPr>
              <w:t>/</w:t>
            </w:r>
            <w:r w:rsidRPr="00F94E15">
              <w:rPr>
                <w:rFonts w:ascii="Verdana" w:eastAsia="Calibri" w:hAnsi="Verdana"/>
                <w:i w:val="0"/>
              </w:rPr>
              <w:t>application</w:t>
            </w:r>
            <w:r>
              <w:rPr>
                <w:rFonts w:ascii="Verdana" w:eastAsia="Calibri" w:hAnsi="Verdana"/>
                <w:i w:val="0"/>
              </w:rPr>
              <w:t xml:space="preserve"> x</w:t>
            </w:r>
            <w:r w:rsidRPr="00F94E15">
              <w:rPr>
                <w:rFonts w:ascii="Verdana" w:eastAsia="Calibri" w:hAnsi="Verdana"/>
                <w:i w:val="0"/>
              </w:rPr>
              <w:t xml:space="preserve"> percent of </w:t>
            </w:r>
            <w:proofErr w:type="spellStart"/>
            <w:r w:rsidRPr="00F94E15">
              <w:rPr>
                <w:rFonts w:ascii="Verdana" w:eastAsia="Calibri" w:hAnsi="Verdana"/>
                <w:i w:val="0"/>
              </w:rPr>
              <w:t>a.s.</w:t>
            </w:r>
            <w:proofErr w:type="spellEnd"/>
            <w:r w:rsidRPr="00F94E15">
              <w:rPr>
                <w:rFonts w:ascii="Verdana" w:eastAsia="Calibri" w:hAnsi="Verdana"/>
                <w:i w:val="0"/>
              </w:rPr>
              <w:t xml:space="preserve"> in </w:t>
            </w:r>
            <w:proofErr w:type="spellStart"/>
            <w:r w:rsidRPr="00F94E15">
              <w:rPr>
                <w:rFonts w:ascii="Verdana" w:eastAsia="Calibri" w:hAnsi="Verdana"/>
                <w:i w:val="0"/>
              </w:rPr>
              <w:t>b.p.</w:t>
            </w:r>
            <w:proofErr w:type="spellEnd"/>
            <w:r>
              <w:rPr>
                <w:rFonts w:ascii="Verdana" w:eastAsia="Calibri" w:hAnsi="Verdana"/>
                <w:i w:val="0"/>
              </w:rPr>
              <w:t xml:space="preserve"> / body weight</w:t>
            </w:r>
            <w:r w:rsidRPr="00F94E15">
              <w:rPr>
                <w:rFonts w:ascii="Verdana" w:eastAsia="Calibri" w:hAnsi="Verdana"/>
                <w:i w:val="0"/>
              </w:rPr>
              <w:t xml:space="preserve"> </w:t>
            </w:r>
          </w:p>
          <w:p w14:paraId="0EA8B794" w14:textId="77777777" w:rsidR="00643CC1" w:rsidRPr="00F94E15" w:rsidRDefault="00643CC1" w:rsidP="00CC3AED">
            <w:pPr>
              <w:pStyle w:val="Explanatorynotes"/>
              <w:rPr>
                <w:rFonts w:ascii="Verdana" w:eastAsia="Calibri" w:hAnsi="Verdana"/>
                <w:b/>
                <w:i w:val="0"/>
              </w:rPr>
            </w:pPr>
            <w:r w:rsidRPr="00F94E15">
              <w:rPr>
                <w:rFonts w:ascii="Verdana" w:eastAsia="Calibri" w:hAnsi="Verdana"/>
                <w:b/>
                <w:i w:val="0"/>
              </w:rPr>
              <w:t>Oral systemic exposure via hand-mouth transfer is:</w:t>
            </w:r>
          </w:p>
          <w:p w14:paraId="799761C8" w14:textId="77777777" w:rsidR="00643CC1" w:rsidRDefault="00643CC1" w:rsidP="00CC3AED">
            <w:pPr>
              <w:pStyle w:val="Explanatorynotes"/>
              <w:ind w:left="348"/>
              <w:rPr>
                <w:rFonts w:ascii="Verdana" w:eastAsia="Calibri" w:hAnsi="Verdana"/>
                <w:i w:val="0"/>
              </w:rPr>
            </w:pPr>
            <w:r w:rsidRPr="00F94E15">
              <w:rPr>
                <w:rFonts w:ascii="Verdana" w:eastAsia="Calibri" w:hAnsi="Verdana"/>
                <w:i w:val="0"/>
              </w:rPr>
              <w:t xml:space="preserve">External dermal amount of </w:t>
            </w:r>
            <w:proofErr w:type="spellStart"/>
            <w:r w:rsidRPr="00F94E15">
              <w:rPr>
                <w:rFonts w:ascii="Verdana" w:eastAsia="Calibri" w:hAnsi="Verdana"/>
                <w:i w:val="0"/>
              </w:rPr>
              <w:t>a.s.</w:t>
            </w:r>
            <w:proofErr w:type="spellEnd"/>
            <w:r w:rsidRPr="00F94E15">
              <w:rPr>
                <w:rFonts w:ascii="Verdana" w:eastAsia="Calibri" w:hAnsi="Verdana"/>
                <w:i w:val="0"/>
              </w:rPr>
              <w:t xml:space="preserve"> per application x Factor for oral intake by hand-mouth transfer</w:t>
            </w:r>
            <w:r>
              <w:rPr>
                <w:rFonts w:ascii="Verdana" w:eastAsia="Calibri" w:hAnsi="Verdana"/>
                <w:i w:val="0"/>
              </w:rPr>
              <w:t xml:space="preserve"> x oral absorption</w:t>
            </w:r>
          </w:p>
          <w:p w14:paraId="3F8F3EA0" w14:textId="77777777" w:rsidR="00643CC1" w:rsidRPr="00A52D7A" w:rsidRDefault="00643CC1" w:rsidP="00CC3AED">
            <w:pPr>
              <w:pStyle w:val="Explanatorynotes"/>
              <w:rPr>
                <w:rFonts w:ascii="Verdana" w:eastAsia="Calibri" w:hAnsi="Verdana"/>
                <w:b/>
                <w:i w:val="0"/>
              </w:rPr>
            </w:pPr>
            <w:r w:rsidRPr="00A52D7A">
              <w:rPr>
                <w:rFonts w:ascii="Verdana" w:eastAsia="Calibri" w:hAnsi="Verdana"/>
                <w:b/>
                <w:i w:val="0"/>
              </w:rPr>
              <w:t>Numb</w:t>
            </w:r>
            <w:r>
              <w:rPr>
                <w:rFonts w:ascii="Verdana" w:eastAsia="Calibri" w:hAnsi="Verdana"/>
                <w:b/>
                <w:i w:val="0"/>
              </w:rPr>
              <w:t>er of time</w:t>
            </w:r>
            <w:r w:rsidRPr="00A52D7A">
              <w:rPr>
                <w:rFonts w:ascii="Verdana" w:eastAsia="Calibri" w:hAnsi="Verdana"/>
                <w:b/>
                <w:i w:val="0"/>
              </w:rPr>
              <w:t xml:space="preserve"> of appli</w:t>
            </w:r>
            <w:r>
              <w:rPr>
                <w:rFonts w:ascii="Verdana" w:eastAsia="Calibri" w:hAnsi="Verdana"/>
                <w:b/>
                <w:i w:val="0"/>
              </w:rPr>
              <w:t>cation</w:t>
            </w:r>
            <w:r w:rsidRPr="00A52D7A">
              <w:rPr>
                <w:rFonts w:ascii="Verdana" w:eastAsia="Calibri" w:hAnsi="Verdana"/>
                <w:b/>
                <w:i w:val="0"/>
              </w:rPr>
              <w:t xml:space="preserve"> </w:t>
            </w:r>
            <w:proofErr w:type="spellStart"/>
            <w:r w:rsidRPr="00A52D7A">
              <w:rPr>
                <w:rFonts w:ascii="Verdana" w:eastAsia="Calibri" w:hAnsi="Verdana"/>
                <w:b/>
                <w:i w:val="0"/>
              </w:rPr>
              <w:t>b.p.</w:t>
            </w:r>
            <w:proofErr w:type="spellEnd"/>
            <w:r w:rsidRPr="00A52D7A">
              <w:rPr>
                <w:rFonts w:ascii="Verdana" w:eastAsia="Calibri" w:hAnsi="Verdana"/>
                <w:b/>
                <w:i w:val="0"/>
              </w:rPr>
              <w:t xml:space="preserve"> before exceeding the AEL via hand-mouth transfer : </w:t>
            </w:r>
          </w:p>
          <w:p w14:paraId="75625B76" w14:textId="77777777" w:rsidR="00643CC1" w:rsidRDefault="00643CC1" w:rsidP="00CC3AED">
            <w:pPr>
              <w:pStyle w:val="Explanatorynotes"/>
              <w:ind w:left="348"/>
              <w:rPr>
                <w:rFonts w:ascii="Verdana" w:eastAsia="Calibri" w:hAnsi="Verdana"/>
                <w:i w:val="0"/>
              </w:rPr>
            </w:pPr>
            <w:r>
              <w:rPr>
                <w:rFonts w:ascii="Verdana" w:eastAsia="Calibri" w:hAnsi="Verdana"/>
                <w:i w:val="0"/>
              </w:rPr>
              <w:t xml:space="preserve">AEL / </w:t>
            </w:r>
            <w:r w:rsidRPr="00A52D7A">
              <w:rPr>
                <w:rFonts w:ascii="Verdana" w:eastAsia="Calibri" w:hAnsi="Verdana"/>
                <w:i w:val="0"/>
              </w:rPr>
              <w:t>Oral systemic exposure via hand-mouth transfer</w:t>
            </w:r>
          </w:p>
          <w:p w14:paraId="595BA7D1" w14:textId="77777777" w:rsidR="00643CC1" w:rsidRDefault="00643CC1" w:rsidP="00CC3AED">
            <w:pPr>
              <w:pStyle w:val="Explanatorynotes"/>
              <w:rPr>
                <w:rFonts w:ascii="Verdana" w:eastAsia="Calibri" w:hAnsi="Verdana"/>
                <w:i w:val="0"/>
              </w:rPr>
            </w:pPr>
          </w:p>
          <w:p w14:paraId="2C41D0C6" w14:textId="77777777" w:rsidR="00643CC1" w:rsidRDefault="00643CC1" w:rsidP="00CC3AED">
            <w:pPr>
              <w:pStyle w:val="Explanatorynotes"/>
              <w:rPr>
                <w:rFonts w:ascii="Verdana" w:eastAsia="Calibri" w:hAnsi="Verdana"/>
                <w:i w:val="0"/>
              </w:rPr>
            </w:pPr>
            <w:r w:rsidRPr="00145519">
              <w:rPr>
                <w:rFonts w:ascii="Verdana" w:eastAsia="Calibri" w:hAnsi="Verdana"/>
                <w:i w:val="0"/>
              </w:rPr>
              <w:t>As a worst case, the scenario has been assessed considering that the whole body is treated.</w:t>
            </w:r>
          </w:p>
          <w:p w14:paraId="73F2F938" w14:textId="77777777" w:rsidR="00643CC1" w:rsidRPr="004936D9" w:rsidRDefault="00643CC1" w:rsidP="00CC3AED">
            <w:pPr>
              <w:pStyle w:val="Explanatorynotes"/>
              <w:rPr>
                <w:rFonts w:ascii="Verdana" w:eastAsia="Calibri" w:hAnsi="Verdana"/>
                <w:i w:val="0"/>
              </w:rPr>
            </w:pPr>
          </w:p>
        </w:tc>
      </w:tr>
      <w:tr w:rsidR="00643CC1" w:rsidRPr="00586AC3" w14:paraId="4D64853B" w14:textId="77777777" w:rsidTr="00CC3AED">
        <w:trPr>
          <w:tblHeader/>
        </w:trPr>
        <w:tc>
          <w:tcPr>
            <w:tcW w:w="1724" w:type="pct"/>
            <w:shd w:val="clear" w:color="auto" w:fill="BFBFBF" w:themeFill="background1" w:themeFillShade="BF"/>
            <w:tcMar>
              <w:top w:w="57" w:type="dxa"/>
              <w:bottom w:w="57" w:type="dxa"/>
            </w:tcMar>
          </w:tcPr>
          <w:p w14:paraId="4EF27D48" w14:textId="77777777" w:rsidR="00643CC1" w:rsidRPr="00586AC3" w:rsidRDefault="00643CC1" w:rsidP="00CC3AED">
            <w:pPr>
              <w:pStyle w:val="Standaard-Tabellen"/>
              <w:rPr>
                <w:rFonts w:eastAsia="Calibri"/>
                <w:b/>
                <w:lang w:val="en-US"/>
              </w:rPr>
            </w:pPr>
          </w:p>
        </w:tc>
        <w:tc>
          <w:tcPr>
            <w:tcW w:w="2604" w:type="pct"/>
            <w:shd w:val="clear" w:color="auto" w:fill="BFBFBF" w:themeFill="background1" w:themeFillShade="BF"/>
            <w:tcMar>
              <w:top w:w="57" w:type="dxa"/>
              <w:bottom w:w="57" w:type="dxa"/>
            </w:tcMar>
          </w:tcPr>
          <w:p w14:paraId="47BD1310" w14:textId="77777777" w:rsidR="00643CC1" w:rsidRPr="00586AC3" w:rsidRDefault="00643CC1" w:rsidP="00CC3AED">
            <w:pPr>
              <w:pStyle w:val="Standaard-Tabellen"/>
              <w:rPr>
                <w:rFonts w:eastAsia="Calibri"/>
                <w:b/>
              </w:rPr>
            </w:pPr>
            <w:r w:rsidRPr="00586AC3">
              <w:rPr>
                <w:rFonts w:eastAsia="Calibri"/>
                <w:b/>
              </w:rPr>
              <w:t>Parameters</w:t>
            </w:r>
            <w:r w:rsidRPr="00586AC3">
              <w:rPr>
                <w:rFonts w:eastAsia="Calibri"/>
                <w:b/>
                <w:vertAlign w:val="superscript"/>
              </w:rPr>
              <w:t>1</w:t>
            </w:r>
          </w:p>
        </w:tc>
        <w:tc>
          <w:tcPr>
            <w:tcW w:w="672" w:type="pct"/>
            <w:shd w:val="clear" w:color="auto" w:fill="BFBFBF" w:themeFill="background1" w:themeFillShade="BF"/>
            <w:tcMar>
              <w:top w:w="57" w:type="dxa"/>
              <w:bottom w:w="57" w:type="dxa"/>
            </w:tcMar>
          </w:tcPr>
          <w:p w14:paraId="3B9139D5" w14:textId="77777777" w:rsidR="00643CC1" w:rsidRPr="00586AC3" w:rsidRDefault="00643CC1" w:rsidP="00CC3AED">
            <w:pPr>
              <w:pStyle w:val="Standaard-Tabellen"/>
              <w:rPr>
                <w:rFonts w:eastAsia="Calibri"/>
                <w:b/>
              </w:rPr>
            </w:pPr>
            <w:r w:rsidRPr="00586AC3">
              <w:rPr>
                <w:rFonts w:eastAsia="Calibri"/>
                <w:b/>
              </w:rPr>
              <w:t>Value</w:t>
            </w:r>
          </w:p>
        </w:tc>
      </w:tr>
      <w:tr w:rsidR="00643CC1" w:rsidRPr="00FD2055" w14:paraId="2DE449A9" w14:textId="77777777" w:rsidTr="00CC3AED">
        <w:trPr>
          <w:tblHeader/>
        </w:trPr>
        <w:tc>
          <w:tcPr>
            <w:tcW w:w="1724" w:type="pct"/>
            <w:vMerge w:val="restart"/>
            <w:tcMar>
              <w:top w:w="57" w:type="dxa"/>
              <w:bottom w:w="57" w:type="dxa"/>
            </w:tcMar>
          </w:tcPr>
          <w:p w14:paraId="24581502" w14:textId="77777777" w:rsidR="00643CC1" w:rsidRPr="00FD2055" w:rsidRDefault="00643CC1" w:rsidP="00CC3AED">
            <w:pPr>
              <w:pStyle w:val="Standaard-Tabellen"/>
              <w:rPr>
                <w:rFonts w:eastAsia="Calibri"/>
              </w:rPr>
            </w:pPr>
            <w:r w:rsidRPr="00071DE1">
              <w:rPr>
                <w:rFonts w:eastAsia="Calibri"/>
                <w:bCs w:val="0"/>
              </w:rPr>
              <w:t>For All categories</w:t>
            </w:r>
          </w:p>
        </w:tc>
        <w:tc>
          <w:tcPr>
            <w:tcW w:w="2604" w:type="pct"/>
            <w:shd w:val="clear" w:color="auto" w:fill="auto"/>
            <w:tcMar>
              <w:top w:w="57" w:type="dxa"/>
              <w:bottom w:w="57" w:type="dxa"/>
            </w:tcMar>
          </w:tcPr>
          <w:p w14:paraId="622AA8C5" w14:textId="77777777" w:rsidR="00643CC1" w:rsidRPr="00FD2055" w:rsidRDefault="00643CC1" w:rsidP="00CC3AED">
            <w:pPr>
              <w:pStyle w:val="Standaard-Tabellen"/>
              <w:rPr>
                <w:rFonts w:eastAsia="Calibri"/>
              </w:rPr>
            </w:pPr>
            <w:r>
              <w:rPr>
                <w:rFonts w:eastAsia="Calibri"/>
              </w:rPr>
              <w:t>Oral absorption</w:t>
            </w:r>
            <w:r>
              <w:rPr>
                <w:rFonts w:eastAsia="Calibri"/>
                <w:vertAlign w:val="superscript"/>
              </w:rPr>
              <w:t>1</w:t>
            </w:r>
          </w:p>
        </w:tc>
        <w:tc>
          <w:tcPr>
            <w:tcW w:w="672" w:type="pct"/>
            <w:shd w:val="clear" w:color="auto" w:fill="auto"/>
            <w:tcMar>
              <w:top w:w="57" w:type="dxa"/>
              <w:bottom w:w="57" w:type="dxa"/>
            </w:tcMar>
          </w:tcPr>
          <w:p w14:paraId="19996C81" w14:textId="77777777" w:rsidR="00643CC1" w:rsidRPr="00FD2055" w:rsidRDefault="00643CC1" w:rsidP="00CC3AED">
            <w:pPr>
              <w:pStyle w:val="Standaard-Tabellen"/>
              <w:rPr>
                <w:rFonts w:eastAsia="Calibri"/>
              </w:rPr>
            </w:pPr>
            <w:r>
              <w:rPr>
                <w:rFonts w:eastAsia="Calibri"/>
              </w:rPr>
              <w:t>100%</w:t>
            </w:r>
          </w:p>
        </w:tc>
      </w:tr>
      <w:tr w:rsidR="00643CC1" w:rsidRPr="00FD2055" w14:paraId="242AD5ED" w14:textId="77777777" w:rsidTr="00CC3AED">
        <w:trPr>
          <w:tblHeader/>
        </w:trPr>
        <w:tc>
          <w:tcPr>
            <w:tcW w:w="1724" w:type="pct"/>
            <w:vMerge/>
            <w:tcMar>
              <w:top w:w="57" w:type="dxa"/>
              <w:bottom w:w="57" w:type="dxa"/>
            </w:tcMar>
          </w:tcPr>
          <w:p w14:paraId="29EAA619" w14:textId="77777777" w:rsidR="00643CC1" w:rsidRPr="00FD2055" w:rsidRDefault="00643CC1" w:rsidP="00CC3AED">
            <w:pPr>
              <w:pStyle w:val="Standaard-Tabellen"/>
              <w:rPr>
                <w:rFonts w:eastAsia="Calibri"/>
              </w:rPr>
            </w:pPr>
          </w:p>
        </w:tc>
        <w:tc>
          <w:tcPr>
            <w:tcW w:w="2604" w:type="pct"/>
            <w:shd w:val="clear" w:color="auto" w:fill="auto"/>
            <w:tcMar>
              <w:top w:w="57" w:type="dxa"/>
              <w:bottom w:w="57" w:type="dxa"/>
            </w:tcMar>
          </w:tcPr>
          <w:p w14:paraId="29F2CE6C" w14:textId="77777777" w:rsidR="00643CC1" w:rsidRPr="00FD2055" w:rsidRDefault="00643CC1" w:rsidP="00CC3AED">
            <w:pPr>
              <w:pStyle w:val="Standaard-Tabellen"/>
              <w:rPr>
                <w:rFonts w:eastAsia="Calibri"/>
              </w:rPr>
            </w:pPr>
            <w:r>
              <w:rPr>
                <w:rFonts w:eastAsia="Calibri"/>
              </w:rPr>
              <w:t>% of active substance in biocidal product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62E5C7B2" w14:textId="77777777" w:rsidR="00643CC1" w:rsidRPr="00FD2055" w:rsidRDefault="00643CC1" w:rsidP="00CC3AED">
            <w:pPr>
              <w:pStyle w:val="Standaard-Tabellen"/>
              <w:rPr>
                <w:rFonts w:eastAsia="Calibri"/>
              </w:rPr>
            </w:pPr>
            <w:r>
              <w:rPr>
                <w:rFonts w:eastAsia="Calibri"/>
              </w:rPr>
              <w:t>10%</w:t>
            </w:r>
          </w:p>
        </w:tc>
      </w:tr>
      <w:tr w:rsidR="00643CC1" w:rsidRPr="00FD2055" w14:paraId="7145E2C8" w14:textId="77777777" w:rsidTr="00CC3AED">
        <w:trPr>
          <w:tblHeader/>
        </w:trPr>
        <w:tc>
          <w:tcPr>
            <w:tcW w:w="1724" w:type="pct"/>
            <w:vMerge w:val="restart"/>
            <w:tcMar>
              <w:top w:w="57" w:type="dxa"/>
              <w:bottom w:w="57" w:type="dxa"/>
            </w:tcMar>
          </w:tcPr>
          <w:p w14:paraId="1A5DABE8" w14:textId="77777777" w:rsidR="00643CC1" w:rsidRPr="00FD2055" w:rsidRDefault="00643CC1" w:rsidP="00CC3AED">
            <w:pPr>
              <w:pStyle w:val="Standaard-Tabellen"/>
              <w:rPr>
                <w:rFonts w:eastAsia="Calibri"/>
              </w:rPr>
            </w:pPr>
            <w:r w:rsidRPr="000B65BB">
              <w:rPr>
                <w:rFonts w:eastAsia="Calibri"/>
              </w:rPr>
              <w:t>Tier 1- Adult</w:t>
            </w:r>
          </w:p>
        </w:tc>
        <w:tc>
          <w:tcPr>
            <w:tcW w:w="2604" w:type="pct"/>
            <w:shd w:val="clear" w:color="auto" w:fill="auto"/>
            <w:tcMar>
              <w:top w:w="57" w:type="dxa"/>
              <w:bottom w:w="57" w:type="dxa"/>
            </w:tcMar>
          </w:tcPr>
          <w:p w14:paraId="1698AFB6" w14:textId="77777777" w:rsidR="00643CC1" w:rsidRPr="009400D3" w:rsidRDefault="00643CC1" w:rsidP="00CC3AED">
            <w:pPr>
              <w:pStyle w:val="Standaard-Tabellen"/>
              <w:rPr>
                <w:rFonts w:eastAsia="Calibri"/>
                <w:vertAlign w:val="superscript"/>
              </w:rPr>
            </w:pPr>
            <w:r>
              <w:rPr>
                <w:rFonts w:eastAsia="Calibri"/>
              </w:rPr>
              <w:t>Factor</w:t>
            </w:r>
            <w:r w:rsidRPr="00190CFC">
              <w:rPr>
                <w:rFonts w:eastAsia="Calibri"/>
              </w:rPr>
              <w:t xml:space="preserve"> for oral intake by hand-mouth transfer</w:t>
            </w:r>
            <w:r>
              <w:rPr>
                <w:rFonts w:eastAsia="Calibri"/>
                <w:vertAlign w:val="superscript"/>
              </w:rPr>
              <w:t>2</w:t>
            </w:r>
          </w:p>
        </w:tc>
        <w:tc>
          <w:tcPr>
            <w:tcW w:w="672" w:type="pct"/>
            <w:shd w:val="clear" w:color="auto" w:fill="auto"/>
            <w:tcMar>
              <w:top w:w="57" w:type="dxa"/>
              <w:bottom w:w="57" w:type="dxa"/>
            </w:tcMar>
          </w:tcPr>
          <w:p w14:paraId="7A999714" w14:textId="77777777" w:rsidR="00643CC1" w:rsidRPr="00FD2055" w:rsidRDefault="00643CC1" w:rsidP="00CC3AED">
            <w:pPr>
              <w:pStyle w:val="Standaard-Tabellen"/>
              <w:rPr>
                <w:rFonts w:eastAsia="Calibri"/>
              </w:rPr>
            </w:pPr>
            <w:r>
              <w:rPr>
                <w:rFonts w:eastAsia="Calibri"/>
              </w:rPr>
              <w:t xml:space="preserve">4 % </w:t>
            </w:r>
          </w:p>
        </w:tc>
      </w:tr>
      <w:tr w:rsidR="00643CC1" w:rsidRPr="00FD2055" w14:paraId="54DE5EEC" w14:textId="77777777" w:rsidTr="00CC3AED">
        <w:trPr>
          <w:tblHeader/>
        </w:trPr>
        <w:tc>
          <w:tcPr>
            <w:tcW w:w="1724" w:type="pct"/>
            <w:vMerge/>
            <w:tcMar>
              <w:top w:w="57" w:type="dxa"/>
              <w:bottom w:w="57" w:type="dxa"/>
            </w:tcMar>
          </w:tcPr>
          <w:p w14:paraId="211A1110" w14:textId="77777777" w:rsidR="00643CC1" w:rsidRPr="00FD2055" w:rsidRDefault="00643CC1" w:rsidP="00CC3AED">
            <w:pPr>
              <w:pStyle w:val="Standaard-Tabellen"/>
              <w:rPr>
                <w:rFonts w:eastAsia="Calibri"/>
              </w:rPr>
            </w:pPr>
          </w:p>
        </w:tc>
        <w:tc>
          <w:tcPr>
            <w:tcW w:w="2604" w:type="pct"/>
            <w:shd w:val="clear" w:color="auto" w:fill="auto"/>
            <w:tcMar>
              <w:top w:w="57" w:type="dxa"/>
              <w:bottom w:w="57" w:type="dxa"/>
            </w:tcMar>
          </w:tcPr>
          <w:p w14:paraId="000D56C7" w14:textId="77777777" w:rsidR="00643CC1" w:rsidRPr="00FD2055" w:rsidRDefault="00643CC1" w:rsidP="00CC3AED">
            <w:pPr>
              <w:pStyle w:val="Standaard-Tabellen"/>
              <w:rPr>
                <w:rFonts w:eastAsia="Calibri"/>
              </w:rPr>
            </w:pPr>
            <w:r>
              <w:rPr>
                <w:rFonts w:eastAsia="Calibri"/>
              </w:rPr>
              <w:t>Body weight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1AC6BA1B" w14:textId="77777777" w:rsidR="00643CC1" w:rsidRPr="00FD2055" w:rsidRDefault="00643CC1" w:rsidP="00CC3AED">
            <w:pPr>
              <w:pStyle w:val="Standaard-Tabellen"/>
              <w:rPr>
                <w:rFonts w:eastAsia="Calibri"/>
              </w:rPr>
            </w:pPr>
            <w:r>
              <w:rPr>
                <w:rFonts w:eastAsia="Calibri"/>
              </w:rPr>
              <w:t>60 kg</w:t>
            </w:r>
          </w:p>
        </w:tc>
      </w:tr>
      <w:tr w:rsidR="00643CC1" w:rsidRPr="00FD2055" w14:paraId="10C60C3B" w14:textId="77777777" w:rsidTr="00CC3AED">
        <w:trPr>
          <w:tblHeader/>
        </w:trPr>
        <w:tc>
          <w:tcPr>
            <w:tcW w:w="1724" w:type="pct"/>
            <w:vMerge/>
            <w:tcMar>
              <w:top w:w="57" w:type="dxa"/>
              <w:bottom w:w="57" w:type="dxa"/>
            </w:tcMar>
          </w:tcPr>
          <w:p w14:paraId="71EC654A" w14:textId="77777777" w:rsidR="00643CC1" w:rsidRPr="00FD2055" w:rsidRDefault="00643CC1" w:rsidP="00CC3AED">
            <w:pPr>
              <w:pStyle w:val="Standaard-Tabellen"/>
              <w:rPr>
                <w:rFonts w:eastAsia="Calibri"/>
              </w:rPr>
            </w:pPr>
          </w:p>
        </w:tc>
        <w:tc>
          <w:tcPr>
            <w:tcW w:w="2604" w:type="pct"/>
            <w:shd w:val="clear" w:color="auto" w:fill="auto"/>
            <w:tcMar>
              <w:top w:w="57" w:type="dxa"/>
              <w:bottom w:w="57" w:type="dxa"/>
            </w:tcMar>
          </w:tcPr>
          <w:p w14:paraId="14F6B4C2" w14:textId="77777777" w:rsidR="00643CC1" w:rsidRDefault="00643CC1" w:rsidP="00CC3AED">
            <w:pPr>
              <w:pStyle w:val="Standaard-Tabellen"/>
              <w:rPr>
                <w:rFonts w:eastAsia="Calibri"/>
              </w:rPr>
            </w:pPr>
            <w:r>
              <w:rPr>
                <w:rFonts w:eastAsia="Calibri"/>
              </w:rPr>
              <w:t>Amount of biocidal product/ application</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5781271B" w14:textId="77777777" w:rsidR="00643CC1" w:rsidRDefault="00643CC1" w:rsidP="00CC3AED">
            <w:pPr>
              <w:pStyle w:val="Standaard-Tabellen"/>
              <w:rPr>
                <w:rFonts w:eastAsia="Calibri"/>
              </w:rPr>
            </w:pPr>
            <w:r>
              <w:rPr>
                <w:rFonts w:eastAsia="Calibri"/>
              </w:rPr>
              <w:t>9.13 g</w:t>
            </w:r>
          </w:p>
        </w:tc>
      </w:tr>
      <w:tr w:rsidR="00643CC1" w:rsidRPr="00FD2055" w14:paraId="73690D86" w14:textId="77777777" w:rsidTr="00CC3AED">
        <w:trPr>
          <w:tblHeader/>
        </w:trPr>
        <w:tc>
          <w:tcPr>
            <w:tcW w:w="1724" w:type="pct"/>
            <w:vMerge w:val="restart"/>
            <w:tcMar>
              <w:top w:w="57" w:type="dxa"/>
              <w:bottom w:w="57" w:type="dxa"/>
            </w:tcMar>
          </w:tcPr>
          <w:p w14:paraId="18CFE99C" w14:textId="77777777" w:rsidR="00643CC1" w:rsidRPr="00FD2055" w:rsidRDefault="00643CC1" w:rsidP="00CC3AED">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6 to &lt; 12 years old</w:t>
            </w:r>
          </w:p>
        </w:tc>
        <w:tc>
          <w:tcPr>
            <w:tcW w:w="2604" w:type="pct"/>
            <w:shd w:val="clear" w:color="auto" w:fill="auto"/>
            <w:tcMar>
              <w:top w:w="57" w:type="dxa"/>
              <w:bottom w:w="57" w:type="dxa"/>
            </w:tcMar>
          </w:tcPr>
          <w:p w14:paraId="7B41C5A8" w14:textId="77777777" w:rsidR="00643CC1" w:rsidRPr="00FD2055" w:rsidRDefault="00643CC1" w:rsidP="00CC3AED">
            <w:pPr>
              <w:pStyle w:val="Standaard-Tabellen"/>
              <w:rPr>
                <w:rFonts w:eastAsia="Calibri"/>
              </w:rPr>
            </w:pPr>
            <w:r w:rsidRPr="00190CFC">
              <w:rPr>
                <w:rFonts w:eastAsia="Calibri"/>
              </w:rPr>
              <w:t xml:space="preserve">Factor for oral </w:t>
            </w:r>
            <w:r>
              <w:rPr>
                <w:rFonts w:eastAsia="Calibri"/>
              </w:rPr>
              <w:t>intake by hand-mouth transfer</w:t>
            </w:r>
            <w:r>
              <w:rPr>
                <w:rFonts w:eastAsia="Calibri"/>
                <w:vertAlign w:val="superscript"/>
              </w:rPr>
              <w:t>2</w:t>
            </w:r>
            <w:r>
              <w:rPr>
                <w:rFonts w:eastAsia="Calibri"/>
              </w:rPr>
              <w:t xml:space="preserve"> </w:t>
            </w:r>
          </w:p>
        </w:tc>
        <w:tc>
          <w:tcPr>
            <w:tcW w:w="672" w:type="pct"/>
            <w:shd w:val="clear" w:color="auto" w:fill="auto"/>
            <w:tcMar>
              <w:top w:w="57" w:type="dxa"/>
              <w:bottom w:w="57" w:type="dxa"/>
            </w:tcMar>
          </w:tcPr>
          <w:p w14:paraId="2548C2E2" w14:textId="77777777" w:rsidR="00643CC1" w:rsidRPr="00FD2055" w:rsidRDefault="00643CC1" w:rsidP="00CC3AED">
            <w:pPr>
              <w:pStyle w:val="Standaard-Tabellen"/>
              <w:rPr>
                <w:rFonts w:eastAsia="Calibri"/>
              </w:rPr>
            </w:pPr>
            <w:r>
              <w:rPr>
                <w:rFonts w:eastAsia="Calibri"/>
              </w:rPr>
              <w:t xml:space="preserve">8 % </w:t>
            </w:r>
          </w:p>
        </w:tc>
      </w:tr>
      <w:tr w:rsidR="00643CC1" w:rsidRPr="00FD2055" w14:paraId="65952E1E" w14:textId="77777777" w:rsidTr="00CC3AED">
        <w:trPr>
          <w:tblHeader/>
        </w:trPr>
        <w:tc>
          <w:tcPr>
            <w:tcW w:w="1724" w:type="pct"/>
            <w:vMerge/>
            <w:tcMar>
              <w:top w:w="57" w:type="dxa"/>
              <w:bottom w:w="57" w:type="dxa"/>
            </w:tcMar>
          </w:tcPr>
          <w:p w14:paraId="2038BB14" w14:textId="77777777" w:rsidR="00643CC1" w:rsidRPr="00FD2055" w:rsidRDefault="00643CC1" w:rsidP="00CC3AED">
            <w:pPr>
              <w:pStyle w:val="Standaard-Tabellen"/>
              <w:rPr>
                <w:rFonts w:eastAsia="Calibri"/>
              </w:rPr>
            </w:pPr>
          </w:p>
        </w:tc>
        <w:tc>
          <w:tcPr>
            <w:tcW w:w="2604" w:type="pct"/>
            <w:shd w:val="clear" w:color="auto" w:fill="auto"/>
            <w:tcMar>
              <w:top w:w="57" w:type="dxa"/>
              <w:bottom w:w="57" w:type="dxa"/>
            </w:tcMar>
          </w:tcPr>
          <w:p w14:paraId="3B6DA93C" w14:textId="77777777" w:rsidR="00643CC1" w:rsidRPr="00FD2055" w:rsidRDefault="00643CC1" w:rsidP="00CC3AED">
            <w:pPr>
              <w:pStyle w:val="Standaard-Tabellen"/>
              <w:rPr>
                <w:rFonts w:eastAsia="Calibri"/>
              </w:rPr>
            </w:pPr>
            <w:r>
              <w:rPr>
                <w:rFonts w:eastAsia="Calibri"/>
              </w:rPr>
              <w:t>Body weight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79023AC2" w14:textId="77777777" w:rsidR="00643CC1" w:rsidRPr="00FD2055" w:rsidRDefault="00643CC1" w:rsidP="00CC3AED">
            <w:pPr>
              <w:pStyle w:val="Standaard-Tabellen"/>
              <w:rPr>
                <w:rFonts w:eastAsia="Calibri"/>
              </w:rPr>
            </w:pPr>
            <w:r>
              <w:rPr>
                <w:rFonts w:eastAsia="Calibri"/>
              </w:rPr>
              <w:t>23.9 kg</w:t>
            </w:r>
          </w:p>
        </w:tc>
      </w:tr>
      <w:tr w:rsidR="00643CC1" w:rsidRPr="00FD2055" w14:paraId="140F9374" w14:textId="77777777" w:rsidTr="00CC3AED">
        <w:trPr>
          <w:tblHeader/>
        </w:trPr>
        <w:tc>
          <w:tcPr>
            <w:tcW w:w="1724" w:type="pct"/>
            <w:vMerge/>
            <w:tcMar>
              <w:top w:w="57" w:type="dxa"/>
              <w:bottom w:w="57" w:type="dxa"/>
            </w:tcMar>
          </w:tcPr>
          <w:p w14:paraId="271728AA" w14:textId="77777777" w:rsidR="00643CC1" w:rsidRPr="00FD2055" w:rsidRDefault="00643CC1" w:rsidP="00CC3AED">
            <w:pPr>
              <w:pStyle w:val="Standaard-Tabellen"/>
              <w:rPr>
                <w:rFonts w:eastAsia="Calibri"/>
              </w:rPr>
            </w:pPr>
          </w:p>
        </w:tc>
        <w:tc>
          <w:tcPr>
            <w:tcW w:w="2604" w:type="pct"/>
            <w:shd w:val="clear" w:color="auto" w:fill="auto"/>
            <w:tcMar>
              <w:top w:w="57" w:type="dxa"/>
              <w:bottom w:w="57" w:type="dxa"/>
            </w:tcMar>
          </w:tcPr>
          <w:p w14:paraId="3E7FCD96" w14:textId="77777777" w:rsidR="00643CC1" w:rsidRPr="00BD0DC7" w:rsidRDefault="00643CC1" w:rsidP="00CC3AED">
            <w:pPr>
              <w:pStyle w:val="Standaard-Tabellen"/>
              <w:rPr>
                <w:rFonts w:eastAsia="Calibri"/>
              </w:rPr>
            </w:pPr>
            <w:r w:rsidRPr="00BD0DC7">
              <w:rPr>
                <w:rFonts w:eastAsia="Calibri"/>
              </w:rPr>
              <w:t>Amount of biocidal product/ application</w:t>
            </w:r>
            <w:r w:rsidRPr="00BD0DC7">
              <w:rPr>
                <w:rFonts w:eastAsia="Calibri"/>
                <w:vertAlign w:val="superscript"/>
              </w:rPr>
              <w:t>1</w:t>
            </w:r>
          </w:p>
        </w:tc>
        <w:tc>
          <w:tcPr>
            <w:tcW w:w="672" w:type="pct"/>
            <w:shd w:val="clear" w:color="auto" w:fill="auto"/>
            <w:tcMar>
              <w:top w:w="57" w:type="dxa"/>
              <w:bottom w:w="57" w:type="dxa"/>
            </w:tcMar>
          </w:tcPr>
          <w:p w14:paraId="47FEC670" w14:textId="77777777" w:rsidR="00643CC1" w:rsidRPr="00BD0DC7" w:rsidRDefault="00643CC1" w:rsidP="00CC3AED">
            <w:pPr>
              <w:pStyle w:val="Standaard-Tabellen"/>
              <w:rPr>
                <w:rFonts w:eastAsia="Calibri"/>
              </w:rPr>
            </w:pPr>
            <w:r>
              <w:rPr>
                <w:rFonts w:eastAsia="Calibri"/>
              </w:rPr>
              <w:t>5.06</w:t>
            </w:r>
            <w:r w:rsidRPr="00BD0DC7">
              <w:rPr>
                <w:rFonts w:eastAsia="Calibri"/>
              </w:rPr>
              <w:t xml:space="preserve"> g</w:t>
            </w:r>
          </w:p>
        </w:tc>
      </w:tr>
      <w:tr w:rsidR="00643CC1" w:rsidRPr="00FD2055" w14:paraId="43106D4E" w14:textId="77777777" w:rsidTr="00CC3AED">
        <w:trPr>
          <w:tblHeader/>
        </w:trPr>
        <w:tc>
          <w:tcPr>
            <w:tcW w:w="1724" w:type="pct"/>
            <w:vMerge w:val="restart"/>
            <w:tcMar>
              <w:top w:w="57" w:type="dxa"/>
              <w:bottom w:w="57" w:type="dxa"/>
            </w:tcMar>
          </w:tcPr>
          <w:p w14:paraId="349877AC" w14:textId="77777777" w:rsidR="00643CC1" w:rsidRPr="00FD2055" w:rsidRDefault="00643CC1" w:rsidP="00CC3AED">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w:t>
            </w:r>
            <w:r>
              <w:rPr>
                <w:rFonts w:eastAsia="Calibri"/>
              </w:rPr>
              <w:t>2 to &lt; 6</w:t>
            </w:r>
            <w:r w:rsidRPr="00994E49">
              <w:rPr>
                <w:rFonts w:eastAsia="Calibri"/>
              </w:rPr>
              <w:t xml:space="preserve"> years old</w:t>
            </w:r>
          </w:p>
        </w:tc>
        <w:tc>
          <w:tcPr>
            <w:tcW w:w="2604" w:type="pct"/>
            <w:shd w:val="clear" w:color="auto" w:fill="auto"/>
            <w:tcMar>
              <w:top w:w="57" w:type="dxa"/>
              <w:bottom w:w="57" w:type="dxa"/>
            </w:tcMar>
          </w:tcPr>
          <w:p w14:paraId="5833D39B" w14:textId="77777777" w:rsidR="00643CC1" w:rsidRPr="00FD2055" w:rsidRDefault="00643CC1" w:rsidP="00CC3AED">
            <w:pPr>
              <w:pStyle w:val="Standaard-Tabellen"/>
              <w:rPr>
                <w:rFonts w:eastAsia="Calibri"/>
              </w:rPr>
            </w:pPr>
            <w:r w:rsidRPr="00190CFC">
              <w:rPr>
                <w:rFonts w:eastAsia="Calibri"/>
              </w:rPr>
              <w:t>Factor for oral intake by hand-mouth transfer</w:t>
            </w:r>
            <w:r>
              <w:rPr>
                <w:rFonts w:eastAsia="Calibri"/>
                <w:vertAlign w:val="superscript"/>
              </w:rPr>
              <w:t>2</w:t>
            </w:r>
            <w:r w:rsidRPr="00190CFC">
              <w:rPr>
                <w:rFonts w:eastAsia="Calibri"/>
              </w:rPr>
              <w:t xml:space="preserve">  </w:t>
            </w:r>
          </w:p>
        </w:tc>
        <w:tc>
          <w:tcPr>
            <w:tcW w:w="672" w:type="pct"/>
            <w:shd w:val="clear" w:color="auto" w:fill="auto"/>
            <w:tcMar>
              <w:top w:w="57" w:type="dxa"/>
              <w:bottom w:w="57" w:type="dxa"/>
            </w:tcMar>
          </w:tcPr>
          <w:p w14:paraId="5749BE25" w14:textId="77777777" w:rsidR="00643CC1" w:rsidRPr="00FD2055" w:rsidRDefault="00643CC1" w:rsidP="00CC3AED">
            <w:pPr>
              <w:pStyle w:val="Standaard-Tabellen"/>
              <w:rPr>
                <w:rFonts w:eastAsia="Calibri"/>
              </w:rPr>
            </w:pPr>
            <w:r>
              <w:rPr>
                <w:rFonts w:eastAsia="Calibri"/>
              </w:rPr>
              <w:t>8 %</w:t>
            </w:r>
          </w:p>
        </w:tc>
      </w:tr>
      <w:tr w:rsidR="00643CC1" w:rsidRPr="00FD2055" w14:paraId="7BDC9370" w14:textId="77777777" w:rsidTr="00CC3AED">
        <w:trPr>
          <w:tblHeader/>
        </w:trPr>
        <w:tc>
          <w:tcPr>
            <w:tcW w:w="1724" w:type="pct"/>
            <w:vMerge/>
            <w:tcMar>
              <w:top w:w="57" w:type="dxa"/>
              <w:bottom w:w="57" w:type="dxa"/>
            </w:tcMar>
          </w:tcPr>
          <w:p w14:paraId="683E1756" w14:textId="77777777" w:rsidR="00643CC1" w:rsidRPr="00FD2055" w:rsidRDefault="00643CC1" w:rsidP="00CC3AED">
            <w:pPr>
              <w:pStyle w:val="Standaard-Tabellen"/>
              <w:rPr>
                <w:rFonts w:eastAsia="Calibri"/>
              </w:rPr>
            </w:pPr>
          </w:p>
        </w:tc>
        <w:tc>
          <w:tcPr>
            <w:tcW w:w="2604" w:type="pct"/>
            <w:shd w:val="clear" w:color="auto" w:fill="auto"/>
            <w:tcMar>
              <w:top w:w="57" w:type="dxa"/>
              <w:bottom w:w="57" w:type="dxa"/>
            </w:tcMar>
          </w:tcPr>
          <w:p w14:paraId="31121B74" w14:textId="77777777" w:rsidR="00643CC1" w:rsidRPr="00FD2055" w:rsidRDefault="00643CC1" w:rsidP="00CC3AED">
            <w:pPr>
              <w:pStyle w:val="Standaard-Tabellen"/>
              <w:rPr>
                <w:rFonts w:eastAsia="Calibri"/>
              </w:rPr>
            </w:pPr>
            <w:r>
              <w:rPr>
                <w:rFonts w:eastAsia="Calibri"/>
              </w:rPr>
              <w:t>Body weight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1EB4097C" w14:textId="77777777" w:rsidR="00643CC1" w:rsidRPr="00FD2055" w:rsidRDefault="00643CC1" w:rsidP="00CC3AED">
            <w:pPr>
              <w:pStyle w:val="Standaard-Tabellen"/>
              <w:rPr>
                <w:rFonts w:eastAsia="Calibri"/>
              </w:rPr>
            </w:pPr>
            <w:r>
              <w:rPr>
                <w:rFonts w:eastAsia="Calibri"/>
              </w:rPr>
              <w:t>15.6 kg</w:t>
            </w:r>
          </w:p>
        </w:tc>
      </w:tr>
      <w:tr w:rsidR="00643CC1" w:rsidRPr="00FD2055" w14:paraId="79FDA322" w14:textId="77777777" w:rsidTr="00CC3AED">
        <w:trPr>
          <w:tblHeader/>
        </w:trPr>
        <w:tc>
          <w:tcPr>
            <w:tcW w:w="1724" w:type="pct"/>
            <w:vMerge/>
            <w:tcMar>
              <w:top w:w="57" w:type="dxa"/>
              <w:bottom w:w="57" w:type="dxa"/>
            </w:tcMar>
          </w:tcPr>
          <w:p w14:paraId="58113522" w14:textId="77777777" w:rsidR="00643CC1" w:rsidRPr="00FD2055" w:rsidRDefault="00643CC1" w:rsidP="00CC3AED">
            <w:pPr>
              <w:pStyle w:val="Standaard-Tabellen"/>
              <w:rPr>
                <w:rFonts w:eastAsia="Calibri"/>
              </w:rPr>
            </w:pPr>
          </w:p>
        </w:tc>
        <w:tc>
          <w:tcPr>
            <w:tcW w:w="2604" w:type="pct"/>
            <w:shd w:val="clear" w:color="auto" w:fill="auto"/>
            <w:tcMar>
              <w:top w:w="57" w:type="dxa"/>
              <w:bottom w:w="57" w:type="dxa"/>
            </w:tcMar>
          </w:tcPr>
          <w:p w14:paraId="27304686" w14:textId="77777777" w:rsidR="00643CC1" w:rsidRPr="00FD2055" w:rsidRDefault="00643CC1" w:rsidP="00CC3AED">
            <w:pPr>
              <w:pStyle w:val="Standaard-Tabellen"/>
              <w:rPr>
                <w:rFonts w:eastAsia="Calibri"/>
              </w:rPr>
            </w:pPr>
            <w:r w:rsidRPr="00FB7CBD">
              <w:rPr>
                <w:rFonts w:eastAsia="Calibri"/>
              </w:rPr>
              <w:t>Amount of biocidal product/ application</w:t>
            </w:r>
            <w:r>
              <w:rPr>
                <w:rFonts w:eastAsia="Calibri"/>
                <w:vertAlign w:val="superscript"/>
              </w:rPr>
              <w:t>1</w:t>
            </w:r>
          </w:p>
        </w:tc>
        <w:tc>
          <w:tcPr>
            <w:tcW w:w="672" w:type="pct"/>
            <w:shd w:val="clear" w:color="auto" w:fill="auto"/>
            <w:tcMar>
              <w:top w:w="57" w:type="dxa"/>
              <w:bottom w:w="57" w:type="dxa"/>
            </w:tcMar>
          </w:tcPr>
          <w:p w14:paraId="020E4F1C" w14:textId="77777777" w:rsidR="00643CC1" w:rsidRPr="00FD2055" w:rsidRDefault="00643CC1" w:rsidP="00CC3AED">
            <w:pPr>
              <w:pStyle w:val="Standaard-Tabellen"/>
              <w:rPr>
                <w:rFonts w:eastAsia="Calibri"/>
              </w:rPr>
            </w:pPr>
            <w:r>
              <w:rPr>
                <w:rFonts w:eastAsia="Calibri"/>
              </w:rPr>
              <w:t>3.74 g</w:t>
            </w:r>
          </w:p>
        </w:tc>
      </w:tr>
      <w:tr w:rsidR="00643CC1" w:rsidRPr="00FD2055" w14:paraId="0535E635" w14:textId="77777777" w:rsidTr="00CC3AED">
        <w:trPr>
          <w:tblHeader/>
        </w:trPr>
        <w:tc>
          <w:tcPr>
            <w:tcW w:w="1724" w:type="pct"/>
            <w:vMerge w:val="restart"/>
            <w:tcMar>
              <w:top w:w="57" w:type="dxa"/>
              <w:bottom w:w="57" w:type="dxa"/>
            </w:tcMar>
          </w:tcPr>
          <w:p w14:paraId="126857E0" w14:textId="77777777" w:rsidR="00643CC1" w:rsidRPr="00FD2055" w:rsidRDefault="00643CC1" w:rsidP="00CC3AED">
            <w:pPr>
              <w:pStyle w:val="Standaard-Tabellen"/>
              <w:rPr>
                <w:rFonts w:eastAsia="Calibri"/>
              </w:rPr>
            </w:pPr>
            <w:r w:rsidRPr="000B65BB">
              <w:rPr>
                <w:rFonts w:eastAsia="Calibri"/>
              </w:rPr>
              <w:t>Tier 1- Toddler</w:t>
            </w:r>
          </w:p>
        </w:tc>
        <w:tc>
          <w:tcPr>
            <w:tcW w:w="2604" w:type="pct"/>
            <w:shd w:val="clear" w:color="auto" w:fill="auto"/>
            <w:tcMar>
              <w:top w:w="57" w:type="dxa"/>
              <w:bottom w:w="57" w:type="dxa"/>
            </w:tcMar>
          </w:tcPr>
          <w:p w14:paraId="47FFF4FB" w14:textId="77777777" w:rsidR="00643CC1" w:rsidRPr="00FB7CBD" w:rsidRDefault="00643CC1" w:rsidP="00CC3AED">
            <w:pPr>
              <w:pStyle w:val="Standaard-Tabellen"/>
              <w:rPr>
                <w:rFonts w:eastAsia="Calibri"/>
              </w:rPr>
            </w:pPr>
            <w:r w:rsidRPr="00190CFC">
              <w:rPr>
                <w:rFonts w:eastAsia="Calibri"/>
              </w:rPr>
              <w:t>Factor for oral intake by hand-mouth transfer</w:t>
            </w:r>
            <w:r>
              <w:rPr>
                <w:rFonts w:eastAsia="Calibri"/>
                <w:vertAlign w:val="superscript"/>
              </w:rPr>
              <w:t>2</w:t>
            </w:r>
            <w:r w:rsidRPr="00190CFC">
              <w:rPr>
                <w:rFonts w:eastAsia="Calibri"/>
              </w:rPr>
              <w:t xml:space="preserve">  </w:t>
            </w:r>
          </w:p>
        </w:tc>
        <w:tc>
          <w:tcPr>
            <w:tcW w:w="672" w:type="pct"/>
            <w:shd w:val="clear" w:color="auto" w:fill="auto"/>
            <w:tcMar>
              <w:top w:w="57" w:type="dxa"/>
              <w:bottom w:w="57" w:type="dxa"/>
            </w:tcMar>
          </w:tcPr>
          <w:p w14:paraId="41661B66" w14:textId="77777777" w:rsidR="00643CC1" w:rsidRDefault="00643CC1" w:rsidP="00CC3AED">
            <w:pPr>
              <w:pStyle w:val="Standaard-Tabellen"/>
              <w:rPr>
                <w:rFonts w:eastAsia="Calibri"/>
              </w:rPr>
            </w:pPr>
            <w:r>
              <w:rPr>
                <w:rFonts w:eastAsia="Calibri"/>
              </w:rPr>
              <w:t>8 %</w:t>
            </w:r>
          </w:p>
        </w:tc>
      </w:tr>
      <w:tr w:rsidR="00643CC1" w:rsidRPr="00FD2055" w14:paraId="32D18FF7" w14:textId="77777777" w:rsidTr="00CC3AED">
        <w:trPr>
          <w:tblHeader/>
        </w:trPr>
        <w:tc>
          <w:tcPr>
            <w:tcW w:w="1724" w:type="pct"/>
            <w:vMerge/>
            <w:tcMar>
              <w:top w:w="57" w:type="dxa"/>
              <w:bottom w:w="57" w:type="dxa"/>
            </w:tcMar>
          </w:tcPr>
          <w:p w14:paraId="7FCD4409" w14:textId="77777777" w:rsidR="00643CC1" w:rsidRPr="00FD2055" w:rsidRDefault="00643CC1" w:rsidP="00CC3AED">
            <w:pPr>
              <w:pStyle w:val="Standaard-Tabellen"/>
              <w:rPr>
                <w:rFonts w:eastAsia="Calibri"/>
              </w:rPr>
            </w:pPr>
          </w:p>
        </w:tc>
        <w:tc>
          <w:tcPr>
            <w:tcW w:w="2604" w:type="pct"/>
            <w:shd w:val="clear" w:color="auto" w:fill="auto"/>
            <w:tcMar>
              <w:top w:w="57" w:type="dxa"/>
              <w:bottom w:w="57" w:type="dxa"/>
            </w:tcMar>
          </w:tcPr>
          <w:p w14:paraId="00B803BC" w14:textId="77777777" w:rsidR="00643CC1" w:rsidRPr="00FB7CBD" w:rsidRDefault="00643CC1" w:rsidP="00CC3AED">
            <w:pPr>
              <w:pStyle w:val="Standaard-Tabellen"/>
              <w:rPr>
                <w:rFonts w:eastAsia="Calibri"/>
              </w:rPr>
            </w:pPr>
            <w:r>
              <w:rPr>
                <w:rFonts w:eastAsia="Calibri"/>
              </w:rPr>
              <w:t>Body weight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2E73FD84" w14:textId="77777777" w:rsidR="00643CC1" w:rsidRDefault="00643CC1" w:rsidP="00CC3AED">
            <w:pPr>
              <w:pStyle w:val="Standaard-Tabellen"/>
              <w:rPr>
                <w:rFonts w:eastAsia="Calibri"/>
              </w:rPr>
            </w:pPr>
            <w:r>
              <w:rPr>
                <w:rFonts w:eastAsia="Calibri"/>
              </w:rPr>
              <w:t>10 kg</w:t>
            </w:r>
          </w:p>
        </w:tc>
      </w:tr>
      <w:tr w:rsidR="00643CC1" w:rsidRPr="00FD2055" w14:paraId="36BA6F04" w14:textId="77777777" w:rsidTr="00CC3AED">
        <w:trPr>
          <w:tblHeader/>
        </w:trPr>
        <w:tc>
          <w:tcPr>
            <w:tcW w:w="1724" w:type="pct"/>
            <w:vMerge/>
            <w:tcMar>
              <w:top w:w="57" w:type="dxa"/>
              <w:bottom w:w="57" w:type="dxa"/>
            </w:tcMar>
          </w:tcPr>
          <w:p w14:paraId="2C8CC1FF" w14:textId="77777777" w:rsidR="00643CC1" w:rsidRPr="00FD2055" w:rsidRDefault="00643CC1" w:rsidP="00CC3AED">
            <w:pPr>
              <w:pStyle w:val="Standaard-Tabellen"/>
              <w:rPr>
                <w:rFonts w:eastAsia="Calibri"/>
              </w:rPr>
            </w:pPr>
          </w:p>
        </w:tc>
        <w:tc>
          <w:tcPr>
            <w:tcW w:w="2604" w:type="pct"/>
            <w:shd w:val="clear" w:color="auto" w:fill="auto"/>
            <w:tcMar>
              <w:top w:w="57" w:type="dxa"/>
              <w:bottom w:w="57" w:type="dxa"/>
            </w:tcMar>
          </w:tcPr>
          <w:p w14:paraId="2EFB2BDE" w14:textId="77777777" w:rsidR="00643CC1" w:rsidRPr="00FB7CBD" w:rsidRDefault="00643CC1" w:rsidP="00CC3AED">
            <w:pPr>
              <w:pStyle w:val="Standaard-Tabellen"/>
              <w:rPr>
                <w:rFonts w:eastAsia="Calibri"/>
              </w:rPr>
            </w:pPr>
            <w:r w:rsidRPr="00FB7CBD">
              <w:rPr>
                <w:rFonts w:eastAsia="Calibri"/>
              </w:rPr>
              <w:t>Amount of biocidal product/ application</w:t>
            </w:r>
            <w:r>
              <w:rPr>
                <w:rFonts w:eastAsia="Calibri"/>
                <w:vertAlign w:val="superscript"/>
              </w:rPr>
              <w:t>1</w:t>
            </w:r>
          </w:p>
        </w:tc>
        <w:tc>
          <w:tcPr>
            <w:tcW w:w="672" w:type="pct"/>
            <w:shd w:val="clear" w:color="auto" w:fill="auto"/>
            <w:tcMar>
              <w:top w:w="57" w:type="dxa"/>
              <w:bottom w:w="57" w:type="dxa"/>
            </w:tcMar>
          </w:tcPr>
          <w:p w14:paraId="74CEA5C5" w14:textId="77777777" w:rsidR="00643CC1" w:rsidRDefault="00643CC1" w:rsidP="00CC3AED">
            <w:pPr>
              <w:pStyle w:val="Standaard-Tabellen"/>
              <w:rPr>
                <w:rFonts w:eastAsia="Calibri"/>
              </w:rPr>
            </w:pPr>
            <w:r>
              <w:rPr>
                <w:rFonts w:eastAsia="Calibri"/>
              </w:rPr>
              <w:t>2.64 g</w:t>
            </w:r>
          </w:p>
        </w:tc>
      </w:tr>
      <w:tr w:rsidR="00643CC1" w:rsidRPr="00FD2055" w14:paraId="1B179DF1" w14:textId="77777777" w:rsidTr="00CC3AED">
        <w:trPr>
          <w:tblHeader/>
        </w:trPr>
        <w:tc>
          <w:tcPr>
            <w:tcW w:w="1724" w:type="pct"/>
            <w:vMerge w:val="restart"/>
            <w:tcMar>
              <w:top w:w="57" w:type="dxa"/>
              <w:bottom w:w="57" w:type="dxa"/>
            </w:tcMar>
          </w:tcPr>
          <w:p w14:paraId="2941B2AA" w14:textId="77777777" w:rsidR="00643CC1" w:rsidRPr="00FD2055" w:rsidRDefault="00643CC1" w:rsidP="00CC3AED">
            <w:pPr>
              <w:pStyle w:val="Standaard-Tabellen"/>
              <w:rPr>
                <w:rFonts w:eastAsia="Calibri"/>
              </w:rPr>
            </w:pPr>
            <w:r w:rsidRPr="000B65BB">
              <w:rPr>
                <w:rFonts w:eastAsia="Calibri"/>
              </w:rPr>
              <w:t>Tier 1- Infant</w:t>
            </w:r>
          </w:p>
        </w:tc>
        <w:tc>
          <w:tcPr>
            <w:tcW w:w="2604" w:type="pct"/>
            <w:shd w:val="clear" w:color="auto" w:fill="auto"/>
            <w:tcMar>
              <w:top w:w="57" w:type="dxa"/>
              <w:bottom w:w="57" w:type="dxa"/>
            </w:tcMar>
          </w:tcPr>
          <w:p w14:paraId="586FDECD" w14:textId="77777777" w:rsidR="00643CC1" w:rsidRPr="00FD2055" w:rsidRDefault="00643CC1" w:rsidP="00CC3AED">
            <w:pPr>
              <w:pStyle w:val="Standaard-Tabellen"/>
              <w:rPr>
                <w:rFonts w:eastAsia="Calibri"/>
              </w:rPr>
            </w:pPr>
            <w:r w:rsidRPr="00190CFC">
              <w:rPr>
                <w:rFonts w:eastAsia="Calibri"/>
              </w:rPr>
              <w:t>Factor for oral intake by hand-mouth transfer</w:t>
            </w:r>
            <w:r>
              <w:rPr>
                <w:rFonts w:eastAsia="Calibri"/>
                <w:vertAlign w:val="superscript"/>
              </w:rPr>
              <w:t>2</w:t>
            </w:r>
            <w:r w:rsidRPr="00190CFC">
              <w:rPr>
                <w:rFonts w:eastAsia="Calibri"/>
              </w:rPr>
              <w:t xml:space="preserve"> </w:t>
            </w:r>
          </w:p>
        </w:tc>
        <w:tc>
          <w:tcPr>
            <w:tcW w:w="672" w:type="pct"/>
            <w:shd w:val="clear" w:color="auto" w:fill="auto"/>
            <w:tcMar>
              <w:top w:w="57" w:type="dxa"/>
              <w:bottom w:w="57" w:type="dxa"/>
            </w:tcMar>
          </w:tcPr>
          <w:p w14:paraId="56C33D68" w14:textId="77777777" w:rsidR="00643CC1" w:rsidRPr="00FD2055" w:rsidRDefault="00643CC1" w:rsidP="00CC3AED">
            <w:pPr>
              <w:pStyle w:val="Standaard-Tabellen"/>
              <w:rPr>
                <w:rFonts w:eastAsia="Calibri"/>
              </w:rPr>
            </w:pPr>
            <w:r>
              <w:rPr>
                <w:rFonts w:eastAsia="Calibri"/>
              </w:rPr>
              <w:t>8 %</w:t>
            </w:r>
          </w:p>
        </w:tc>
      </w:tr>
      <w:tr w:rsidR="00643CC1" w:rsidRPr="00FD2055" w14:paraId="5EFB9CB4" w14:textId="77777777" w:rsidTr="00CC3AED">
        <w:trPr>
          <w:tblHeader/>
        </w:trPr>
        <w:tc>
          <w:tcPr>
            <w:tcW w:w="1724" w:type="pct"/>
            <w:vMerge/>
            <w:tcMar>
              <w:top w:w="57" w:type="dxa"/>
              <w:bottom w:w="57" w:type="dxa"/>
            </w:tcMar>
          </w:tcPr>
          <w:p w14:paraId="7412F440" w14:textId="77777777" w:rsidR="00643CC1" w:rsidRPr="00FD2055" w:rsidRDefault="00643CC1" w:rsidP="00CC3AED">
            <w:pPr>
              <w:pStyle w:val="Standaard-Tabellen"/>
              <w:rPr>
                <w:rFonts w:eastAsia="Calibri"/>
              </w:rPr>
            </w:pPr>
          </w:p>
        </w:tc>
        <w:tc>
          <w:tcPr>
            <w:tcW w:w="2604" w:type="pct"/>
            <w:shd w:val="clear" w:color="auto" w:fill="auto"/>
            <w:tcMar>
              <w:top w:w="57" w:type="dxa"/>
              <w:bottom w:w="57" w:type="dxa"/>
            </w:tcMar>
          </w:tcPr>
          <w:p w14:paraId="163122F4" w14:textId="77777777" w:rsidR="00643CC1" w:rsidRPr="00FD2055" w:rsidRDefault="00643CC1" w:rsidP="00CC3AED">
            <w:pPr>
              <w:pStyle w:val="Standaard-Tabellen"/>
              <w:rPr>
                <w:rFonts w:eastAsia="Calibri"/>
              </w:rPr>
            </w:pPr>
            <w:r>
              <w:rPr>
                <w:rFonts w:eastAsia="Calibri"/>
              </w:rPr>
              <w:t>Body weight</w:t>
            </w:r>
            <w:r>
              <w:rPr>
                <w:rFonts w:eastAsia="Calibri"/>
                <w:vertAlign w:val="superscript"/>
              </w:rPr>
              <w:t>1</w:t>
            </w:r>
            <w:r>
              <w:rPr>
                <w:rFonts w:eastAsia="Calibri"/>
              </w:rPr>
              <w:t xml:space="preserve"> </w:t>
            </w:r>
          </w:p>
        </w:tc>
        <w:tc>
          <w:tcPr>
            <w:tcW w:w="672" w:type="pct"/>
            <w:shd w:val="clear" w:color="auto" w:fill="auto"/>
            <w:tcMar>
              <w:top w:w="57" w:type="dxa"/>
              <w:bottom w:w="57" w:type="dxa"/>
            </w:tcMar>
          </w:tcPr>
          <w:p w14:paraId="7616AD19" w14:textId="77777777" w:rsidR="00643CC1" w:rsidRPr="00FD2055" w:rsidRDefault="00643CC1" w:rsidP="00CC3AED">
            <w:pPr>
              <w:pStyle w:val="Standaard-Tabellen"/>
              <w:rPr>
                <w:rFonts w:eastAsia="Calibri"/>
              </w:rPr>
            </w:pPr>
            <w:r>
              <w:rPr>
                <w:rFonts w:eastAsia="Calibri"/>
              </w:rPr>
              <w:t>8 kg</w:t>
            </w:r>
          </w:p>
        </w:tc>
      </w:tr>
      <w:tr w:rsidR="00643CC1" w:rsidRPr="00FD2055" w14:paraId="79510436" w14:textId="77777777" w:rsidTr="00CC3AED">
        <w:trPr>
          <w:tblHeader/>
        </w:trPr>
        <w:tc>
          <w:tcPr>
            <w:tcW w:w="1724" w:type="pct"/>
            <w:vMerge/>
            <w:tcMar>
              <w:top w:w="57" w:type="dxa"/>
              <w:bottom w:w="57" w:type="dxa"/>
            </w:tcMar>
          </w:tcPr>
          <w:p w14:paraId="75B792B5" w14:textId="77777777" w:rsidR="00643CC1" w:rsidRPr="00FD2055" w:rsidRDefault="00643CC1" w:rsidP="00CC3AED">
            <w:pPr>
              <w:pStyle w:val="Standaard-Tabellen"/>
              <w:rPr>
                <w:rFonts w:eastAsia="Calibri"/>
              </w:rPr>
            </w:pPr>
          </w:p>
        </w:tc>
        <w:tc>
          <w:tcPr>
            <w:tcW w:w="2604" w:type="pct"/>
            <w:shd w:val="clear" w:color="auto" w:fill="auto"/>
            <w:tcMar>
              <w:top w:w="57" w:type="dxa"/>
              <w:bottom w:w="57" w:type="dxa"/>
            </w:tcMar>
          </w:tcPr>
          <w:p w14:paraId="1E842A7C" w14:textId="77777777" w:rsidR="00643CC1" w:rsidRPr="00FD2055" w:rsidRDefault="00643CC1" w:rsidP="00CC3AED">
            <w:pPr>
              <w:pStyle w:val="Standaard-Tabellen"/>
              <w:rPr>
                <w:rFonts w:eastAsia="Calibri"/>
              </w:rPr>
            </w:pPr>
            <w:r w:rsidRPr="00FB7CBD">
              <w:rPr>
                <w:rFonts w:eastAsia="Calibri"/>
              </w:rPr>
              <w:t>Amount of biocidal product/ application</w:t>
            </w:r>
            <w:r>
              <w:rPr>
                <w:rFonts w:eastAsia="Calibri"/>
                <w:vertAlign w:val="superscript"/>
              </w:rPr>
              <w:t>1</w:t>
            </w:r>
          </w:p>
        </w:tc>
        <w:tc>
          <w:tcPr>
            <w:tcW w:w="672" w:type="pct"/>
            <w:shd w:val="clear" w:color="auto" w:fill="auto"/>
            <w:tcMar>
              <w:top w:w="57" w:type="dxa"/>
              <w:bottom w:w="57" w:type="dxa"/>
            </w:tcMar>
          </w:tcPr>
          <w:p w14:paraId="4F5E8CEB" w14:textId="77777777" w:rsidR="00643CC1" w:rsidRPr="00FD2055" w:rsidRDefault="00643CC1" w:rsidP="00CC3AED">
            <w:pPr>
              <w:pStyle w:val="Standaard-Tabellen"/>
              <w:rPr>
                <w:rFonts w:eastAsia="Calibri"/>
              </w:rPr>
            </w:pPr>
            <w:r>
              <w:rPr>
                <w:rFonts w:eastAsia="Calibri"/>
              </w:rPr>
              <w:t>2.255 g</w:t>
            </w:r>
          </w:p>
        </w:tc>
      </w:tr>
    </w:tbl>
    <w:p w14:paraId="341B7A96" w14:textId="77777777" w:rsidR="00643CC1" w:rsidRDefault="00643CC1" w:rsidP="00643CC1">
      <w:pPr>
        <w:pStyle w:val="Voetnoot"/>
        <w:rPr>
          <w:rFonts w:eastAsia="Calibri"/>
        </w:rPr>
      </w:pPr>
      <w:r>
        <w:rPr>
          <w:rStyle w:val="Appelnotedebasdep"/>
          <w:rFonts w:eastAsia="Calibri"/>
          <w:vertAlign w:val="superscript"/>
        </w:rPr>
        <w:t xml:space="preserve">1 </w:t>
      </w:r>
      <w:r w:rsidRPr="00606070">
        <w:rPr>
          <w:rStyle w:val="Appelnotedebasdep"/>
          <w:rFonts w:eastAsia="Calibri"/>
        </w:rPr>
        <w:t>General information, see justification above</w:t>
      </w:r>
    </w:p>
    <w:p w14:paraId="1D3AA6C9" w14:textId="77777777" w:rsidR="00643CC1" w:rsidRDefault="00643CC1" w:rsidP="00643CC1">
      <w:pPr>
        <w:pStyle w:val="Voetnoot"/>
        <w:rPr>
          <w:rFonts w:eastAsia="Calibri"/>
        </w:rPr>
      </w:pPr>
      <w:r w:rsidRPr="00FA0BAC">
        <w:rPr>
          <w:rFonts w:eastAsia="Calibri"/>
          <w:vertAlign w:val="superscript"/>
        </w:rPr>
        <w:lastRenderedPageBreak/>
        <w:t>2</w:t>
      </w:r>
      <w:r>
        <w:rPr>
          <w:rFonts w:eastAsia="Calibri"/>
          <w:vertAlign w:val="superscript"/>
        </w:rPr>
        <w:t xml:space="preserve"> </w:t>
      </w:r>
      <w:r w:rsidRPr="009400D3">
        <w:rPr>
          <w:rStyle w:val="Appelnotedebasdep"/>
          <w:rFonts w:eastAsia="Calibri"/>
        </w:rPr>
        <w:t xml:space="preserve"> </w:t>
      </w:r>
      <w:r>
        <w:rPr>
          <w:rFonts w:eastAsia="Calibri"/>
        </w:rPr>
        <w:t>R</w:t>
      </w:r>
      <w:r w:rsidRPr="00904771">
        <w:rPr>
          <w:rFonts w:eastAsia="Calibri"/>
        </w:rPr>
        <w:t xml:space="preserve">ecommendation 11 of the BPC Ad hoc Working Group on Human Exposure : Proposal for harmonising the assessment of human exposure to repellents (PT19) – Version 2.1 agreed at WGV 2017.  </w:t>
      </w:r>
    </w:p>
    <w:p w14:paraId="6E1D1BC6" w14:textId="77777777" w:rsidR="00643CC1" w:rsidRDefault="00643CC1" w:rsidP="00643CC1">
      <w:pPr>
        <w:rPr>
          <w:rFonts w:eastAsia="Calibri"/>
        </w:rPr>
      </w:pPr>
    </w:p>
    <w:p w14:paraId="6DBF61F4" w14:textId="77777777" w:rsidR="00643CC1" w:rsidRDefault="00643CC1" w:rsidP="00643CC1">
      <w:pPr>
        <w:rPr>
          <w:rFonts w:eastAsia="Calibri"/>
        </w:rPr>
      </w:pPr>
    </w:p>
    <w:p w14:paraId="621DC48D" w14:textId="77777777" w:rsidR="00643CC1" w:rsidRPr="00586AC3" w:rsidRDefault="00643CC1" w:rsidP="00643CC1">
      <w:pPr>
        <w:pStyle w:val="Titre8"/>
      </w:pPr>
      <w:r w:rsidRPr="00586AC3">
        <w:t>Calculations for scenario 2</w:t>
      </w: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75"/>
        <w:gridCol w:w="2694"/>
        <w:gridCol w:w="4046"/>
      </w:tblGrid>
      <w:tr w:rsidR="00643CC1" w:rsidRPr="00C20709" w14:paraId="424338E5" w14:textId="77777777" w:rsidTr="00CC3AED">
        <w:trPr>
          <w:cantSplit/>
          <w:trHeight w:val="594"/>
          <w:tblHeader/>
        </w:trPr>
        <w:tc>
          <w:tcPr>
            <w:tcW w:w="5000" w:type="pct"/>
            <w:gridSpan w:val="3"/>
            <w:shd w:val="clear" w:color="auto" w:fill="FFFFCC"/>
          </w:tcPr>
          <w:p w14:paraId="2B0A3941" w14:textId="77777777" w:rsidR="00643CC1" w:rsidRPr="00C20709" w:rsidRDefault="00643CC1" w:rsidP="00CC3AED">
            <w:pPr>
              <w:pStyle w:val="Standaard-Tabellen"/>
              <w:jc w:val="center"/>
              <w:rPr>
                <w:rFonts w:eastAsia="Calibri"/>
                <w:b/>
              </w:rPr>
            </w:pPr>
            <w:bookmarkStart w:id="173" w:name="_Hlk11774934"/>
            <w:r w:rsidRPr="00485489">
              <w:rPr>
                <w:rFonts w:eastAsia="Calibri"/>
                <w:b/>
              </w:rPr>
              <w:t>Summary table: estimated exposure for Hand-mouth transfer reverse reference scenario (oral exposure)</w:t>
            </w:r>
          </w:p>
        </w:tc>
      </w:tr>
      <w:tr w:rsidR="00643CC1" w:rsidRPr="00C20709" w14:paraId="338CD22B" w14:textId="77777777" w:rsidTr="00CC3AED">
        <w:trPr>
          <w:cantSplit/>
          <w:trHeight w:val="594"/>
          <w:tblHeader/>
        </w:trPr>
        <w:tc>
          <w:tcPr>
            <w:tcW w:w="1382" w:type="pct"/>
            <w:shd w:val="clear" w:color="auto" w:fill="BFBFBF" w:themeFill="background1" w:themeFillShade="BF"/>
          </w:tcPr>
          <w:p w14:paraId="27EA9191" w14:textId="77777777" w:rsidR="00643CC1" w:rsidRPr="00C20709" w:rsidRDefault="00643CC1" w:rsidP="00CC3AED">
            <w:pPr>
              <w:pStyle w:val="Standaard-Tabellen"/>
              <w:rPr>
                <w:rFonts w:eastAsia="Calibri"/>
                <w:b/>
              </w:rPr>
            </w:pPr>
            <w:r w:rsidRPr="00C20709">
              <w:rPr>
                <w:rFonts w:eastAsia="Calibri"/>
                <w:b/>
              </w:rPr>
              <w:t>Exposure scenario</w:t>
            </w:r>
          </w:p>
        </w:tc>
        <w:tc>
          <w:tcPr>
            <w:tcW w:w="1446" w:type="pct"/>
            <w:shd w:val="clear" w:color="auto" w:fill="BFBFBF" w:themeFill="background1" w:themeFillShade="BF"/>
          </w:tcPr>
          <w:p w14:paraId="6CDF427D" w14:textId="77777777" w:rsidR="00643CC1" w:rsidRPr="00C20709" w:rsidRDefault="00643CC1" w:rsidP="00CC3AED">
            <w:pPr>
              <w:pStyle w:val="Standaard-Tabellen"/>
              <w:rPr>
                <w:rFonts w:eastAsia="Calibri"/>
                <w:b/>
              </w:rPr>
            </w:pPr>
            <w:r w:rsidRPr="00C20709">
              <w:rPr>
                <w:rFonts w:eastAsia="Calibri"/>
                <w:b/>
              </w:rPr>
              <w:t>Tier/PPE</w:t>
            </w:r>
          </w:p>
        </w:tc>
        <w:tc>
          <w:tcPr>
            <w:tcW w:w="2172" w:type="pct"/>
            <w:shd w:val="clear" w:color="auto" w:fill="BFBFBF" w:themeFill="background1" w:themeFillShade="BF"/>
          </w:tcPr>
          <w:p w14:paraId="4C0694F1" w14:textId="77777777" w:rsidR="00643CC1" w:rsidRPr="00C20709" w:rsidRDefault="00643CC1" w:rsidP="00CC3AED">
            <w:pPr>
              <w:pStyle w:val="Standaard-Tabellen"/>
              <w:rPr>
                <w:rFonts w:eastAsia="Calibri"/>
                <w:b/>
              </w:rPr>
            </w:pPr>
            <w:r w:rsidRPr="001C4A1C">
              <w:rPr>
                <w:rFonts w:eastAsia="Calibri"/>
                <w:b/>
              </w:rPr>
              <w:t>Calculated exposure to IR3535</w:t>
            </w:r>
            <w:r w:rsidRPr="001C4A1C">
              <w:rPr>
                <w:rFonts w:eastAsia="Calibri"/>
                <w:b/>
                <w:vertAlign w:val="superscript"/>
              </w:rPr>
              <w:t>®</w:t>
            </w:r>
          </w:p>
        </w:tc>
      </w:tr>
      <w:tr w:rsidR="00643CC1" w:rsidRPr="00FD2055" w14:paraId="2BAA5424" w14:textId="77777777" w:rsidTr="00CC3AED">
        <w:trPr>
          <w:cantSplit/>
          <w:trHeight w:val="391"/>
          <w:tblHeader/>
        </w:trPr>
        <w:tc>
          <w:tcPr>
            <w:tcW w:w="1382" w:type="pct"/>
            <w:shd w:val="clear" w:color="auto" w:fill="auto"/>
            <w:vAlign w:val="center"/>
          </w:tcPr>
          <w:p w14:paraId="3C6795AF" w14:textId="77777777" w:rsidR="00643CC1" w:rsidRPr="00FD2055" w:rsidRDefault="00643CC1" w:rsidP="00CC3AED">
            <w:pPr>
              <w:pStyle w:val="Standaard-Tabellen"/>
              <w:rPr>
                <w:rFonts w:eastAsia="Calibri"/>
              </w:rPr>
            </w:pPr>
            <w:r w:rsidRPr="00CF46C5">
              <w:rPr>
                <w:rFonts w:eastAsia="Calibri"/>
              </w:rPr>
              <w:t xml:space="preserve">Scenario </w:t>
            </w:r>
            <w:r>
              <w:rPr>
                <w:rFonts w:eastAsia="Calibri"/>
              </w:rPr>
              <w:t>2</w:t>
            </w:r>
            <w:r w:rsidRPr="00CF46C5">
              <w:rPr>
                <w:rFonts w:eastAsia="Calibri"/>
              </w:rPr>
              <w:t xml:space="preserve"> – ADULT</w:t>
            </w:r>
          </w:p>
        </w:tc>
        <w:tc>
          <w:tcPr>
            <w:tcW w:w="1446" w:type="pct"/>
            <w:vAlign w:val="center"/>
          </w:tcPr>
          <w:p w14:paraId="6CE64126" w14:textId="77777777" w:rsidR="00643CC1" w:rsidRPr="00CF46C5" w:rsidRDefault="00643CC1" w:rsidP="00CC3AED">
            <w:pPr>
              <w:pStyle w:val="Standaard-Tabellen"/>
              <w:rPr>
                <w:rFonts w:eastAsia="Calibri"/>
              </w:rPr>
            </w:pPr>
            <w:r w:rsidRPr="00CF46C5">
              <w:rPr>
                <w:rFonts w:eastAsia="Calibri"/>
              </w:rPr>
              <w:t>Tier 1 /</w:t>
            </w:r>
          </w:p>
          <w:p w14:paraId="585E4231" w14:textId="77777777" w:rsidR="00643CC1" w:rsidRPr="00FD2055" w:rsidRDefault="00643CC1" w:rsidP="00CC3AED">
            <w:pPr>
              <w:pStyle w:val="Standaard-Tabellen"/>
              <w:rPr>
                <w:rFonts w:eastAsia="Calibri"/>
              </w:rPr>
            </w:pPr>
            <w:r w:rsidRPr="00CF46C5">
              <w:rPr>
                <w:rFonts w:eastAsia="Calibri"/>
              </w:rPr>
              <w:t>no PPE</w:t>
            </w:r>
          </w:p>
        </w:tc>
        <w:tc>
          <w:tcPr>
            <w:tcW w:w="2172" w:type="pct"/>
            <w:vAlign w:val="center"/>
          </w:tcPr>
          <w:p w14:paraId="331E4784" w14:textId="77777777" w:rsidR="00643CC1" w:rsidRPr="00FD2055" w:rsidRDefault="00643CC1" w:rsidP="00CC3AED">
            <w:pPr>
              <w:pStyle w:val="Standaard-Tabellen"/>
              <w:rPr>
                <w:rFonts w:eastAsia="Calibri"/>
              </w:rPr>
            </w:pPr>
            <w:r w:rsidRPr="00412894">
              <w:rPr>
                <w:rFonts w:eastAsia="Calibri"/>
              </w:rPr>
              <w:t xml:space="preserve">Adult up to </w:t>
            </w:r>
            <w:r>
              <w:rPr>
                <w:rFonts w:eastAsia="Calibri"/>
              </w:rPr>
              <w:t>8.21</w:t>
            </w:r>
            <w:r w:rsidRPr="00412894">
              <w:rPr>
                <w:rFonts w:eastAsia="Calibri"/>
              </w:rPr>
              <w:t xml:space="preserve"> applications</w:t>
            </w:r>
          </w:p>
        </w:tc>
      </w:tr>
      <w:tr w:rsidR="00643CC1" w:rsidRPr="00FD2055" w14:paraId="6395C4B8" w14:textId="77777777" w:rsidTr="00CC3AED">
        <w:trPr>
          <w:cantSplit/>
          <w:trHeight w:val="391"/>
          <w:tblHeader/>
        </w:trPr>
        <w:tc>
          <w:tcPr>
            <w:tcW w:w="1382" w:type="pct"/>
            <w:shd w:val="clear" w:color="auto" w:fill="auto"/>
            <w:vAlign w:val="center"/>
          </w:tcPr>
          <w:p w14:paraId="406AC3F7" w14:textId="77777777" w:rsidR="00643CC1" w:rsidRPr="00FD2055" w:rsidRDefault="00643CC1" w:rsidP="00CC3AED">
            <w:pPr>
              <w:pStyle w:val="Standaard-Tabellen"/>
              <w:rPr>
                <w:rFonts w:eastAsia="Calibri"/>
              </w:rPr>
            </w:pPr>
            <w:r>
              <w:rPr>
                <w:rFonts w:eastAsia="Calibri"/>
              </w:rPr>
              <w:t>Scenario 2</w:t>
            </w:r>
            <w:r w:rsidRPr="00CF46C5">
              <w:rPr>
                <w:rFonts w:eastAsia="Calibri"/>
              </w:rPr>
              <w:t xml:space="preserve"> – CHILD</w:t>
            </w:r>
            <w:r>
              <w:rPr>
                <w:rFonts w:eastAsia="Calibri"/>
              </w:rPr>
              <w:t xml:space="preserve"> (6-12)</w:t>
            </w:r>
          </w:p>
        </w:tc>
        <w:tc>
          <w:tcPr>
            <w:tcW w:w="1446" w:type="pct"/>
            <w:vAlign w:val="center"/>
          </w:tcPr>
          <w:p w14:paraId="5AECC13B" w14:textId="77777777" w:rsidR="00643CC1" w:rsidRPr="00CF46C5" w:rsidRDefault="00643CC1" w:rsidP="00CC3AED">
            <w:pPr>
              <w:pStyle w:val="Standaard-Tabellen"/>
              <w:rPr>
                <w:rFonts w:eastAsia="Calibri"/>
              </w:rPr>
            </w:pPr>
            <w:r w:rsidRPr="00CF46C5">
              <w:rPr>
                <w:rFonts w:eastAsia="Calibri"/>
              </w:rPr>
              <w:t>Tier 1 /</w:t>
            </w:r>
          </w:p>
          <w:p w14:paraId="47BDE0DB" w14:textId="77777777" w:rsidR="00643CC1" w:rsidRPr="00FD2055" w:rsidRDefault="00643CC1" w:rsidP="00CC3AED">
            <w:pPr>
              <w:pStyle w:val="Standaard-Tabellen"/>
              <w:rPr>
                <w:rFonts w:eastAsia="Calibri"/>
              </w:rPr>
            </w:pPr>
            <w:r w:rsidRPr="00CF46C5">
              <w:rPr>
                <w:rFonts w:eastAsia="Calibri"/>
              </w:rPr>
              <w:t>no PPE</w:t>
            </w:r>
          </w:p>
        </w:tc>
        <w:tc>
          <w:tcPr>
            <w:tcW w:w="2172" w:type="pct"/>
            <w:vAlign w:val="center"/>
          </w:tcPr>
          <w:p w14:paraId="5A680507" w14:textId="77777777" w:rsidR="00643CC1" w:rsidRPr="00FD2055" w:rsidRDefault="00643CC1" w:rsidP="00CC3AED">
            <w:pPr>
              <w:pStyle w:val="Standaard-Tabellen"/>
              <w:rPr>
                <w:rFonts w:eastAsia="Calibri"/>
              </w:rPr>
            </w:pPr>
            <w:r w:rsidRPr="00412894">
              <w:rPr>
                <w:rFonts w:eastAsia="Calibri"/>
              </w:rPr>
              <w:t xml:space="preserve">Child (6-12) up to </w:t>
            </w:r>
            <w:r>
              <w:rPr>
                <w:rFonts w:eastAsia="Calibri"/>
              </w:rPr>
              <w:t>2.95</w:t>
            </w:r>
            <w:r w:rsidRPr="00412894">
              <w:rPr>
                <w:rFonts w:eastAsia="Calibri"/>
              </w:rPr>
              <w:t xml:space="preserve"> applications</w:t>
            </w:r>
          </w:p>
        </w:tc>
      </w:tr>
      <w:tr w:rsidR="00643CC1" w:rsidRPr="00FD2055" w14:paraId="5F5EF7D1" w14:textId="77777777" w:rsidTr="00CC3AED">
        <w:trPr>
          <w:cantSplit/>
          <w:trHeight w:val="391"/>
          <w:tblHeader/>
        </w:trPr>
        <w:tc>
          <w:tcPr>
            <w:tcW w:w="1382" w:type="pct"/>
            <w:shd w:val="clear" w:color="auto" w:fill="auto"/>
            <w:vAlign w:val="center"/>
          </w:tcPr>
          <w:p w14:paraId="03A8A542" w14:textId="77777777" w:rsidR="00643CC1" w:rsidRPr="00FD2055" w:rsidRDefault="00643CC1" w:rsidP="00CC3AED">
            <w:pPr>
              <w:pStyle w:val="Standaard-Tabellen"/>
              <w:rPr>
                <w:rFonts w:eastAsia="Calibri"/>
              </w:rPr>
            </w:pPr>
            <w:r>
              <w:rPr>
                <w:rFonts w:eastAsia="Calibri"/>
              </w:rPr>
              <w:t>Scenario 2</w:t>
            </w:r>
            <w:r w:rsidRPr="00CF46C5">
              <w:rPr>
                <w:rFonts w:eastAsia="Calibri"/>
              </w:rPr>
              <w:t xml:space="preserve"> – CHILD</w:t>
            </w:r>
            <w:r>
              <w:rPr>
                <w:rFonts w:eastAsia="Calibri"/>
              </w:rPr>
              <w:t xml:space="preserve"> (2-6)</w:t>
            </w:r>
          </w:p>
        </w:tc>
        <w:tc>
          <w:tcPr>
            <w:tcW w:w="1446" w:type="pct"/>
            <w:vAlign w:val="center"/>
          </w:tcPr>
          <w:p w14:paraId="77D8835B" w14:textId="77777777" w:rsidR="00643CC1" w:rsidRPr="00CF46C5" w:rsidRDefault="00643CC1" w:rsidP="00CC3AED">
            <w:pPr>
              <w:pStyle w:val="Standaard-Tabellen"/>
              <w:rPr>
                <w:rFonts w:eastAsia="Calibri"/>
              </w:rPr>
            </w:pPr>
            <w:r w:rsidRPr="00CF46C5">
              <w:rPr>
                <w:rFonts w:eastAsia="Calibri"/>
              </w:rPr>
              <w:t>Tier 1 /</w:t>
            </w:r>
          </w:p>
          <w:p w14:paraId="4834249B" w14:textId="77777777" w:rsidR="00643CC1" w:rsidRPr="00FD2055" w:rsidRDefault="00643CC1" w:rsidP="00CC3AED">
            <w:pPr>
              <w:pStyle w:val="Standaard-Tabellen"/>
              <w:rPr>
                <w:rFonts w:eastAsia="Calibri"/>
              </w:rPr>
            </w:pPr>
            <w:r w:rsidRPr="00CF46C5">
              <w:rPr>
                <w:rFonts w:eastAsia="Calibri"/>
              </w:rPr>
              <w:t>no PPE</w:t>
            </w:r>
          </w:p>
        </w:tc>
        <w:tc>
          <w:tcPr>
            <w:tcW w:w="2172" w:type="pct"/>
            <w:vAlign w:val="center"/>
          </w:tcPr>
          <w:p w14:paraId="136D338A" w14:textId="77777777" w:rsidR="00643CC1" w:rsidRPr="00FD2055" w:rsidRDefault="00643CC1" w:rsidP="00CC3AED">
            <w:pPr>
              <w:pStyle w:val="Standaard-Tabellen"/>
              <w:rPr>
                <w:rFonts w:eastAsia="Calibri"/>
              </w:rPr>
            </w:pPr>
            <w:r w:rsidRPr="00412894">
              <w:rPr>
                <w:rFonts w:eastAsia="Calibri"/>
              </w:rPr>
              <w:t xml:space="preserve">Child (2-6) up to  </w:t>
            </w:r>
            <w:r>
              <w:rPr>
                <w:rFonts w:eastAsia="Calibri"/>
              </w:rPr>
              <w:t xml:space="preserve">2.61 </w:t>
            </w:r>
            <w:r w:rsidRPr="00412894">
              <w:rPr>
                <w:rFonts w:eastAsia="Calibri"/>
              </w:rPr>
              <w:t>applications</w:t>
            </w:r>
          </w:p>
        </w:tc>
      </w:tr>
      <w:tr w:rsidR="00643CC1" w:rsidRPr="00FD2055" w14:paraId="7A2AEB95" w14:textId="77777777" w:rsidTr="00CC3AED">
        <w:trPr>
          <w:cantSplit/>
          <w:trHeight w:val="391"/>
          <w:tblHeader/>
        </w:trPr>
        <w:tc>
          <w:tcPr>
            <w:tcW w:w="1382" w:type="pct"/>
            <w:shd w:val="clear" w:color="auto" w:fill="auto"/>
            <w:vAlign w:val="center"/>
          </w:tcPr>
          <w:p w14:paraId="59560017" w14:textId="77777777" w:rsidR="00643CC1" w:rsidRPr="00FD2055" w:rsidRDefault="00643CC1" w:rsidP="00CC3AED">
            <w:pPr>
              <w:pStyle w:val="Standaard-Tabellen"/>
              <w:rPr>
                <w:rFonts w:eastAsia="Calibri"/>
              </w:rPr>
            </w:pPr>
            <w:r>
              <w:rPr>
                <w:rFonts w:eastAsia="Calibri"/>
              </w:rPr>
              <w:t>Scenario 2</w:t>
            </w:r>
            <w:r w:rsidRPr="00CF46C5">
              <w:rPr>
                <w:rFonts w:eastAsia="Calibri"/>
              </w:rPr>
              <w:t xml:space="preserve"> – TODDLER</w:t>
            </w:r>
          </w:p>
        </w:tc>
        <w:tc>
          <w:tcPr>
            <w:tcW w:w="1446" w:type="pct"/>
            <w:vAlign w:val="center"/>
          </w:tcPr>
          <w:p w14:paraId="534E5329" w14:textId="77777777" w:rsidR="00643CC1" w:rsidRPr="00CF46C5" w:rsidRDefault="00643CC1" w:rsidP="00CC3AED">
            <w:pPr>
              <w:pStyle w:val="Standaard-Tabellen"/>
              <w:rPr>
                <w:rFonts w:eastAsia="Calibri"/>
              </w:rPr>
            </w:pPr>
            <w:r w:rsidRPr="00CF46C5">
              <w:rPr>
                <w:rFonts w:eastAsia="Calibri"/>
              </w:rPr>
              <w:t>Tier 1 /</w:t>
            </w:r>
          </w:p>
          <w:p w14:paraId="7ED93FCE" w14:textId="77777777" w:rsidR="00643CC1" w:rsidRPr="00FD2055" w:rsidRDefault="00643CC1" w:rsidP="00CC3AED">
            <w:pPr>
              <w:pStyle w:val="Standaard-Tabellen"/>
              <w:rPr>
                <w:rFonts w:eastAsia="Calibri"/>
              </w:rPr>
            </w:pPr>
            <w:r w:rsidRPr="00CF46C5">
              <w:rPr>
                <w:rFonts w:eastAsia="Calibri"/>
              </w:rPr>
              <w:t>no PPE</w:t>
            </w:r>
          </w:p>
        </w:tc>
        <w:tc>
          <w:tcPr>
            <w:tcW w:w="2172" w:type="pct"/>
            <w:vAlign w:val="center"/>
          </w:tcPr>
          <w:p w14:paraId="6F71C1F6" w14:textId="77777777" w:rsidR="00643CC1" w:rsidRPr="00FD2055" w:rsidRDefault="00643CC1" w:rsidP="00CC3AED">
            <w:pPr>
              <w:pStyle w:val="Standaard-Tabellen"/>
              <w:rPr>
                <w:rFonts w:eastAsia="Calibri"/>
              </w:rPr>
            </w:pPr>
            <w:r w:rsidRPr="000908EA">
              <w:rPr>
                <w:rFonts w:eastAsia="Calibri"/>
              </w:rPr>
              <w:t xml:space="preserve">Toddler up to </w:t>
            </w:r>
            <w:r>
              <w:rPr>
                <w:rFonts w:eastAsia="Calibri"/>
              </w:rPr>
              <w:t>2.37</w:t>
            </w:r>
            <w:r w:rsidRPr="00412894">
              <w:rPr>
                <w:rFonts w:eastAsia="Calibri"/>
              </w:rPr>
              <w:t xml:space="preserve"> applications</w:t>
            </w:r>
          </w:p>
        </w:tc>
      </w:tr>
      <w:tr w:rsidR="00643CC1" w:rsidRPr="00FD2055" w14:paraId="626E0873" w14:textId="77777777" w:rsidTr="00CC3AED">
        <w:trPr>
          <w:cantSplit/>
          <w:trHeight w:val="391"/>
          <w:tblHeader/>
        </w:trPr>
        <w:tc>
          <w:tcPr>
            <w:tcW w:w="1382" w:type="pct"/>
            <w:shd w:val="clear" w:color="auto" w:fill="auto"/>
            <w:vAlign w:val="center"/>
          </w:tcPr>
          <w:p w14:paraId="5B9C9EA6" w14:textId="77777777" w:rsidR="00643CC1" w:rsidRDefault="00643CC1" w:rsidP="00CC3AED">
            <w:pPr>
              <w:pStyle w:val="Standaard-Tabellen"/>
              <w:rPr>
                <w:rFonts w:eastAsia="Calibri"/>
              </w:rPr>
            </w:pPr>
            <w:r>
              <w:rPr>
                <w:rFonts w:eastAsia="Calibri"/>
              </w:rPr>
              <w:t>Scenario 2</w:t>
            </w:r>
            <w:r w:rsidRPr="00CF46C5">
              <w:rPr>
                <w:rFonts w:eastAsia="Calibri"/>
              </w:rPr>
              <w:t xml:space="preserve"> – INFANT</w:t>
            </w:r>
          </w:p>
        </w:tc>
        <w:tc>
          <w:tcPr>
            <w:tcW w:w="1446" w:type="pct"/>
            <w:vAlign w:val="center"/>
          </w:tcPr>
          <w:p w14:paraId="227F3952" w14:textId="77777777" w:rsidR="00643CC1" w:rsidRPr="00CF46C5" w:rsidRDefault="00643CC1" w:rsidP="00CC3AED">
            <w:pPr>
              <w:pStyle w:val="Standaard-Tabellen"/>
              <w:rPr>
                <w:rFonts w:eastAsia="Calibri"/>
              </w:rPr>
            </w:pPr>
            <w:r w:rsidRPr="00CF46C5">
              <w:rPr>
                <w:rFonts w:eastAsia="Calibri"/>
              </w:rPr>
              <w:t>Tier 1 /</w:t>
            </w:r>
          </w:p>
          <w:p w14:paraId="05C6D1AA" w14:textId="77777777" w:rsidR="00643CC1" w:rsidRDefault="00643CC1" w:rsidP="00CC3AED">
            <w:pPr>
              <w:pStyle w:val="Standaard-Tabellen"/>
              <w:rPr>
                <w:rFonts w:eastAsia="Calibri"/>
              </w:rPr>
            </w:pPr>
            <w:r w:rsidRPr="00CF46C5">
              <w:rPr>
                <w:rFonts w:eastAsia="Calibri"/>
              </w:rPr>
              <w:t>no PPE</w:t>
            </w:r>
          </w:p>
        </w:tc>
        <w:tc>
          <w:tcPr>
            <w:tcW w:w="2172" w:type="pct"/>
            <w:vAlign w:val="center"/>
          </w:tcPr>
          <w:p w14:paraId="37661630" w14:textId="77777777" w:rsidR="00643CC1" w:rsidRPr="001C4A1C" w:rsidRDefault="00643CC1" w:rsidP="00CC3AED">
            <w:pPr>
              <w:pStyle w:val="Standaard-Tabellen"/>
              <w:rPr>
                <w:rFonts w:eastAsia="Calibri"/>
              </w:rPr>
            </w:pPr>
            <w:r w:rsidRPr="00412894">
              <w:rPr>
                <w:rFonts w:eastAsia="Calibri"/>
              </w:rPr>
              <w:t xml:space="preserve">Infant up to </w:t>
            </w:r>
            <w:r>
              <w:rPr>
                <w:rFonts w:eastAsia="Calibri"/>
              </w:rPr>
              <w:t>2.22</w:t>
            </w:r>
            <w:r w:rsidRPr="00412894">
              <w:rPr>
                <w:rFonts w:eastAsia="Calibri"/>
              </w:rPr>
              <w:t xml:space="preserve"> applications</w:t>
            </w:r>
          </w:p>
        </w:tc>
      </w:tr>
    </w:tbl>
    <w:bookmarkEnd w:id="173"/>
    <w:p w14:paraId="32471BE3" w14:textId="77777777" w:rsidR="00643CC1" w:rsidRPr="00532A83" w:rsidRDefault="00643CC1" w:rsidP="00643CC1">
      <w:pPr>
        <w:pStyle w:val="Titre7"/>
        <w:rPr>
          <w:lang w:val="en-US"/>
        </w:rPr>
      </w:pPr>
      <w:r w:rsidRPr="00532A83">
        <w:rPr>
          <w:lang w:val="en-US"/>
        </w:rPr>
        <w:lastRenderedPageBreak/>
        <w:t xml:space="preserve">Scenario </w:t>
      </w:r>
      <w:r>
        <w:rPr>
          <w:lang w:val="en-US"/>
        </w:rPr>
        <w:t xml:space="preserve">3: </w:t>
      </w:r>
      <w:r w:rsidRPr="007F63D0">
        <w:rPr>
          <w:lang w:val="en-US"/>
        </w:rPr>
        <w:t xml:space="preserve">Inhalation of </w:t>
      </w:r>
      <w:proofErr w:type="spellStart"/>
      <w:r w:rsidRPr="007F63D0">
        <w:rPr>
          <w:lang w:val="en-US"/>
        </w:rPr>
        <w:t>volatilised</w:t>
      </w:r>
      <w:proofErr w:type="spellEnd"/>
      <w:r w:rsidRPr="007F63D0">
        <w:rPr>
          <w:lang w:val="en-US"/>
        </w:rPr>
        <w:t xml:space="preserve"> residues after application (</w:t>
      </w:r>
      <w:proofErr w:type="spellStart"/>
      <w:r w:rsidRPr="007F63D0">
        <w:rPr>
          <w:lang w:val="en-US"/>
        </w:rPr>
        <w:t>inhalative</w:t>
      </w:r>
      <w:proofErr w:type="spellEnd"/>
      <w:r w:rsidRPr="007F63D0">
        <w:rPr>
          <w:lang w:val="en-US"/>
        </w:rPr>
        <w:t xml:space="preserve"> exposure)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17"/>
        <w:gridCol w:w="4422"/>
        <w:gridCol w:w="3157"/>
      </w:tblGrid>
      <w:tr w:rsidR="00643CC1" w:rsidRPr="00332AD5" w14:paraId="0ED06FC2" w14:textId="77777777" w:rsidTr="00CC3AED">
        <w:trPr>
          <w:tblHeader/>
        </w:trPr>
        <w:tc>
          <w:tcPr>
            <w:tcW w:w="5000" w:type="pct"/>
            <w:gridSpan w:val="3"/>
            <w:shd w:val="clear" w:color="auto" w:fill="FFFFCC"/>
            <w:tcMar>
              <w:top w:w="57" w:type="dxa"/>
              <w:bottom w:w="57" w:type="dxa"/>
            </w:tcMar>
          </w:tcPr>
          <w:p w14:paraId="6D05B3D2" w14:textId="77777777" w:rsidR="00643CC1" w:rsidRPr="00332AD5" w:rsidRDefault="00643CC1" w:rsidP="00CC3AED">
            <w:pPr>
              <w:pStyle w:val="Standaard-Tabellen"/>
              <w:jc w:val="center"/>
              <w:rPr>
                <w:rFonts w:eastAsia="Calibri"/>
                <w:b/>
              </w:rPr>
            </w:pPr>
            <w:r w:rsidRPr="00332AD5">
              <w:rPr>
                <w:rFonts w:eastAsia="Calibri"/>
                <w:b/>
              </w:rPr>
              <w:lastRenderedPageBreak/>
              <w:t xml:space="preserve">Description of Scenario </w:t>
            </w:r>
            <w:r>
              <w:rPr>
                <w:rFonts w:eastAsia="Calibri"/>
                <w:b/>
              </w:rPr>
              <w:t>3</w:t>
            </w:r>
          </w:p>
        </w:tc>
      </w:tr>
      <w:tr w:rsidR="00643CC1" w:rsidRPr="00FD2055" w14:paraId="2DF3BB48" w14:textId="77777777" w:rsidTr="00CC3AED">
        <w:trPr>
          <w:tblHeader/>
        </w:trPr>
        <w:tc>
          <w:tcPr>
            <w:tcW w:w="5000" w:type="pct"/>
            <w:gridSpan w:val="3"/>
            <w:shd w:val="clear" w:color="auto" w:fill="auto"/>
            <w:tcMar>
              <w:top w:w="57" w:type="dxa"/>
              <w:bottom w:w="57" w:type="dxa"/>
            </w:tcMar>
          </w:tcPr>
          <w:p w14:paraId="6D5C31AD" w14:textId="77777777" w:rsidR="00643CC1" w:rsidRDefault="00643CC1" w:rsidP="00CC3AED">
            <w:pPr>
              <w:pStyle w:val="Explanatorynotes"/>
              <w:rPr>
                <w:rFonts w:ascii="Verdana" w:eastAsia="Calibri" w:hAnsi="Verdana"/>
                <w:i w:val="0"/>
              </w:rPr>
            </w:pPr>
            <w:r w:rsidRPr="000440B7">
              <w:rPr>
                <w:rFonts w:ascii="Verdana" w:eastAsia="Calibri" w:hAnsi="Verdana"/>
                <w:i w:val="0"/>
              </w:rPr>
              <w:t>This scenario is not based on the one available in the CAR of IR3535</w:t>
            </w:r>
            <w:r w:rsidRPr="00BF5148">
              <w:rPr>
                <w:rFonts w:ascii="Verdana" w:eastAsia="Calibri" w:hAnsi="Verdana"/>
                <w:i w:val="0"/>
                <w:vertAlign w:val="superscript"/>
              </w:rPr>
              <w:t>®</w:t>
            </w:r>
            <w:r w:rsidRPr="000440B7">
              <w:rPr>
                <w:rFonts w:ascii="Verdana" w:eastAsia="Calibri" w:hAnsi="Verdana"/>
                <w:i w:val="0"/>
              </w:rPr>
              <w:t xml:space="preserve"> because it’s has been demonstrated that the SVC could exceed 1% in a number of cases. Considering HEEG opinion 13 (Assessment of Inhalation Exposure of Volatilized Biocide Active Substance), the inhalation of volatilised residues after application has to be taken into account for this product.</w:t>
            </w:r>
          </w:p>
          <w:p w14:paraId="04EAAFA4" w14:textId="77777777" w:rsidR="00643CC1" w:rsidRDefault="00643CC1" w:rsidP="00CC3AED">
            <w:pPr>
              <w:pStyle w:val="Explanatorynotes"/>
              <w:rPr>
                <w:rFonts w:ascii="Verdana" w:eastAsia="Calibri" w:hAnsi="Verdana"/>
                <w:i w:val="0"/>
              </w:rPr>
            </w:pPr>
          </w:p>
          <w:p w14:paraId="3A60C85F" w14:textId="77777777" w:rsidR="00643CC1" w:rsidRPr="00CC147D" w:rsidRDefault="00643CC1" w:rsidP="00CC3AED">
            <w:pPr>
              <w:pStyle w:val="Explanatorynotes"/>
              <w:rPr>
                <w:rFonts w:ascii="Verdana" w:eastAsia="Calibri" w:hAnsi="Verdana"/>
                <w:i w:val="0"/>
              </w:rPr>
            </w:pPr>
            <w:r w:rsidRPr="000440B7">
              <w:rPr>
                <w:rFonts w:ascii="Verdana" w:eastAsia="Calibri" w:hAnsi="Verdana"/>
                <w:i w:val="0"/>
              </w:rPr>
              <w:t>This scenario is based on the one available in the CAR of IR3535</w:t>
            </w:r>
            <w:r w:rsidRPr="00BF5148">
              <w:rPr>
                <w:rFonts w:ascii="Verdana" w:eastAsia="Calibri" w:hAnsi="Verdana"/>
                <w:i w:val="0"/>
                <w:vertAlign w:val="superscript"/>
              </w:rPr>
              <w:t>®</w:t>
            </w:r>
            <w:r w:rsidRPr="000440B7">
              <w:rPr>
                <w:rFonts w:ascii="Verdana" w:eastAsia="Calibri" w:hAnsi="Verdana"/>
                <w:i w:val="0"/>
              </w:rPr>
              <w:t xml:space="preserve">. It has been updated according the recommendation 11 of the BPC Ad hoc Working Group on Human Exposure : Proposal for harmonising the assessment of human exposure to repellents (PT19) – Version 2.1 agreed at WGV 2017.  </w:t>
            </w:r>
          </w:p>
        </w:tc>
      </w:tr>
      <w:tr w:rsidR="00643CC1" w:rsidRPr="00FD2055" w14:paraId="0B608014" w14:textId="77777777" w:rsidTr="00CC3AED">
        <w:trPr>
          <w:tblHeader/>
        </w:trPr>
        <w:tc>
          <w:tcPr>
            <w:tcW w:w="5000" w:type="pct"/>
            <w:gridSpan w:val="3"/>
            <w:shd w:val="clear" w:color="auto" w:fill="auto"/>
            <w:tcMar>
              <w:top w:w="57" w:type="dxa"/>
              <w:bottom w:w="57" w:type="dxa"/>
            </w:tcMar>
          </w:tcPr>
          <w:p w14:paraId="7A6479AB" w14:textId="77777777" w:rsidR="00643CC1" w:rsidRPr="000440B7" w:rsidRDefault="00643CC1" w:rsidP="00CC3AED">
            <w:pPr>
              <w:spacing w:before="0" w:after="0"/>
              <w:rPr>
                <w:rFonts w:eastAsia="Calibri"/>
              </w:rPr>
            </w:pPr>
            <w:r w:rsidRPr="000440B7">
              <w:rPr>
                <w:rFonts w:eastAsia="Calibri"/>
              </w:rPr>
              <w:t xml:space="preserve">Inhalation of volatilized residues after application is relevant considering the HEEG opinion on Assessment of Inhalation Exposure of Volatilized Biocide Active Substance: </w:t>
            </w:r>
          </w:p>
          <w:p w14:paraId="7B9C7E04" w14:textId="77777777" w:rsidR="00643CC1" w:rsidRPr="000440B7" w:rsidRDefault="00C85279" w:rsidP="00CC3AED">
            <w:pPr>
              <w:widowControl w:val="0"/>
              <w:shd w:val="clear" w:color="auto" w:fill="FFFFFF"/>
              <w:autoSpaceDE w:val="0"/>
              <w:autoSpaceDN w:val="0"/>
              <w:adjustRightInd w:val="0"/>
              <w:jc w:val="both"/>
              <w:rPr>
                <w:rFonts w:eastAsia="Calibri"/>
              </w:rPr>
            </w:pPr>
            <m:oMathPara>
              <m:oMath>
                <m:f>
                  <m:fPr>
                    <m:ctrlPr>
                      <w:rPr>
                        <w:rFonts w:ascii="Cambria Math" w:eastAsia="Calibri" w:hAnsi="Cambria Math"/>
                        <w:i/>
                        <w:sz w:val="22"/>
                        <w:szCs w:val="16"/>
                        <w:lang w:val="en-US" w:eastAsia="en-US"/>
                      </w:rPr>
                    </m:ctrlPr>
                  </m:fPr>
                  <m:num>
                    <m:r>
                      <w:rPr>
                        <w:rFonts w:ascii="Cambria Math" w:eastAsia="Calibri" w:hAnsi="Cambria Math"/>
                        <w:sz w:val="22"/>
                        <w:szCs w:val="16"/>
                        <w:lang w:val="en-US" w:eastAsia="en-US"/>
                      </w:rPr>
                      <m:t>0.328</m:t>
                    </m:r>
                    <m:r>
                      <w:rPr>
                        <w:rFonts w:ascii="Cambria Math" w:eastAsia="Calibri" w:hAnsi="Cambria Math" w:cs="Symbol"/>
                        <w:sz w:val="22"/>
                        <w:szCs w:val="16"/>
                        <w:lang w:val="en-US" w:eastAsia="en-US"/>
                      </w:rPr>
                      <m:t>× 215.29×</m:t>
                    </m:r>
                    <m:r>
                      <w:rPr>
                        <w:rFonts w:ascii="Cambria Math" w:hAnsi="Cambria Math"/>
                        <w:sz w:val="22"/>
                        <w:szCs w:val="16"/>
                        <w:lang w:val="en-US" w:eastAsia="en-US"/>
                      </w:rPr>
                      <m:t>0.15</m:t>
                    </m:r>
                  </m:num>
                  <m:den>
                    <m:r>
                      <w:rPr>
                        <w:rFonts w:ascii="Cambria Math" w:eastAsia="Calibri" w:hAnsi="Cambria Math"/>
                        <w:sz w:val="22"/>
                        <w:szCs w:val="16"/>
                        <w:lang w:val="en-US" w:eastAsia="en-US"/>
                      </w:rPr>
                      <m:t>5</m:t>
                    </m:r>
                  </m:den>
                </m:f>
                <m:r>
                  <w:rPr>
                    <w:rFonts w:ascii="Cambria Math" w:eastAsia="Calibri" w:hAnsi="Cambria Math" w:cs="Symbol"/>
                    <w:sz w:val="22"/>
                    <w:szCs w:val="16"/>
                    <w:lang w:val="en-US" w:eastAsia="en-US"/>
                  </w:rPr>
                  <m:t xml:space="preserve">=2.12 </m:t>
                </m:r>
              </m:oMath>
            </m:oMathPara>
          </w:p>
          <w:p w14:paraId="3D9B6B0C" w14:textId="77777777" w:rsidR="00643CC1" w:rsidRPr="000440B7" w:rsidRDefault="00643CC1" w:rsidP="00CC3AED">
            <w:pPr>
              <w:spacing w:before="0" w:after="0"/>
              <w:rPr>
                <w:rFonts w:eastAsia="Calibri"/>
              </w:rPr>
            </w:pPr>
            <w:r w:rsidRPr="000440B7">
              <w:rPr>
                <w:rFonts w:eastAsia="Calibri"/>
              </w:rPr>
              <w:t xml:space="preserve">The result of this equation is superior to 1 which means that the inhalation exposure couldn’t be considered as negligible. </w:t>
            </w:r>
          </w:p>
          <w:p w14:paraId="0E666E20" w14:textId="77777777" w:rsidR="00643CC1" w:rsidRPr="000440B7" w:rsidRDefault="00643CC1" w:rsidP="00CC3AED">
            <w:pPr>
              <w:spacing w:before="0" w:after="0"/>
              <w:rPr>
                <w:rFonts w:eastAsia="Calibri"/>
              </w:rPr>
            </w:pPr>
            <w:r w:rsidRPr="000440B7">
              <w:rPr>
                <w:rFonts w:eastAsia="Calibri"/>
              </w:rPr>
              <w:t xml:space="preserve">So this exposure was assessed using </w:t>
            </w:r>
            <w:proofErr w:type="spellStart"/>
            <w:r w:rsidRPr="000440B7">
              <w:rPr>
                <w:rFonts w:eastAsia="Calibri"/>
              </w:rPr>
              <w:t>ConsExpo</w:t>
            </w:r>
            <w:proofErr w:type="spellEnd"/>
            <w:r w:rsidRPr="000440B7">
              <w:rPr>
                <w:rFonts w:eastAsia="Calibri"/>
              </w:rPr>
              <w:t xml:space="preserve"> – exposure to vapour – instantaneous release. </w:t>
            </w:r>
          </w:p>
          <w:p w14:paraId="0A9B6F09" w14:textId="77777777" w:rsidR="00643CC1" w:rsidRPr="000440B7" w:rsidRDefault="00643CC1" w:rsidP="00CC3AED">
            <w:pPr>
              <w:spacing w:before="0" w:after="0"/>
              <w:rPr>
                <w:rFonts w:eastAsia="Calibri"/>
              </w:rPr>
            </w:pPr>
          </w:p>
          <w:p w14:paraId="07FF6299" w14:textId="77777777" w:rsidR="00643CC1" w:rsidRPr="000440B7" w:rsidRDefault="00643CC1" w:rsidP="00CC3AED">
            <w:pPr>
              <w:spacing w:before="0" w:after="0"/>
              <w:rPr>
                <w:rFonts w:eastAsia="Calibri"/>
                <w:b/>
              </w:rPr>
            </w:pPr>
            <w:r w:rsidRPr="000440B7">
              <w:rPr>
                <w:rFonts w:eastAsia="Calibri"/>
                <w:b/>
              </w:rPr>
              <w:t xml:space="preserve">General inputs to the model : </w:t>
            </w:r>
          </w:p>
          <w:p w14:paraId="6B762F24" w14:textId="77777777" w:rsidR="00643CC1" w:rsidRPr="000440B7" w:rsidRDefault="00643CC1" w:rsidP="00CC3AED">
            <w:pPr>
              <w:spacing w:before="0" w:after="0"/>
              <w:rPr>
                <w:rFonts w:eastAsia="Calibri"/>
              </w:rPr>
            </w:pPr>
            <w:r w:rsidRPr="000440B7">
              <w:rPr>
                <w:rFonts w:eastAsia="Calibri"/>
              </w:rPr>
              <w:t>Exposure duration: 24 hours (all day)</w:t>
            </w:r>
          </w:p>
          <w:p w14:paraId="2FFB74AF" w14:textId="77777777" w:rsidR="00643CC1" w:rsidRPr="000440B7" w:rsidRDefault="00643CC1" w:rsidP="00CC3AED">
            <w:pPr>
              <w:spacing w:before="0" w:after="0"/>
              <w:rPr>
                <w:rFonts w:eastAsia="Calibri"/>
              </w:rPr>
            </w:pPr>
            <w:r w:rsidRPr="000440B7">
              <w:rPr>
                <w:rFonts w:eastAsia="Calibri"/>
              </w:rPr>
              <w:t>Product amount: calculated dependant of the amount applied per day and per age categories</w:t>
            </w:r>
          </w:p>
          <w:p w14:paraId="5CB83A1C" w14:textId="77777777" w:rsidR="00643CC1" w:rsidRPr="000440B7" w:rsidRDefault="00643CC1" w:rsidP="00CC3AED">
            <w:pPr>
              <w:spacing w:before="0" w:after="0"/>
              <w:rPr>
                <w:rFonts w:eastAsia="Calibri"/>
              </w:rPr>
            </w:pPr>
            <w:r w:rsidRPr="000440B7">
              <w:rPr>
                <w:rFonts w:eastAsia="Calibri"/>
              </w:rPr>
              <w:t>Weight fraction comp</w:t>
            </w:r>
            <w:r>
              <w:rPr>
                <w:rFonts w:eastAsia="Calibri"/>
              </w:rPr>
              <w:t>ound: 1</w:t>
            </w:r>
            <w:r w:rsidRPr="000440B7">
              <w:rPr>
                <w:rFonts w:eastAsia="Calibri"/>
              </w:rPr>
              <w:t>0% (biocidal product information)</w:t>
            </w:r>
          </w:p>
          <w:p w14:paraId="229A2A87" w14:textId="77777777" w:rsidR="00643CC1" w:rsidRPr="000440B7" w:rsidRDefault="00643CC1" w:rsidP="00CC3AED">
            <w:pPr>
              <w:spacing w:before="0" w:after="0"/>
              <w:rPr>
                <w:rFonts w:eastAsia="Calibri"/>
              </w:rPr>
            </w:pPr>
            <w:r w:rsidRPr="000440B7">
              <w:rPr>
                <w:rFonts w:eastAsia="Calibri"/>
              </w:rPr>
              <w:t>Room volume: 20m</w:t>
            </w:r>
            <w:r w:rsidRPr="000440B7">
              <w:rPr>
                <w:rFonts w:eastAsia="Calibri"/>
                <w:vertAlign w:val="superscript"/>
              </w:rPr>
              <w:t>3</w:t>
            </w:r>
            <w:r w:rsidRPr="000440B7">
              <w:rPr>
                <w:rFonts w:eastAsia="Calibri"/>
              </w:rPr>
              <w:t xml:space="preserve"> (default value of </w:t>
            </w:r>
            <w:proofErr w:type="spellStart"/>
            <w:r w:rsidRPr="000440B7">
              <w:rPr>
                <w:rFonts w:eastAsia="Calibri"/>
              </w:rPr>
              <w:t>ConsExpo</w:t>
            </w:r>
            <w:proofErr w:type="spellEnd"/>
            <w:r w:rsidRPr="000440B7">
              <w:rPr>
                <w:rFonts w:eastAsia="Calibri"/>
              </w:rPr>
              <w:t>)</w:t>
            </w:r>
          </w:p>
          <w:p w14:paraId="0F5E352B" w14:textId="77777777" w:rsidR="00643CC1" w:rsidRPr="000440B7" w:rsidRDefault="00643CC1" w:rsidP="00CC3AED">
            <w:pPr>
              <w:spacing w:before="0" w:after="0"/>
              <w:rPr>
                <w:rFonts w:eastAsia="Calibri"/>
              </w:rPr>
            </w:pPr>
            <w:r w:rsidRPr="000440B7">
              <w:rPr>
                <w:rFonts w:eastAsia="Calibri"/>
              </w:rPr>
              <w:t xml:space="preserve">Ventilation rate: 0.6 /h (default value of </w:t>
            </w:r>
            <w:proofErr w:type="spellStart"/>
            <w:r w:rsidRPr="000440B7">
              <w:rPr>
                <w:rFonts w:eastAsia="Calibri"/>
              </w:rPr>
              <w:t>ConsExpo</w:t>
            </w:r>
            <w:proofErr w:type="spellEnd"/>
            <w:r w:rsidRPr="000440B7">
              <w:rPr>
                <w:rFonts w:eastAsia="Calibri"/>
              </w:rPr>
              <w:t>)</w:t>
            </w:r>
          </w:p>
          <w:p w14:paraId="2C2A67F9" w14:textId="77777777" w:rsidR="00643CC1" w:rsidRPr="000440B7" w:rsidRDefault="00643CC1" w:rsidP="00CC3AED">
            <w:pPr>
              <w:spacing w:before="0" w:after="0"/>
              <w:rPr>
                <w:rFonts w:eastAsia="Calibri"/>
              </w:rPr>
            </w:pPr>
          </w:p>
          <w:p w14:paraId="71E37B85" w14:textId="77777777" w:rsidR="00643CC1" w:rsidRPr="000440B7" w:rsidRDefault="00643CC1" w:rsidP="00CC3AED">
            <w:pPr>
              <w:spacing w:before="0" w:after="0"/>
              <w:rPr>
                <w:rFonts w:eastAsia="Calibri"/>
                <w:lang w:val="fr-BE"/>
              </w:rPr>
            </w:pPr>
            <w:proofErr w:type="spellStart"/>
            <w:r w:rsidRPr="000440B7">
              <w:rPr>
                <w:rFonts w:eastAsia="Calibri"/>
                <w:lang w:val="fr-BE"/>
              </w:rPr>
              <w:t>Vapour</w:t>
            </w:r>
            <w:proofErr w:type="spellEnd"/>
            <w:r w:rsidRPr="000440B7">
              <w:rPr>
                <w:rFonts w:eastAsia="Calibri"/>
                <w:lang w:val="fr-BE"/>
              </w:rPr>
              <w:t xml:space="preserve"> pressure: 0.15 Pa (at 20 °C) (active substance information)</w:t>
            </w:r>
          </w:p>
          <w:p w14:paraId="3F0682C5" w14:textId="77777777" w:rsidR="00643CC1" w:rsidRPr="000440B7" w:rsidRDefault="00643CC1" w:rsidP="00CC3AED">
            <w:pPr>
              <w:spacing w:before="0" w:after="0"/>
              <w:rPr>
                <w:rFonts w:eastAsia="Calibri"/>
              </w:rPr>
            </w:pPr>
            <w:r w:rsidRPr="000440B7">
              <w:rPr>
                <w:rFonts w:eastAsia="Calibri"/>
              </w:rPr>
              <w:t>Molecular weight: 215.29 g/mol (active substance information)</w:t>
            </w:r>
          </w:p>
          <w:p w14:paraId="77D3974E" w14:textId="77777777" w:rsidR="00643CC1" w:rsidRPr="00FD2055" w:rsidRDefault="00643CC1" w:rsidP="00CC3AED">
            <w:pPr>
              <w:rPr>
                <w:rFonts w:eastAsia="Calibri"/>
              </w:rPr>
            </w:pPr>
            <w:r w:rsidRPr="000440B7">
              <w:rPr>
                <w:rFonts w:eastAsia="Calibri"/>
                <w:bCs/>
                <w:lang w:eastAsia="en-GB"/>
              </w:rPr>
              <w:t xml:space="preserve">Temperature : 25°c (ambient temperature) </w:t>
            </w:r>
          </w:p>
        </w:tc>
      </w:tr>
      <w:tr w:rsidR="00643CC1" w:rsidRPr="00FD2055" w14:paraId="7902A962" w14:textId="77777777" w:rsidTr="00CC3AED">
        <w:trPr>
          <w:tblHeader/>
        </w:trPr>
        <w:tc>
          <w:tcPr>
            <w:tcW w:w="967" w:type="pct"/>
            <w:shd w:val="clear" w:color="auto" w:fill="BFBFBF" w:themeFill="background1" w:themeFillShade="BF"/>
            <w:tcMar>
              <w:top w:w="57" w:type="dxa"/>
              <w:bottom w:w="57" w:type="dxa"/>
            </w:tcMar>
          </w:tcPr>
          <w:p w14:paraId="101E32BF" w14:textId="77777777" w:rsidR="00643CC1" w:rsidRPr="00D63FA7" w:rsidRDefault="00643CC1" w:rsidP="00CC3AED">
            <w:pPr>
              <w:pStyle w:val="Standaard-Tabellen"/>
              <w:rPr>
                <w:rFonts w:eastAsia="Calibri"/>
                <w:b/>
              </w:rPr>
            </w:pPr>
          </w:p>
        </w:tc>
        <w:tc>
          <w:tcPr>
            <w:tcW w:w="2353" w:type="pct"/>
            <w:shd w:val="clear" w:color="auto" w:fill="BFBFBF" w:themeFill="background1" w:themeFillShade="BF"/>
            <w:tcMar>
              <w:top w:w="57" w:type="dxa"/>
              <w:bottom w:w="57" w:type="dxa"/>
            </w:tcMar>
          </w:tcPr>
          <w:p w14:paraId="718D74B1" w14:textId="77777777" w:rsidR="00643CC1" w:rsidRPr="00D63FA7" w:rsidRDefault="00643CC1" w:rsidP="00CC3AED">
            <w:pPr>
              <w:pStyle w:val="Standaard-Tabellen"/>
              <w:rPr>
                <w:rFonts w:eastAsia="Calibri"/>
                <w:b/>
              </w:rPr>
            </w:pPr>
            <w:r w:rsidRPr="00F34321">
              <w:rPr>
                <w:rFonts w:eastAsia="Calibri"/>
                <w:b/>
              </w:rPr>
              <w:t>Parameters</w:t>
            </w:r>
          </w:p>
        </w:tc>
        <w:tc>
          <w:tcPr>
            <w:tcW w:w="1680" w:type="pct"/>
            <w:shd w:val="clear" w:color="auto" w:fill="BFBFBF" w:themeFill="background1" w:themeFillShade="BF"/>
            <w:tcMar>
              <w:top w:w="57" w:type="dxa"/>
              <w:bottom w:w="57" w:type="dxa"/>
            </w:tcMar>
          </w:tcPr>
          <w:p w14:paraId="5AC2AA0D" w14:textId="77777777" w:rsidR="00643CC1" w:rsidRPr="00D63FA7" w:rsidRDefault="00643CC1" w:rsidP="00CC3AED">
            <w:pPr>
              <w:pStyle w:val="Standaard-Tabellen"/>
              <w:rPr>
                <w:rFonts w:eastAsia="Calibri"/>
                <w:b/>
              </w:rPr>
            </w:pPr>
            <w:r w:rsidRPr="00F34321">
              <w:rPr>
                <w:rFonts w:eastAsia="Calibri"/>
                <w:b/>
              </w:rPr>
              <w:t>Value</w:t>
            </w:r>
          </w:p>
        </w:tc>
      </w:tr>
      <w:tr w:rsidR="00643CC1" w:rsidRPr="00FD2055" w14:paraId="51B6B03B" w14:textId="77777777" w:rsidTr="00CC3AED">
        <w:trPr>
          <w:tblHeader/>
        </w:trPr>
        <w:tc>
          <w:tcPr>
            <w:tcW w:w="967" w:type="pct"/>
            <w:vMerge w:val="restart"/>
            <w:tcMar>
              <w:top w:w="57" w:type="dxa"/>
              <w:bottom w:w="57" w:type="dxa"/>
            </w:tcMar>
          </w:tcPr>
          <w:p w14:paraId="76290DAF" w14:textId="77777777" w:rsidR="00643CC1" w:rsidRPr="00FD2055" w:rsidRDefault="00643CC1" w:rsidP="00CC3AED">
            <w:pPr>
              <w:pStyle w:val="Standaard-Tabellen"/>
              <w:rPr>
                <w:rFonts w:eastAsia="Calibri"/>
              </w:rPr>
            </w:pPr>
            <w:r w:rsidRPr="000B65BB">
              <w:rPr>
                <w:rFonts w:eastAsia="Calibri"/>
              </w:rPr>
              <w:t>Tier 1- Adult</w:t>
            </w:r>
          </w:p>
        </w:tc>
        <w:tc>
          <w:tcPr>
            <w:tcW w:w="2353" w:type="pct"/>
            <w:shd w:val="clear" w:color="auto" w:fill="auto"/>
            <w:tcMar>
              <w:top w:w="57" w:type="dxa"/>
              <w:bottom w:w="57" w:type="dxa"/>
            </w:tcMar>
          </w:tcPr>
          <w:p w14:paraId="1FFEE0CC" w14:textId="77777777" w:rsidR="00643CC1" w:rsidRPr="00FD2055" w:rsidRDefault="00643CC1" w:rsidP="00CC3AED">
            <w:pPr>
              <w:pStyle w:val="Standaard-Tabellen"/>
              <w:rPr>
                <w:rFonts w:eastAsia="Calibri"/>
              </w:rPr>
            </w:pPr>
            <w:r>
              <w:rPr>
                <w:rFonts w:eastAsia="Calibri"/>
              </w:rPr>
              <w:t>Product amount</w:t>
            </w:r>
            <w:r>
              <w:rPr>
                <w:rFonts w:eastAsia="Calibri"/>
                <w:vertAlign w:val="superscript"/>
              </w:rPr>
              <w:t>1</w:t>
            </w:r>
          </w:p>
        </w:tc>
        <w:tc>
          <w:tcPr>
            <w:tcW w:w="1680" w:type="pct"/>
            <w:shd w:val="clear" w:color="auto" w:fill="auto"/>
            <w:tcMar>
              <w:top w:w="57" w:type="dxa"/>
              <w:bottom w:w="57" w:type="dxa"/>
            </w:tcMar>
          </w:tcPr>
          <w:p w14:paraId="1002AD15" w14:textId="77777777" w:rsidR="00643CC1" w:rsidRPr="00FD2055" w:rsidRDefault="00643CC1" w:rsidP="00CC3AED">
            <w:pPr>
              <w:pStyle w:val="Standaard-Tabellen"/>
              <w:rPr>
                <w:rFonts w:eastAsia="Calibri"/>
              </w:rPr>
            </w:pPr>
            <w:r>
              <w:rPr>
                <w:rFonts w:eastAsia="Calibri"/>
              </w:rPr>
              <w:t>18.26</w:t>
            </w:r>
            <w:r w:rsidRPr="000908EA">
              <w:rPr>
                <w:rFonts w:eastAsia="Calibri"/>
              </w:rPr>
              <w:t xml:space="preserve"> g</w:t>
            </w:r>
          </w:p>
        </w:tc>
      </w:tr>
      <w:tr w:rsidR="00643CC1" w:rsidRPr="00FD2055" w14:paraId="0B4F8B85" w14:textId="77777777" w:rsidTr="00CC3AED">
        <w:trPr>
          <w:tblHeader/>
        </w:trPr>
        <w:tc>
          <w:tcPr>
            <w:tcW w:w="967" w:type="pct"/>
            <w:vMerge/>
            <w:tcMar>
              <w:top w:w="57" w:type="dxa"/>
              <w:bottom w:w="57" w:type="dxa"/>
            </w:tcMar>
          </w:tcPr>
          <w:p w14:paraId="6893AAB6" w14:textId="77777777" w:rsidR="00643CC1" w:rsidRPr="00FD2055" w:rsidRDefault="00643CC1" w:rsidP="00CC3AED">
            <w:pPr>
              <w:pStyle w:val="Standaard-Tabellen"/>
              <w:rPr>
                <w:rFonts w:eastAsia="Calibri"/>
              </w:rPr>
            </w:pPr>
          </w:p>
        </w:tc>
        <w:tc>
          <w:tcPr>
            <w:tcW w:w="2353" w:type="pct"/>
            <w:shd w:val="clear" w:color="auto" w:fill="auto"/>
            <w:tcMar>
              <w:top w:w="57" w:type="dxa"/>
              <w:bottom w:w="57" w:type="dxa"/>
            </w:tcMar>
          </w:tcPr>
          <w:p w14:paraId="0408FBCF" w14:textId="77777777" w:rsidR="00643CC1" w:rsidRPr="00FD2055" w:rsidRDefault="00643CC1" w:rsidP="00CC3AED">
            <w:pPr>
              <w:pStyle w:val="Standaard-Tabellen"/>
              <w:rPr>
                <w:rFonts w:eastAsia="Calibri"/>
              </w:rPr>
            </w:pPr>
            <w:r w:rsidRPr="00F34321">
              <w:rPr>
                <w:rFonts w:eastAsia="Calibri"/>
              </w:rPr>
              <w:t>Body weight</w:t>
            </w:r>
            <w:r>
              <w:rPr>
                <w:rFonts w:eastAsia="Calibri"/>
                <w:vertAlign w:val="superscript"/>
              </w:rPr>
              <w:t>2</w:t>
            </w:r>
            <w:r w:rsidRPr="00F34321">
              <w:rPr>
                <w:rFonts w:eastAsia="Calibri"/>
                <w:vertAlign w:val="superscript"/>
              </w:rPr>
              <w:t xml:space="preserve"> </w:t>
            </w:r>
          </w:p>
        </w:tc>
        <w:tc>
          <w:tcPr>
            <w:tcW w:w="1680" w:type="pct"/>
            <w:shd w:val="clear" w:color="auto" w:fill="auto"/>
            <w:tcMar>
              <w:top w:w="57" w:type="dxa"/>
              <w:bottom w:w="57" w:type="dxa"/>
            </w:tcMar>
          </w:tcPr>
          <w:p w14:paraId="67B0F90E" w14:textId="77777777" w:rsidR="00643CC1" w:rsidRPr="00FD2055" w:rsidRDefault="00643CC1" w:rsidP="00CC3AED">
            <w:pPr>
              <w:pStyle w:val="Standaard-Tabellen"/>
              <w:rPr>
                <w:rFonts w:eastAsia="Calibri"/>
              </w:rPr>
            </w:pPr>
            <w:r w:rsidRPr="00F34321">
              <w:rPr>
                <w:rFonts w:eastAsia="Calibri"/>
              </w:rPr>
              <w:t>60 kg</w:t>
            </w:r>
          </w:p>
        </w:tc>
      </w:tr>
      <w:tr w:rsidR="00643CC1" w:rsidRPr="00FD2055" w14:paraId="47881E75" w14:textId="77777777" w:rsidTr="00CC3AED">
        <w:trPr>
          <w:tblHeader/>
        </w:trPr>
        <w:tc>
          <w:tcPr>
            <w:tcW w:w="967" w:type="pct"/>
            <w:vMerge/>
            <w:tcMar>
              <w:top w:w="57" w:type="dxa"/>
              <w:bottom w:w="57" w:type="dxa"/>
            </w:tcMar>
          </w:tcPr>
          <w:p w14:paraId="05A82358" w14:textId="77777777" w:rsidR="00643CC1" w:rsidRPr="00FD2055" w:rsidRDefault="00643CC1" w:rsidP="00CC3AED">
            <w:pPr>
              <w:pStyle w:val="Standaard-Tabellen"/>
              <w:rPr>
                <w:rFonts w:eastAsia="Calibri"/>
              </w:rPr>
            </w:pPr>
          </w:p>
        </w:tc>
        <w:tc>
          <w:tcPr>
            <w:tcW w:w="2353" w:type="pct"/>
            <w:shd w:val="clear" w:color="auto" w:fill="auto"/>
            <w:tcMar>
              <w:top w:w="57" w:type="dxa"/>
              <w:bottom w:w="57" w:type="dxa"/>
            </w:tcMar>
          </w:tcPr>
          <w:p w14:paraId="1E609906" w14:textId="77777777" w:rsidR="00643CC1" w:rsidRPr="00785109" w:rsidRDefault="00643CC1" w:rsidP="00CC3AED">
            <w:pPr>
              <w:pStyle w:val="Standaard-Tabellen"/>
              <w:rPr>
                <w:rFonts w:eastAsia="Calibri"/>
              </w:rPr>
            </w:pPr>
            <w:r w:rsidRPr="00F34321">
              <w:rPr>
                <w:rFonts w:eastAsia="Calibri"/>
              </w:rPr>
              <w:t>Respiration rate [m</w:t>
            </w:r>
            <w:r w:rsidRPr="00F34321">
              <w:rPr>
                <w:rFonts w:eastAsia="Calibri"/>
                <w:vertAlign w:val="superscript"/>
              </w:rPr>
              <w:t>3</w:t>
            </w:r>
            <w:r w:rsidRPr="00F34321">
              <w:rPr>
                <w:rFonts w:eastAsia="Calibri"/>
              </w:rPr>
              <w:t>/air/hour]</w:t>
            </w:r>
            <w:r>
              <w:rPr>
                <w:rFonts w:eastAsia="Calibri"/>
                <w:vertAlign w:val="superscript"/>
              </w:rPr>
              <w:t>2</w:t>
            </w:r>
          </w:p>
        </w:tc>
        <w:tc>
          <w:tcPr>
            <w:tcW w:w="1680" w:type="pct"/>
            <w:shd w:val="clear" w:color="auto" w:fill="auto"/>
            <w:tcMar>
              <w:top w:w="57" w:type="dxa"/>
              <w:bottom w:w="57" w:type="dxa"/>
            </w:tcMar>
          </w:tcPr>
          <w:p w14:paraId="7ADB3B8A" w14:textId="77777777" w:rsidR="00643CC1" w:rsidRPr="00785109" w:rsidRDefault="00643CC1" w:rsidP="00CC3AED">
            <w:pPr>
              <w:pStyle w:val="Standaard-Tabellen"/>
              <w:rPr>
                <w:rFonts w:eastAsia="Calibri"/>
              </w:rPr>
            </w:pPr>
            <w:r>
              <w:rPr>
                <w:rFonts w:eastAsia="Calibri"/>
              </w:rPr>
              <w:t>1.</w:t>
            </w:r>
            <w:r w:rsidRPr="00F34321">
              <w:rPr>
                <w:rFonts w:eastAsia="Calibri"/>
              </w:rPr>
              <w:t>25 m³/h</w:t>
            </w:r>
          </w:p>
        </w:tc>
      </w:tr>
      <w:tr w:rsidR="00643CC1" w:rsidRPr="00FD2055" w14:paraId="1A071ADA" w14:textId="77777777" w:rsidTr="00CC3AED">
        <w:trPr>
          <w:tblHeader/>
        </w:trPr>
        <w:tc>
          <w:tcPr>
            <w:tcW w:w="967" w:type="pct"/>
            <w:vMerge w:val="restart"/>
            <w:tcMar>
              <w:top w:w="57" w:type="dxa"/>
              <w:bottom w:w="57" w:type="dxa"/>
            </w:tcMar>
          </w:tcPr>
          <w:p w14:paraId="4C055C20" w14:textId="77777777" w:rsidR="00643CC1" w:rsidRPr="00FD2055" w:rsidRDefault="00643CC1" w:rsidP="00CC3AED">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6 to &lt; 12 years old</w:t>
            </w:r>
          </w:p>
        </w:tc>
        <w:tc>
          <w:tcPr>
            <w:tcW w:w="2353" w:type="pct"/>
            <w:shd w:val="clear" w:color="auto" w:fill="auto"/>
            <w:tcMar>
              <w:top w:w="57" w:type="dxa"/>
              <w:bottom w:w="57" w:type="dxa"/>
            </w:tcMar>
          </w:tcPr>
          <w:p w14:paraId="04AC0781" w14:textId="77777777" w:rsidR="00643CC1" w:rsidRPr="00FD2055" w:rsidRDefault="00643CC1" w:rsidP="00CC3AED">
            <w:pPr>
              <w:pStyle w:val="Standaard-Tabellen"/>
              <w:rPr>
                <w:rFonts w:eastAsia="Calibri"/>
              </w:rPr>
            </w:pPr>
            <w:r>
              <w:rPr>
                <w:rFonts w:eastAsia="Calibri"/>
              </w:rPr>
              <w:t>Product amount</w:t>
            </w:r>
            <w:r>
              <w:rPr>
                <w:rFonts w:eastAsia="Calibri"/>
                <w:vertAlign w:val="superscript"/>
              </w:rPr>
              <w:t>1</w:t>
            </w:r>
          </w:p>
        </w:tc>
        <w:tc>
          <w:tcPr>
            <w:tcW w:w="1680" w:type="pct"/>
            <w:shd w:val="clear" w:color="auto" w:fill="auto"/>
            <w:tcMar>
              <w:top w:w="57" w:type="dxa"/>
              <w:bottom w:w="57" w:type="dxa"/>
            </w:tcMar>
          </w:tcPr>
          <w:p w14:paraId="56A8851A" w14:textId="77777777" w:rsidR="00643CC1" w:rsidRPr="00FD2055" w:rsidRDefault="00643CC1" w:rsidP="00CC3AED">
            <w:pPr>
              <w:pStyle w:val="Standaard-Tabellen"/>
              <w:rPr>
                <w:rFonts w:eastAsia="Calibri"/>
              </w:rPr>
            </w:pPr>
            <w:r>
              <w:rPr>
                <w:rFonts w:eastAsia="Calibri"/>
              </w:rPr>
              <w:t>5.06</w:t>
            </w:r>
            <w:r w:rsidRPr="000908EA">
              <w:rPr>
                <w:rFonts w:eastAsia="Calibri"/>
              </w:rPr>
              <w:t xml:space="preserve"> g</w:t>
            </w:r>
          </w:p>
        </w:tc>
      </w:tr>
      <w:tr w:rsidR="00643CC1" w:rsidRPr="00FD2055" w14:paraId="63DC9852" w14:textId="77777777" w:rsidTr="00CC3AED">
        <w:trPr>
          <w:tblHeader/>
        </w:trPr>
        <w:tc>
          <w:tcPr>
            <w:tcW w:w="967" w:type="pct"/>
            <w:vMerge/>
            <w:tcMar>
              <w:top w:w="57" w:type="dxa"/>
              <w:bottom w:w="57" w:type="dxa"/>
            </w:tcMar>
          </w:tcPr>
          <w:p w14:paraId="1D9DDFF5" w14:textId="77777777" w:rsidR="00643CC1" w:rsidRPr="000B65BB" w:rsidRDefault="00643CC1" w:rsidP="00CC3AED">
            <w:pPr>
              <w:pStyle w:val="Standaard-Tabellen"/>
              <w:rPr>
                <w:rFonts w:eastAsia="Calibri"/>
              </w:rPr>
            </w:pPr>
          </w:p>
        </w:tc>
        <w:tc>
          <w:tcPr>
            <w:tcW w:w="2353" w:type="pct"/>
            <w:shd w:val="clear" w:color="auto" w:fill="auto"/>
            <w:tcMar>
              <w:top w:w="57" w:type="dxa"/>
              <w:bottom w:w="57" w:type="dxa"/>
            </w:tcMar>
          </w:tcPr>
          <w:p w14:paraId="4CA58DC6" w14:textId="77777777" w:rsidR="00643CC1" w:rsidRDefault="00643CC1" w:rsidP="00CC3AED">
            <w:pPr>
              <w:pStyle w:val="Standaard-Tabellen"/>
              <w:rPr>
                <w:rFonts w:eastAsia="Calibri"/>
              </w:rPr>
            </w:pPr>
            <w:r w:rsidRPr="00F34321">
              <w:rPr>
                <w:rFonts w:eastAsia="Calibri"/>
              </w:rPr>
              <w:t>Body weight</w:t>
            </w:r>
            <w:r>
              <w:rPr>
                <w:rFonts w:eastAsia="Calibri"/>
                <w:vertAlign w:val="superscript"/>
              </w:rPr>
              <w:t>2</w:t>
            </w:r>
          </w:p>
        </w:tc>
        <w:tc>
          <w:tcPr>
            <w:tcW w:w="1680" w:type="pct"/>
            <w:shd w:val="clear" w:color="auto" w:fill="auto"/>
            <w:tcMar>
              <w:top w:w="57" w:type="dxa"/>
              <w:bottom w:w="57" w:type="dxa"/>
            </w:tcMar>
          </w:tcPr>
          <w:p w14:paraId="063CC19F" w14:textId="77777777" w:rsidR="00643CC1" w:rsidRPr="000908EA" w:rsidRDefault="00643CC1" w:rsidP="00CC3AED">
            <w:pPr>
              <w:pStyle w:val="Standaard-Tabellen"/>
              <w:rPr>
                <w:rFonts w:eastAsia="Calibri"/>
              </w:rPr>
            </w:pPr>
            <w:r w:rsidRPr="00F34321">
              <w:rPr>
                <w:rFonts w:eastAsia="Calibri"/>
              </w:rPr>
              <w:t>23</w:t>
            </w:r>
            <w:r>
              <w:rPr>
                <w:rFonts w:eastAsia="Calibri"/>
              </w:rPr>
              <w:t>.</w:t>
            </w:r>
            <w:r w:rsidRPr="00F34321">
              <w:rPr>
                <w:rFonts w:eastAsia="Calibri"/>
              </w:rPr>
              <w:t>9 kg</w:t>
            </w:r>
          </w:p>
        </w:tc>
      </w:tr>
      <w:tr w:rsidR="00643CC1" w:rsidRPr="00FD2055" w14:paraId="2DC52BD4" w14:textId="77777777" w:rsidTr="00CC3AED">
        <w:trPr>
          <w:tblHeader/>
        </w:trPr>
        <w:tc>
          <w:tcPr>
            <w:tcW w:w="967" w:type="pct"/>
            <w:vMerge/>
            <w:tcMar>
              <w:top w:w="57" w:type="dxa"/>
              <w:bottom w:w="57" w:type="dxa"/>
            </w:tcMar>
          </w:tcPr>
          <w:p w14:paraId="20CC7E66" w14:textId="77777777" w:rsidR="00643CC1" w:rsidRPr="00FD2055" w:rsidRDefault="00643CC1" w:rsidP="00CC3AED">
            <w:pPr>
              <w:pStyle w:val="Standaard-Tabellen"/>
              <w:rPr>
                <w:rFonts w:eastAsia="Calibri"/>
              </w:rPr>
            </w:pPr>
          </w:p>
        </w:tc>
        <w:tc>
          <w:tcPr>
            <w:tcW w:w="2353" w:type="pct"/>
            <w:shd w:val="clear" w:color="auto" w:fill="auto"/>
            <w:tcMar>
              <w:top w:w="57" w:type="dxa"/>
              <w:bottom w:w="57" w:type="dxa"/>
            </w:tcMar>
          </w:tcPr>
          <w:p w14:paraId="6019C527" w14:textId="77777777" w:rsidR="00643CC1" w:rsidRPr="00FD2055" w:rsidRDefault="00643CC1" w:rsidP="00CC3AED">
            <w:pPr>
              <w:pStyle w:val="Standaard-Tabellen"/>
              <w:rPr>
                <w:rFonts w:eastAsia="Calibri"/>
              </w:rPr>
            </w:pPr>
            <w:r w:rsidRPr="00F34321">
              <w:rPr>
                <w:rFonts w:eastAsia="Calibri"/>
              </w:rPr>
              <w:t>Respiration rate [m</w:t>
            </w:r>
            <w:r w:rsidRPr="00F34321">
              <w:rPr>
                <w:rFonts w:eastAsia="Calibri"/>
                <w:vertAlign w:val="superscript"/>
              </w:rPr>
              <w:t>3</w:t>
            </w:r>
            <w:r w:rsidRPr="00F34321">
              <w:rPr>
                <w:rFonts w:eastAsia="Calibri"/>
              </w:rPr>
              <w:t>/air/hour]</w:t>
            </w:r>
            <w:r>
              <w:rPr>
                <w:rFonts w:eastAsia="Calibri"/>
                <w:vertAlign w:val="superscript"/>
              </w:rPr>
              <w:t>2</w:t>
            </w:r>
          </w:p>
        </w:tc>
        <w:tc>
          <w:tcPr>
            <w:tcW w:w="1680" w:type="pct"/>
            <w:shd w:val="clear" w:color="auto" w:fill="auto"/>
            <w:tcMar>
              <w:top w:w="57" w:type="dxa"/>
              <w:bottom w:w="57" w:type="dxa"/>
            </w:tcMar>
          </w:tcPr>
          <w:p w14:paraId="57AD488D" w14:textId="77777777" w:rsidR="00643CC1" w:rsidRPr="00FD2055" w:rsidRDefault="00643CC1" w:rsidP="00CC3AED">
            <w:pPr>
              <w:pStyle w:val="Standaard-Tabellen"/>
              <w:rPr>
                <w:rFonts w:eastAsia="Calibri"/>
              </w:rPr>
            </w:pPr>
            <w:r>
              <w:rPr>
                <w:rFonts w:eastAsia="Calibri"/>
              </w:rPr>
              <w:t>1.</w:t>
            </w:r>
            <w:r w:rsidRPr="00F34321">
              <w:rPr>
                <w:rFonts w:eastAsia="Calibri"/>
              </w:rPr>
              <w:t>32 m³/h</w:t>
            </w:r>
          </w:p>
        </w:tc>
      </w:tr>
      <w:tr w:rsidR="00643CC1" w:rsidRPr="00FD2055" w14:paraId="40E3DB52" w14:textId="77777777" w:rsidTr="00CC3AED">
        <w:trPr>
          <w:tblHeader/>
        </w:trPr>
        <w:tc>
          <w:tcPr>
            <w:tcW w:w="967" w:type="pct"/>
            <w:vMerge w:val="restart"/>
            <w:tcMar>
              <w:top w:w="57" w:type="dxa"/>
              <w:bottom w:w="57" w:type="dxa"/>
            </w:tcMar>
          </w:tcPr>
          <w:p w14:paraId="002F3F5C" w14:textId="77777777" w:rsidR="00643CC1" w:rsidRPr="00FD2055" w:rsidRDefault="00643CC1" w:rsidP="00CC3AED">
            <w:pPr>
              <w:pStyle w:val="Standaard-Tabellen"/>
              <w:rPr>
                <w:rFonts w:eastAsia="Calibri"/>
              </w:rPr>
            </w:pPr>
            <w:r w:rsidRPr="000B65BB">
              <w:rPr>
                <w:rFonts w:eastAsia="Calibri"/>
              </w:rPr>
              <w:t xml:space="preserve">Tier 1- </w:t>
            </w:r>
            <w:r w:rsidRPr="00994E49">
              <w:rPr>
                <w:rFonts w:eastAsia="Calibri"/>
              </w:rPr>
              <w:t>C</w:t>
            </w:r>
            <w:r>
              <w:rPr>
                <w:rFonts w:eastAsia="Calibri"/>
              </w:rPr>
              <w:t>hild</w:t>
            </w:r>
            <w:r w:rsidRPr="00994E49">
              <w:rPr>
                <w:rFonts w:eastAsia="Calibri"/>
              </w:rPr>
              <w:t xml:space="preserve"> </w:t>
            </w:r>
            <w:r>
              <w:rPr>
                <w:rFonts w:eastAsia="Calibri"/>
              </w:rPr>
              <w:t>2 to &lt; 6</w:t>
            </w:r>
            <w:r w:rsidRPr="00994E49">
              <w:rPr>
                <w:rFonts w:eastAsia="Calibri"/>
              </w:rPr>
              <w:t xml:space="preserve"> years old</w:t>
            </w:r>
          </w:p>
        </w:tc>
        <w:tc>
          <w:tcPr>
            <w:tcW w:w="2353" w:type="pct"/>
            <w:shd w:val="clear" w:color="auto" w:fill="auto"/>
            <w:tcMar>
              <w:top w:w="57" w:type="dxa"/>
              <w:bottom w:w="57" w:type="dxa"/>
            </w:tcMar>
          </w:tcPr>
          <w:p w14:paraId="2F9E49A5" w14:textId="77777777" w:rsidR="00643CC1" w:rsidRPr="00FD2055" w:rsidRDefault="00643CC1" w:rsidP="00CC3AED">
            <w:pPr>
              <w:pStyle w:val="Standaard-Tabellen"/>
              <w:rPr>
                <w:rFonts w:eastAsia="Calibri"/>
              </w:rPr>
            </w:pPr>
            <w:r>
              <w:rPr>
                <w:rFonts w:eastAsia="Calibri"/>
              </w:rPr>
              <w:t>Product amount</w:t>
            </w:r>
            <w:r>
              <w:rPr>
                <w:rFonts w:eastAsia="Calibri"/>
                <w:vertAlign w:val="superscript"/>
              </w:rPr>
              <w:t>1</w:t>
            </w:r>
          </w:p>
        </w:tc>
        <w:tc>
          <w:tcPr>
            <w:tcW w:w="1680" w:type="pct"/>
            <w:shd w:val="clear" w:color="auto" w:fill="auto"/>
            <w:tcMar>
              <w:top w:w="57" w:type="dxa"/>
              <w:bottom w:w="57" w:type="dxa"/>
            </w:tcMar>
          </w:tcPr>
          <w:p w14:paraId="667C12A3" w14:textId="77777777" w:rsidR="00643CC1" w:rsidRPr="00FD2055" w:rsidRDefault="00643CC1" w:rsidP="00CC3AED">
            <w:pPr>
              <w:pStyle w:val="Standaard-Tabellen"/>
              <w:rPr>
                <w:rFonts w:eastAsia="Calibri"/>
              </w:rPr>
            </w:pPr>
            <w:r>
              <w:rPr>
                <w:rFonts w:eastAsia="Calibri"/>
              </w:rPr>
              <w:t>3.74</w:t>
            </w:r>
            <w:r w:rsidRPr="000908EA">
              <w:rPr>
                <w:rFonts w:eastAsia="Calibri"/>
              </w:rPr>
              <w:t xml:space="preserve"> g</w:t>
            </w:r>
          </w:p>
        </w:tc>
      </w:tr>
      <w:tr w:rsidR="00643CC1" w:rsidRPr="00FD2055" w14:paraId="4841ED11" w14:textId="77777777" w:rsidTr="00CC3AED">
        <w:trPr>
          <w:tblHeader/>
        </w:trPr>
        <w:tc>
          <w:tcPr>
            <w:tcW w:w="967" w:type="pct"/>
            <w:vMerge/>
            <w:tcMar>
              <w:top w:w="57" w:type="dxa"/>
              <w:bottom w:w="57" w:type="dxa"/>
            </w:tcMar>
          </w:tcPr>
          <w:p w14:paraId="0061A60B" w14:textId="77777777" w:rsidR="00643CC1" w:rsidRPr="00FD2055" w:rsidRDefault="00643CC1" w:rsidP="00CC3AED">
            <w:pPr>
              <w:pStyle w:val="Standaard-Tabellen"/>
              <w:rPr>
                <w:rFonts w:eastAsia="Calibri"/>
              </w:rPr>
            </w:pPr>
          </w:p>
        </w:tc>
        <w:tc>
          <w:tcPr>
            <w:tcW w:w="2353" w:type="pct"/>
            <w:shd w:val="clear" w:color="auto" w:fill="auto"/>
            <w:tcMar>
              <w:top w:w="57" w:type="dxa"/>
              <w:bottom w:w="57" w:type="dxa"/>
            </w:tcMar>
          </w:tcPr>
          <w:p w14:paraId="3D2BB1E3" w14:textId="77777777" w:rsidR="00643CC1" w:rsidRPr="00FD2055" w:rsidRDefault="00643CC1" w:rsidP="00CC3AED">
            <w:pPr>
              <w:pStyle w:val="Standaard-Tabellen"/>
              <w:rPr>
                <w:rFonts w:eastAsia="Calibri"/>
              </w:rPr>
            </w:pPr>
            <w:r w:rsidRPr="00F34321">
              <w:rPr>
                <w:rFonts w:eastAsia="Calibri"/>
              </w:rPr>
              <w:t>Body weight</w:t>
            </w:r>
            <w:r>
              <w:rPr>
                <w:rFonts w:eastAsia="Calibri"/>
                <w:vertAlign w:val="superscript"/>
              </w:rPr>
              <w:t>2</w:t>
            </w:r>
          </w:p>
        </w:tc>
        <w:tc>
          <w:tcPr>
            <w:tcW w:w="1680" w:type="pct"/>
            <w:shd w:val="clear" w:color="auto" w:fill="auto"/>
            <w:tcMar>
              <w:top w:w="57" w:type="dxa"/>
              <w:bottom w:w="57" w:type="dxa"/>
            </w:tcMar>
          </w:tcPr>
          <w:p w14:paraId="50542CA7" w14:textId="77777777" w:rsidR="00643CC1" w:rsidRPr="00FD2055" w:rsidRDefault="00643CC1" w:rsidP="00CC3AED">
            <w:pPr>
              <w:pStyle w:val="Standaard-Tabellen"/>
              <w:rPr>
                <w:rFonts w:eastAsia="Calibri"/>
              </w:rPr>
            </w:pPr>
            <w:r>
              <w:rPr>
                <w:rFonts w:eastAsia="Calibri"/>
              </w:rPr>
              <w:t>15.6</w:t>
            </w:r>
            <w:r w:rsidRPr="00F34321">
              <w:rPr>
                <w:rFonts w:eastAsia="Calibri"/>
              </w:rPr>
              <w:t xml:space="preserve"> kg</w:t>
            </w:r>
          </w:p>
        </w:tc>
      </w:tr>
      <w:tr w:rsidR="00643CC1" w:rsidRPr="00FD2055" w14:paraId="57EB8F74" w14:textId="77777777" w:rsidTr="00CC3AED">
        <w:trPr>
          <w:tblHeader/>
        </w:trPr>
        <w:tc>
          <w:tcPr>
            <w:tcW w:w="967" w:type="pct"/>
            <w:vMerge/>
            <w:tcMar>
              <w:top w:w="57" w:type="dxa"/>
              <w:bottom w:w="57" w:type="dxa"/>
            </w:tcMar>
          </w:tcPr>
          <w:p w14:paraId="24307C52" w14:textId="77777777" w:rsidR="00643CC1" w:rsidRPr="00FD2055" w:rsidRDefault="00643CC1" w:rsidP="00CC3AED">
            <w:pPr>
              <w:pStyle w:val="Standaard-Tabellen"/>
              <w:rPr>
                <w:rFonts w:eastAsia="Calibri"/>
              </w:rPr>
            </w:pPr>
          </w:p>
        </w:tc>
        <w:tc>
          <w:tcPr>
            <w:tcW w:w="2353" w:type="pct"/>
            <w:shd w:val="clear" w:color="auto" w:fill="auto"/>
            <w:tcMar>
              <w:top w:w="57" w:type="dxa"/>
              <w:bottom w:w="57" w:type="dxa"/>
            </w:tcMar>
          </w:tcPr>
          <w:p w14:paraId="731E12C7" w14:textId="77777777" w:rsidR="00643CC1" w:rsidRDefault="00643CC1" w:rsidP="00CC3AED">
            <w:pPr>
              <w:pStyle w:val="Standaard-Tabellen"/>
              <w:rPr>
                <w:rFonts w:eastAsia="Calibri"/>
              </w:rPr>
            </w:pPr>
            <w:r w:rsidRPr="00F34321">
              <w:rPr>
                <w:rFonts w:eastAsia="Calibri"/>
              </w:rPr>
              <w:t>Respiration rate [m</w:t>
            </w:r>
            <w:r w:rsidRPr="00F34321">
              <w:rPr>
                <w:rFonts w:eastAsia="Calibri"/>
                <w:vertAlign w:val="superscript"/>
              </w:rPr>
              <w:t>3</w:t>
            </w:r>
            <w:r w:rsidRPr="00F34321">
              <w:rPr>
                <w:rFonts w:eastAsia="Calibri"/>
              </w:rPr>
              <w:t>/air/hour]</w:t>
            </w:r>
            <w:r>
              <w:rPr>
                <w:rFonts w:eastAsia="Calibri"/>
                <w:vertAlign w:val="superscript"/>
              </w:rPr>
              <w:t>2</w:t>
            </w:r>
          </w:p>
        </w:tc>
        <w:tc>
          <w:tcPr>
            <w:tcW w:w="1680" w:type="pct"/>
            <w:shd w:val="clear" w:color="auto" w:fill="auto"/>
            <w:tcMar>
              <w:top w:w="57" w:type="dxa"/>
              <w:bottom w:w="57" w:type="dxa"/>
            </w:tcMar>
          </w:tcPr>
          <w:p w14:paraId="63C356F3" w14:textId="77777777" w:rsidR="00643CC1" w:rsidRPr="000908EA" w:rsidRDefault="00643CC1" w:rsidP="00CC3AED">
            <w:pPr>
              <w:pStyle w:val="Standaard-Tabellen"/>
              <w:rPr>
                <w:rFonts w:eastAsia="Calibri"/>
              </w:rPr>
            </w:pPr>
            <w:r>
              <w:rPr>
                <w:rFonts w:eastAsia="Calibri"/>
              </w:rPr>
              <w:t xml:space="preserve">1.26 </w:t>
            </w:r>
            <w:r w:rsidRPr="00F34321">
              <w:rPr>
                <w:rFonts w:eastAsia="Calibri"/>
              </w:rPr>
              <w:t>m³/h</w:t>
            </w:r>
          </w:p>
        </w:tc>
      </w:tr>
      <w:tr w:rsidR="00643CC1" w:rsidRPr="00FD2055" w14:paraId="678971DF" w14:textId="77777777" w:rsidTr="00CC3AED">
        <w:trPr>
          <w:tblHeader/>
        </w:trPr>
        <w:tc>
          <w:tcPr>
            <w:tcW w:w="967" w:type="pct"/>
            <w:vMerge w:val="restart"/>
            <w:tcMar>
              <w:top w:w="57" w:type="dxa"/>
              <w:bottom w:w="57" w:type="dxa"/>
            </w:tcMar>
          </w:tcPr>
          <w:p w14:paraId="02EB338E" w14:textId="77777777" w:rsidR="00643CC1" w:rsidRPr="00FD2055" w:rsidRDefault="00643CC1" w:rsidP="00CC3AED">
            <w:pPr>
              <w:pStyle w:val="Standaard-Tabellen"/>
              <w:rPr>
                <w:rFonts w:eastAsia="Calibri"/>
              </w:rPr>
            </w:pPr>
            <w:r w:rsidRPr="000B65BB">
              <w:rPr>
                <w:rFonts w:eastAsia="Calibri"/>
              </w:rPr>
              <w:t>Tier 1- Toddler</w:t>
            </w:r>
          </w:p>
        </w:tc>
        <w:tc>
          <w:tcPr>
            <w:tcW w:w="2353" w:type="pct"/>
            <w:shd w:val="clear" w:color="auto" w:fill="auto"/>
            <w:tcMar>
              <w:top w:w="57" w:type="dxa"/>
              <w:bottom w:w="57" w:type="dxa"/>
            </w:tcMar>
          </w:tcPr>
          <w:p w14:paraId="14257CF8" w14:textId="77777777" w:rsidR="00643CC1" w:rsidRPr="00FD2055" w:rsidRDefault="00643CC1" w:rsidP="00CC3AED">
            <w:pPr>
              <w:pStyle w:val="Standaard-Tabellen"/>
              <w:rPr>
                <w:rFonts w:eastAsia="Calibri"/>
              </w:rPr>
            </w:pPr>
            <w:r>
              <w:rPr>
                <w:rFonts w:eastAsia="Calibri"/>
              </w:rPr>
              <w:t>Product amount</w:t>
            </w:r>
            <w:r>
              <w:rPr>
                <w:rFonts w:eastAsia="Calibri"/>
                <w:vertAlign w:val="superscript"/>
              </w:rPr>
              <w:t>1</w:t>
            </w:r>
          </w:p>
        </w:tc>
        <w:tc>
          <w:tcPr>
            <w:tcW w:w="1680" w:type="pct"/>
            <w:shd w:val="clear" w:color="auto" w:fill="auto"/>
            <w:tcMar>
              <w:top w:w="57" w:type="dxa"/>
              <w:bottom w:w="57" w:type="dxa"/>
            </w:tcMar>
          </w:tcPr>
          <w:p w14:paraId="7D37FA47" w14:textId="77777777" w:rsidR="00643CC1" w:rsidRPr="00FD2055" w:rsidRDefault="00643CC1" w:rsidP="00CC3AED">
            <w:pPr>
              <w:pStyle w:val="Standaard-Tabellen"/>
              <w:rPr>
                <w:rFonts w:eastAsia="Calibri"/>
              </w:rPr>
            </w:pPr>
            <w:r>
              <w:rPr>
                <w:rFonts w:eastAsia="Calibri"/>
              </w:rPr>
              <w:t>2.64</w:t>
            </w:r>
            <w:r w:rsidRPr="000908EA">
              <w:rPr>
                <w:rFonts w:eastAsia="Calibri"/>
              </w:rPr>
              <w:t xml:space="preserve"> g</w:t>
            </w:r>
          </w:p>
        </w:tc>
      </w:tr>
      <w:tr w:rsidR="00643CC1" w:rsidRPr="00FD2055" w14:paraId="30D8F7AA" w14:textId="77777777" w:rsidTr="00CC3AED">
        <w:trPr>
          <w:tblHeader/>
        </w:trPr>
        <w:tc>
          <w:tcPr>
            <w:tcW w:w="967" w:type="pct"/>
            <w:vMerge/>
            <w:tcMar>
              <w:top w:w="57" w:type="dxa"/>
              <w:bottom w:w="57" w:type="dxa"/>
            </w:tcMar>
          </w:tcPr>
          <w:p w14:paraId="1EE2706C" w14:textId="77777777" w:rsidR="00643CC1" w:rsidRPr="00FD2055" w:rsidRDefault="00643CC1" w:rsidP="00CC3AED">
            <w:pPr>
              <w:pStyle w:val="Standaard-Tabellen"/>
              <w:rPr>
                <w:rFonts w:eastAsia="Calibri"/>
              </w:rPr>
            </w:pPr>
          </w:p>
        </w:tc>
        <w:tc>
          <w:tcPr>
            <w:tcW w:w="2353" w:type="pct"/>
            <w:shd w:val="clear" w:color="auto" w:fill="auto"/>
            <w:tcMar>
              <w:top w:w="57" w:type="dxa"/>
              <w:bottom w:w="57" w:type="dxa"/>
            </w:tcMar>
          </w:tcPr>
          <w:p w14:paraId="6FFFB519" w14:textId="77777777" w:rsidR="00643CC1" w:rsidRPr="00F34321" w:rsidRDefault="00643CC1" w:rsidP="00CC3AED">
            <w:pPr>
              <w:pStyle w:val="Standaard-Tabellen"/>
              <w:rPr>
                <w:rFonts w:eastAsia="Calibri"/>
              </w:rPr>
            </w:pPr>
            <w:r w:rsidRPr="00F34321">
              <w:rPr>
                <w:rFonts w:eastAsia="Calibri"/>
              </w:rPr>
              <w:t>Body weight</w:t>
            </w:r>
            <w:r>
              <w:rPr>
                <w:rFonts w:eastAsia="Calibri"/>
                <w:vertAlign w:val="superscript"/>
              </w:rPr>
              <w:t>2</w:t>
            </w:r>
          </w:p>
        </w:tc>
        <w:tc>
          <w:tcPr>
            <w:tcW w:w="1680" w:type="pct"/>
            <w:shd w:val="clear" w:color="auto" w:fill="auto"/>
            <w:tcMar>
              <w:top w:w="57" w:type="dxa"/>
              <w:bottom w:w="57" w:type="dxa"/>
            </w:tcMar>
          </w:tcPr>
          <w:p w14:paraId="3FD3866E" w14:textId="77777777" w:rsidR="00643CC1" w:rsidRDefault="00643CC1" w:rsidP="00CC3AED">
            <w:pPr>
              <w:pStyle w:val="Standaard-Tabellen"/>
              <w:rPr>
                <w:rFonts w:eastAsia="Calibri"/>
              </w:rPr>
            </w:pPr>
            <w:r w:rsidRPr="00F34321">
              <w:rPr>
                <w:rFonts w:eastAsia="Calibri"/>
              </w:rPr>
              <w:t>10 kg</w:t>
            </w:r>
          </w:p>
        </w:tc>
      </w:tr>
      <w:tr w:rsidR="00643CC1" w:rsidRPr="00FD2055" w14:paraId="385F9A6F" w14:textId="77777777" w:rsidTr="00CC3AED">
        <w:trPr>
          <w:tblHeader/>
        </w:trPr>
        <w:tc>
          <w:tcPr>
            <w:tcW w:w="967" w:type="pct"/>
            <w:vMerge/>
            <w:tcMar>
              <w:top w:w="57" w:type="dxa"/>
              <w:bottom w:w="57" w:type="dxa"/>
            </w:tcMar>
          </w:tcPr>
          <w:p w14:paraId="0EA1F619" w14:textId="77777777" w:rsidR="00643CC1" w:rsidRPr="00FD2055" w:rsidRDefault="00643CC1" w:rsidP="00CC3AED">
            <w:pPr>
              <w:pStyle w:val="Standaard-Tabellen"/>
              <w:rPr>
                <w:rFonts w:eastAsia="Calibri"/>
              </w:rPr>
            </w:pPr>
          </w:p>
        </w:tc>
        <w:tc>
          <w:tcPr>
            <w:tcW w:w="2353" w:type="pct"/>
            <w:shd w:val="clear" w:color="auto" w:fill="auto"/>
            <w:tcMar>
              <w:top w:w="57" w:type="dxa"/>
              <w:bottom w:w="57" w:type="dxa"/>
            </w:tcMar>
          </w:tcPr>
          <w:p w14:paraId="766ADF8A" w14:textId="77777777" w:rsidR="00643CC1" w:rsidRPr="00FD2055" w:rsidRDefault="00643CC1" w:rsidP="00CC3AED">
            <w:pPr>
              <w:pStyle w:val="Standaard-Tabellen"/>
              <w:rPr>
                <w:rFonts w:eastAsia="Calibri"/>
              </w:rPr>
            </w:pPr>
            <w:r w:rsidRPr="00F34321">
              <w:rPr>
                <w:rFonts w:eastAsia="Calibri"/>
              </w:rPr>
              <w:t>Respiration rate [m</w:t>
            </w:r>
            <w:r w:rsidRPr="00F34321">
              <w:rPr>
                <w:rFonts w:eastAsia="Calibri"/>
                <w:vertAlign w:val="superscript"/>
              </w:rPr>
              <w:t>3</w:t>
            </w:r>
            <w:r w:rsidRPr="00F34321">
              <w:rPr>
                <w:rFonts w:eastAsia="Calibri"/>
              </w:rPr>
              <w:t>/air/hour]</w:t>
            </w:r>
            <w:r>
              <w:rPr>
                <w:rFonts w:eastAsia="Calibri"/>
                <w:vertAlign w:val="superscript"/>
              </w:rPr>
              <w:t>2</w:t>
            </w:r>
          </w:p>
        </w:tc>
        <w:tc>
          <w:tcPr>
            <w:tcW w:w="1680" w:type="pct"/>
            <w:shd w:val="clear" w:color="auto" w:fill="auto"/>
            <w:tcMar>
              <w:top w:w="57" w:type="dxa"/>
              <w:bottom w:w="57" w:type="dxa"/>
            </w:tcMar>
          </w:tcPr>
          <w:p w14:paraId="7D0EB5C1" w14:textId="77777777" w:rsidR="00643CC1" w:rsidRPr="00FD2055" w:rsidRDefault="00643CC1" w:rsidP="00CC3AED">
            <w:pPr>
              <w:pStyle w:val="Standaard-Tabellen"/>
              <w:rPr>
                <w:rFonts w:eastAsia="Calibri"/>
              </w:rPr>
            </w:pPr>
            <w:r>
              <w:rPr>
                <w:rFonts w:eastAsia="Calibri"/>
              </w:rPr>
              <w:t>1.</w:t>
            </w:r>
            <w:r w:rsidRPr="00F34321">
              <w:rPr>
                <w:rFonts w:eastAsia="Calibri"/>
              </w:rPr>
              <w:t>26 m³/h</w:t>
            </w:r>
          </w:p>
        </w:tc>
      </w:tr>
      <w:tr w:rsidR="00643CC1" w:rsidRPr="00FD2055" w14:paraId="0CC4B40C" w14:textId="77777777" w:rsidTr="00CC3AED">
        <w:trPr>
          <w:tblHeader/>
        </w:trPr>
        <w:tc>
          <w:tcPr>
            <w:tcW w:w="967" w:type="pct"/>
            <w:vMerge w:val="restart"/>
            <w:tcMar>
              <w:top w:w="57" w:type="dxa"/>
              <w:bottom w:w="57" w:type="dxa"/>
            </w:tcMar>
          </w:tcPr>
          <w:p w14:paraId="46B46EC3" w14:textId="77777777" w:rsidR="00643CC1" w:rsidRPr="00FD2055" w:rsidRDefault="00643CC1" w:rsidP="00CC3AED">
            <w:pPr>
              <w:pStyle w:val="Standaard-Tabellen"/>
              <w:rPr>
                <w:rFonts w:eastAsia="Calibri"/>
              </w:rPr>
            </w:pPr>
            <w:r w:rsidRPr="000B65BB">
              <w:rPr>
                <w:rFonts w:eastAsia="Calibri"/>
              </w:rPr>
              <w:t>Tier 1- Infant</w:t>
            </w:r>
          </w:p>
        </w:tc>
        <w:tc>
          <w:tcPr>
            <w:tcW w:w="2353" w:type="pct"/>
            <w:shd w:val="clear" w:color="auto" w:fill="auto"/>
            <w:tcMar>
              <w:top w:w="57" w:type="dxa"/>
              <w:bottom w:w="57" w:type="dxa"/>
            </w:tcMar>
          </w:tcPr>
          <w:p w14:paraId="130A11E6" w14:textId="77777777" w:rsidR="00643CC1" w:rsidRPr="00FD2055" w:rsidRDefault="00643CC1" w:rsidP="00CC3AED">
            <w:pPr>
              <w:pStyle w:val="Standaard-Tabellen"/>
              <w:rPr>
                <w:rFonts w:eastAsia="Calibri"/>
              </w:rPr>
            </w:pPr>
            <w:r>
              <w:rPr>
                <w:rFonts w:eastAsia="Calibri"/>
              </w:rPr>
              <w:t>Product amount</w:t>
            </w:r>
            <w:r>
              <w:rPr>
                <w:rFonts w:eastAsia="Calibri"/>
                <w:vertAlign w:val="superscript"/>
              </w:rPr>
              <w:t>1</w:t>
            </w:r>
          </w:p>
        </w:tc>
        <w:tc>
          <w:tcPr>
            <w:tcW w:w="1680" w:type="pct"/>
            <w:shd w:val="clear" w:color="auto" w:fill="auto"/>
            <w:tcMar>
              <w:top w:w="57" w:type="dxa"/>
              <w:bottom w:w="57" w:type="dxa"/>
            </w:tcMar>
          </w:tcPr>
          <w:p w14:paraId="045D5CFB" w14:textId="77777777" w:rsidR="00643CC1" w:rsidRPr="00FD2055" w:rsidRDefault="00643CC1" w:rsidP="00CC3AED">
            <w:pPr>
              <w:pStyle w:val="Standaard-Tabellen"/>
              <w:rPr>
                <w:rFonts w:eastAsia="Calibri"/>
              </w:rPr>
            </w:pPr>
            <w:r>
              <w:rPr>
                <w:rFonts w:eastAsia="Calibri"/>
              </w:rPr>
              <w:t>2.255</w:t>
            </w:r>
            <w:r w:rsidRPr="000908EA">
              <w:rPr>
                <w:rFonts w:eastAsia="Calibri"/>
              </w:rPr>
              <w:t xml:space="preserve"> g</w:t>
            </w:r>
          </w:p>
        </w:tc>
      </w:tr>
      <w:tr w:rsidR="00643CC1" w:rsidRPr="00FD2055" w14:paraId="7C3F53F9" w14:textId="77777777" w:rsidTr="00CC3AED">
        <w:trPr>
          <w:tblHeader/>
        </w:trPr>
        <w:tc>
          <w:tcPr>
            <w:tcW w:w="967" w:type="pct"/>
            <w:vMerge/>
            <w:tcMar>
              <w:top w:w="57" w:type="dxa"/>
              <w:bottom w:w="57" w:type="dxa"/>
            </w:tcMar>
          </w:tcPr>
          <w:p w14:paraId="713BDFF0" w14:textId="77777777" w:rsidR="00643CC1" w:rsidRPr="00FD2055" w:rsidRDefault="00643CC1" w:rsidP="00CC3AED">
            <w:pPr>
              <w:pStyle w:val="Standaard-Tabellen"/>
              <w:rPr>
                <w:rFonts w:eastAsia="Calibri"/>
              </w:rPr>
            </w:pPr>
          </w:p>
        </w:tc>
        <w:tc>
          <w:tcPr>
            <w:tcW w:w="2353" w:type="pct"/>
            <w:shd w:val="clear" w:color="auto" w:fill="auto"/>
            <w:tcMar>
              <w:top w:w="57" w:type="dxa"/>
              <w:bottom w:w="57" w:type="dxa"/>
            </w:tcMar>
          </w:tcPr>
          <w:p w14:paraId="210AE124" w14:textId="77777777" w:rsidR="00643CC1" w:rsidRPr="00F34321" w:rsidRDefault="00643CC1" w:rsidP="00CC3AED">
            <w:pPr>
              <w:pStyle w:val="Standaard-Tabellen"/>
              <w:rPr>
                <w:rFonts w:eastAsia="Calibri"/>
              </w:rPr>
            </w:pPr>
            <w:r w:rsidRPr="00F34321">
              <w:rPr>
                <w:rFonts w:eastAsia="Calibri"/>
              </w:rPr>
              <w:t>Body weight</w:t>
            </w:r>
            <w:r>
              <w:rPr>
                <w:rFonts w:eastAsia="Calibri"/>
                <w:vertAlign w:val="superscript"/>
              </w:rPr>
              <w:t>2</w:t>
            </w:r>
          </w:p>
        </w:tc>
        <w:tc>
          <w:tcPr>
            <w:tcW w:w="1680" w:type="pct"/>
            <w:shd w:val="clear" w:color="auto" w:fill="auto"/>
            <w:tcMar>
              <w:top w:w="57" w:type="dxa"/>
              <w:bottom w:w="57" w:type="dxa"/>
            </w:tcMar>
          </w:tcPr>
          <w:p w14:paraId="396BEBBC" w14:textId="77777777" w:rsidR="00643CC1" w:rsidRPr="00F34321" w:rsidRDefault="00643CC1" w:rsidP="00CC3AED">
            <w:pPr>
              <w:pStyle w:val="Standaard-Tabellen"/>
              <w:rPr>
                <w:rFonts w:eastAsia="Calibri"/>
              </w:rPr>
            </w:pPr>
            <w:r w:rsidRPr="00F34321">
              <w:rPr>
                <w:rFonts w:eastAsia="Calibri"/>
              </w:rPr>
              <w:t>8 kg</w:t>
            </w:r>
          </w:p>
        </w:tc>
      </w:tr>
      <w:tr w:rsidR="00643CC1" w:rsidRPr="00FD2055" w14:paraId="100CB7AA" w14:textId="77777777" w:rsidTr="00CC3AED">
        <w:trPr>
          <w:tblHeader/>
        </w:trPr>
        <w:tc>
          <w:tcPr>
            <w:tcW w:w="967" w:type="pct"/>
            <w:vMerge/>
            <w:tcMar>
              <w:top w:w="57" w:type="dxa"/>
              <w:bottom w:w="57" w:type="dxa"/>
            </w:tcMar>
          </w:tcPr>
          <w:p w14:paraId="24857F01" w14:textId="77777777" w:rsidR="00643CC1" w:rsidRPr="00FD2055" w:rsidRDefault="00643CC1" w:rsidP="00CC3AED">
            <w:pPr>
              <w:pStyle w:val="Standaard-Tabellen"/>
              <w:rPr>
                <w:rFonts w:eastAsia="Calibri"/>
              </w:rPr>
            </w:pPr>
          </w:p>
        </w:tc>
        <w:tc>
          <w:tcPr>
            <w:tcW w:w="2353" w:type="pct"/>
            <w:shd w:val="clear" w:color="auto" w:fill="auto"/>
            <w:tcMar>
              <w:top w:w="57" w:type="dxa"/>
              <w:bottom w:w="57" w:type="dxa"/>
            </w:tcMar>
          </w:tcPr>
          <w:p w14:paraId="30661378" w14:textId="77777777" w:rsidR="00643CC1" w:rsidRPr="00FD2055" w:rsidRDefault="00643CC1" w:rsidP="00CC3AED">
            <w:pPr>
              <w:pStyle w:val="Standaard-Tabellen"/>
              <w:rPr>
                <w:rFonts w:eastAsia="Calibri"/>
              </w:rPr>
            </w:pPr>
            <w:r w:rsidRPr="00F34321">
              <w:rPr>
                <w:rFonts w:eastAsia="Calibri"/>
              </w:rPr>
              <w:t>Respiration rate [m</w:t>
            </w:r>
            <w:r w:rsidRPr="00F34321">
              <w:rPr>
                <w:rFonts w:eastAsia="Calibri"/>
                <w:vertAlign w:val="superscript"/>
              </w:rPr>
              <w:t>3</w:t>
            </w:r>
            <w:r w:rsidRPr="00F34321">
              <w:rPr>
                <w:rFonts w:eastAsia="Calibri"/>
              </w:rPr>
              <w:t>/air/hour]</w:t>
            </w:r>
            <w:r>
              <w:rPr>
                <w:rFonts w:eastAsia="Calibri"/>
                <w:vertAlign w:val="superscript"/>
              </w:rPr>
              <w:t>2</w:t>
            </w:r>
          </w:p>
        </w:tc>
        <w:tc>
          <w:tcPr>
            <w:tcW w:w="1680" w:type="pct"/>
            <w:shd w:val="clear" w:color="auto" w:fill="auto"/>
            <w:tcMar>
              <w:top w:w="57" w:type="dxa"/>
              <w:bottom w:w="57" w:type="dxa"/>
            </w:tcMar>
          </w:tcPr>
          <w:p w14:paraId="5705AEB8" w14:textId="77777777" w:rsidR="00643CC1" w:rsidRPr="00FD2055" w:rsidRDefault="00643CC1" w:rsidP="00CC3AED">
            <w:pPr>
              <w:pStyle w:val="Standaard-Tabellen"/>
              <w:rPr>
                <w:rFonts w:eastAsia="Calibri"/>
              </w:rPr>
            </w:pPr>
            <w:r>
              <w:rPr>
                <w:rFonts w:eastAsia="Calibri"/>
              </w:rPr>
              <w:t>0.</w:t>
            </w:r>
            <w:r w:rsidRPr="00F34321">
              <w:rPr>
                <w:rFonts w:eastAsia="Calibri"/>
              </w:rPr>
              <w:t>84 m³/h</w:t>
            </w:r>
          </w:p>
        </w:tc>
      </w:tr>
    </w:tbl>
    <w:p w14:paraId="52EEC109" w14:textId="77777777" w:rsidR="00643CC1" w:rsidRPr="000440B7" w:rsidRDefault="00643CC1" w:rsidP="00643CC1">
      <w:pPr>
        <w:spacing w:before="0" w:after="0"/>
        <w:ind w:left="170" w:hanging="170"/>
        <w:rPr>
          <w:rFonts w:eastAsia="Calibri"/>
          <w:position w:val="4"/>
          <w:sz w:val="16"/>
          <w:szCs w:val="16"/>
        </w:rPr>
      </w:pPr>
      <w:r w:rsidRPr="000440B7">
        <w:rPr>
          <w:rFonts w:eastAsia="Calibri"/>
          <w:position w:val="8"/>
          <w:sz w:val="16"/>
          <w:szCs w:val="16"/>
          <w:vertAlign w:val="superscript"/>
        </w:rPr>
        <w:lastRenderedPageBreak/>
        <w:t>1</w:t>
      </w:r>
      <w:r w:rsidRPr="000440B7">
        <w:rPr>
          <w:rFonts w:eastAsia="Calibri"/>
          <w:position w:val="8"/>
          <w:sz w:val="16"/>
          <w:szCs w:val="16"/>
        </w:rPr>
        <w:t xml:space="preserve"> </w:t>
      </w:r>
      <w:r w:rsidRPr="000440B7">
        <w:rPr>
          <w:rFonts w:eastAsia="Calibri"/>
          <w:position w:val="4"/>
          <w:sz w:val="16"/>
          <w:szCs w:val="16"/>
        </w:rPr>
        <w:t xml:space="preserve">According the primary exposure, only </w:t>
      </w:r>
      <w:r>
        <w:rPr>
          <w:rFonts w:eastAsia="Calibri"/>
          <w:position w:val="4"/>
          <w:sz w:val="16"/>
          <w:szCs w:val="16"/>
        </w:rPr>
        <w:t>two</w:t>
      </w:r>
      <w:r w:rsidRPr="000440B7">
        <w:rPr>
          <w:rFonts w:eastAsia="Calibri"/>
          <w:position w:val="4"/>
          <w:sz w:val="16"/>
          <w:szCs w:val="16"/>
        </w:rPr>
        <w:t xml:space="preserve"> application</w:t>
      </w:r>
      <w:r>
        <w:rPr>
          <w:rFonts w:eastAsia="Calibri"/>
          <w:position w:val="4"/>
          <w:sz w:val="16"/>
          <w:szCs w:val="16"/>
        </w:rPr>
        <w:t>s</w:t>
      </w:r>
      <w:r w:rsidRPr="000440B7">
        <w:rPr>
          <w:rFonts w:eastAsia="Calibri"/>
          <w:position w:val="4"/>
          <w:sz w:val="16"/>
          <w:szCs w:val="16"/>
        </w:rPr>
        <w:t xml:space="preserve"> per day can be authorized</w:t>
      </w:r>
      <w:r>
        <w:rPr>
          <w:rFonts w:eastAsia="Calibri"/>
          <w:position w:val="4"/>
          <w:sz w:val="16"/>
          <w:szCs w:val="16"/>
        </w:rPr>
        <w:t xml:space="preserve"> for adults and one application per day for the other age categories</w:t>
      </w:r>
      <w:r w:rsidRPr="000440B7">
        <w:rPr>
          <w:rFonts w:eastAsia="Calibri"/>
          <w:position w:val="4"/>
          <w:sz w:val="16"/>
          <w:szCs w:val="16"/>
        </w:rPr>
        <w:t xml:space="preserve">. Therefore, the product amount corresponds to </w:t>
      </w:r>
      <w:r>
        <w:rPr>
          <w:rFonts w:eastAsia="Calibri"/>
          <w:position w:val="4"/>
          <w:sz w:val="16"/>
          <w:szCs w:val="16"/>
        </w:rPr>
        <w:t>2</w:t>
      </w:r>
      <w:r w:rsidRPr="000440B7">
        <w:rPr>
          <w:rFonts w:eastAsia="Calibri"/>
          <w:position w:val="4"/>
          <w:sz w:val="16"/>
          <w:szCs w:val="16"/>
        </w:rPr>
        <w:t xml:space="preserve"> application/day</w:t>
      </w:r>
      <w:r>
        <w:rPr>
          <w:rFonts w:eastAsia="Calibri"/>
          <w:position w:val="4"/>
          <w:sz w:val="16"/>
          <w:szCs w:val="16"/>
        </w:rPr>
        <w:t xml:space="preserve"> for adults and 1 application/day for child, toddler and infant</w:t>
      </w:r>
      <w:r w:rsidRPr="000440B7">
        <w:rPr>
          <w:rFonts w:eastAsia="Calibri"/>
          <w:position w:val="4"/>
          <w:sz w:val="16"/>
          <w:szCs w:val="16"/>
        </w:rPr>
        <w:t xml:space="preserve">. </w:t>
      </w:r>
    </w:p>
    <w:p w14:paraId="2C704CAA" w14:textId="77777777" w:rsidR="00643CC1" w:rsidRPr="000440B7" w:rsidRDefault="00643CC1" w:rsidP="00643CC1">
      <w:pPr>
        <w:spacing w:before="0" w:after="0"/>
        <w:ind w:left="170" w:hanging="170"/>
        <w:rPr>
          <w:rFonts w:eastAsia="Calibri"/>
          <w:position w:val="4"/>
          <w:sz w:val="16"/>
          <w:szCs w:val="16"/>
        </w:rPr>
      </w:pPr>
      <w:r w:rsidRPr="000440B7">
        <w:rPr>
          <w:rFonts w:eastAsia="Calibri"/>
          <w:position w:val="8"/>
          <w:sz w:val="16"/>
          <w:szCs w:val="16"/>
          <w:vertAlign w:val="superscript"/>
        </w:rPr>
        <w:t>2</w:t>
      </w:r>
      <w:r w:rsidRPr="000440B7">
        <w:rPr>
          <w:rFonts w:eastAsia="Calibri"/>
          <w:position w:val="8"/>
          <w:sz w:val="16"/>
          <w:szCs w:val="16"/>
        </w:rPr>
        <w:t xml:space="preserve"> General information, see justification above</w:t>
      </w:r>
    </w:p>
    <w:p w14:paraId="6B39D9CA" w14:textId="77777777" w:rsidR="00643CC1" w:rsidRDefault="00643CC1" w:rsidP="00643CC1">
      <w:pPr>
        <w:rPr>
          <w:rFonts w:eastAsia="Calibri"/>
        </w:rPr>
      </w:pPr>
    </w:p>
    <w:p w14:paraId="256517E4" w14:textId="77777777" w:rsidR="00643CC1" w:rsidRDefault="00643CC1" w:rsidP="00643CC1">
      <w:pPr>
        <w:rPr>
          <w:rFonts w:eastAsia="Calibri"/>
        </w:rPr>
      </w:pPr>
    </w:p>
    <w:p w14:paraId="325242E5" w14:textId="77777777" w:rsidR="00643CC1" w:rsidRPr="00C20709" w:rsidRDefault="00643CC1" w:rsidP="00643CC1">
      <w:pPr>
        <w:pStyle w:val="Titre8"/>
        <w:rPr>
          <w:lang w:val="en-US"/>
        </w:rPr>
      </w:pPr>
      <w:r w:rsidRPr="00C20709">
        <w:rPr>
          <w:lang w:val="en-US"/>
        </w:rPr>
        <w:t xml:space="preserve">Calculations for scenario </w:t>
      </w:r>
      <w:r>
        <w:rPr>
          <w:lang w:val="en-US"/>
        </w:rPr>
        <w:t>3</w:t>
      </w: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24"/>
        <w:gridCol w:w="998"/>
        <w:gridCol w:w="5973"/>
      </w:tblGrid>
      <w:tr w:rsidR="00643CC1" w:rsidRPr="00C20709" w14:paraId="7719131E" w14:textId="77777777" w:rsidTr="00CC3AED">
        <w:trPr>
          <w:cantSplit/>
          <w:trHeight w:val="647"/>
          <w:tblHeader/>
        </w:trPr>
        <w:tc>
          <w:tcPr>
            <w:tcW w:w="5000" w:type="pct"/>
            <w:gridSpan w:val="3"/>
            <w:shd w:val="clear" w:color="auto" w:fill="FFFFCC"/>
          </w:tcPr>
          <w:p w14:paraId="18DD2675" w14:textId="77777777" w:rsidR="00643CC1" w:rsidRPr="00C20709" w:rsidRDefault="00643CC1" w:rsidP="00CC3AED">
            <w:pPr>
              <w:pStyle w:val="Standaard-Tabellen"/>
              <w:jc w:val="center"/>
              <w:rPr>
                <w:rFonts w:eastAsia="Calibri"/>
                <w:b/>
              </w:rPr>
            </w:pPr>
            <w:bookmarkStart w:id="174" w:name="_Hlk11775041"/>
            <w:r w:rsidRPr="00F34321">
              <w:rPr>
                <w:rFonts w:eastAsia="Calibri"/>
                <w:b/>
              </w:rPr>
              <w:t>Summary table: estimated exposure for inhalation of volatilised residues after application (</w:t>
            </w:r>
            <w:proofErr w:type="spellStart"/>
            <w:r w:rsidRPr="00F34321">
              <w:rPr>
                <w:rFonts w:eastAsia="Calibri"/>
                <w:b/>
              </w:rPr>
              <w:t>inhalative</w:t>
            </w:r>
            <w:proofErr w:type="spellEnd"/>
            <w:r w:rsidRPr="00F34321">
              <w:rPr>
                <w:rFonts w:eastAsia="Calibri"/>
                <w:b/>
              </w:rPr>
              <w:t xml:space="preserve"> exposure)</w:t>
            </w:r>
          </w:p>
        </w:tc>
      </w:tr>
      <w:tr w:rsidR="00643CC1" w:rsidRPr="00C20709" w14:paraId="073468F7" w14:textId="77777777" w:rsidTr="00CC3AED">
        <w:trPr>
          <w:cantSplit/>
          <w:trHeight w:val="647"/>
          <w:tblHeader/>
        </w:trPr>
        <w:tc>
          <w:tcPr>
            <w:tcW w:w="1250" w:type="pct"/>
            <w:shd w:val="clear" w:color="auto" w:fill="BFBFBF" w:themeFill="background1" w:themeFillShade="BF"/>
          </w:tcPr>
          <w:p w14:paraId="17FF6415" w14:textId="77777777" w:rsidR="00643CC1" w:rsidRPr="00C20709" w:rsidRDefault="00643CC1" w:rsidP="00CC3AED">
            <w:pPr>
              <w:pStyle w:val="Standaard-Tabellen"/>
              <w:rPr>
                <w:rFonts w:eastAsia="Calibri"/>
                <w:b/>
              </w:rPr>
            </w:pPr>
            <w:r w:rsidRPr="00C20709">
              <w:rPr>
                <w:rFonts w:eastAsia="Calibri"/>
                <w:b/>
              </w:rPr>
              <w:t>Exposure scenario</w:t>
            </w:r>
          </w:p>
        </w:tc>
        <w:tc>
          <w:tcPr>
            <w:tcW w:w="537" w:type="pct"/>
            <w:shd w:val="clear" w:color="auto" w:fill="BFBFBF" w:themeFill="background1" w:themeFillShade="BF"/>
          </w:tcPr>
          <w:p w14:paraId="3BAF289C" w14:textId="77777777" w:rsidR="00643CC1" w:rsidRDefault="00643CC1" w:rsidP="00CC3AED">
            <w:pPr>
              <w:pStyle w:val="Standaard-Tabellen"/>
              <w:rPr>
                <w:rFonts w:eastAsia="Calibri"/>
                <w:b/>
              </w:rPr>
            </w:pPr>
            <w:r w:rsidRPr="00C20709">
              <w:rPr>
                <w:rFonts w:eastAsia="Calibri"/>
                <w:b/>
              </w:rPr>
              <w:t>Tier</w:t>
            </w:r>
            <w:r>
              <w:rPr>
                <w:rFonts w:eastAsia="Calibri"/>
                <w:b/>
              </w:rPr>
              <w:t xml:space="preserve"> </w:t>
            </w:r>
            <w:r w:rsidRPr="00C20709">
              <w:rPr>
                <w:rFonts w:eastAsia="Calibri"/>
                <w:b/>
              </w:rPr>
              <w:t>/</w:t>
            </w:r>
          </w:p>
          <w:p w14:paraId="49B5BE3D" w14:textId="77777777" w:rsidR="00643CC1" w:rsidRPr="00C20709" w:rsidRDefault="00643CC1" w:rsidP="00CC3AED">
            <w:pPr>
              <w:pStyle w:val="Standaard-Tabellen"/>
              <w:rPr>
                <w:rFonts w:eastAsia="Calibri"/>
                <w:b/>
              </w:rPr>
            </w:pPr>
            <w:r w:rsidRPr="00C20709">
              <w:rPr>
                <w:rFonts w:eastAsia="Calibri"/>
                <w:b/>
              </w:rPr>
              <w:t>PPE</w:t>
            </w:r>
          </w:p>
        </w:tc>
        <w:tc>
          <w:tcPr>
            <w:tcW w:w="3213" w:type="pct"/>
            <w:shd w:val="clear" w:color="auto" w:fill="BFBFBF" w:themeFill="background1" w:themeFillShade="BF"/>
          </w:tcPr>
          <w:p w14:paraId="5C5014A2" w14:textId="77777777" w:rsidR="00643CC1" w:rsidRPr="00C20709" w:rsidRDefault="00643CC1" w:rsidP="00CC3AED">
            <w:pPr>
              <w:pStyle w:val="Standaard-Tabellen"/>
              <w:rPr>
                <w:rFonts w:eastAsia="Calibri"/>
                <w:b/>
              </w:rPr>
            </w:pPr>
            <w:r w:rsidRPr="00C20709">
              <w:rPr>
                <w:rFonts w:eastAsia="Calibri"/>
                <w:b/>
              </w:rPr>
              <w:t>Estimated inhalation uptake</w:t>
            </w:r>
            <w:r>
              <w:rPr>
                <w:rFonts w:eastAsia="Calibri"/>
                <w:b/>
              </w:rPr>
              <w:t xml:space="preserve"> of volatilised </w:t>
            </w:r>
            <w:r w:rsidRPr="00B42BEF">
              <w:rPr>
                <w:rFonts w:eastAsia="Calibri"/>
                <w:b/>
              </w:rPr>
              <w:t>residues after application</w:t>
            </w:r>
          </w:p>
        </w:tc>
      </w:tr>
      <w:tr w:rsidR="00643CC1" w:rsidRPr="00FD2055" w14:paraId="0499DAD4" w14:textId="77777777" w:rsidTr="00CC3AED">
        <w:trPr>
          <w:cantSplit/>
          <w:trHeight w:val="632"/>
          <w:tblHeader/>
        </w:trPr>
        <w:tc>
          <w:tcPr>
            <w:tcW w:w="1250" w:type="pct"/>
            <w:shd w:val="clear" w:color="auto" w:fill="auto"/>
            <w:vAlign w:val="center"/>
          </w:tcPr>
          <w:p w14:paraId="00AB849B" w14:textId="77777777" w:rsidR="00643CC1" w:rsidRPr="00FD2055" w:rsidRDefault="00643CC1" w:rsidP="00CC3AED">
            <w:pPr>
              <w:pStyle w:val="Standaard-Tabellen"/>
              <w:rPr>
                <w:rFonts w:eastAsia="Calibri"/>
              </w:rPr>
            </w:pPr>
            <w:r w:rsidRPr="00CF46C5">
              <w:rPr>
                <w:rFonts w:eastAsia="Calibri"/>
              </w:rPr>
              <w:t xml:space="preserve">Scenario </w:t>
            </w:r>
            <w:r>
              <w:rPr>
                <w:rFonts w:eastAsia="Calibri"/>
              </w:rPr>
              <w:t>3</w:t>
            </w:r>
            <w:r w:rsidRPr="00CF46C5">
              <w:rPr>
                <w:rFonts w:eastAsia="Calibri"/>
              </w:rPr>
              <w:t xml:space="preserve"> – ADULT</w:t>
            </w:r>
          </w:p>
        </w:tc>
        <w:tc>
          <w:tcPr>
            <w:tcW w:w="537" w:type="pct"/>
            <w:vAlign w:val="center"/>
          </w:tcPr>
          <w:p w14:paraId="4F0ADC9D" w14:textId="77777777" w:rsidR="00643CC1" w:rsidRPr="00412894" w:rsidRDefault="00643CC1" w:rsidP="00CC3AED">
            <w:pPr>
              <w:pStyle w:val="Standaard-Tabellen"/>
              <w:rPr>
                <w:rFonts w:eastAsia="Calibri"/>
              </w:rPr>
            </w:pPr>
            <w:r w:rsidRPr="00412894">
              <w:rPr>
                <w:rFonts w:eastAsia="Calibri"/>
              </w:rPr>
              <w:t>Tier 1 /</w:t>
            </w:r>
          </w:p>
          <w:p w14:paraId="6EBE569D" w14:textId="77777777" w:rsidR="00643CC1" w:rsidRPr="00FD2055" w:rsidRDefault="00643CC1" w:rsidP="00CC3AED">
            <w:pPr>
              <w:pStyle w:val="Standaard-Tabellen"/>
              <w:rPr>
                <w:rFonts w:eastAsia="Calibri"/>
              </w:rPr>
            </w:pPr>
            <w:r w:rsidRPr="00412894">
              <w:rPr>
                <w:rFonts w:eastAsia="Calibri"/>
              </w:rPr>
              <w:t>no PPE</w:t>
            </w:r>
          </w:p>
        </w:tc>
        <w:tc>
          <w:tcPr>
            <w:tcW w:w="3213" w:type="pct"/>
            <w:vAlign w:val="center"/>
          </w:tcPr>
          <w:p w14:paraId="170DB9B4" w14:textId="77777777" w:rsidR="00643CC1" w:rsidRPr="00B30D9D" w:rsidRDefault="00643CC1" w:rsidP="00CC3AED">
            <w:pPr>
              <w:pStyle w:val="Standaard-Tabellen"/>
              <w:rPr>
                <w:rFonts w:eastAsia="Calibri"/>
              </w:rPr>
            </w:pPr>
            <w:r w:rsidRPr="00892C32">
              <w:rPr>
                <w:rFonts w:eastAsia="Calibri"/>
              </w:rPr>
              <w:t>3.</w:t>
            </w:r>
            <w:r>
              <w:rPr>
                <w:rFonts w:eastAsia="Calibri"/>
              </w:rPr>
              <w:t>17</w:t>
            </w:r>
            <w:r w:rsidRPr="00B30D9D">
              <w:rPr>
                <w:rFonts w:eastAsia="Calibri"/>
              </w:rPr>
              <w:t xml:space="preserve"> mg/kg </w:t>
            </w:r>
            <w:proofErr w:type="spellStart"/>
            <w:r w:rsidRPr="00B30D9D">
              <w:rPr>
                <w:rFonts w:eastAsia="Calibri"/>
              </w:rPr>
              <w:t>bw</w:t>
            </w:r>
            <w:proofErr w:type="spellEnd"/>
            <w:r w:rsidRPr="00B30D9D">
              <w:rPr>
                <w:rFonts w:eastAsia="Calibri"/>
              </w:rPr>
              <w:t>/day</w:t>
            </w:r>
          </w:p>
        </w:tc>
      </w:tr>
      <w:tr w:rsidR="00643CC1" w:rsidRPr="00FD2055" w14:paraId="6F0E4610" w14:textId="77777777" w:rsidTr="00CC3AED">
        <w:trPr>
          <w:cantSplit/>
          <w:trHeight w:val="426"/>
          <w:tblHeader/>
        </w:trPr>
        <w:tc>
          <w:tcPr>
            <w:tcW w:w="1250" w:type="pct"/>
            <w:shd w:val="clear" w:color="auto" w:fill="auto"/>
            <w:vAlign w:val="center"/>
          </w:tcPr>
          <w:p w14:paraId="1D6C9F7B" w14:textId="77777777" w:rsidR="00643CC1" w:rsidRPr="00FD2055" w:rsidRDefault="00643CC1" w:rsidP="00CC3AED">
            <w:pPr>
              <w:pStyle w:val="Standaard-Tabellen"/>
              <w:rPr>
                <w:rFonts w:eastAsia="Calibri"/>
              </w:rPr>
            </w:pPr>
            <w:r>
              <w:rPr>
                <w:rFonts w:eastAsia="Calibri"/>
              </w:rPr>
              <w:t>Scenario 3</w:t>
            </w:r>
            <w:r w:rsidRPr="00CF46C5">
              <w:rPr>
                <w:rFonts w:eastAsia="Calibri"/>
              </w:rPr>
              <w:t xml:space="preserve"> – CHILD</w:t>
            </w:r>
            <w:r>
              <w:rPr>
                <w:rFonts w:eastAsia="Calibri"/>
              </w:rPr>
              <w:t xml:space="preserve"> (6-12)</w:t>
            </w:r>
          </w:p>
        </w:tc>
        <w:tc>
          <w:tcPr>
            <w:tcW w:w="537" w:type="pct"/>
            <w:vAlign w:val="center"/>
          </w:tcPr>
          <w:p w14:paraId="6B2EE874" w14:textId="77777777" w:rsidR="00643CC1" w:rsidRPr="00412894" w:rsidRDefault="00643CC1" w:rsidP="00CC3AED">
            <w:pPr>
              <w:pStyle w:val="Standaard-Tabellen"/>
              <w:rPr>
                <w:rFonts w:eastAsia="Calibri"/>
              </w:rPr>
            </w:pPr>
            <w:r w:rsidRPr="00412894">
              <w:rPr>
                <w:rFonts w:eastAsia="Calibri"/>
              </w:rPr>
              <w:t>Tier 1 /</w:t>
            </w:r>
          </w:p>
          <w:p w14:paraId="0198A1E1" w14:textId="77777777" w:rsidR="00643CC1" w:rsidRPr="00FD2055" w:rsidRDefault="00643CC1" w:rsidP="00CC3AED">
            <w:pPr>
              <w:pStyle w:val="Standaard-Tabellen"/>
              <w:rPr>
                <w:rFonts w:eastAsia="Calibri"/>
              </w:rPr>
            </w:pPr>
            <w:r w:rsidRPr="00412894">
              <w:rPr>
                <w:rFonts w:eastAsia="Calibri"/>
              </w:rPr>
              <w:t>no PPE</w:t>
            </w:r>
          </w:p>
        </w:tc>
        <w:tc>
          <w:tcPr>
            <w:tcW w:w="3213" w:type="pct"/>
            <w:vAlign w:val="center"/>
          </w:tcPr>
          <w:p w14:paraId="5786F267" w14:textId="77777777" w:rsidR="00643CC1" w:rsidRPr="00B30D9D" w:rsidRDefault="00643CC1" w:rsidP="00CC3AED">
            <w:pPr>
              <w:pStyle w:val="Standaard-Tabellen"/>
              <w:rPr>
                <w:rFonts w:eastAsia="Calibri"/>
              </w:rPr>
            </w:pPr>
            <w:r>
              <w:rPr>
                <w:rFonts w:eastAsia="Calibri"/>
              </w:rPr>
              <w:t>2.33</w:t>
            </w:r>
            <w:r w:rsidRPr="00B30D9D">
              <w:rPr>
                <w:rFonts w:eastAsia="Calibri"/>
              </w:rPr>
              <w:t xml:space="preserve"> mg/kg </w:t>
            </w:r>
            <w:proofErr w:type="spellStart"/>
            <w:r w:rsidRPr="00B30D9D">
              <w:rPr>
                <w:rFonts w:eastAsia="Calibri"/>
              </w:rPr>
              <w:t>bw</w:t>
            </w:r>
            <w:proofErr w:type="spellEnd"/>
            <w:r w:rsidRPr="00B30D9D">
              <w:rPr>
                <w:rFonts w:eastAsia="Calibri"/>
              </w:rPr>
              <w:t>/day</w:t>
            </w:r>
          </w:p>
        </w:tc>
      </w:tr>
      <w:tr w:rsidR="00643CC1" w:rsidRPr="00FD2055" w14:paraId="2CFED27C" w14:textId="77777777" w:rsidTr="00CC3AED">
        <w:trPr>
          <w:cantSplit/>
          <w:trHeight w:val="647"/>
          <w:tblHeader/>
        </w:trPr>
        <w:tc>
          <w:tcPr>
            <w:tcW w:w="1250" w:type="pct"/>
            <w:shd w:val="clear" w:color="auto" w:fill="auto"/>
            <w:vAlign w:val="center"/>
          </w:tcPr>
          <w:p w14:paraId="11A2C7A8" w14:textId="77777777" w:rsidR="00643CC1" w:rsidRPr="00FD2055" w:rsidRDefault="00643CC1" w:rsidP="00CC3AED">
            <w:pPr>
              <w:pStyle w:val="Standaard-Tabellen"/>
              <w:rPr>
                <w:rFonts w:eastAsia="Calibri"/>
              </w:rPr>
            </w:pPr>
            <w:r>
              <w:rPr>
                <w:rFonts w:eastAsia="Calibri"/>
              </w:rPr>
              <w:t>Scenario 2</w:t>
            </w:r>
            <w:r w:rsidRPr="00CF46C5">
              <w:rPr>
                <w:rFonts w:eastAsia="Calibri"/>
              </w:rPr>
              <w:t xml:space="preserve"> – CHILD</w:t>
            </w:r>
            <w:r>
              <w:rPr>
                <w:rFonts w:eastAsia="Calibri"/>
              </w:rPr>
              <w:t xml:space="preserve"> (2-6)</w:t>
            </w:r>
          </w:p>
        </w:tc>
        <w:tc>
          <w:tcPr>
            <w:tcW w:w="537" w:type="pct"/>
            <w:vAlign w:val="center"/>
          </w:tcPr>
          <w:p w14:paraId="2CD2249D" w14:textId="77777777" w:rsidR="00643CC1" w:rsidRPr="00412894" w:rsidRDefault="00643CC1" w:rsidP="00CC3AED">
            <w:pPr>
              <w:pStyle w:val="Standaard-Tabellen"/>
              <w:rPr>
                <w:rFonts w:eastAsia="Calibri"/>
              </w:rPr>
            </w:pPr>
            <w:r w:rsidRPr="00412894">
              <w:rPr>
                <w:rFonts w:eastAsia="Calibri"/>
              </w:rPr>
              <w:t>Tier 1 /</w:t>
            </w:r>
          </w:p>
          <w:p w14:paraId="14D377CD" w14:textId="77777777" w:rsidR="00643CC1" w:rsidRPr="00FD2055" w:rsidRDefault="00643CC1" w:rsidP="00CC3AED">
            <w:pPr>
              <w:pStyle w:val="Standaard-Tabellen"/>
              <w:rPr>
                <w:rFonts w:eastAsia="Calibri"/>
              </w:rPr>
            </w:pPr>
            <w:r w:rsidRPr="00412894">
              <w:rPr>
                <w:rFonts w:eastAsia="Calibri"/>
              </w:rPr>
              <w:t>no PPE</w:t>
            </w:r>
          </w:p>
        </w:tc>
        <w:tc>
          <w:tcPr>
            <w:tcW w:w="3213" w:type="pct"/>
            <w:vAlign w:val="center"/>
          </w:tcPr>
          <w:p w14:paraId="0FA7A202" w14:textId="77777777" w:rsidR="00643CC1" w:rsidRPr="00B30D9D" w:rsidRDefault="00643CC1" w:rsidP="00CC3AED">
            <w:pPr>
              <w:pStyle w:val="Standaard-Tabellen"/>
              <w:rPr>
                <w:rFonts w:eastAsia="Calibri"/>
              </w:rPr>
            </w:pPr>
            <w:r>
              <w:rPr>
                <w:rFonts w:eastAsia="Calibri"/>
              </w:rPr>
              <w:t>2.52</w:t>
            </w:r>
            <w:r w:rsidRPr="00B30D9D">
              <w:rPr>
                <w:rFonts w:eastAsia="Calibri"/>
              </w:rPr>
              <w:t xml:space="preserve"> mg/kg </w:t>
            </w:r>
            <w:proofErr w:type="spellStart"/>
            <w:r w:rsidRPr="00B30D9D">
              <w:rPr>
                <w:rFonts w:eastAsia="Calibri"/>
              </w:rPr>
              <w:t>bw</w:t>
            </w:r>
            <w:proofErr w:type="spellEnd"/>
            <w:r w:rsidRPr="00B30D9D">
              <w:rPr>
                <w:rFonts w:eastAsia="Calibri"/>
              </w:rPr>
              <w:t>/day</w:t>
            </w:r>
          </w:p>
        </w:tc>
      </w:tr>
      <w:tr w:rsidR="00643CC1" w:rsidRPr="00FD2055" w14:paraId="0FBD3BC9" w14:textId="77777777" w:rsidTr="00CC3AED">
        <w:trPr>
          <w:cantSplit/>
          <w:trHeight w:val="647"/>
          <w:tblHeader/>
        </w:trPr>
        <w:tc>
          <w:tcPr>
            <w:tcW w:w="1250" w:type="pct"/>
            <w:shd w:val="clear" w:color="auto" w:fill="auto"/>
            <w:vAlign w:val="center"/>
          </w:tcPr>
          <w:p w14:paraId="46DDBBE2" w14:textId="77777777" w:rsidR="00643CC1" w:rsidRDefault="00643CC1" w:rsidP="00CC3AED">
            <w:pPr>
              <w:pStyle w:val="Standaard-Tabellen"/>
              <w:rPr>
                <w:rFonts w:eastAsia="Calibri"/>
              </w:rPr>
            </w:pPr>
            <w:r>
              <w:rPr>
                <w:rFonts w:eastAsia="Calibri"/>
              </w:rPr>
              <w:t>Scenario 3</w:t>
            </w:r>
            <w:r w:rsidRPr="00CF46C5">
              <w:rPr>
                <w:rFonts w:eastAsia="Calibri"/>
              </w:rPr>
              <w:t xml:space="preserve"> – TODDLER</w:t>
            </w:r>
          </w:p>
        </w:tc>
        <w:tc>
          <w:tcPr>
            <w:tcW w:w="537" w:type="pct"/>
            <w:vAlign w:val="center"/>
          </w:tcPr>
          <w:p w14:paraId="437DA8F7" w14:textId="77777777" w:rsidR="00643CC1" w:rsidRPr="00412894" w:rsidRDefault="00643CC1" w:rsidP="00CC3AED">
            <w:pPr>
              <w:pStyle w:val="Standaard-Tabellen"/>
              <w:rPr>
                <w:rFonts w:eastAsia="Calibri"/>
              </w:rPr>
            </w:pPr>
            <w:r w:rsidRPr="00412894">
              <w:rPr>
                <w:rFonts w:eastAsia="Calibri"/>
              </w:rPr>
              <w:t>Tier 1 /</w:t>
            </w:r>
          </w:p>
          <w:p w14:paraId="46C7D9BB" w14:textId="77777777" w:rsidR="00643CC1" w:rsidRDefault="00643CC1" w:rsidP="00CC3AED">
            <w:pPr>
              <w:pStyle w:val="Standaard-Tabellen"/>
              <w:rPr>
                <w:rFonts w:eastAsia="Calibri"/>
              </w:rPr>
            </w:pPr>
            <w:r w:rsidRPr="00412894">
              <w:rPr>
                <w:rFonts w:eastAsia="Calibri"/>
              </w:rPr>
              <w:t>no PPE</w:t>
            </w:r>
          </w:p>
        </w:tc>
        <w:tc>
          <w:tcPr>
            <w:tcW w:w="3213" w:type="pct"/>
            <w:vAlign w:val="center"/>
          </w:tcPr>
          <w:p w14:paraId="7BF8B824" w14:textId="77777777" w:rsidR="00643CC1" w:rsidRPr="00B30D9D" w:rsidRDefault="00643CC1" w:rsidP="00CC3AED">
            <w:pPr>
              <w:pStyle w:val="Standaard-Tabellen"/>
              <w:rPr>
                <w:rFonts w:eastAsia="Calibri"/>
              </w:rPr>
            </w:pPr>
            <w:r>
              <w:rPr>
                <w:rFonts w:eastAsia="Calibri"/>
              </w:rPr>
              <w:t xml:space="preserve">2.77 </w:t>
            </w:r>
            <w:r w:rsidRPr="00B30D9D">
              <w:rPr>
                <w:rFonts w:eastAsia="Calibri"/>
              </w:rPr>
              <w:t xml:space="preserve">mg/kg </w:t>
            </w:r>
            <w:proofErr w:type="spellStart"/>
            <w:r w:rsidRPr="00B30D9D">
              <w:rPr>
                <w:rFonts w:eastAsia="Calibri"/>
              </w:rPr>
              <w:t>bw</w:t>
            </w:r>
            <w:proofErr w:type="spellEnd"/>
            <w:r w:rsidRPr="00B30D9D">
              <w:rPr>
                <w:rFonts w:eastAsia="Calibri"/>
              </w:rPr>
              <w:t>/day</w:t>
            </w:r>
          </w:p>
        </w:tc>
      </w:tr>
      <w:tr w:rsidR="00643CC1" w:rsidRPr="00FD2055" w14:paraId="36250DC6" w14:textId="77777777" w:rsidTr="00CC3AED">
        <w:trPr>
          <w:cantSplit/>
          <w:trHeight w:val="647"/>
          <w:tblHeader/>
        </w:trPr>
        <w:tc>
          <w:tcPr>
            <w:tcW w:w="1250" w:type="pct"/>
            <w:shd w:val="clear" w:color="auto" w:fill="auto"/>
            <w:vAlign w:val="center"/>
          </w:tcPr>
          <w:p w14:paraId="69AB477D" w14:textId="77777777" w:rsidR="00643CC1" w:rsidRPr="00FD2055" w:rsidRDefault="00643CC1" w:rsidP="00CC3AED">
            <w:pPr>
              <w:pStyle w:val="Standaard-Tabellen"/>
              <w:rPr>
                <w:rFonts w:eastAsia="Calibri"/>
              </w:rPr>
            </w:pPr>
            <w:r>
              <w:rPr>
                <w:rFonts w:eastAsia="Calibri"/>
              </w:rPr>
              <w:t>Scenario 3</w:t>
            </w:r>
            <w:r w:rsidRPr="00CF46C5">
              <w:rPr>
                <w:rFonts w:eastAsia="Calibri"/>
              </w:rPr>
              <w:t xml:space="preserve"> – INFANT</w:t>
            </w:r>
          </w:p>
        </w:tc>
        <w:tc>
          <w:tcPr>
            <w:tcW w:w="537" w:type="pct"/>
            <w:vAlign w:val="center"/>
          </w:tcPr>
          <w:p w14:paraId="6AE26C76" w14:textId="77777777" w:rsidR="00643CC1" w:rsidRPr="00412894" w:rsidRDefault="00643CC1" w:rsidP="00CC3AED">
            <w:pPr>
              <w:pStyle w:val="Standaard-Tabellen"/>
              <w:rPr>
                <w:rFonts w:eastAsia="Calibri"/>
              </w:rPr>
            </w:pPr>
            <w:r w:rsidRPr="00412894">
              <w:rPr>
                <w:rFonts w:eastAsia="Calibri"/>
              </w:rPr>
              <w:t>Tier 1 /</w:t>
            </w:r>
          </w:p>
          <w:p w14:paraId="0B67D3D8" w14:textId="77777777" w:rsidR="00643CC1" w:rsidRPr="00FD2055" w:rsidRDefault="00643CC1" w:rsidP="00CC3AED">
            <w:pPr>
              <w:pStyle w:val="Standaard-Tabellen"/>
              <w:rPr>
                <w:rFonts w:eastAsia="Calibri"/>
              </w:rPr>
            </w:pPr>
            <w:r w:rsidRPr="00412894">
              <w:rPr>
                <w:rFonts w:eastAsia="Calibri"/>
              </w:rPr>
              <w:t>no PPE</w:t>
            </w:r>
          </w:p>
        </w:tc>
        <w:tc>
          <w:tcPr>
            <w:tcW w:w="3213" w:type="pct"/>
            <w:vAlign w:val="center"/>
          </w:tcPr>
          <w:p w14:paraId="2936CB61" w14:textId="77777777" w:rsidR="00643CC1" w:rsidRPr="00B30D9D" w:rsidRDefault="00643CC1" w:rsidP="00CC3AED">
            <w:pPr>
              <w:pStyle w:val="Standaard-Tabellen"/>
              <w:rPr>
                <w:rFonts w:eastAsia="Calibri"/>
              </w:rPr>
            </w:pPr>
            <w:r>
              <w:rPr>
                <w:rFonts w:eastAsia="Calibri"/>
              </w:rPr>
              <w:t>1.97</w:t>
            </w:r>
            <w:r w:rsidRPr="00B30D9D">
              <w:rPr>
                <w:rFonts w:eastAsia="Calibri"/>
              </w:rPr>
              <w:t xml:space="preserve"> mg/kg </w:t>
            </w:r>
            <w:proofErr w:type="spellStart"/>
            <w:r w:rsidRPr="00B30D9D">
              <w:rPr>
                <w:rFonts w:eastAsia="Calibri"/>
              </w:rPr>
              <w:t>bw</w:t>
            </w:r>
            <w:proofErr w:type="spellEnd"/>
            <w:r w:rsidRPr="00B30D9D">
              <w:rPr>
                <w:rFonts w:eastAsia="Calibri"/>
              </w:rPr>
              <w:t>/day</w:t>
            </w:r>
          </w:p>
        </w:tc>
      </w:tr>
      <w:bookmarkEnd w:id="174"/>
    </w:tbl>
    <w:p w14:paraId="468E2DFC" w14:textId="77777777" w:rsidR="00643CC1" w:rsidRDefault="00643CC1" w:rsidP="00643CC1">
      <w:pPr>
        <w:rPr>
          <w:rFonts w:eastAsia="Calibri"/>
          <w:lang w:eastAsia="en-US"/>
        </w:rPr>
      </w:pPr>
    </w:p>
    <w:p w14:paraId="5786FA35" w14:textId="77777777" w:rsidR="00643CC1" w:rsidRPr="009A3C76" w:rsidRDefault="00643CC1" w:rsidP="00643CC1">
      <w:pPr>
        <w:pStyle w:val="Titre7"/>
        <w:rPr>
          <w:lang w:val="en-US"/>
        </w:rPr>
      </w:pPr>
      <w:r w:rsidRPr="009A3C76">
        <w:rPr>
          <w:lang w:val="en-US"/>
        </w:rPr>
        <w:t xml:space="preserve">Combined exposure : </w:t>
      </w:r>
    </w:p>
    <w:p w14:paraId="70399F0A" w14:textId="77777777" w:rsidR="00643CC1" w:rsidRPr="000947F4" w:rsidRDefault="00643CC1" w:rsidP="00643CC1">
      <w:pPr>
        <w:rPr>
          <w:rFonts w:eastAsia="Calibri"/>
          <w:sz w:val="18"/>
          <w:szCs w:val="18"/>
        </w:rPr>
      </w:pPr>
      <w:r w:rsidRPr="000947F4">
        <w:rPr>
          <w:rFonts w:eastAsia="Calibri"/>
          <w:sz w:val="18"/>
          <w:szCs w:val="18"/>
        </w:rPr>
        <w:t>Combine</w:t>
      </w:r>
      <w:r>
        <w:rPr>
          <w:rFonts w:eastAsia="Calibri"/>
          <w:sz w:val="18"/>
          <w:szCs w:val="18"/>
        </w:rPr>
        <w:t>d</w:t>
      </w:r>
      <w:r w:rsidRPr="000947F4">
        <w:rPr>
          <w:rFonts w:eastAsia="Calibri"/>
          <w:sz w:val="18"/>
          <w:szCs w:val="18"/>
        </w:rPr>
        <w:t xml:space="preserve"> exposure is not performed in this case considering the following facts: </w:t>
      </w:r>
    </w:p>
    <w:p w14:paraId="6D973007" w14:textId="77777777" w:rsidR="00643CC1" w:rsidRPr="000947F4" w:rsidRDefault="00643CC1" w:rsidP="00643CC1">
      <w:pPr>
        <w:pStyle w:val="Paragraphedeliste"/>
        <w:numPr>
          <w:ilvl w:val="0"/>
          <w:numId w:val="15"/>
        </w:numPr>
        <w:rPr>
          <w:rFonts w:eastAsia="Calibri"/>
          <w:sz w:val="18"/>
          <w:szCs w:val="18"/>
        </w:rPr>
      </w:pPr>
      <w:r w:rsidRPr="000947F4">
        <w:rPr>
          <w:rFonts w:eastAsia="Calibri"/>
          <w:sz w:val="18"/>
          <w:szCs w:val="18"/>
        </w:rPr>
        <w:t xml:space="preserve">Dermal exposure and inhalation exposure: to addition of the two routes of exposure will result in an unrealistic worst case as it is considered that all the product applied will be available for dermal exposure and for inhalation exposure. A part of the product will either be only absorbed by dermal route or by inhalation route and therefore will not be available for the other route. </w:t>
      </w:r>
    </w:p>
    <w:p w14:paraId="5C1A5DE0" w14:textId="77777777" w:rsidR="00643CC1" w:rsidRPr="000947F4" w:rsidRDefault="00643CC1" w:rsidP="00643CC1">
      <w:pPr>
        <w:pStyle w:val="Paragraphedeliste"/>
        <w:ind w:left="360"/>
        <w:rPr>
          <w:rFonts w:eastAsia="Calibri"/>
          <w:sz w:val="18"/>
          <w:szCs w:val="18"/>
        </w:rPr>
      </w:pPr>
      <w:r w:rsidRPr="000947F4">
        <w:rPr>
          <w:rFonts w:eastAsia="Calibri"/>
          <w:sz w:val="18"/>
          <w:szCs w:val="18"/>
        </w:rPr>
        <w:t xml:space="preserve">It is not possible to know which route will be the most used. Therefore, it was considered that all the product might be absorbed by one or the other route as a worst case and that it should not be summed up.  </w:t>
      </w:r>
    </w:p>
    <w:p w14:paraId="7A90326A" w14:textId="77777777" w:rsidR="00643CC1" w:rsidRPr="000947F4" w:rsidRDefault="00643CC1" w:rsidP="00643CC1">
      <w:pPr>
        <w:pStyle w:val="Paragraphedeliste"/>
        <w:numPr>
          <w:ilvl w:val="0"/>
          <w:numId w:val="15"/>
        </w:numPr>
        <w:rPr>
          <w:rFonts w:eastAsia="Calibri"/>
          <w:sz w:val="18"/>
          <w:szCs w:val="18"/>
        </w:rPr>
      </w:pPr>
      <w:r w:rsidRPr="000947F4">
        <w:rPr>
          <w:rFonts w:eastAsia="Calibri"/>
          <w:sz w:val="18"/>
          <w:szCs w:val="18"/>
        </w:rPr>
        <w:t>Oral exposure by hand-to-mouth transfer is not considered to be a significant route of primary exposure, because of the repellent taste (bad palatability) of the active substance, thus, preventing repeated mouthing of IR3535</w:t>
      </w:r>
      <w:r w:rsidRPr="00BF5148">
        <w:rPr>
          <w:rFonts w:eastAsia="Calibri"/>
          <w:sz w:val="18"/>
          <w:szCs w:val="18"/>
          <w:vertAlign w:val="superscript"/>
        </w:rPr>
        <w:t>®</w:t>
      </w:r>
      <w:r w:rsidRPr="000947F4">
        <w:rPr>
          <w:rFonts w:eastAsia="Calibri"/>
          <w:sz w:val="18"/>
          <w:szCs w:val="18"/>
        </w:rPr>
        <w:t xml:space="preserve"> by children and infants. Furthermore, the biocidal product is not intended to </w:t>
      </w:r>
      <w:r w:rsidRPr="000947F4">
        <w:rPr>
          <w:rFonts w:eastAsia="Calibri"/>
          <w:b/>
          <w:sz w:val="18"/>
          <w:szCs w:val="18"/>
        </w:rPr>
        <w:t>be applied on hands of children</w:t>
      </w:r>
      <w:r w:rsidRPr="000947F4">
        <w:rPr>
          <w:rFonts w:eastAsia="Calibri"/>
          <w:sz w:val="18"/>
          <w:szCs w:val="18"/>
        </w:rPr>
        <w:t xml:space="preserve"> which excludes an oral uptake of the dermally applied active substance. The scenario could be seen as a worst case and therefore should not be added to the total exposure. In addition, a part of it, will not be available anymore for oral uptake since it will be dermally absorbed</w:t>
      </w:r>
      <w:r>
        <w:rPr>
          <w:rFonts w:eastAsia="Calibri"/>
          <w:sz w:val="18"/>
          <w:szCs w:val="18"/>
        </w:rPr>
        <w:t>.</w:t>
      </w:r>
      <w:r w:rsidRPr="000947F4">
        <w:rPr>
          <w:rFonts w:eastAsia="Calibri"/>
          <w:sz w:val="18"/>
          <w:szCs w:val="18"/>
        </w:rPr>
        <w:t xml:space="preserve"> </w:t>
      </w:r>
    </w:p>
    <w:p w14:paraId="212E109E" w14:textId="77777777" w:rsidR="00643CC1" w:rsidRPr="00FD2055" w:rsidRDefault="00643CC1" w:rsidP="007E5F71">
      <w:pPr>
        <w:rPr>
          <w:rFonts w:eastAsia="Calibri"/>
          <w:lang w:eastAsia="en-US"/>
        </w:rPr>
      </w:pPr>
    </w:p>
    <w:p w14:paraId="50094C44" w14:textId="77777777" w:rsidR="00881426" w:rsidRPr="007E5F71" w:rsidRDefault="00881426" w:rsidP="007E5F71">
      <w:pPr>
        <w:pStyle w:val="Titre5"/>
        <w:numPr>
          <w:ilvl w:val="0"/>
          <w:numId w:val="3"/>
        </w:numPr>
      </w:pPr>
      <w:bookmarkStart w:id="175" w:name="_Toc12967167"/>
      <w:r w:rsidRPr="007E5F71">
        <w:t>Exposure of the general public</w:t>
      </w:r>
      <w:bookmarkEnd w:id="175"/>
    </w:p>
    <w:p w14:paraId="0FBFBF6C" w14:textId="77777777" w:rsidR="00881426" w:rsidRPr="00204A8F" w:rsidRDefault="00881426" w:rsidP="00881426">
      <w:pPr>
        <w:spacing w:before="0" w:after="160" w:line="259" w:lineRule="auto"/>
        <w:rPr>
          <w:lang w:val="en-US" w:eastAsia="en-US"/>
        </w:rPr>
      </w:pPr>
      <w:r w:rsidRPr="00AD4546">
        <w:rPr>
          <w:lang w:val="en-US" w:eastAsia="en-US"/>
        </w:rPr>
        <w:t>Exposure of the general public is covered by the secondary exposure of non-professional.</w:t>
      </w:r>
      <w:r>
        <w:rPr>
          <w:lang w:val="en-US" w:eastAsia="en-US"/>
        </w:rPr>
        <w:t xml:space="preserve"> </w:t>
      </w:r>
    </w:p>
    <w:p w14:paraId="4A1F493B" w14:textId="77777777" w:rsidR="007E5F71" w:rsidRPr="007E5F71" w:rsidRDefault="007E5F71" w:rsidP="007E5F71">
      <w:pPr>
        <w:pStyle w:val="Titre5"/>
      </w:pPr>
      <w:bookmarkStart w:id="176" w:name="_Toc462646728"/>
      <w:bookmarkStart w:id="177" w:name="_Toc12967168"/>
      <w:r w:rsidRPr="007E5F71">
        <w:t>Monitoring data</w:t>
      </w:r>
      <w:bookmarkEnd w:id="176"/>
      <w:bookmarkEnd w:id="177"/>
    </w:p>
    <w:p w14:paraId="2D4942B6" w14:textId="77777777" w:rsidR="007E5F71" w:rsidRDefault="007E5F71" w:rsidP="007E5F71">
      <w:pPr>
        <w:rPr>
          <w:lang w:eastAsia="en-US"/>
        </w:rPr>
      </w:pPr>
      <w:r>
        <w:rPr>
          <w:lang w:eastAsia="en-US"/>
        </w:rPr>
        <w:t>Not applicable.</w:t>
      </w:r>
    </w:p>
    <w:p w14:paraId="6E9117A2" w14:textId="77777777" w:rsidR="007E5F71" w:rsidRDefault="007E5F71" w:rsidP="007E5F71">
      <w:pPr>
        <w:pStyle w:val="Titre5"/>
      </w:pPr>
      <w:bookmarkStart w:id="178" w:name="_Toc462646729"/>
      <w:bookmarkStart w:id="179" w:name="_Toc12967169"/>
      <w:r>
        <w:t>Dietary exposure</w:t>
      </w:r>
      <w:bookmarkEnd w:id="178"/>
      <w:bookmarkEnd w:id="179"/>
    </w:p>
    <w:p w14:paraId="5FF7C914" w14:textId="77777777" w:rsidR="00CB0677" w:rsidRPr="00A06FFC" w:rsidRDefault="00CB0677" w:rsidP="00CB0677">
      <w:pPr>
        <w:rPr>
          <w:rFonts w:eastAsia="Calibri"/>
          <w:lang w:eastAsia="en-US"/>
        </w:rPr>
      </w:pPr>
      <w:r w:rsidRPr="00A06FFC">
        <w:rPr>
          <w:rFonts w:eastAsia="Calibri"/>
          <w:lang w:eastAsia="en-US"/>
        </w:rPr>
        <w:t xml:space="preserve">Considering the scenario </w:t>
      </w:r>
      <w:r w:rsidRPr="00892C32">
        <w:rPr>
          <w:rFonts w:eastAsia="Calibri"/>
          <w:lang w:eastAsia="en-US"/>
        </w:rPr>
        <w:t>2</w:t>
      </w:r>
      <w:r w:rsidRPr="00A06FFC">
        <w:rPr>
          <w:rFonts w:eastAsia="Calibri"/>
          <w:lang w:eastAsia="en-US"/>
        </w:rPr>
        <w:t xml:space="preserve"> (hand to mouth transfer), considering that the amount in scenario </w:t>
      </w:r>
      <w:r w:rsidRPr="00892C32">
        <w:rPr>
          <w:rFonts w:eastAsia="Calibri"/>
          <w:lang w:eastAsia="en-US"/>
        </w:rPr>
        <w:t>2</w:t>
      </w:r>
      <w:r w:rsidRPr="00A06FFC">
        <w:rPr>
          <w:rFonts w:eastAsia="Calibri"/>
          <w:lang w:eastAsia="en-US"/>
        </w:rPr>
        <w:t xml:space="preserve"> will be superior to the amount on the fingers of the hands (possible contact surface for transfer of residue to food) and finally considering that the biocidal product is not </w:t>
      </w:r>
      <w:r w:rsidRPr="00A06FFC">
        <w:rPr>
          <w:rFonts w:eastAsia="Calibri"/>
          <w:lang w:eastAsia="en-US"/>
        </w:rPr>
        <w:lastRenderedPageBreak/>
        <w:t xml:space="preserve">used for and/or during food production, or in rooms where food is produced processed or stored, the dietary risk would be covered by the scenario </w:t>
      </w:r>
      <w:r w:rsidRPr="00892C32">
        <w:rPr>
          <w:rFonts w:eastAsia="Calibri"/>
          <w:lang w:eastAsia="en-US"/>
        </w:rPr>
        <w:t>2</w:t>
      </w:r>
      <w:r w:rsidRPr="00A06FFC">
        <w:rPr>
          <w:rFonts w:eastAsia="Calibri"/>
          <w:lang w:eastAsia="en-US"/>
        </w:rPr>
        <w:t xml:space="preserve">.    </w:t>
      </w:r>
    </w:p>
    <w:p w14:paraId="3FE9F69B" w14:textId="77777777" w:rsidR="00CB0677" w:rsidRPr="00A06FFC" w:rsidRDefault="00CB0677" w:rsidP="00CB0677">
      <w:pPr>
        <w:rPr>
          <w:rFonts w:eastAsia="Calibri"/>
          <w:lang w:eastAsia="en-US"/>
        </w:rPr>
      </w:pPr>
    </w:p>
    <w:p w14:paraId="3FF57E74" w14:textId="4415D9BB" w:rsidR="00CC3AED" w:rsidRPr="00CC3AED" w:rsidRDefault="00CC3AED" w:rsidP="00CC3AED">
      <w:pPr>
        <w:spacing w:before="0" w:after="160" w:line="259" w:lineRule="auto"/>
        <w:rPr>
          <w:rFonts w:eastAsia="Calibri"/>
          <w:lang w:eastAsia="en-US"/>
        </w:rPr>
      </w:pPr>
      <w:r w:rsidRPr="00CC3AED">
        <w:rPr>
          <w:rFonts w:eastAsia="Calibri"/>
          <w:lang w:eastAsia="en-US"/>
        </w:rPr>
        <w:t>However, Belgium is of advice that the risk mitigation measures (“Wash hands before handling food. Do not apply directly on or near food, feed or drinks, or on surfaces or utensils likely to be in direct contact with food, feed, drinks. To prevent contamination of food, avoid contact of treated skin with food”</w:t>
      </w:r>
      <w:r>
        <w:rPr>
          <w:rFonts w:eastAsia="Calibri"/>
          <w:lang w:eastAsia="en-US"/>
        </w:rPr>
        <w:t xml:space="preserve"> and do not use on children’s hands) must be present</w:t>
      </w:r>
      <w:r w:rsidRPr="00CC3AED">
        <w:rPr>
          <w:rFonts w:eastAsia="Calibri"/>
          <w:lang w:eastAsia="en-US"/>
        </w:rPr>
        <w:t xml:space="preserve"> to avoid any misuse of the product.</w:t>
      </w:r>
    </w:p>
    <w:p w14:paraId="48010D5E" w14:textId="77777777" w:rsidR="00CC3AED" w:rsidRPr="00CC3AED" w:rsidRDefault="00CC3AED" w:rsidP="00CC3AED">
      <w:pPr>
        <w:spacing w:before="0" w:after="160" w:line="259" w:lineRule="auto"/>
        <w:rPr>
          <w:rFonts w:eastAsia="Calibri"/>
          <w:lang w:eastAsia="en-US"/>
        </w:rPr>
      </w:pPr>
    </w:p>
    <w:p w14:paraId="122FFCB4" w14:textId="2DE07203" w:rsidR="007E5F71" w:rsidRDefault="00CC3AED" w:rsidP="00CC3AED">
      <w:pPr>
        <w:spacing w:before="0" w:after="160" w:line="259" w:lineRule="auto"/>
        <w:rPr>
          <w:rFonts w:eastAsia="Calibri"/>
          <w:lang w:eastAsia="en-US"/>
        </w:rPr>
      </w:pPr>
      <w:r w:rsidRPr="00CC3AED">
        <w:rPr>
          <w:rFonts w:eastAsia="Calibri"/>
          <w:lang w:eastAsia="en-US"/>
        </w:rPr>
        <w:t>The above RMM should be sufficient to minimize the risk of a transfer of residues of IR3535 from hand to food.</w:t>
      </w:r>
    </w:p>
    <w:p w14:paraId="55FE4EF8" w14:textId="77777777" w:rsidR="00881426" w:rsidRDefault="00881426" w:rsidP="007E5F71">
      <w:pPr>
        <w:pStyle w:val="Titre5"/>
      </w:pPr>
      <w:bookmarkStart w:id="180" w:name="_Toc12967170"/>
      <w:r>
        <w:t>Exposure associated with production, formulation and disposal of the biocidal product</w:t>
      </w:r>
      <w:bookmarkEnd w:id="180"/>
    </w:p>
    <w:p w14:paraId="53002AC0" w14:textId="77777777" w:rsidR="00CB0677" w:rsidRPr="00892C32" w:rsidRDefault="00CB0677" w:rsidP="00CB0677">
      <w:bookmarkStart w:id="181" w:name="_Toc389729086"/>
      <w:bookmarkStart w:id="182" w:name="_Toc403472773"/>
      <w:bookmarkStart w:id="183" w:name="_Toc462646731"/>
      <w:bookmarkStart w:id="184" w:name="_Toc389729087"/>
      <w:bookmarkStart w:id="185" w:name="_Toc403472774"/>
      <w:r w:rsidRPr="0083541E">
        <w:t>Occupational exposure during production and formulation of biocidal product is not covered by the BPR. It is expected that production and formulation are performed in conformity with European and national worker protection legislation.</w:t>
      </w:r>
    </w:p>
    <w:p w14:paraId="074F5B0F" w14:textId="77777777" w:rsidR="007E5F71" w:rsidRPr="00FD2055" w:rsidRDefault="007E5F71" w:rsidP="007E5F71">
      <w:pPr>
        <w:pStyle w:val="Titre5"/>
      </w:pPr>
      <w:bookmarkStart w:id="186" w:name="_Toc12967171"/>
      <w:r w:rsidRPr="00FD2055">
        <w:t>Aggregated exposure</w:t>
      </w:r>
      <w:bookmarkEnd w:id="181"/>
      <w:bookmarkEnd w:id="182"/>
      <w:bookmarkEnd w:id="183"/>
      <w:bookmarkEnd w:id="186"/>
    </w:p>
    <w:p w14:paraId="0A64FE08" w14:textId="77777777" w:rsidR="007E5F71" w:rsidRPr="00FD2055" w:rsidRDefault="007E5F71" w:rsidP="007E5F71">
      <w:pPr>
        <w:rPr>
          <w:rFonts w:eastAsia="Calibri"/>
          <w:lang w:eastAsia="en-US"/>
        </w:rPr>
      </w:pPr>
      <w:r>
        <w:rPr>
          <w:rFonts w:eastAsia="Calibri"/>
          <w:lang w:eastAsia="en-US"/>
        </w:rPr>
        <w:t>Not applicable.</w:t>
      </w:r>
    </w:p>
    <w:p w14:paraId="5F72397E" w14:textId="77777777" w:rsidR="007E5F71" w:rsidRDefault="007E5F71" w:rsidP="007E5F71">
      <w:pPr>
        <w:rPr>
          <w:rFonts w:eastAsia="Calibri"/>
          <w:lang w:eastAsia="en-US"/>
        </w:rPr>
      </w:pPr>
    </w:p>
    <w:p w14:paraId="3C1486A4" w14:textId="0C4966C7" w:rsidR="007E5F71" w:rsidRDefault="007E5F71">
      <w:pPr>
        <w:spacing w:before="0" w:after="160" w:line="259" w:lineRule="auto"/>
        <w:rPr>
          <w:rFonts w:eastAsia="Calibri"/>
          <w:lang w:eastAsia="en-US"/>
        </w:rPr>
      </w:pPr>
    </w:p>
    <w:p w14:paraId="7A7E22AF" w14:textId="51D9AB68" w:rsidR="00881426" w:rsidRDefault="00881426" w:rsidP="007E5F71">
      <w:pPr>
        <w:pStyle w:val="Titre5"/>
      </w:pPr>
      <w:bookmarkStart w:id="187" w:name="_Toc12967172"/>
      <w:r w:rsidRPr="007E5F71">
        <w:t>Summary of exposure assessment</w:t>
      </w:r>
      <w:bookmarkEnd w:id="184"/>
      <w:bookmarkEnd w:id="185"/>
      <w:bookmarkEnd w:id="187"/>
    </w:p>
    <w:p w14:paraId="26919537" w14:textId="078ECE42" w:rsidR="00CC3AED" w:rsidRDefault="00CC3AED" w:rsidP="00CC3AED">
      <w:pPr>
        <w:rPr>
          <w:lang w:val="en-US" w:eastAsia="en-US"/>
        </w:rPr>
      </w:pPr>
    </w:p>
    <w:p w14:paraId="279F655B" w14:textId="77777777" w:rsidR="00CC3AED" w:rsidRPr="00CC3AED" w:rsidRDefault="00CC3AED" w:rsidP="00CC3AED">
      <w:pPr>
        <w:pStyle w:val="Titre6"/>
        <w:rPr>
          <w:lang w:val="en-US"/>
        </w:rPr>
      </w:pPr>
      <w:r>
        <w:rPr>
          <w:lang w:val="en-US"/>
        </w:rPr>
        <w:t>USE 1 against mosquitoes – application rate 1.15 mg/cm</w:t>
      </w:r>
      <w:r w:rsidRPr="002F5C9C">
        <w:rPr>
          <w:vertAlign w:val="superscript"/>
          <w:lang w:val="en-US"/>
        </w:rPr>
        <w:t>2</w:t>
      </w:r>
    </w:p>
    <w:p w14:paraId="0C8B6C2F" w14:textId="77777777" w:rsidR="00CC3AED" w:rsidRPr="00CC3AED" w:rsidRDefault="00CC3AED" w:rsidP="00CC3AED">
      <w:pPr>
        <w:rPr>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28"/>
        <w:gridCol w:w="3181"/>
        <w:gridCol w:w="2747"/>
        <w:gridCol w:w="2240"/>
      </w:tblGrid>
      <w:tr w:rsidR="00CB0677" w:rsidRPr="00F41048" w14:paraId="1282715B" w14:textId="77777777" w:rsidTr="00CB0677">
        <w:trPr>
          <w:tblHeader/>
        </w:trPr>
        <w:tc>
          <w:tcPr>
            <w:tcW w:w="5000" w:type="pct"/>
            <w:gridSpan w:val="4"/>
            <w:shd w:val="clear" w:color="auto" w:fill="FFFFCC"/>
          </w:tcPr>
          <w:p w14:paraId="78D8069B" w14:textId="6BE5B5A0" w:rsidR="00CB0677" w:rsidRPr="00F41048" w:rsidRDefault="00CB0677" w:rsidP="00CB0677">
            <w:pPr>
              <w:pStyle w:val="Standaard-Tabellen"/>
              <w:jc w:val="center"/>
              <w:rPr>
                <w:rFonts w:eastAsia="Calibri"/>
                <w:b/>
              </w:rPr>
            </w:pPr>
            <w:bookmarkStart w:id="188" w:name="_Hlk529363136"/>
            <w:r w:rsidRPr="00F41048">
              <w:rPr>
                <w:rFonts w:eastAsia="Calibri"/>
                <w:b/>
              </w:rPr>
              <w:lastRenderedPageBreak/>
              <w:t>Scenarios and values to be used in risk assessment</w:t>
            </w:r>
          </w:p>
        </w:tc>
      </w:tr>
      <w:tr w:rsidR="00CB0677" w:rsidRPr="00F41048" w14:paraId="26F1FA78" w14:textId="77777777" w:rsidTr="00CB0677">
        <w:trPr>
          <w:tblHeader/>
        </w:trPr>
        <w:tc>
          <w:tcPr>
            <w:tcW w:w="653" w:type="pct"/>
            <w:shd w:val="clear" w:color="auto" w:fill="BFBFBF" w:themeFill="background1" w:themeFillShade="BF"/>
            <w:tcMar>
              <w:top w:w="57" w:type="dxa"/>
              <w:bottom w:w="57" w:type="dxa"/>
            </w:tcMar>
          </w:tcPr>
          <w:p w14:paraId="31436C14" w14:textId="77777777" w:rsidR="00CB0677" w:rsidRPr="00F41048" w:rsidRDefault="00CB0677" w:rsidP="00CB0677">
            <w:pPr>
              <w:pStyle w:val="Standaard-Tabellen"/>
              <w:rPr>
                <w:rFonts w:eastAsia="Calibri"/>
                <w:b/>
              </w:rPr>
            </w:pPr>
            <w:r w:rsidRPr="00F41048">
              <w:rPr>
                <w:rFonts w:eastAsia="Calibri"/>
                <w:b/>
              </w:rPr>
              <w:t>Scenario number</w:t>
            </w:r>
          </w:p>
        </w:tc>
        <w:tc>
          <w:tcPr>
            <w:tcW w:w="1693" w:type="pct"/>
            <w:shd w:val="clear" w:color="auto" w:fill="BFBFBF" w:themeFill="background1" w:themeFillShade="BF"/>
            <w:tcMar>
              <w:top w:w="57" w:type="dxa"/>
              <w:bottom w:w="57" w:type="dxa"/>
            </w:tcMar>
          </w:tcPr>
          <w:p w14:paraId="029601B4" w14:textId="77777777" w:rsidR="00CB0677" w:rsidRPr="00F41048" w:rsidRDefault="00CB0677" w:rsidP="00CB0677">
            <w:pPr>
              <w:pStyle w:val="Standaard-Tabellen"/>
              <w:rPr>
                <w:rFonts w:eastAsia="Calibri"/>
                <w:b/>
              </w:rPr>
            </w:pPr>
            <w:r w:rsidRPr="00F41048">
              <w:rPr>
                <w:rFonts w:eastAsia="Calibri"/>
                <w:b/>
              </w:rPr>
              <w:t>Exposed group</w:t>
            </w:r>
          </w:p>
          <w:p w14:paraId="4FCBFFFA" w14:textId="77777777" w:rsidR="00CB0677" w:rsidRPr="00F41048" w:rsidRDefault="00CB0677" w:rsidP="00CB0677">
            <w:pPr>
              <w:pStyle w:val="Standaard-Tabellen"/>
              <w:rPr>
                <w:rFonts w:eastAsia="Calibri"/>
                <w:b/>
              </w:rPr>
            </w:pPr>
            <w:r w:rsidRPr="00F41048">
              <w:rPr>
                <w:rFonts w:eastAsia="Calibri"/>
                <w:b/>
              </w:rPr>
              <w:t>(e.g. professionals, non-professionals, bystanders)</w:t>
            </w:r>
          </w:p>
        </w:tc>
        <w:tc>
          <w:tcPr>
            <w:tcW w:w="1462" w:type="pct"/>
            <w:shd w:val="clear" w:color="auto" w:fill="BFBFBF" w:themeFill="background1" w:themeFillShade="BF"/>
            <w:tcMar>
              <w:top w:w="57" w:type="dxa"/>
              <w:bottom w:w="57" w:type="dxa"/>
            </w:tcMar>
          </w:tcPr>
          <w:p w14:paraId="6027EC64" w14:textId="77777777" w:rsidR="00CB0677" w:rsidRPr="00F41048" w:rsidRDefault="00CB0677" w:rsidP="00CB0677">
            <w:pPr>
              <w:pStyle w:val="Standaard-Tabellen"/>
              <w:rPr>
                <w:rFonts w:eastAsia="Calibri"/>
                <w:b/>
              </w:rPr>
            </w:pPr>
            <w:r w:rsidRPr="00F41048">
              <w:rPr>
                <w:rFonts w:eastAsia="Calibri"/>
                <w:b/>
              </w:rPr>
              <w:t>Tier/PPE</w:t>
            </w:r>
          </w:p>
        </w:tc>
        <w:tc>
          <w:tcPr>
            <w:tcW w:w="1192" w:type="pct"/>
            <w:tcBorders>
              <w:bottom w:val="single" w:sz="18" w:space="0" w:color="auto"/>
            </w:tcBorders>
            <w:shd w:val="clear" w:color="auto" w:fill="BFBFBF" w:themeFill="background1" w:themeFillShade="BF"/>
            <w:tcMar>
              <w:top w:w="57" w:type="dxa"/>
              <w:bottom w:w="57" w:type="dxa"/>
            </w:tcMar>
          </w:tcPr>
          <w:p w14:paraId="76A4AF9C" w14:textId="77777777" w:rsidR="00CB0677" w:rsidRPr="00F41048" w:rsidRDefault="00CB0677" w:rsidP="00CB0677">
            <w:pPr>
              <w:pStyle w:val="Standaard-Tabellen"/>
              <w:rPr>
                <w:rFonts w:eastAsia="Calibri"/>
                <w:b/>
              </w:rPr>
            </w:pPr>
            <w:r w:rsidRPr="00F41048">
              <w:rPr>
                <w:rFonts w:eastAsia="Calibri"/>
                <w:b/>
              </w:rPr>
              <w:t>Estimated total uptake</w:t>
            </w:r>
          </w:p>
        </w:tc>
      </w:tr>
      <w:tr w:rsidR="00CB0677" w:rsidRPr="00FD2055" w14:paraId="5A8229B1" w14:textId="77777777" w:rsidTr="00CB0677">
        <w:trPr>
          <w:tblHeader/>
        </w:trPr>
        <w:tc>
          <w:tcPr>
            <w:tcW w:w="653" w:type="pct"/>
            <w:vMerge w:val="restart"/>
            <w:tcBorders>
              <w:top w:val="single" w:sz="18" w:space="0" w:color="auto"/>
            </w:tcBorders>
            <w:tcMar>
              <w:top w:w="57" w:type="dxa"/>
              <w:bottom w:w="57" w:type="dxa"/>
            </w:tcMar>
          </w:tcPr>
          <w:p w14:paraId="2C229EBE" w14:textId="77777777" w:rsidR="00CB0677" w:rsidRPr="00FD2055" w:rsidRDefault="00CB0677" w:rsidP="00CB0677">
            <w:pPr>
              <w:pStyle w:val="Standaard-Tabellen"/>
              <w:rPr>
                <w:rFonts w:eastAsia="Calibri"/>
              </w:rPr>
            </w:pPr>
            <w:r w:rsidRPr="00FD2055">
              <w:rPr>
                <w:rFonts w:eastAsia="Calibri"/>
                <w:lang w:eastAsia="en-US"/>
              </w:rPr>
              <w:t>1.</w:t>
            </w:r>
          </w:p>
          <w:p w14:paraId="4730ADFF" w14:textId="77777777" w:rsidR="00CB0677" w:rsidRPr="00FD2055" w:rsidRDefault="00CB0677" w:rsidP="00CB0677">
            <w:pPr>
              <w:pStyle w:val="Standaard-Tabellen"/>
              <w:rPr>
                <w:rFonts w:eastAsia="Calibri"/>
              </w:rPr>
            </w:pPr>
          </w:p>
        </w:tc>
        <w:tc>
          <w:tcPr>
            <w:tcW w:w="1693" w:type="pct"/>
            <w:tcBorders>
              <w:top w:val="single" w:sz="18" w:space="0" w:color="auto"/>
            </w:tcBorders>
            <w:shd w:val="clear" w:color="auto" w:fill="auto"/>
            <w:tcMar>
              <w:top w:w="57" w:type="dxa"/>
              <w:bottom w:w="57" w:type="dxa"/>
            </w:tcMar>
          </w:tcPr>
          <w:p w14:paraId="318FFAB6" w14:textId="77777777" w:rsidR="00CB0677" w:rsidRPr="00FD2055" w:rsidRDefault="00CB0677" w:rsidP="00CB0677">
            <w:pPr>
              <w:pStyle w:val="Standaard-Tabellen"/>
              <w:tabs>
                <w:tab w:val="left" w:pos="1035"/>
              </w:tabs>
              <w:rPr>
                <w:rFonts w:eastAsia="Calibri"/>
              </w:rPr>
            </w:pPr>
            <w:r>
              <w:rPr>
                <w:rFonts w:eastAsia="Calibri"/>
                <w:lang w:eastAsia="en-US"/>
              </w:rPr>
              <w:t>Non-professionals, adult</w:t>
            </w:r>
          </w:p>
        </w:tc>
        <w:tc>
          <w:tcPr>
            <w:tcW w:w="1462" w:type="pct"/>
            <w:tcBorders>
              <w:top w:val="single" w:sz="18" w:space="0" w:color="auto"/>
            </w:tcBorders>
            <w:tcMar>
              <w:top w:w="57" w:type="dxa"/>
              <w:bottom w:w="57" w:type="dxa"/>
            </w:tcMar>
          </w:tcPr>
          <w:p w14:paraId="7B91E13E" w14:textId="77777777" w:rsidR="00CB0677" w:rsidRPr="00FD2055" w:rsidRDefault="00CB0677" w:rsidP="00CB0677">
            <w:pPr>
              <w:pStyle w:val="Standaard-Tabellen"/>
              <w:rPr>
                <w:rFonts w:eastAsia="Calibri"/>
              </w:rPr>
            </w:pPr>
            <w:r>
              <w:rPr>
                <w:rFonts w:eastAsia="Calibri"/>
                <w:lang w:eastAsia="en-US"/>
              </w:rPr>
              <w:t>Tier 1, no PPE, dermal, 7 applications/day</w:t>
            </w:r>
          </w:p>
        </w:tc>
        <w:tc>
          <w:tcPr>
            <w:tcW w:w="1192" w:type="pct"/>
            <w:tcBorders>
              <w:top w:val="single" w:sz="18" w:space="0" w:color="auto"/>
            </w:tcBorders>
            <w:shd w:val="clear" w:color="auto" w:fill="auto"/>
            <w:tcMar>
              <w:top w:w="57" w:type="dxa"/>
              <w:bottom w:w="57" w:type="dxa"/>
            </w:tcMar>
            <w:vAlign w:val="center"/>
          </w:tcPr>
          <w:p w14:paraId="267B1284" w14:textId="77777777" w:rsidR="00CB0677" w:rsidRPr="00892C32" w:rsidRDefault="00CB0677" w:rsidP="00CB0677">
            <w:pPr>
              <w:pStyle w:val="Standaard-Tabellen"/>
              <w:rPr>
                <w:rFonts w:eastAsia="Calibri"/>
                <w:highlight w:val="yellow"/>
              </w:rPr>
            </w:pPr>
            <w:r w:rsidRPr="00C96F98">
              <w:rPr>
                <w:rFonts w:cs="Arial"/>
              </w:rPr>
              <w:t xml:space="preserve">17.15 mg/kg </w:t>
            </w:r>
            <w:proofErr w:type="spellStart"/>
            <w:r w:rsidRPr="00C96F98">
              <w:rPr>
                <w:rFonts w:cs="Arial"/>
              </w:rPr>
              <w:t>bw</w:t>
            </w:r>
            <w:proofErr w:type="spellEnd"/>
            <w:r w:rsidRPr="00C96F98">
              <w:rPr>
                <w:rFonts w:cs="Arial"/>
              </w:rPr>
              <w:t>/day</w:t>
            </w:r>
          </w:p>
        </w:tc>
      </w:tr>
      <w:tr w:rsidR="00CB0677" w:rsidRPr="00FD2055" w14:paraId="23D2428F" w14:textId="77777777" w:rsidTr="00CB0677">
        <w:trPr>
          <w:tblHeader/>
        </w:trPr>
        <w:tc>
          <w:tcPr>
            <w:tcW w:w="653" w:type="pct"/>
            <w:vMerge/>
            <w:tcMar>
              <w:top w:w="57" w:type="dxa"/>
              <w:bottom w:w="57" w:type="dxa"/>
            </w:tcMar>
          </w:tcPr>
          <w:p w14:paraId="4E86600A" w14:textId="77777777" w:rsidR="00CB0677" w:rsidRPr="00FD2055" w:rsidRDefault="00CB0677" w:rsidP="00CB0677">
            <w:pPr>
              <w:pStyle w:val="Standaard-Tabellen"/>
              <w:rPr>
                <w:rFonts w:eastAsia="Calibri"/>
              </w:rPr>
            </w:pPr>
          </w:p>
        </w:tc>
        <w:tc>
          <w:tcPr>
            <w:tcW w:w="1693" w:type="pct"/>
            <w:shd w:val="clear" w:color="auto" w:fill="auto"/>
            <w:tcMar>
              <w:top w:w="57" w:type="dxa"/>
              <w:bottom w:w="57" w:type="dxa"/>
            </w:tcMar>
          </w:tcPr>
          <w:p w14:paraId="141F3953" w14:textId="77777777" w:rsidR="00CB0677" w:rsidRDefault="00CB0677" w:rsidP="00CB0677">
            <w:pPr>
              <w:pStyle w:val="Standaard-Tabellen"/>
              <w:tabs>
                <w:tab w:val="left" w:pos="1035"/>
              </w:tabs>
              <w:rPr>
                <w:rFonts w:eastAsia="Calibri"/>
              </w:rPr>
            </w:pPr>
            <w:r>
              <w:rPr>
                <w:rFonts w:eastAsia="Calibri"/>
                <w:lang w:eastAsia="en-US"/>
              </w:rPr>
              <w:t>Non-professionals, child (6-12)</w:t>
            </w:r>
          </w:p>
        </w:tc>
        <w:tc>
          <w:tcPr>
            <w:tcW w:w="1462" w:type="pct"/>
            <w:tcMar>
              <w:top w:w="57" w:type="dxa"/>
              <w:bottom w:w="57" w:type="dxa"/>
            </w:tcMar>
          </w:tcPr>
          <w:p w14:paraId="0CE6E8E4" w14:textId="77777777" w:rsidR="00CB0677" w:rsidRPr="00FD2055" w:rsidRDefault="00CB0677" w:rsidP="00CB0677">
            <w:pPr>
              <w:pStyle w:val="Standaard-Tabellen"/>
              <w:rPr>
                <w:rFonts w:eastAsia="Calibri"/>
              </w:rPr>
            </w:pPr>
            <w:r>
              <w:rPr>
                <w:rFonts w:eastAsia="Calibri"/>
                <w:lang w:eastAsia="en-US"/>
              </w:rPr>
              <w:t>Tier 1, no PPE, dermal, 4 applications/day</w:t>
            </w:r>
          </w:p>
        </w:tc>
        <w:tc>
          <w:tcPr>
            <w:tcW w:w="1192" w:type="pct"/>
            <w:shd w:val="clear" w:color="auto" w:fill="auto"/>
            <w:tcMar>
              <w:top w:w="57" w:type="dxa"/>
              <w:bottom w:w="57" w:type="dxa"/>
            </w:tcMar>
            <w:vAlign w:val="center"/>
          </w:tcPr>
          <w:p w14:paraId="11812E19" w14:textId="77777777" w:rsidR="00CB0677" w:rsidRPr="00892C32" w:rsidRDefault="00CB0677" w:rsidP="00CB0677">
            <w:pPr>
              <w:pStyle w:val="Standaard-Tabellen"/>
              <w:rPr>
                <w:rFonts w:eastAsia="Calibri"/>
                <w:highlight w:val="yellow"/>
              </w:rPr>
            </w:pPr>
            <w:r w:rsidRPr="00C96F98">
              <w:rPr>
                <w:rFonts w:cs="Arial"/>
              </w:rPr>
              <w:t xml:space="preserve">13.63 mg/kg </w:t>
            </w:r>
            <w:proofErr w:type="spellStart"/>
            <w:r w:rsidRPr="00C96F98">
              <w:rPr>
                <w:rFonts w:cs="Arial"/>
              </w:rPr>
              <w:t>bw</w:t>
            </w:r>
            <w:proofErr w:type="spellEnd"/>
            <w:r w:rsidRPr="00C96F98">
              <w:rPr>
                <w:rFonts w:cs="Arial"/>
              </w:rPr>
              <w:t>/day</w:t>
            </w:r>
          </w:p>
        </w:tc>
      </w:tr>
      <w:tr w:rsidR="00CB0677" w:rsidRPr="00FD2055" w14:paraId="5F8335ED" w14:textId="77777777" w:rsidTr="00CB0677">
        <w:trPr>
          <w:tblHeader/>
        </w:trPr>
        <w:tc>
          <w:tcPr>
            <w:tcW w:w="653" w:type="pct"/>
            <w:vMerge/>
            <w:tcMar>
              <w:top w:w="57" w:type="dxa"/>
              <w:bottom w:w="57" w:type="dxa"/>
            </w:tcMar>
          </w:tcPr>
          <w:p w14:paraId="54503ABE" w14:textId="77777777" w:rsidR="00CB0677" w:rsidRPr="00FD2055" w:rsidRDefault="00CB0677" w:rsidP="00CB0677">
            <w:pPr>
              <w:pStyle w:val="Standaard-Tabellen"/>
              <w:rPr>
                <w:rFonts w:eastAsia="Calibri"/>
              </w:rPr>
            </w:pPr>
          </w:p>
        </w:tc>
        <w:tc>
          <w:tcPr>
            <w:tcW w:w="1693" w:type="pct"/>
            <w:shd w:val="clear" w:color="auto" w:fill="auto"/>
            <w:tcMar>
              <w:top w:w="57" w:type="dxa"/>
              <w:bottom w:w="57" w:type="dxa"/>
            </w:tcMar>
          </w:tcPr>
          <w:p w14:paraId="24EA8037" w14:textId="77777777" w:rsidR="00CB0677" w:rsidRDefault="00CB0677" w:rsidP="00CB0677">
            <w:pPr>
              <w:pStyle w:val="Standaard-Tabellen"/>
              <w:tabs>
                <w:tab w:val="left" w:pos="1035"/>
              </w:tabs>
              <w:rPr>
                <w:rFonts w:eastAsia="Calibri"/>
                <w:lang w:eastAsia="en-US"/>
              </w:rPr>
            </w:pPr>
            <w:r>
              <w:rPr>
                <w:rFonts w:eastAsia="Calibri"/>
                <w:lang w:eastAsia="en-US"/>
              </w:rPr>
              <w:t>Non-professionals, child (2-6)</w:t>
            </w:r>
          </w:p>
        </w:tc>
        <w:tc>
          <w:tcPr>
            <w:tcW w:w="1462" w:type="pct"/>
            <w:tcMar>
              <w:top w:w="57" w:type="dxa"/>
              <w:bottom w:w="57" w:type="dxa"/>
            </w:tcMar>
          </w:tcPr>
          <w:p w14:paraId="534574C1" w14:textId="77777777" w:rsidR="00CB0677" w:rsidRDefault="00CB0677" w:rsidP="00CB0677">
            <w:pPr>
              <w:pStyle w:val="Standaard-Tabellen"/>
              <w:rPr>
                <w:rFonts w:eastAsia="Calibri"/>
                <w:lang w:eastAsia="en-US"/>
              </w:rPr>
            </w:pPr>
            <w:r>
              <w:rPr>
                <w:rFonts w:eastAsia="Calibri"/>
                <w:lang w:eastAsia="en-US"/>
              </w:rPr>
              <w:t>Tier 1, no PPE, dermal, 2 applications/day</w:t>
            </w:r>
          </w:p>
        </w:tc>
        <w:tc>
          <w:tcPr>
            <w:tcW w:w="1192" w:type="pct"/>
            <w:shd w:val="clear" w:color="auto" w:fill="auto"/>
            <w:tcMar>
              <w:top w:w="57" w:type="dxa"/>
              <w:bottom w:w="57" w:type="dxa"/>
            </w:tcMar>
            <w:vAlign w:val="center"/>
          </w:tcPr>
          <w:p w14:paraId="2A9CE17D" w14:textId="77777777" w:rsidR="00CB0677" w:rsidRPr="00892C32" w:rsidRDefault="00CB0677" w:rsidP="00CB0677">
            <w:pPr>
              <w:pStyle w:val="Standaard-Tabellen"/>
              <w:rPr>
                <w:rFonts w:cs="Arial"/>
                <w:highlight w:val="yellow"/>
              </w:rPr>
            </w:pPr>
            <w:r w:rsidRPr="00C96F98">
              <w:rPr>
                <w:rFonts w:cs="Arial"/>
              </w:rPr>
              <w:t xml:space="preserve">7.72 mg/kg </w:t>
            </w:r>
            <w:proofErr w:type="spellStart"/>
            <w:r w:rsidRPr="00C96F98">
              <w:rPr>
                <w:rFonts w:cs="Arial"/>
              </w:rPr>
              <w:t>bw</w:t>
            </w:r>
            <w:proofErr w:type="spellEnd"/>
            <w:r w:rsidRPr="00C96F98">
              <w:rPr>
                <w:rFonts w:cs="Arial"/>
              </w:rPr>
              <w:t>/day</w:t>
            </w:r>
          </w:p>
        </w:tc>
      </w:tr>
      <w:tr w:rsidR="00CB0677" w:rsidRPr="00FD2055" w14:paraId="7AD74F9E" w14:textId="77777777" w:rsidTr="00CB0677">
        <w:trPr>
          <w:tblHeader/>
        </w:trPr>
        <w:tc>
          <w:tcPr>
            <w:tcW w:w="653" w:type="pct"/>
            <w:vMerge/>
            <w:tcMar>
              <w:top w:w="57" w:type="dxa"/>
              <w:bottom w:w="57" w:type="dxa"/>
            </w:tcMar>
          </w:tcPr>
          <w:p w14:paraId="47B8A3CF" w14:textId="77777777" w:rsidR="00CB0677" w:rsidRPr="00FD2055" w:rsidRDefault="00CB0677" w:rsidP="00CB0677">
            <w:pPr>
              <w:pStyle w:val="Standaard-Tabellen"/>
              <w:rPr>
                <w:rFonts w:eastAsia="Calibri"/>
              </w:rPr>
            </w:pPr>
          </w:p>
        </w:tc>
        <w:tc>
          <w:tcPr>
            <w:tcW w:w="1693" w:type="pct"/>
            <w:shd w:val="clear" w:color="auto" w:fill="auto"/>
            <w:tcMar>
              <w:top w:w="57" w:type="dxa"/>
              <w:bottom w:w="57" w:type="dxa"/>
            </w:tcMar>
          </w:tcPr>
          <w:p w14:paraId="11710675" w14:textId="77777777" w:rsidR="00CB0677" w:rsidRDefault="00CB0677" w:rsidP="00CB0677">
            <w:pPr>
              <w:pStyle w:val="Standaard-Tabellen"/>
              <w:tabs>
                <w:tab w:val="left" w:pos="1035"/>
              </w:tabs>
              <w:rPr>
                <w:rFonts w:eastAsia="Calibri"/>
              </w:rPr>
            </w:pPr>
            <w:r>
              <w:rPr>
                <w:rFonts w:eastAsia="Calibri"/>
                <w:lang w:eastAsia="en-US"/>
              </w:rPr>
              <w:t>Non-professionals, toddler</w:t>
            </w:r>
          </w:p>
        </w:tc>
        <w:tc>
          <w:tcPr>
            <w:tcW w:w="1462" w:type="pct"/>
            <w:tcMar>
              <w:top w:w="57" w:type="dxa"/>
              <w:bottom w:w="57" w:type="dxa"/>
            </w:tcMar>
          </w:tcPr>
          <w:p w14:paraId="38116A35" w14:textId="77777777" w:rsidR="00CB0677" w:rsidRPr="00FD2055" w:rsidRDefault="00CB0677" w:rsidP="00CB0677">
            <w:pPr>
              <w:pStyle w:val="Standaard-Tabellen"/>
              <w:rPr>
                <w:rFonts w:eastAsia="Calibri"/>
              </w:rPr>
            </w:pPr>
            <w:r>
              <w:rPr>
                <w:rFonts w:eastAsia="Calibri"/>
                <w:lang w:eastAsia="en-US"/>
              </w:rPr>
              <w:t>Tier 1, no PPE, dermal, 2 applications/day</w:t>
            </w:r>
          </w:p>
        </w:tc>
        <w:tc>
          <w:tcPr>
            <w:tcW w:w="1192" w:type="pct"/>
            <w:shd w:val="clear" w:color="auto" w:fill="auto"/>
            <w:tcMar>
              <w:top w:w="57" w:type="dxa"/>
              <w:bottom w:w="57" w:type="dxa"/>
            </w:tcMar>
            <w:vAlign w:val="center"/>
          </w:tcPr>
          <w:p w14:paraId="0F243379" w14:textId="77777777" w:rsidR="00CB0677" w:rsidRPr="00892C32" w:rsidRDefault="00CB0677" w:rsidP="00CB0677">
            <w:pPr>
              <w:pStyle w:val="Standaard-Tabellen"/>
              <w:rPr>
                <w:rFonts w:eastAsia="Calibri"/>
                <w:highlight w:val="yellow"/>
              </w:rPr>
            </w:pPr>
            <w:r w:rsidRPr="00C96F98">
              <w:rPr>
                <w:rFonts w:cs="Arial"/>
              </w:rPr>
              <w:t xml:space="preserve">8.50 mg/kg </w:t>
            </w:r>
            <w:proofErr w:type="spellStart"/>
            <w:r w:rsidRPr="00C96F98">
              <w:rPr>
                <w:rFonts w:cs="Arial"/>
              </w:rPr>
              <w:t>bw</w:t>
            </w:r>
            <w:proofErr w:type="spellEnd"/>
            <w:r w:rsidRPr="00C96F98">
              <w:rPr>
                <w:rFonts w:cs="Arial"/>
              </w:rPr>
              <w:t>/day</w:t>
            </w:r>
          </w:p>
        </w:tc>
      </w:tr>
      <w:tr w:rsidR="00CB0677" w:rsidRPr="00FD2055" w14:paraId="680DAAF7" w14:textId="77777777" w:rsidTr="00CB0677">
        <w:trPr>
          <w:tblHeader/>
        </w:trPr>
        <w:tc>
          <w:tcPr>
            <w:tcW w:w="653" w:type="pct"/>
            <w:vMerge/>
            <w:tcMar>
              <w:top w:w="57" w:type="dxa"/>
              <w:bottom w:w="57" w:type="dxa"/>
            </w:tcMar>
          </w:tcPr>
          <w:p w14:paraId="3116561D" w14:textId="77777777" w:rsidR="00CB0677" w:rsidRPr="00FD2055" w:rsidRDefault="00CB0677" w:rsidP="00CB0677">
            <w:pPr>
              <w:pStyle w:val="Standaard-Tabellen"/>
              <w:rPr>
                <w:rFonts w:eastAsia="Calibri"/>
              </w:rPr>
            </w:pPr>
          </w:p>
        </w:tc>
        <w:tc>
          <w:tcPr>
            <w:tcW w:w="1693" w:type="pct"/>
            <w:tcBorders>
              <w:bottom w:val="double" w:sz="4" w:space="0" w:color="auto"/>
            </w:tcBorders>
            <w:shd w:val="clear" w:color="auto" w:fill="auto"/>
            <w:tcMar>
              <w:top w:w="57" w:type="dxa"/>
              <w:bottom w:w="57" w:type="dxa"/>
            </w:tcMar>
          </w:tcPr>
          <w:p w14:paraId="40F257CC" w14:textId="77777777" w:rsidR="00CB0677" w:rsidRDefault="00CB0677" w:rsidP="00CB0677">
            <w:pPr>
              <w:pStyle w:val="Standaard-Tabellen"/>
              <w:tabs>
                <w:tab w:val="left" w:pos="1035"/>
              </w:tabs>
              <w:rPr>
                <w:rFonts w:eastAsia="Calibri"/>
                <w:lang w:eastAsia="en-US"/>
              </w:rPr>
            </w:pPr>
            <w:r>
              <w:rPr>
                <w:rFonts w:eastAsia="Calibri"/>
                <w:lang w:eastAsia="en-US"/>
              </w:rPr>
              <w:t>Non-professionals, infant</w:t>
            </w:r>
          </w:p>
        </w:tc>
        <w:tc>
          <w:tcPr>
            <w:tcW w:w="1462" w:type="pct"/>
            <w:tcBorders>
              <w:bottom w:val="double" w:sz="4" w:space="0" w:color="auto"/>
            </w:tcBorders>
            <w:tcMar>
              <w:top w:w="57" w:type="dxa"/>
              <w:bottom w:w="57" w:type="dxa"/>
            </w:tcMar>
          </w:tcPr>
          <w:p w14:paraId="2C1F0EF8" w14:textId="77777777" w:rsidR="00CB0677" w:rsidRDefault="00CB0677" w:rsidP="00CB0677">
            <w:pPr>
              <w:pStyle w:val="Standaard-Tabellen"/>
              <w:rPr>
                <w:rFonts w:eastAsia="Calibri"/>
                <w:lang w:eastAsia="en-US"/>
              </w:rPr>
            </w:pPr>
            <w:r>
              <w:rPr>
                <w:rFonts w:eastAsia="Calibri"/>
                <w:lang w:eastAsia="en-US"/>
              </w:rPr>
              <w:t>Tier 1, no PPE, dermal, 2 applications/day</w:t>
            </w:r>
          </w:p>
        </w:tc>
        <w:tc>
          <w:tcPr>
            <w:tcW w:w="1192" w:type="pct"/>
            <w:tcBorders>
              <w:bottom w:val="double" w:sz="4" w:space="0" w:color="auto"/>
            </w:tcBorders>
            <w:shd w:val="clear" w:color="auto" w:fill="auto"/>
            <w:tcMar>
              <w:top w:w="57" w:type="dxa"/>
              <w:bottom w:w="57" w:type="dxa"/>
            </w:tcMar>
            <w:vAlign w:val="center"/>
          </w:tcPr>
          <w:p w14:paraId="3E8DFC1D" w14:textId="77777777" w:rsidR="00CB0677" w:rsidRPr="00892C32" w:rsidRDefault="00CB0677" w:rsidP="00CB0677">
            <w:pPr>
              <w:pStyle w:val="Standaard-Tabellen"/>
              <w:rPr>
                <w:rFonts w:cs="Arial"/>
                <w:highlight w:val="yellow"/>
              </w:rPr>
            </w:pPr>
            <w:r w:rsidRPr="00C96F98">
              <w:rPr>
                <w:rFonts w:cs="Arial"/>
              </w:rPr>
              <w:t xml:space="preserve">9.08 mg/kg </w:t>
            </w:r>
            <w:proofErr w:type="spellStart"/>
            <w:r w:rsidRPr="00C96F98">
              <w:rPr>
                <w:rFonts w:cs="Arial"/>
              </w:rPr>
              <w:t>bw</w:t>
            </w:r>
            <w:proofErr w:type="spellEnd"/>
            <w:r w:rsidRPr="00C96F98">
              <w:rPr>
                <w:rFonts w:cs="Arial"/>
              </w:rPr>
              <w:t>/day</w:t>
            </w:r>
          </w:p>
        </w:tc>
      </w:tr>
      <w:tr w:rsidR="00CB0677" w:rsidRPr="00FD2055" w14:paraId="2C3AD6E5" w14:textId="77777777" w:rsidTr="00CB0677">
        <w:trPr>
          <w:tblHeader/>
        </w:trPr>
        <w:tc>
          <w:tcPr>
            <w:tcW w:w="653" w:type="pct"/>
            <w:vMerge/>
            <w:tcMar>
              <w:top w:w="57" w:type="dxa"/>
              <w:bottom w:w="57" w:type="dxa"/>
            </w:tcMar>
          </w:tcPr>
          <w:p w14:paraId="6F64BC0A" w14:textId="77777777" w:rsidR="00CB0677" w:rsidRPr="00FD2055" w:rsidRDefault="00CB0677" w:rsidP="00CB0677">
            <w:pPr>
              <w:pStyle w:val="Standaard-Tabellen"/>
              <w:rPr>
                <w:rFonts w:eastAsia="Calibri"/>
              </w:rPr>
            </w:pPr>
          </w:p>
        </w:tc>
        <w:tc>
          <w:tcPr>
            <w:tcW w:w="1693" w:type="pct"/>
            <w:tcBorders>
              <w:top w:val="double" w:sz="4" w:space="0" w:color="auto"/>
            </w:tcBorders>
            <w:shd w:val="clear" w:color="auto" w:fill="auto"/>
            <w:tcMar>
              <w:top w:w="57" w:type="dxa"/>
              <w:bottom w:w="57" w:type="dxa"/>
            </w:tcMar>
          </w:tcPr>
          <w:p w14:paraId="068EC492" w14:textId="77777777" w:rsidR="00CB0677" w:rsidRDefault="00CB0677" w:rsidP="00CB0677">
            <w:pPr>
              <w:pStyle w:val="Standaard-Tabellen"/>
              <w:tabs>
                <w:tab w:val="left" w:pos="1035"/>
              </w:tabs>
              <w:rPr>
                <w:rFonts w:eastAsia="Calibri"/>
                <w:lang w:eastAsia="en-US"/>
              </w:rPr>
            </w:pPr>
            <w:r>
              <w:rPr>
                <w:rFonts w:eastAsia="Calibri"/>
                <w:lang w:eastAsia="en-US"/>
              </w:rPr>
              <w:t>Non-professionals, adult</w:t>
            </w:r>
          </w:p>
        </w:tc>
        <w:tc>
          <w:tcPr>
            <w:tcW w:w="1462" w:type="pct"/>
            <w:tcBorders>
              <w:top w:val="double" w:sz="4" w:space="0" w:color="auto"/>
            </w:tcBorders>
            <w:tcMar>
              <w:top w:w="57" w:type="dxa"/>
              <w:bottom w:w="57" w:type="dxa"/>
            </w:tcMar>
          </w:tcPr>
          <w:p w14:paraId="2E17CF1C" w14:textId="77777777" w:rsidR="00CB0677" w:rsidRDefault="00CB0677" w:rsidP="00CB0677">
            <w:pPr>
              <w:pStyle w:val="Standaard-Tabellen"/>
              <w:rPr>
                <w:rFonts w:eastAsia="Calibri"/>
                <w:lang w:eastAsia="en-US"/>
              </w:rPr>
            </w:pPr>
            <w:r w:rsidRPr="008A5992">
              <w:rPr>
                <w:rFonts w:eastAsia="Calibri"/>
                <w:lang w:eastAsia="en-US"/>
              </w:rPr>
              <w:t xml:space="preserve">Tier </w:t>
            </w:r>
            <w:r>
              <w:rPr>
                <w:rFonts w:eastAsia="Calibri"/>
                <w:lang w:eastAsia="en-US"/>
              </w:rPr>
              <w:t>2, no PPE, dermal, 6</w:t>
            </w:r>
            <w:r w:rsidRPr="008A5992">
              <w:rPr>
                <w:rFonts w:eastAsia="Calibri"/>
                <w:lang w:eastAsia="en-US"/>
              </w:rPr>
              <w:t xml:space="preserve"> applications/day</w:t>
            </w:r>
          </w:p>
        </w:tc>
        <w:tc>
          <w:tcPr>
            <w:tcW w:w="1192" w:type="pct"/>
            <w:tcBorders>
              <w:top w:val="double" w:sz="4" w:space="0" w:color="auto"/>
            </w:tcBorders>
            <w:shd w:val="clear" w:color="auto" w:fill="auto"/>
            <w:tcMar>
              <w:top w:w="57" w:type="dxa"/>
              <w:bottom w:w="57" w:type="dxa"/>
            </w:tcMar>
            <w:vAlign w:val="center"/>
          </w:tcPr>
          <w:p w14:paraId="6271363E" w14:textId="77777777" w:rsidR="00CB0677" w:rsidRPr="00892C32" w:rsidRDefault="00CB0677" w:rsidP="00CB0677">
            <w:pPr>
              <w:pStyle w:val="Standaard-Tabellen"/>
              <w:rPr>
                <w:rFonts w:cs="Arial"/>
                <w:highlight w:val="yellow"/>
              </w:rPr>
            </w:pPr>
            <w:r w:rsidRPr="00C96F98">
              <w:rPr>
                <w:rFonts w:cs="Arial"/>
              </w:rPr>
              <w:t xml:space="preserve">14.70 mg/kg </w:t>
            </w:r>
            <w:proofErr w:type="spellStart"/>
            <w:r w:rsidRPr="00C96F98">
              <w:rPr>
                <w:rFonts w:cs="Arial"/>
              </w:rPr>
              <w:t>bw</w:t>
            </w:r>
            <w:proofErr w:type="spellEnd"/>
            <w:r w:rsidRPr="00C96F98">
              <w:rPr>
                <w:rFonts w:cs="Arial"/>
              </w:rPr>
              <w:t>/day</w:t>
            </w:r>
          </w:p>
        </w:tc>
      </w:tr>
      <w:tr w:rsidR="00CB0677" w:rsidRPr="00FD2055" w14:paraId="2C27CD78" w14:textId="77777777" w:rsidTr="00CB0677">
        <w:trPr>
          <w:tblHeader/>
        </w:trPr>
        <w:tc>
          <w:tcPr>
            <w:tcW w:w="653" w:type="pct"/>
            <w:vMerge/>
            <w:tcMar>
              <w:top w:w="57" w:type="dxa"/>
              <w:bottom w:w="57" w:type="dxa"/>
            </w:tcMar>
          </w:tcPr>
          <w:p w14:paraId="6852D805" w14:textId="77777777" w:rsidR="00CB0677" w:rsidRPr="00FD2055" w:rsidRDefault="00CB0677" w:rsidP="00CB0677">
            <w:pPr>
              <w:pStyle w:val="Standaard-Tabellen"/>
              <w:rPr>
                <w:rFonts w:eastAsia="Calibri"/>
              </w:rPr>
            </w:pPr>
          </w:p>
        </w:tc>
        <w:tc>
          <w:tcPr>
            <w:tcW w:w="1693" w:type="pct"/>
            <w:shd w:val="clear" w:color="auto" w:fill="auto"/>
            <w:tcMar>
              <w:top w:w="57" w:type="dxa"/>
              <w:bottom w:w="57" w:type="dxa"/>
            </w:tcMar>
          </w:tcPr>
          <w:p w14:paraId="4D3626EF" w14:textId="77777777" w:rsidR="00CB0677" w:rsidRDefault="00CB0677" w:rsidP="00CB0677">
            <w:pPr>
              <w:pStyle w:val="Standaard-Tabellen"/>
              <w:tabs>
                <w:tab w:val="left" w:pos="1035"/>
              </w:tabs>
              <w:rPr>
                <w:rFonts w:eastAsia="Calibri"/>
                <w:lang w:eastAsia="en-US"/>
              </w:rPr>
            </w:pPr>
            <w:r>
              <w:rPr>
                <w:rFonts w:eastAsia="Calibri"/>
                <w:lang w:eastAsia="en-US"/>
              </w:rPr>
              <w:t>Non-professionals, child (6-12)</w:t>
            </w:r>
          </w:p>
        </w:tc>
        <w:tc>
          <w:tcPr>
            <w:tcW w:w="1462" w:type="pct"/>
            <w:tcMar>
              <w:top w:w="57" w:type="dxa"/>
              <w:bottom w:w="57" w:type="dxa"/>
            </w:tcMar>
          </w:tcPr>
          <w:p w14:paraId="318086FA" w14:textId="77777777" w:rsidR="00CB0677" w:rsidRDefault="00CB0677" w:rsidP="00CB0677">
            <w:pPr>
              <w:pStyle w:val="Standaard-Tabellen"/>
              <w:rPr>
                <w:rFonts w:eastAsia="Calibri"/>
                <w:lang w:eastAsia="en-US"/>
              </w:rPr>
            </w:pPr>
            <w:r>
              <w:rPr>
                <w:rFonts w:eastAsia="Calibri"/>
                <w:lang w:eastAsia="en-US"/>
              </w:rPr>
              <w:t>Tier 2, no PPE, dermal, 3 applications/day</w:t>
            </w:r>
          </w:p>
        </w:tc>
        <w:tc>
          <w:tcPr>
            <w:tcW w:w="1192" w:type="pct"/>
            <w:shd w:val="clear" w:color="auto" w:fill="auto"/>
            <w:tcMar>
              <w:top w:w="57" w:type="dxa"/>
              <w:bottom w:w="57" w:type="dxa"/>
            </w:tcMar>
            <w:vAlign w:val="center"/>
          </w:tcPr>
          <w:p w14:paraId="2AC6EABB" w14:textId="77777777" w:rsidR="00CB0677" w:rsidRPr="00892C32" w:rsidRDefault="00CB0677" w:rsidP="00CB0677">
            <w:pPr>
              <w:pStyle w:val="Standaard-Tabellen"/>
              <w:rPr>
                <w:highlight w:val="yellow"/>
              </w:rPr>
            </w:pPr>
            <w:r w:rsidRPr="00C96F98">
              <w:rPr>
                <w:rFonts w:cs="Arial"/>
              </w:rPr>
              <w:t xml:space="preserve">10.23 mg/kg </w:t>
            </w:r>
            <w:proofErr w:type="spellStart"/>
            <w:r w:rsidRPr="00C96F98">
              <w:rPr>
                <w:rFonts w:cs="Arial"/>
              </w:rPr>
              <w:t>bw</w:t>
            </w:r>
            <w:proofErr w:type="spellEnd"/>
            <w:r w:rsidRPr="00C96F98">
              <w:rPr>
                <w:rFonts w:cs="Arial"/>
              </w:rPr>
              <w:t>/day</w:t>
            </w:r>
          </w:p>
        </w:tc>
      </w:tr>
      <w:tr w:rsidR="00CB0677" w:rsidRPr="00FD2055" w14:paraId="1E688DAB" w14:textId="77777777" w:rsidTr="00CB0677">
        <w:trPr>
          <w:tblHeader/>
        </w:trPr>
        <w:tc>
          <w:tcPr>
            <w:tcW w:w="653" w:type="pct"/>
            <w:vMerge/>
            <w:tcMar>
              <w:top w:w="57" w:type="dxa"/>
              <w:bottom w:w="57" w:type="dxa"/>
            </w:tcMar>
          </w:tcPr>
          <w:p w14:paraId="0E023DA7" w14:textId="77777777" w:rsidR="00CB0677" w:rsidRPr="00FD2055" w:rsidRDefault="00CB0677" w:rsidP="00CB0677">
            <w:pPr>
              <w:pStyle w:val="Standaard-Tabellen"/>
              <w:rPr>
                <w:rFonts w:eastAsia="Calibri"/>
              </w:rPr>
            </w:pPr>
          </w:p>
        </w:tc>
        <w:tc>
          <w:tcPr>
            <w:tcW w:w="1693" w:type="pct"/>
            <w:tcBorders>
              <w:bottom w:val="single" w:sz="4" w:space="0" w:color="auto"/>
            </w:tcBorders>
            <w:shd w:val="clear" w:color="auto" w:fill="auto"/>
            <w:tcMar>
              <w:top w:w="57" w:type="dxa"/>
              <w:bottom w:w="57" w:type="dxa"/>
            </w:tcMar>
          </w:tcPr>
          <w:p w14:paraId="0703E6F8" w14:textId="77777777" w:rsidR="00CB0677" w:rsidRDefault="00CB0677" w:rsidP="00CB0677">
            <w:pPr>
              <w:pStyle w:val="Standaard-Tabellen"/>
              <w:tabs>
                <w:tab w:val="left" w:pos="1035"/>
              </w:tabs>
              <w:rPr>
                <w:rFonts w:eastAsia="Calibri"/>
                <w:lang w:eastAsia="en-US"/>
              </w:rPr>
            </w:pPr>
            <w:r>
              <w:rPr>
                <w:rFonts w:eastAsia="Calibri"/>
                <w:lang w:eastAsia="en-US"/>
              </w:rPr>
              <w:t>Non-professionals, child (2-6)</w:t>
            </w:r>
          </w:p>
        </w:tc>
        <w:tc>
          <w:tcPr>
            <w:tcW w:w="1462" w:type="pct"/>
            <w:tcBorders>
              <w:bottom w:val="single" w:sz="4" w:space="0" w:color="auto"/>
            </w:tcBorders>
            <w:tcMar>
              <w:top w:w="57" w:type="dxa"/>
              <w:bottom w:w="57" w:type="dxa"/>
            </w:tcMar>
          </w:tcPr>
          <w:p w14:paraId="3BC06D85" w14:textId="77777777" w:rsidR="00CB0677" w:rsidRDefault="00CB0677" w:rsidP="00CB0677">
            <w:pPr>
              <w:pStyle w:val="Standaard-Tabellen"/>
              <w:rPr>
                <w:rFonts w:eastAsia="Calibri"/>
                <w:lang w:eastAsia="en-US"/>
              </w:rPr>
            </w:pPr>
            <w:r>
              <w:rPr>
                <w:rFonts w:eastAsia="Calibri"/>
                <w:lang w:eastAsia="en-US"/>
              </w:rPr>
              <w:t>Tier 2, no PPE, dermal, 1 application/day</w:t>
            </w:r>
          </w:p>
        </w:tc>
        <w:tc>
          <w:tcPr>
            <w:tcW w:w="1192" w:type="pct"/>
            <w:shd w:val="clear" w:color="auto" w:fill="auto"/>
            <w:tcMar>
              <w:top w:w="57" w:type="dxa"/>
              <w:bottom w:w="57" w:type="dxa"/>
            </w:tcMar>
            <w:vAlign w:val="center"/>
          </w:tcPr>
          <w:p w14:paraId="60364E59" w14:textId="77777777" w:rsidR="00CB0677" w:rsidRPr="00892C32" w:rsidRDefault="00CB0677" w:rsidP="00CB0677">
            <w:pPr>
              <w:pStyle w:val="Standaard-Tabellen"/>
              <w:rPr>
                <w:highlight w:val="yellow"/>
              </w:rPr>
            </w:pPr>
            <w:r w:rsidRPr="00C96F98">
              <w:rPr>
                <w:rFonts w:cs="Arial"/>
              </w:rPr>
              <w:t xml:space="preserve">3.86 mg/kg </w:t>
            </w:r>
            <w:proofErr w:type="spellStart"/>
            <w:r w:rsidRPr="00C96F98">
              <w:rPr>
                <w:rFonts w:cs="Arial"/>
              </w:rPr>
              <w:t>bw</w:t>
            </w:r>
            <w:proofErr w:type="spellEnd"/>
            <w:r w:rsidRPr="00C96F98">
              <w:rPr>
                <w:rFonts w:cs="Arial"/>
              </w:rPr>
              <w:t>/day</w:t>
            </w:r>
          </w:p>
        </w:tc>
      </w:tr>
      <w:tr w:rsidR="00CB0677" w:rsidRPr="00FD2055" w14:paraId="6C829E61" w14:textId="77777777" w:rsidTr="00CB0677">
        <w:trPr>
          <w:tblHeader/>
        </w:trPr>
        <w:tc>
          <w:tcPr>
            <w:tcW w:w="653" w:type="pct"/>
            <w:vMerge/>
            <w:tcMar>
              <w:top w:w="57" w:type="dxa"/>
              <w:bottom w:w="57" w:type="dxa"/>
            </w:tcMar>
          </w:tcPr>
          <w:p w14:paraId="2C0F8ABA" w14:textId="77777777" w:rsidR="00CB0677" w:rsidRPr="00FD2055" w:rsidRDefault="00CB0677" w:rsidP="00CB0677">
            <w:pPr>
              <w:pStyle w:val="Standaard-Tabellen"/>
              <w:rPr>
                <w:rFonts w:eastAsia="Calibri"/>
              </w:rPr>
            </w:pPr>
          </w:p>
        </w:tc>
        <w:tc>
          <w:tcPr>
            <w:tcW w:w="1693" w:type="pct"/>
            <w:tcBorders>
              <w:top w:val="single" w:sz="4" w:space="0" w:color="auto"/>
            </w:tcBorders>
            <w:shd w:val="clear" w:color="auto" w:fill="auto"/>
            <w:tcMar>
              <w:top w:w="57" w:type="dxa"/>
              <w:bottom w:w="57" w:type="dxa"/>
            </w:tcMar>
          </w:tcPr>
          <w:p w14:paraId="6B49BE7C" w14:textId="77777777" w:rsidR="00CB0677" w:rsidRDefault="00CB0677" w:rsidP="00CB0677">
            <w:pPr>
              <w:pStyle w:val="Standaard-Tabellen"/>
              <w:tabs>
                <w:tab w:val="left" w:pos="1035"/>
              </w:tabs>
              <w:rPr>
                <w:rFonts w:eastAsia="Calibri"/>
                <w:lang w:eastAsia="en-US"/>
              </w:rPr>
            </w:pPr>
            <w:r>
              <w:rPr>
                <w:rFonts w:eastAsia="Calibri"/>
                <w:lang w:eastAsia="en-US"/>
              </w:rPr>
              <w:t>Non-professionals, toddler</w:t>
            </w:r>
          </w:p>
        </w:tc>
        <w:tc>
          <w:tcPr>
            <w:tcW w:w="1462" w:type="pct"/>
            <w:tcBorders>
              <w:top w:val="single" w:sz="4" w:space="0" w:color="auto"/>
            </w:tcBorders>
            <w:tcMar>
              <w:top w:w="57" w:type="dxa"/>
              <w:bottom w:w="57" w:type="dxa"/>
            </w:tcMar>
          </w:tcPr>
          <w:p w14:paraId="071D8EBD" w14:textId="77777777" w:rsidR="00CB0677" w:rsidRDefault="00CB0677" w:rsidP="00CB0677">
            <w:pPr>
              <w:pStyle w:val="Standaard-Tabellen"/>
              <w:rPr>
                <w:rFonts w:eastAsia="Calibri"/>
                <w:lang w:eastAsia="en-US"/>
              </w:rPr>
            </w:pPr>
            <w:r>
              <w:rPr>
                <w:rFonts w:eastAsia="Calibri"/>
                <w:lang w:eastAsia="en-US"/>
              </w:rPr>
              <w:t>Tier 2, no PPE, dermal, 1 application/day</w:t>
            </w:r>
          </w:p>
        </w:tc>
        <w:tc>
          <w:tcPr>
            <w:tcW w:w="1192" w:type="pct"/>
            <w:shd w:val="clear" w:color="auto" w:fill="auto"/>
            <w:tcMar>
              <w:top w:w="57" w:type="dxa"/>
              <w:bottom w:w="57" w:type="dxa"/>
            </w:tcMar>
            <w:vAlign w:val="center"/>
          </w:tcPr>
          <w:p w14:paraId="13F9AD86" w14:textId="77777777" w:rsidR="00CB0677" w:rsidRPr="00892C32" w:rsidRDefault="00CB0677" w:rsidP="00CB0677">
            <w:pPr>
              <w:pStyle w:val="Standaard-Tabellen"/>
              <w:rPr>
                <w:rFonts w:cs="Arial"/>
                <w:highlight w:val="yellow"/>
              </w:rPr>
            </w:pPr>
            <w:r w:rsidRPr="00C96F98">
              <w:rPr>
                <w:rFonts w:cs="Arial"/>
              </w:rPr>
              <w:t xml:space="preserve">4.25 mg/kg </w:t>
            </w:r>
            <w:proofErr w:type="spellStart"/>
            <w:r w:rsidRPr="00C96F98">
              <w:rPr>
                <w:rFonts w:cs="Arial"/>
              </w:rPr>
              <w:t>bw</w:t>
            </w:r>
            <w:proofErr w:type="spellEnd"/>
            <w:r w:rsidRPr="00C96F98">
              <w:rPr>
                <w:rFonts w:cs="Arial"/>
              </w:rPr>
              <w:t>/day</w:t>
            </w:r>
          </w:p>
        </w:tc>
      </w:tr>
      <w:tr w:rsidR="00CB0677" w:rsidRPr="00FD2055" w14:paraId="7E592BB2" w14:textId="77777777" w:rsidTr="00CB0677">
        <w:trPr>
          <w:tblHeader/>
        </w:trPr>
        <w:tc>
          <w:tcPr>
            <w:tcW w:w="653" w:type="pct"/>
            <w:vMerge/>
            <w:tcMar>
              <w:top w:w="57" w:type="dxa"/>
              <w:bottom w:w="57" w:type="dxa"/>
            </w:tcMar>
          </w:tcPr>
          <w:p w14:paraId="6A02F1FC" w14:textId="77777777" w:rsidR="00CB0677" w:rsidRPr="00FD2055" w:rsidRDefault="00CB0677" w:rsidP="00CB0677">
            <w:pPr>
              <w:pStyle w:val="Standaard-Tabellen"/>
              <w:rPr>
                <w:rFonts w:eastAsia="Calibri"/>
              </w:rPr>
            </w:pPr>
          </w:p>
        </w:tc>
        <w:tc>
          <w:tcPr>
            <w:tcW w:w="1693" w:type="pct"/>
            <w:tcBorders>
              <w:bottom w:val="double" w:sz="4" w:space="0" w:color="auto"/>
            </w:tcBorders>
            <w:shd w:val="clear" w:color="auto" w:fill="auto"/>
            <w:tcMar>
              <w:top w:w="57" w:type="dxa"/>
              <w:bottom w:w="57" w:type="dxa"/>
            </w:tcMar>
          </w:tcPr>
          <w:p w14:paraId="0E0A4F67" w14:textId="77777777" w:rsidR="00CB0677" w:rsidRDefault="00CB0677" w:rsidP="00CB0677">
            <w:pPr>
              <w:pStyle w:val="Standaard-Tabellen"/>
              <w:tabs>
                <w:tab w:val="left" w:pos="1035"/>
              </w:tabs>
              <w:rPr>
                <w:rFonts w:eastAsia="Calibri"/>
                <w:lang w:eastAsia="en-US"/>
              </w:rPr>
            </w:pPr>
            <w:r>
              <w:rPr>
                <w:rFonts w:eastAsia="Calibri"/>
                <w:lang w:eastAsia="en-US"/>
              </w:rPr>
              <w:t>Non-professionals, infant</w:t>
            </w:r>
          </w:p>
        </w:tc>
        <w:tc>
          <w:tcPr>
            <w:tcW w:w="1462" w:type="pct"/>
            <w:tcBorders>
              <w:bottom w:val="double" w:sz="4" w:space="0" w:color="auto"/>
            </w:tcBorders>
            <w:tcMar>
              <w:top w:w="57" w:type="dxa"/>
              <w:bottom w:w="57" w:type="dxa"/>
            </w:tcMar>
          </w:tcPr>
          <w:p w14:paraId="3C94E9C0" w14:textId="77777777" w:rsidR="00CB0677" w:rsidRDefault="00CB0677" w:rsidP="00CB0677">
            <w:pPr>
              <w:pStyle w:val="Standaard-Tabellen"/>
              <w:rPr>
                <w:rFonts w:eastAsia="Calibri"/>
                <w:lang w:eastAsia="en-US"/>
              </w:rPr>
            </w:pPr>
            <w:r>
              <w:rPr>
                <w:rFonts w:eastAsia="Calibri"/>
                <w:lang w:eastAsia="en-US"/>
              </w:rPr>
              <w:t>Tier 2, no PPE, dermal, 1 application/day</w:t>
            </w:r>
          </w:p>
        </w:tc>
        <w:tc>
          <w:tcPr>
            <w:tcW w:w="1192" w:type="pct"/>
            <w:tcBorders>
              <w:bottom w:val="double" w:sz="4" w:space="0" w:color="auto"/>
            </w:tcBorders>
            <w:shd w:val="clear" w:color="auto" w:fill="auto"/>
            <w:tcMar>
              <w:top w:w="57" w:type="dxa"/>
              <w:bottom w:w="57" w:type="dxa"/>
            </w:tcMar>
            <w:vAlign w:val="center"/>
          </w:tcPr>
          <w:p w14:paraId="37D84198" w14:textId="77777777" w:rsidR="00CB0677" w:rsidRPr="00892C32" w:rsidRDefault="00CB0677" w:rsidP="00CB0677">
            <w:pPr>
              <w:pStyle w:val="Standaard-Tabellen"/>
              <w:rPr>
                <w:rFonts w:cs="Arial"/>
                <w:highlight w:val="yellow"/>
              </w:rPr>
            </w:pPr>
            <w:r w:rsidRPr="00C96F98">
              <w:rPr>
                <w:rFonts w:cs="Arial"/>
              </w:rPr>
              <w:t xml:space="preserve">4.54 mg/kg </w:t>
            </w:r>
            <w:proofErr w:type="spellStart"/>
            <w:r w:rsidRPr="00C96F98">
              <w:rPr>
                <w:rFonts w:cs="Arial"/>
              </w:rPr>
              <w:t>bw</w:t>
            </w:r>
            <w:proofErr w:type="spellEnd"/>
            <w:r w:rsidRPr="00C96F98">
              <w:rPr>
                <w:rFonts w:cs="Arial"/>
              </w:rPr>
              <w:t>/day</w:t>
            </w:r>
          </w:p>
        </w:tc>
      </w:tr>
      <w:tr w:rsidR="00CB0677" w:rsidRPr="00FD2055" w14:paraId="162DB505" w14:textId="77777777" w:rsidTr="00CB0677">
        <w:trPr>
          <w:tblHeader/>
        </w:trPr>
        <w:tc>
          <w:tcPr>
            <w:tcW w:w="653" w:type="pct"/>
            <w:vMerge/>
            <w:tcMar>
              <w:top w:w="57" w:type="dxa"/>
              <w:bottom w:w="57" w:type="dxa"/>
            </w:tcMar>
          </w:tcPr>
          <w:p w14:paraId="3DEE56CE" w14:textId="77777777" w:rsidR="00CB0677" w:rsidRPr="00FD2055" w:rsidRDefault="00CB0677" w:rsidP="00CB0677">
            <w:pPr>
              <w:pStyle w:val="Standaard-Tabellen"/>
              <w:rPr>
                <w:rFonts w:eastAsia="Calibri"/>
              </w:rPr>
            </w:pPr>
          </w:p>
        </w:tc>
        <w:tc>
          <w:tcPr>
            <w:tcW w:w="1693" w:type="pct"/>
            <w:tcBorders>
              <w:top w:val="double" w:sz="4" w:space="0" w:color="auto"/>
              <w:bottom w:val="single" w:sz="4" w:space="0" w:color="auto"/>
            </w:tcBorders>
            <w:shd w:val="clear" w:color="auto" w:fill="auto"/>
            <w:tcMar>
              <w:top w:w="57" w:type="dxa"/>
              <w:bottom w:w="57" w:type="dxa"/>
            </w:tcMar>
          </w:tcPr>
          <w:p w14:paraId="7B850283" w14:textId="77777777" w:rsidR="00CB0677" w:rsidRPr="00FD2055" w:rsidRDefault="00CB0677" w:rsidP="00CB0677">
            <w:pPr>
              <w:pStyle w:val="Standaard-Tabellen"/>
              <w:rPr>
                <w:rFonts w:eastAsia="Calibri"/>
              </w:rPr>
            </w:pPr>
            <w:r>
              <w:rPr>
                <w:rFonts w:eastAsia="Calibri"/>
                <w:lang w:eastAsia="en-US"/>
              </w:rPr>
              <w:t>Non-professionals, adult</w:t>
            </w:r>
          </w:p>
        </w:tc>
        <w:tc>
          <w:tcPr>
            <w:tcW w:w="1462" w:type="pct"/>
            <w:tcBorders>
              <w:top w:val="double" w:sz="4" w:space="0" w:color="auto"/>
              <w:bottom w:val="single" w:sz="4" w:space="0" w:color="auto"/>
            </w:tcBorders>
            <w:tcMar>
              <w:top w:w="57" w:type="dxa"/>
              <w:bottom w:w="57" w:type="dxa"/>
            </w:tcMar>
          </w:tcPr>
          <w:p w14:paraId="38BE4816" w14:textId="77777777" w:rsidR="00CB0677" w:rsidRPr="00FD2055" w:rsidRDefault="00CB0677" w:rsidP="00CB0677">
            <w:pPr>
              <w:pStyle w:val="Standaard-Tabellen"/>
              <w:rPr>
                <w:rFonts w:eastAsia="Calibri"/>
              </w:rPr>
            </w:pPr>
            <w:r w:rsidRPr="008A5992">
              <w:rPr>
                <w:rFonts w:eastAsia="Calibri"/>
                <w:lang w:eastAsia="en-US"/>
              </w:rPr>
              <w:t xml:space="preserve">Tier </w:t>
            </w:r>
            <w:r>
              <w:rPr>
                <w:rFonts w:eastAsia="Calibri"/>
                <w:lang w:eastAsia="en-US"/>
              </w:rPr>
              <w:t>3</w:t>
            </w:r>
            <w:r w:rsidRPr="008A5992">
              <w:rPr>
                <w:rFonts w:eastAsia="Calibri"/>
                <w:lang w:eastAsia="en-US"/>
              </w:rPr>
              <w:t xml:space="preserve">, no PPE, dermal, </w:t>
            </w:r>
            <w:r>
              <w:rPr>
                <w:rFonts w:eastAsia="Calibri"/>
                <w:lang w:eastAsia="en-US"/>
              </w:rPr>
              <w:t>2</w:t>
            </w:r>
            <w:r w:rsidRPr="008A5992">
              <w:rPr>
                <w:rFonts w:eastAsia="Calibri"/>
                <w:lang w:eastAsia="en-US"/>
              </w:rPr>
              <w:t xml:space="preserve"> application</w:t>
            </w:r>
            <w:r>
              <w:rPr>
                <w:rFonts w:eastAsia="Calibri"/>
                <w:lang w:eastAsia="en-US"/>
              </w:rPr>
              <w:t>s</w:t>
            </w:r>
            <w:r w:rsidRPr="008A5992">
              <w:rPr>
                <w:rFonts w:eastAsia="Calibri"/>
                <w:lang w:eastAsia="en-US"/>
              </w:rPr>
              <w:t>/day</w:t>
            </w:r>
          </w:p>
        </w:tc>
        <w:tc>
          <w:tcPr>
            <w:tcW w:w="1192" w:type="pct"/>
            <w:shd w:val="clear" w:color="auto" w:fill="auto"/>
            <w:tcMar>
              <w:top w:w="57" w:type="dxa"/>
              <w:bottom w:w="57" w:type="dxa"/>
            </w:tcMar>
            <w:vAlign w:val="center"/>
          </w:tcPr>
          <w:p w14:paraId="76E04E6D" w14:textId="77777777" w:rsidR="00CB0677" w:rsidRPr="00892C32" w:rsidRDefault="00CB0677" w:rsidP="00CB0677">
            <w:pPr>
              <w:pStyle w:val="Standaard-Tabellen"/>
              <w:rPr>
                <w:rFonts w:eastAsia="Calibri"/>
                <w:highlight w:val="yellow"/>
              </w:rPr>
            </w:pPr>
            <w:r w:rsidRPr="00C96F98">
              <w:rPr>
                <w:rFonts w:cs="Arial"/>
              </w:rPr>
              <w:t xml:space="preserve">4.90 mg/kg </w:t>
            </w:r>
            <w:proofErr w:type="spellStart"/>
            <w:r w:rsidRPr="00C96F98">
              <w:rPr>
                <w:rFonts w:cs="Arial"/>
              </w:rPr>
              <w:t>bw</w:t>
            </w:r>
            <w:proofErr w:type="spellEnd"/>
            <w:r w:rsidRPr="00C96F98">
              <w:rPr>
                <w:rFonts w:cs="Arial"/>
              </w:rPr>
              <w:t>/day</w:t>
            </w:r>
          </w:p>
        </w:tc>
      </w:tr>
      <w:tr w:rsidR="00CB0677" w:rsidRPr="00FD2055" w14:paraId="751535CC" w14:textId="77777777" w:rsidTr="00CB0677">
        <w:trPr>
          <w:tblHeader/>
        </w:trPr>
        <w:tc>
          <w:tcPr>
            <w:tcW w:w="653" w:type="pct"/>
            <w:vMerge/>
            <w:tcBorders>
              <w:bottom w:val="single" w:sz="18" w:space="0" w:color="auto"/>
            </w:tcBorders>
            <w:tcMar>
              <w:top w:w="57" w:type="dxa"/>
              <w:bottom w:w="57" w:type="dxa"/>
            </w:tcMar>
          </w:tcPr>
          <w:p w14:paraId="72863962" w14:textId="77777777" w:rsidR="00CB0677" w:rsidRPr="00FD2055" w:rsidRDefault="00CB0677" w:rsidP="00CB0677">
            <w:pPr>
              <w:pStyle w:val="Standaard-Tabellen"/>
              <w:rPr>
                <w:rFonts w:eastAsia="Calibri"/>
              </w:rPr>
            </w:pPr>
          </w:p>
        </w:tc>
        <w:tc>
          <w:tcPr>
            <w:tcW w:w="1693" w:type="pct"/>
            <w:tcBorders>
              <w:top w:val="single" w:sz="4" w:space="0" w:color="auto"/>
              <w:bottom w:val="single" w:sz="18" w:space="0" w:color="auto"/>
            </w:tcBorders>
            <w:shd w:val="clear" w:color="auto" w:fill="auto"/>
            <w:tcMar>
              <w:top w:w="57" w:type="dxa"/>
              <w:bottom w:w="57" w:type="dxa"/>
            </w:tcMar>
          </w:tcPr>
          <w:p w14:paraId="22546A20" w14:textId="77777777" w:rsidR="00CB0677" w:rsidRDefault="00CB0677" w:rsidP="00CB0677">
            <w:pPr>
              <w:pStyle w:val="Standaard-Tabellen"/>
              <w:rPr>
                <w:rFonts w:eastAsia="Calibri"/>
                <w:lang w:eastAsia="en-US"/>
              </w:rPr>
            </w:pPr>
            <w:r w:rsidRPr="00F97F91">
              <w:rPr>
                <w:rFonts w:eastAsia="Calibri"/>
                <w:lang w:eastAsia="en-US"/>
              </w:rPr>
              <w:t>Non-professionals, child (6-12)</w:t>
            </w:r>
          </w:p>
        </w:tc>
        <w:tc>
          <w:tcPr>
            <w:tcW w:w="1462" w:type="pct"/>
            <w:tcBorders>
              <w:top w:val="single" w:sz="4" w:space="0" w:color="auto"/>
              <w:bottom w:val="single" w:sz="18" w:space="0" w:color="auto"/>
            </w:tcBorders>
            <w:tcMar>
              <w:top w:w="57" w:type="dxa"/>
              <w:bottom w:w="57" w:type="dxa"/>
            </w:tcMar>
          </w:tcPr>
          <w:p w14:paraId="1B781B7A" w14:textId="77777777" w:rsidR="00CB0677" w:rsidRPr="008A5992" w:rsidRDefault="00CB0677" w:rsidP="00CB0677">
            <w:pPr>
              <w:pStyle w:val="Standaard-Tabellen"/>
              <w:rPr>
                <w:rFonts w:eastAsia="Calibri"/>
                <w:lang w:eastAsia="en-US"/>
              </w:rPr>
            </w:pPr>
            <w:r w:rsidRPr="00F97F91">
              <w:rPr>
                <w:rFonts w:eastAsia="Calibri"/>
                <w:lang w:eastAsia="en-US"/>
              </w:rPr>
              <w:t>Tier 3, no PPE, dermal, 1 application/day</w:t>
            </w:r>
          </w:p>
        </w:tc>
        <w:tc>
          <w:tcPr>
            <w:tcW w:w="1192" w:type="pct"/>
            <w:tcBorders>
              <w:bottom w:val="single" w:sz="18" w:space="0" w:color="auto"/>
            </w:tcBorders>
            <w:shd w:val="clear" w:color="auto" w:fill="auto"/>
            <w:tcMar>
              <w:top w:w="57" w:type="dxa"/>
              <w:bottom w:w="57" w:type="dxa"/>
            </w:tcMar>
            <w:vAlign w:val="center"/>
          </w:tcPr>
          <w:p w14:paraId="69C2E698" w14:textId="77777777" w:rsidR="00CB0677" w:rsidRPr="00892C32" w:rsidRDefault="00CB0677" w:rsidP="00CB0677">
            <w:pPr>
              <w:pStyle w:val="Standaard-Tabellen"/>
              <w:rPr>
                <w:highlight w:val="yellow"/>
              </w:rPr>
            </w:pPr>
            <w:r w:rsidRPr="00C96F98">
              <w:rPr>
                <w:rFonts w:cs="Arial"/>
              </w:rPr>
              <w:t xml:space="preserve">3.41 mg/kg </w:t>
            </w:r>
            <w:proofErr w:type="spellStart"/>
            <w:r w:rsidRPr="00C96F98">
              <w:rPr>
                <w:rFonts w:cs="Arial"/>
              </w:rPr>
              <w:t>bw</w:t>
            </w:r>
            <w:proofErr w:type="spellEnd"/>
            <w:r w:rsidRPr="00C96F98">
              <w:rPr>
                <w:rFonts w:cs="Arial"/>
              </w:rPr>
              <w:t>/day</w:t>
            </w:r>
          </w:p>
        </w:tc>
      </w:tr>
      <w:tr w:rsidR="00CB0677" w:rsidRPr="00FD2055" w14:paraId="7D375E9C" w14:textId="77777777" w:rsidTr="00CB0677">
        <w:trPr>
          <w:tblHeader/>
        </w:trPr>
        <w:tc>
          <w:tcPr>
            <w:tcW w:w="653" w:type="pct"/>
            <w:vMerge w:val="restart"/>
            <w:tcBorders>
              <w:top w:val="single" w:sz="18" w:space="0" w:color="auto"/>
            </w:tcBorders>
            <w:tcMar>
              <w:top w:w="57" w:type="dxa"/>
              <w:bottom w:w="57" w:type="dxa"/>
            </w:tcMar>
          </w:tcPr>
          <w:p w14:paraId="49BDD87B" w14:textId="77777777" w:rsidR="00CB0677" w:rsidRPr="00FD2055" w:rsidRDefault="00CB0677" w:rsidP="00CB0677">
            <w:pPr>
              <w:pStyle w:val="Standaard-Tabellen"/>
              <w:rPr>
                <w:rFonts w:eastAsia="Calibri"/>
              </w:rPr>
            </w:pPr>
            <w:r>
              <w:rPr>
                <w:rFonts w:eastAsia="Calibri"/>
                <w:lang w:eastAsia="en-US"/>
              </w:rPr>
              <w:t>2.</w:t>
            </w:r>
          </w:p>
          <w:p w14:paraId="1326CCD0" w14:textId="77777777" w:rsidR="00CB0677" w:rsidRPr="00FD2055" w:rsidRDefault="00CB0677" w:rsidP="00CB0677">
            <w:pPr>
              <w:pStyle w:val="Standaard-Tabellen"/>
              <w:rPr>
                <w:rFonts w:eastAsia="Calibri"/>
              </w:rPr>
            </w:pPr>
          </w:p>
        </w:tc>
        <w:tc>
          <w:tcPr>
            <w:tcW w:w="1693" w:type="pct"/>
            <w:tcBorders>
              <w:top w:val="single" w:sz="18" w:space="0" w:color="auto"/>
            </w:tcBorders>
            <w:shd w:val="clear" w:color="auto" w:fill="auto"/>
            <w:tcMar>
              <w:top w:w="57" w:type="dxa"/>
              <w:bottom w:w="57" w:type="dxa"/>
            </w:tcMar>
          </w:tcPr>
          <w:p w14:paraId="528C1124" w14:textId="77777777" w:rsidR="00CB0677" w:rsidRPr="00FD2055" w:rsidRDefault="00CB0677" w:rsidP="00CB0677">
            <w:pPr>
              <w:pStyle w:val="Standaard-Tabellen"/>
              <w:rPr>
                <w:rFonts w:eastAsia="Calibri"/>
              </w:rPr>
            </w:pPr>
            <w:r>
              <w:rPr>
                <w:rFonts w:eastAsia="Calibri"/>
                <w:lang w:eastAsia="en-US"/>
              </w:rPr>
              <w:t>Non-professionals, adult</w:t>
            </w:r>
          </w:p>
        </w:tc>
        <w:tc>
          <w:tcPr>
            <w:tcW w:w="1462" w:type="pct"/>
            <w:tcMar>
              <w:top w:w="57" w:type="dxa"/>
              <w:bottom w:w="57" w:type="dxa"/>
            </w:tcMar>
          </w:tcPr>
          <w:p w14:paraId="627A7A27" w14:textId="77777777" w:rsidR="00CB0677" w:rsidRPr="00FD2055" w:rsidRDefault="00CB0677" w:rsidP="00CB0677">
            <w:pPr>
              <w:pStyle w:val="Standaard-Tabellen"/>
              <w:rPr>
                <w:rFonts w:eastAsia="Calibri"/>
              </w:rPr>
            </w:pPr>
            <w:r>
              <w:rPr>
                <w:rFonts w:eastAsia="Calibri"/>
                <w:lang w:eastAsia="en-US"/>
              </w:rPr>
              <w:t>Tier 1, no PPE,</w:t>
            </w:r>
            <w:r w:rsidRPr="00FC31C2">
              <w:rPr>
                <w:rFonts w:eastAsia="Calibri"/>
                <w:lang w:eastAsia="en-US"/>
              </w:rPr>
              <w:t xml:space="preserve"> Hand-mouth transfer reverse reference scenario</w:t>
            </w:r>
            <w:r>
              <w:rPr>
                <w:rFonts w:eastAsia="Calibri"/>
                <w:lang w:eastAsia="en-US"/>
              </w:rPr>
              <w:t>, oral</w:t>
            </w:r>
          </w:p>
        </w:tc>
        <w:tc>
          <w:tcPr>
            <w:tcW w:w="1192" w:type="pct"/>
            <w:tcBorders>
              <w:top w:val="single" w:sz="18" w:space="0" w:color="auto"/>
            </w:tcBorders>
            <w:tcMar>
              <w:top w:w="57" w:type="dxa"/>
              <w:bottom w:w="57" w:type="dxa"/>
            </w:tcMar>
            <w:vAlign w:val="center"/>
          </w:tcPr>
          <w:p w14:paraId="0FAD0F79" w14:textId="77777777" w:rsidR="00CB0677" w:rsidRPr="00892C32" w:rsidRDefault="00CB0677" w:rsidP="00CB0677">
            <w:pPr>
              <w:pStyle w:val="Standaard-Tabellen"/>
              <w:rPr>
                <w:rFonts w:eastAsia="Calibri"/>
                <w:highlight w:val="yellow"/>
              </w:rPr>
            </w:pPr>
            <w:r>
              <w:rPr>
                <w:rFonts w:eastAsia="Calibri"/>
              </w:rPr>
              <w:t>U</w:t>
            </w:r>
            <w:r w:rsidRPr="00BD1DDF">
              <w:rPr>
                <w:rFonts w:eastAsia="Calibri"/>
              </w:rPr>
              <w:t>p to 7.14 applications</w:t>
            </w:r>
          </w:p>
        </w:tc>
      </w:tr>
      <w:tr w:rsidR="00CB0677" w:rsidRPr="00FD2055" w14:paraId="0A03847B" w14:textId="77777777" w:rsidTr="00CB0677">
        <w:trPr>
          <w:tblHeader/>
        </w:trPr>
        <w:tc>
          <w:tcPr>
            <w:tcW w:w="653" w:type="pct"/>
            <w:vMerge/>
            <w:tcMar>
              <w:top w:w="57" w:type="dxa"/>
              <w:bottom w:w="57" w:type="dxa"/>
            </w:tcMar>
          </w:tcPr>
          <w:p w14:paraId="503575B7" w14:textId="77777777" w:rsidR="00CB0677" w:rsidRPr="00FD2055" w:rsidRDefault="00CB0677" w:rsidP="00CB0677">
            <w:pPr>
              <w:pStyle w:val="Standaard-Tabellen"/>
              <w:rPr>
                <w:rFonts w:eastAsia="Calibri"/>
              </w:rPr>
            </w:pPr>
          </w:p>
        </w:tc>
        <w:tc>
          <w:tcPr>
            <w:tcW w:w="1693" w:type="pct"/>
            <w:shd w:val="clear" w:color="auto" w:fill="auto"/>
            <w:tcMar>
              <w:top w:w="57" w:type="dxa"/>
              <w:bottom w:w="57" w:type="dxa"/>
            </w:tcMar>
          </w:tcPr>
          <w:p w14:paraId="2DF1CED0" w14:textId="77777777" w:rsidR="00CB0677" w:rsidRPr="00FD2055" w:rsidRDefault="00CB0677" w:rsidP="00CB0677">
            <w:pPr>
              <w:pStyle w:val="Standaard-Tabellen"/>
              <w:rPr>
                <w:rFonts w:eastAsia="Calibri"/>
              </w:rPr>
            </w:pPr>
            <w:r>
              <w:rPr>
                <w:rFonts w:eastAsia="Calibri"/>
                <w:lang w:eastAsia="en-US"/>
              </w:rPr>
              <w:t>Non-professionals, child (6-12)</w:t>
            </w:r>
          </w:p>
        </w:tc>
        <w:tc>
          <w:tcPr>
            <w:tcW w:w="1462" w:type="pct"/>
            <w:tcMar>
              <w:top w:w="57" w:type="dxa"/>
              <w:bottom w:w="57" w:type="dxa"/>
            </w:tcMar>
          </w:tcPr>
          <w:p w14:paraId="3097D988" w14:textId="77777777" w:rsidR="00CB0677" w:rsidRPr="00FD2055" w:rsidRDefault="00CB0677" w:rsidP="00CB0677">
            <w:pPr>
              <w:pStyle w:val="Standaard-Tabellen"/>
              <w:rPr>
                <w:rFonts w:eastAsia="Calibri"/>
              </w:rPr>
            </w:pPr>
            <w:r>
              <w:rPr>
                <w:rFonts w:eastAsia="Calibri"/>
                <w:lang w:eastAsia="en-US"/>
              </w:rPr>
              <w:t>Tier 1, no PPE,</w:t>
            </w:r>
            <w:r w:rsidRPr="00FC31C2">
              <w:rPr>
                <w:rFonts w:eastAsia="Calibri"/>
                <w:lang w:eastAsia="en-US"/>
              </w:rPr>
              <w:t xml:space="preserve"> Hand-mouth transfer reverse reference scenario</w:t>
            </w:r>
            <w:r>
              <w:rPr>
                <w:rFonts w:eastAsia="Calibri"/>
                <w:lang w:eastAsia="en-US"/>
              </w:rPr>
              <w:t>, oral</w:t>
            </w:r>
          </w:p>
        </w:tc>
        <w:tc>
          <w:tcPr>
            <w:tcW w:w="1192" w:type="pct"/>
            <w:tcMar>
              <w:top w:w="57" w:type="dxa"/>
              <w:bottom w:w="57" w:type="dxa"/>
            </w:tcMar>
            <w:vAlign w:val="center"/>
          </w:tcPr>
          <w:p w14:paraId="4C80F353" w14:textId="77777777" w:rsidR="00CB0677" w:rsidRPr="00892C32" w:rsidRDefault="00CB0677" w:rsidP="00CB0677">
            <w:pPr>
              <w:pStyle w:val="Standaard-Tabellen"/>
              <w:rPr>
                <w:rFonts w:eastAsia="Calibri"/>
                <w:highlight w:val="yellow"/>
              </w:rPr>
            </w:pPr>
            <w:r>
              <w:rPr>
                <w:rFonts w:eastAsia="Calibri"/>
              </w:rPr>
              <w:t>U</w:t>
            </w:r>
            <w:r w:rsidRPr="00BD1DDF">
              <w:rPr>
                <w:rFonts w:eastAsia="Calibri"/>
              </w:rPr>
              <w:t>p to 2.57 applications</w:t>
            </w:r>
          </w:p>
        </w:tc>
      </w:tr>
      <w:tr w:rsidR="00CB0677" w:rsidRPr="00FD2055" w14:paraId="111212C8" w14:textId="77777777" w:rsidTr="00CB0677">
        <w:trPr>
          <w:tblHeader/>
        </w:trPr>
        <w:tc>
          <w:tcPr>
            <w:tcW w:w="653" w:type="pct"/>
            <w:vMerge/>
            <w:tcMar>
              <w:top w:w="57" w:type="dxa"/>
              <w:bottom w:w="57" w:type="dxa"/>
            </w:tcMar>
          </w:tcPr>
          <w:p w14:paraId="43FE278B" w14:textId="77777777" w:rsidR="00CB0677" w:rsidRPr="00FD2055" w:rsidRDefault="00CB0677" w:rsidP="00CB0677">
            <w:pPr>
              <w:pStyle w:val="Standaard-Tabellen"/>
              <w:rPr>
                <w:rFonts w:eastAsia="Calibri"/>
              </w:rPr>
            </w:pPr>
          </w:p>
        </w:tc>
        <w:tc>
          <w:tcPr>
            <w:tcW w:w="1693" w:type="pct"/>
            <w:shd w:val="clear" w:color="auto" w:fill="auto"/>
            <w:tcMar>
              <w:top w:w="57" w:type="dxa"/>
              <w:bottom w:w="57" w:type="dxa"/>
            </w:tcMar>
          </w:tcPr>
          <w:p w14:paraId="083FD691" w14:textId="77777777" w:rsidR="00CB0677" w:rsidRPr="00FD2055" w:rsidRDefault="00CB0677" w:rsidP="00CB0677">
            <w:pPr>
              <w:pStyle w:val="Standaard-Tabellen"/>
              <w:rPr>
                <w:rFonts w:eastAsia="Calibri"/>
              </w:rPr>
            </w:pPr>
            <w:r>
              <w:rPr>
                <w:rFonts w:eastAsia="Calibri"/>
                <w:lang w:eastAsia="en-US"/>
              </w:rPr>
              <w:t>Non-professionals, child (2-6)</w:t>
            </w:r>
          </w:p>
        </w:tc>
        <w:tc>
          <w:tcPr>
            <w:tcW w:w="1462" w:type="pct"/>
            <w:tcMar>
              <w:top w:w="57" w:type="dxa"/>
              <w:bottom w:w="57" w:type="dxa"/>
            </w:tcMar>
          </w:tcPr>
          <w:p w14:paraId="14172EB4" w14:textId="77777777" w:rsidR="00CB0677" w:rsidRPr="00FD2055" w:rsidRDefault="00CB0677" w:rsidP="00CB0677">
            <w:pPr>
              <w:pStyle w:val="Standaard-Tabellen"/>
              <w:rPr>
                <w:rFonts w:eastAsia="Calibri"/>
              </w:rPr>
            </w:pPr>
            <w:r>
              <w:rPr>
                <w:rFonts w:eastAsia="Calibri"/>
                <w:lang w:eastAsia="en-US"/>
              </w:rPr>
              <w:t>Tier 1, no PPE,</w:t>
            </w:r>
            <w:r w:rsidRPr="00FC31C2">
              <w:rPr>
                <w:rFonts w:eastAsia="Calibri"/>
                <w:lang w:eastAsia="en-US"/>
              </w:rPr>
              <w:t xml:space="preserve"> Hand-mouth transfer reverse reference scenario</w:t>
            </w:r>
            <w:r>
              <w:rPr>
                <w:rFonts w:eastAsia="Calibri"/>
                <w:lang w:eastAsia="en-US"/>
              </w:rPr>
              <w:t>, oral</w:t>
            </w:r>
          </w:p>
        </w:tc>
        <w:tc>
          <w:tcPr>
            <w:tcW w:w="1192" w:type="pct"/>
            <w:tcMar>
              <w:top w:w="57" w:type="dxa"/>
              <w:bottom w:w="57" w:type="dxa"/>
            </w:tcMar>
            <w:vAlign w:val="center"/>
          </w:tcPr>
          <w:p w14:paraId="58676171" w14:textId="77777777" w:rsidR="00CB0677" w:rsidRPr="00892C32" w:rsidRDefault="00CB0677" w:rsidP="00CB0677">
            <w:pPr>
              <w:pStyle w:val="Standaard-Tabellen"/>
              <w:rPr>
                <w:rFonts w:eastAsia="Calibri"/>
                <w:highlight w:val="yellow"/>
              </w:rPr>
            </w:pPr>
            <w:r>
              <w:rPr>
                <w:rFonts w:eastAsia="Calibri"/>
              </w:rPr>
              <w:t>U</w:t>
            </w:r>
            <w:r w:rsidRPr="00BD1DDF">
              <w:rPr>
                <w:rFonts w:eastAsia="Calibri"/>
              </w:rPr>
              <w:t>p to  2.27 applications</w:t>
            </w:r>
          </w:p>
        </w:tc>
      </w:tr>
      <w:tr w:rsidR="00CB0677" w:rsidRPr="00FD2055" w14:paraId="5F5516C1" w14:textId="77777777" w:rsidTr="00CB0677">
        <w:trPr>
          <w:tblHeader/>
        </w:trPr>
        <w:tc>
          <w:tcPr>
            <w:tcW w:w="653" w:type="pct"/>
            <w:vMerge/>
            <w:tcMar>
              <w:top w:w="57" w:type="dxa"/>
              <w:bottom w:w="57" w:type="dxa"/>
            </w:tcMar>
          </w:tcPr>
          <w:p w14:paraId="7D673741" w14:textId="77777777" w:rsidR="00CB0677" w:rsidRPr="00FD2055" w:rsidRDefault="00CB0677" w:rsidP="00CB0677">
            <w:pPr>
              <w:pStyle w:val="Standaard-Tabellen"/>
              <w:rPr>
                <w:rFonts w:eastAsia="Calibri"/>
              </w:rPr>
            </w:pPr>
          </w:p>
        </w:tc>
        <w:tc>
          <w:tcPr>
            <w:tcW w:w="1693" w:type="pct"/>
            <w:shd w:val="clear" w:color="auto" w:fill="auto"/>
            <w:tcMar>
              <w:top w:w="57" w:type="dxa"/>
              <w:bottom w:w="57" w:type="dxa"/>
            </w:tcMar>
          </w:tcPr>
          <w:p w14:paraId="7BBFA615" w14:textId="77777777" w:rsidR="00CB0677" w:rsidRPr="00FD2055" w:rsidRDefault="00CB0677" w:rsidP="00CB0677">
            <w:pPr>
              <w:pStyle w:val="Standaard-Tabellen"/>
              <w:rPr>
                <w:rFonts w:eastAsia="Calibri"/>
              </w:rPr>
            </w:pPr>
            <w:r>
              <w:rPr>
                <w:rFonts w:eastAsia="Calibri"/>
                <w:lang w:eastAsia="en-US"/>
              </w:rPr>
              <w:t>Non-professionals, toddler</w:t>
            </w:r>
          </w:p>
        </w:tc>
        <w:tc>
          <w:tcPr>
            <w:tcW w:w="1462" w:type="pct"/>
            <w:tcMar>
              <w:top w:w="57" w:type="dxa"/>
              <w:bottom w:w="57" w:type="dxa"/>
            </w:tcMar>
          </w:tcPr>
          <w:p w14:paraId="02535C02" w14:textId="77777777" w:rsidR="00CB0677" w:rsidRPr="00FD2055" w:rsidRDefault="00CB0677" w:rsidP="00CB0677">
            <w:pPr>
              <w:pStyle w:val="Standaard-Tabellen"/>
              <w:rPr>
                <w:rFonts w:eastAsia="Calibri"/>
              </w:rPr>
            </w:pPr>
            <w:r>
              <w:rPr>
                <w:rFonts w:eastAsia="Calibri"/>
                <w:lang w:eastAsia="en-US"/>
              </w:rPr>
              <w:t>Tier 1, no PPE,</w:t>
            </w:r>
            <w:r w:rsidRPr="00FC31C2">
              <w:rPr>
                <w:rFonts w:eastAsia="Calibri"/>
                <w:lang w:eastAsia="en-US"/>
              </w:rPr>
              <w:t xml:space="preserve"> Hand-mouth transfer reverse reference scenario</w:t>
            </w:r>
            <w:r>
              <w:rPr>
                <w:rFonts w:eastAsia="Calibri"/>
                <w:lang w:eastAsia="en-US"/>
              </w:rPr>
              <w:t>, oral</w:t>
            </w:r>
          </w:p>
        </w:tc>
        <w:tc>
          <w:tcPr>
            <w:tcW w:w="1192" w:type="pct"/>
            <w:tcMar>
              <w:top w:w="57" w:type="dxa"/>
              <w:bottom w:w="57" w:type="dxa"/>
            </w:tcMar>
            <w:vAlign w:val="center"/>
          </w:tcPr>
          <w:p w14:paraId="52FD6D40" w14:textId="77777777" w:rsidR="00CB0677" w:rsidRPr="00892C32" w:rsidRDefault="00CB0677" w:rsidP="00CB0677">
            <w:pPr>
              <w:pStyle w:val="Standaard-Tabellen"/>
              <w:rPr>
                <w:rFonts w:eastAsia="Calibri"/>
                <w:highlight w:val="yellow"/>
              </w:rPr>
            </w:pPr>
            <w:r>
              <w:rPr>
                <w:rFonts w:eastAsia="Calibri"/>
              </w:rPr>
              <w:t>U</w:t>
            </w:r>
            <w:r w:rsidRPr="00BD1DDF">
              <w:rPr>
                <w:rFonts w:eastAsia="Calibri"/>
              </w:rPr>
              <w:t>p to 2.06 applications</w:t>
            </w:r>
          </w:p>
        </w:tc>
      </w:tr>
      <w:tr w:rsidR="00CB0677" w:rsidRPr="00FD2055" w14:paraId="0385A1D9" w14:textId="77777777" w:rsidTr="00CB0677">
        <w:trPr>
          <w:tblHeader/>
        </w:trPr>
        <w:tc>
          <w:tcPr>
            <w:tcW w:w="653" w:type="pct"/>
            <w:vMerge/>
            <w:tcMar>
              <w:top w:w="57" w:type="dxa"/>
              <w:bottom w:w="57" w:type="dxa"/>
            </w:tcMar>
          </w:tcPr>
          <w:p w14:paraId="5E56C72C" w14:textId="77777777" w:rsidR="00CB0677" w:rsidRPr="00FD2055" w:rsidRDefault="00CB0677" w:rsidP="00CB0677">
            <w:pPr>
              <w:pStyle w:val="Standaard-Tabellen"/>
              <w:rPr>
                <w:rFonts w:eastAsia="Calibri"/>
              </w:rPr>
            </w:pPr>
          </w:p>
        </w:tc>
        <w:tc>
          <w:tcPr>
            <w:tcW w:w="1693" w:type="pct"/>
            <w:tcBorders>
              <w:bottom w:val="single" w:sz="18" w:space="0" w:color="auto"/>
            </w:tcBorders>
            <w:shd w:val="clear" w:color="auto" w:fill="auto"/>
            <w:tcMar>
              <w:top w:w="57" w:type="dxa"/>
              <w:bottom w:w="57" w:type="dxa"/>
            </w:tcMar>
          </w:tcPr>
          <w:p w14:paraId="4223D3C0" w14:textId="77777777" w:rsidR="00CB0677" w:rsidRPr="00FD2055" w:rsidRDefault="00CB0677" w:rsidP="00CB0677">
            <w:pPr>
              <w:pStyle w:val="Standaard-Tabellen"/>
              <w:rPr>
                <w:rFonts w:eastAsia="Calibri"/>
              </w:rPr>
            </w:pPr>
            <w:r>
              <w:rPr>
                <w:rFonts w:eastAsia="Calibri"/>
                <w:lang w:eastAsia="en-US"/>
              </w:rPr>
              <w:t>Non-professionals, infant</w:t>
            </w:r>
          </w:p>
        </w:tc>
        <w:tc>
          <w:tcPr>
            <w:tcW w:w="1462" w:type="pct"/>
            <w:tcBorders>
              <w:bottom w:val="single" w:sz="18" w:space="0" w:color="auto"/>
            </w:tcBorders>
            <w:tcMar>
              <w:top w:w="57" w:type="dxa"/>
              <w:bottom w:w="57" w:type="dxa"/>
            </w:tcMar>
          </w:tcPr>
          <w:p w14:paraId="737F54BF" w14:textId="77777777" w:rsidR="00CB0677" w:rsidRPr="00FD2055" w:rsidRDefault="00CB0677" w:rsidP="00CB0677">
            <w:pPr>
              <w:pStyle w:val="Standaard-Tabellen"/>
              <w:rPr>
                <w:rFonts w:eastAsia="Calibri"/>
              </w:rPr>
            </w:pPr>
            <w:r>
              <w:rPr>
                <w:rFonts w:eastAsia="Calibri"/>
                <w:lang w:eastAsia="en-US"/>
              </w:rPr>
              <w:t>Tier 1, no PPE,</w:t>
            </w:r>
            <w:r w:rsidRPr="00FC31C2">
              <w:rPr>
                <w:rFonts w:eastAsia="Calibri"/>
                <w:lang w:eastAsia="en-US"/>
              </w:rPr>
              <w:t xml:space="preserve"> Hand-mouth transfer reverse reference scenario</w:t>
            </w:r>
            <w:r>
              <w:rPr>
                <w:rFonts w:eastAsia="Calibri"/>
                <w:lang w:eastAsia="en-US"/>
              </w:rPr>
              <w:t>, oral</w:t>
            </w:r>
          </w:p>
        </w:tc>
        <w:tc>
          <w:tcPr>
            <w:tcW w:w="1192" w:type="pct"/>
            <w:tcBorders>
              <w:bottom w:val="single" w:sz="18" w:space="0" w:color="auto"/>
            </w:tcBorders>
            <w:tcMar>
              <w:top w:w="57" w:type="dxa"/>
              <w:bottom w:w="57" w:type="dxa"/>
            </w:tcMar>
            <w:vAlign w:val="center"/>
          </w:tcPr>
          <w:p w14:paraId="76E32815" w14:textId="77777777" w:rsidR="00CB0677" w:rsidRPr="00892C32" w:rsidRDefault="00CB0677" w:rsidP="00CB0677">
            <w:pPr>
              <w:pStyle w:val="Standaard-Tabellen"/>
              <w:rPr>
                <w:rFonts w:eastAsia="Calibri"/>
                <w:highlight w:val="yellow"/>
              </w:rPr>
            </w:pPr>
            <w:r>
              <w:rPr>
                <w:rFonts w:eastAsia="Calibri"/>
              </w:rPr>
              <w:t>U</w:t>
            </w:r>
            <w:r w:rsidRPr="00BD1DDF">
              <w:rPr>
                <w:rFonts w:eastAsia="Calibri"/>
              </w:rPr>
              <w:t>p to 1.93 applications</w:t>
            </w:r>
          </w:p>
        </w:tc>
      </w:tr>
      <w:tr w:rsidR="00CB0677" w:rsidRPr="00FD2055" w14:paraId="4E435589" w14:textId="77777777" w:rsidTr="00CB0677">
        <w:trPr>
          <w:tblHeader/>
        </w:trPr>
        <w:tc>
          <w:tcPr>
            <w:tcW w:w="653" w:type="pct"/>
            <w:vMerge w:val="restart"/>
            <w:tcBorders>
              <w:top w:val="single" w:sz="18" w:space="0" w:color="auto"/>
            </w:tcBorders>
            <w:tcMar>
              <w:top w:w="57" w:type="dxa"/>
              <w:bottom w:w="57" w:type="dxa"/>
            </w:tcMar>
          </w:tcPr>
          <w:p w14:paraId="389EAAD2" w14:textId="77777777" w:rsidR="00CB0677" w:rsidRPr="00FD2055" w:rsidRDefault="00CB0677" w:rsidP="00CB0677">
            <w:pPr>
              <w:pStyle w:val="Standaard-Tabellen"/>
              <w:rPr>
                <w:rFonts w:eastAsia="Calibri"/>
              </w:rPr>
            </w:pPr>
            <w:r>
              <w:rPr>
                <w:rFonts w:eastAsia="Calibri"/>
                <w:lang w:eastAsia="en-US"/>
              </w:rPr>
              <w:t>3.</w:t>
            </w:r>
          </w:p>
        </w:tc>
        <w:tc>
          <w:tcPr>
            <w:tcW w:w="1693" w:type="pct"/>
            <w:tcBorders>
              <w:top w:val="single" w:sz="18" w:space="0" w:color="auto"/>
            </w:tcBorders>
            <w:shd w:val="clear" w:color="auto" w:fill="auto"/>
            <w:tcMar>
              <w:top w:w="57" w:type="dxa"/>
              <w:bottom w:w="57" w:type="dxa"/>
            </w:tcMar>
          </w:tcPr>
          <w:p w14:paraId="3A0BFB7A" w14:textId="77777777" w:rsidR="00CB0677" w:rsidRPr="00FD2055" w:rsidRDefault="00CB0677" w:rsidP="00CB0677">
            <w:pPr>
              <w:pStyle w:val="Standaard-Tabellen"/>
              <w:rPr>
                <w:rFonts w:eastAsia="Calibri"/>
              </w:rPr>
            </w:pPr>
            <w:r>
              <w:rPr>
                <w:rFonts w:eastAsia="Calibri"/>
                <w:lang w:eastAsia="en-US"/>
              </w:rPr>
              <w:t>Non-professionals, adult</w:t>
            </w:r>
          </w:p>
        </w:tc>
        <w:tc>
          <w:tcPr>
            <w:tcW w:w="1462" w:type="pct"/>
            <w:tcBorders>
              <w:top w:val="single" w:sz="18" w:space="0" w:color="auto"/>
            </w:tcBorders>
            <w:tcMar>
              <w:top w:w="57" w:type="dxa"/>
              <w:bottom w:w="57" w:type="dxa"/>
            </w:tcMar>
          </w:tcPr>
          <w:p w14:paraId="78BB5235" w14:textId="77777777" w:rsidR="00CB0677" w:rsidRPr="00FD2055" w:rsidRDefault="00CB0677" w:rsidP="00CB0677">
            <w:pPr>
              <w:pStyle w:val="Standaard-Tabellen"/>
              <w:rPr>
                <w:rFonts w:eastAsia="Calibri"/>
              </w:rPr>
            </w:pPr>
            <w:r>
              <w:rPr>
                <w:rFonts w:eastAsia="Calibri"/>
              </w:rPr>
              <w:t xml:space="preserve">Tier 1 / no PPE </w:t>
            </w:r>
          </w:p>
        </w:tc>
        <w:tc>
          <w:tcPr>
            <w:tcW w:w="1192" w:type="pct"/>
            <w:tcBorders>
              <w:top w:val="single" w:sz="18" w:space="0" w:color="auto"/>
            </w:tcBorders>
            <w:shd w:val="clear" w:color="auto" w:fill="auto"/>
            <w:tcMar>
              <w:top w:w="57" w:type="dxa"/>
              <w:bottom w:w="57" w:type="dxa"/>
            </w:tcMar>
            <w:vAlign w:val="center"/>
          </w:tcPr>
          <w:p w14:paraId="454DA1C1" w14:textId="77777777" w:rsidR="00CB0677" w:rsidRPr="00B50CB0" w:rsidRDefault="00CB0677" w:rsidP="00CB0677">
            <w:pPr>
              <w:pStyle w:val="Standaard-Tabellen"/>
              <w:rPr>
                <w:rFonts w:eastAsia="Calibri"/>
              </w:rPr>
            </w:pPr>
            <w:r w:rsidRPr="00892C32">
              <w:rPr>
                <w:rFonts w:eastAsia="Calibri"/>
              </w:rPr>
              <w:t>3.65</w:t>
            </w:r>
            <w:r w:rsidRPr="00B50CB0">
              <w:rPr>
                <w:rFonts w:eastAsia="Calibri"/>
              </w:rPr>
              <w:t xml:space="preserve"> mg/kg </w:t>
            </w:r>
            <w:proofErr w:type="spellStart"/>
            <w:r w:rsidRPr="00B50CB0">
              <w:rPr>
                <w:rFonts w:eastAsia="Calibri"/>
              </w:rPr>
              <w:t>bw</w:t>
            </w:r>
            <w:proofErr w:type="spellEnd"/>
            <w:r w:rsidRPr="00B50CB0">
              <w:rPr>
                <w:rFonts w:eastAsia="Calibri"/>
              </w:rPr>
              <w:t>/day</w:t>
            </w:r>
          </w:p>
        </w:tc>
      </w:tr>
      <w:tr w:rsidR="00CB0677" w:rsidRPr="00FD2055" w14:paraId="4FB4F1B1" w14:textId="77777777" w:rsidTr="00CB0677">
        <w:trPr>
          <w:tblHeader/>
        </w:trPr>
        <w:tc>
          <w:tcPr>
            <w:tcW w:w="653" w:type="pct"/>
            <w:vMerge/>
            <w:tcMar>
              <w:top w:w="57" w:type="dxa"/>
              <w:bottom w:w="57" w:type="dxa"/>
            </w:tcMar>
          </w:tcPr>
          <w:p w14:paraId="08353C3E" w14:textId="77777777" w:rsidR="00CB0677" w:rsidRPr="00FD2055" w:rsidRDefault="00CB0677" w:rsidP="00CB0677">
            <w:pPr>
              <w:pStyle w:val="Standaard-Tabellen"/>
              <w:rPr>
                <w:rFonts w:eastAsia="Calibri"/>
              </w:rPr>
            </w:pPr>
          </w:p>
        </w:tc>
        <w:tc>
          <w:tcPr>
            <w:tcW w:w="1693" w:type="pct"/>
            <w:shd w:val="clear" w:color="auto" w:fill="auto"/>
            <w:tcMar>
              <w:top w:w="57" w:type="dxa"/>
              <w:bottom w:w="57" w:type="dxa"/>
            </w:tcMar>
          </w:tcPr>
          <w:p w14:paraId="7D54D755" w14:textId="77777777" w:rsidR="00CB0677" w:rsidRPr="00FD2055" w:rsidRDefault="00CB0677" w:rsidP="00CB0677">
            <w:pPr>
              <w:pStyle w:val="Standaard-Tabellen"/>
              <w:rPr>
                <w:rFonts w:eastAsia="Calibri"/>
              </w:rPr>
            </w:pPr>
            <w:r>
              <w:rPr>
                <w:rFonts w:eastAsia="Calibri"/>
                <w:lang w:eastAsia="en-US"/>
              </w:rPr>
              <w:t>Non-professionals, child (6-12)</w:t>
            </w:r>
          </w:p>
        </w:tc>
        <w:tc>
          <w:tcPr>
            <w:tcW w:w="1462" w:type="pct"/>
            <w:tcMar>
              <w:top w:w="57" w:type="dxa"/>
              <w:bottom w:w="57" w:type="dxa"/>
            </w:tcMar>
          </w:tcPr>
          <w:p w14:paraId="3AD5DCA7" w14:textId="77777777" w:rsidR="00CB0677" w:rsidRPr="00FD2055" w:rsidRDefault="00CB0677" w:rsidP="00CB0677">
            <w:pPr>
              <w:pStyle w:val="Standaard-Tabellen"/>
              <w:rPr>
                <w:rFonts w:eastAsia="Calibri"/>
              </w:rPr>
            </w:pPr>
            <w:r>
              <w:rPr>
                <w:rFonts w:eastAsia="Calibri"/>
              </w:rPr>
              <w:t xml:space="preserve">Tier 1 / </w:t>
            </w:r>
            <w:r w:rsidRPr="00B41694">
              <w:rPr>
                <w:rFonts w:eastAsia="Calibri"/>
              </w:rPr>
              <w:t>no PPE</w:t>
            </w:r>
          </w:p>
        </w:tc>
        <w:tc>
          <w:tcPr>
            <w:tcW w:w="1192" w:type="pct"/>
            <w:shd w:val="clear" w:color="auto" w:fill="auto"/>
            <w:tcMar>
              <w:top w:w="57" w:type="dxa"/>
              <w:bottom w:w="57" w:type="dxa"/>
            </w:tcMar>
            <w:vAlign w:val="center"/>
          </w:tcPr>
          <w:p w14:paraId="397EC76A" w14:textId="77777777" w:rsidR="00CB0677" w:rsidRPr="00B50CB0" w:rsidRDefault="00CB0677" w:rsidP="00CB0677">
            <w:pPr>
              <w:pStyle w:val="Standaard-Tabellen"/>
              <w:rPr>
                <w:rFonts w:eastAsia="Calibri"/>
              </w:rPr>
            </w:pPr>
            <w:r w:rsidRPr="00892C32">
              <w:rPr>
                <w:rFonts w:eastAsia="Calibri"/>
              </w:rPr>
              <w:t>2.68</w:t>
            </w:r>
            <w:r w:rsidRPr="00B50CB0">
              <w:rPr>
                <w:rFonts w:eastAsia="Calibri"/>
              </w:rPr>
              <w:t xml:space="preserve"> mg/kg </w:t>
            </w:r>
            <w:proofErr w:type="spellStart"/>
            <w:r w:rsidRPr="00B50CB0">
              <w:rPr>
                <w:rFonts w:eastAsia="Calibri"/>
              </w:rPr>
              <w:t>bw</w:t>
            </w:r>
            <w:proofErr w:type="spellEnd"/>
            <w:r w:rsidRPr="00B50CB0">
              <w:rPr>
                <w:rFonts w:eastAsia="Calibri"/>
              </w:rPr>
              <w:t>/day</w:t>
            </w:r>
          </w:p>
        </w:tc>
      </w:tr>
      <w:tr w:rsidR="00CB0677" w:rsidRPr="00FD2055" w14:paraId="7565966F" w14:textId="77777777" w:rsidTr="00CB0677">
        <w:trPr>
          <w:tblHeader/>
        </w:trPr>
        <w:tc>
          <w:tcPr>
            <w:tcW w:w="653" w:type="pct"/>
            <w:vMerge/>
            <w:tcMar>
              <w:top w:w="57" w:type="dxa"/>
              <w:bottom w:w="57" w:type="dxa"/>
            </w:tcMar>
          </w:tcPr>
          <w:p w14:paraId="6BA8F860" w14:textId="77777777" w:rsidR="00CB0677" w:rsidRPr="00FD2055" w:rsidRDefault="00CB0677" w:rsidP="00CB0677">
            <w:pPr>
              <w:pStyle w:val="Standaard-Tabellen"/>
              <w:rPr>
                <w:rFonts w:eastAsia="Calibri"/>
              </w:rPr>
            </w:pPr>
          </w:p>
        </w:tc>
        <w:tc>
          <w:tcPr>
            <w:tcW w:w="1693" w:type="pct"/>
            <w:shd w:val="clear" w:color="auto" w:fill="auto"/>
            <w:tcMar>
              <w:top w:w="57" w:type="dxa"/>
              <w:bottom w:w="57" w:type="dxa"/>
            </w:tcMar>
          </w:tcPr>
          <w:p w14:paraId="4C4D7C5A" w14:textId="77777777" w:rsidR="00CB0677" w:rsidRDefault="00CB0677" w:rsidP="00CB0677">
            <w:pPr>
              <w:pStyle w:val="Standaard-Tabellen"/>
              <w:rPr>
                <w:rFonts w:eastAsia="Calibri"/>
                <w:lang w:eastAsia="en-US"/>
              </w:rPr>
            </w:pPr>
            <w:r>
              <w:rPr>
                <w:rFonts w:eastAsia="Calibri"/>
                <w:lang w:eastAsia="en-US"/>
              </w:rPr>
              <w:t>Non-professionals, child (2-6)</w:t>
            </w:r>
          </w:p>
        </w:tc>
        <w:tc>
          <w:tcPr>
            <w:tcW w:w="1462" w:type="pct"/>
            <w:tcMar>
              <w:top w:w="57" w:type="dxa"/>
              <w:bottom w:w="57" w:type="dxa"/>
            </w:tcMar>
          </w:tcPr>
          <w:p w14:paraId="53A85DBD" w14:textId="77777777" w:rsidR="00CB0677" w:rsidRDefault="00CB0677" w:rsidP="00CB0677">
            <w:pPr>
              <w:pStyle w:val="Standaard-Tabellen"/>
              <w:rPr>
                <w:rFonts w:eastAsia="Calibri"/>
              </w:rPr>
            </w:pPr>
            <w:r>
              <w:rPr>
                <w:rFonts w:eastAsia="Calibri"/>
              </w:rPr>
              <w:t xml:space="preserve">Tier 1 / </w:t>
            </w:r>
            <w:r w:rsidRPr="00B41694">
              <w:rPr>
                <w:rFonts w:eastAsia="Calibri"/>
              </w:rPr>
              <w:t>no PPE</w:t>
            </w:r>
          </w:p>
        </w:tc>
        <w:tc>
          <w:tcPr>
            <w:tcW w:w="1192" w:type="pct"/>
            <w:shd w:val="clear" w:color="auto" w:fill="auto"/>
            <w:tcMar>
              <w:top w:w="57" w:type="dxa"/>
              <w:bottom w:w="57" w:type="dxa"/>
            </w:tcMar>
            <w:vAlign w:val="center"/>
          </w:tcPr>
          <w:p w14:paraId="7D20FBB7" w14:textId="77777777" w:rsidR="00CB0677" w:rsidRPr="00B50CB0" w:rsidRDefault="00CB0677" w:rsidP="00CB0677">
            <w:pPr>
              <w:pStyle w:val="Standaard-Tabellen"/>
              <w:rPr>
                <w:rFonts w:eastAsia="Calibri"/>
              </w:rPr>
            </w:pPr>
            <w:r w:rsidRPr="00892C32">
              <w:rPr>
                <w:rFonts w:eastAsia="Calibri"/>
              </w:rPr>
              <w:t>2.89</w:t>
            </w:r>
            <w:r w:rsidRPr="00B50CB0">
              <w:rPr>
                <w:rFonts w:eastAsia="Calibri"/>
              </w:rPr>
              <w:t xml:space="preserve"> mg/kg </w:t>
            </w:r>
            <w:proofErr w:type="spellStart"/>
            <w:r w:rsidRPr="00B50CB0">
              <w:rPr>
                <w:rFonts w:eastAsia="Calibri"/>
              </w:rPr>
              <w:t>bw</w:t>
            </w:r>
            <w:proofErr w:type="spellEnd"/>
            <w:r w:rsidRPr="00B50CB0">
              <w:rPr>
                <w:rFonts w:eastAsia="Calibri"/>
              </w:rPr>
              <w:t>/day</w:t>
            </w:r>
          </w:p>
        </w:tc>
      </w:tr>
      <w:tr w:rsidR="00CB0677" w:rsidRPr="00FD2055" w14:paraId="28AA7624" w14:textId="77777777" w:rsidTr="00CB0677">
        <w:trPr>
          <w:tblHeader/>
        </w:trPr>
        <w:tc>
          <w:tcPr>
            <w:tcW w:w="653" w:type="pct"/>
            <w:vMerge/>
            <w:tcMar>
              <w:top w:w="57" w:type="dxa"/>
              <w:bottom w:w="57" w:type="dxa"/>
            </w:tcMar>
          </w:tcPr>
          <w:p w14:paraId="5549235F" w14:textId="77777777" w:rsidR="00CB0677" w:rsidRPr="00FD2055" w:rsidRDefault="00CB0677" w:rsidP="00CB0677">
            <w:pPr>
              <w:pStyle w:val="Standaard-Tabellen"/>
              <w:rPr>
                <w:rFonts w:eastAsia="Calibri"/>
              </w:rPr>
            </w:pPr>
          </w:p>
        </w:tc>
        <w:tc>
          <w:tcPr>
            <w:tcW w:w="1693" w:type="pct"/>
            <w:shd w:val="clear" w:color="auto" w:fill="auto"/>
            <w:tcMar>
              <w:top w:w="57" w:type="dxa"/>
              <w:bottom w:w="57" w:type="dxa"/>
            </w:tcMar>
          </w:tcPr>
          <w:p w14:paraId="71DEE7DF" w14:textId="77777777" w:rsidR="00CB0677" w:rsidRDefault="00CB0677" w:rsidP="00CB0677">
            <w:pPr>
              <w:pStyle w:val="Standaard-Tabellen"/>
              <w:rPr>
                <w:rFonts w:eastAsia="Calibri"/>
                <w:lang w:eastAsia="en-US"/>
              </w:rPr>
            </w:pPr>
            <w:r>
              <w:rPr>
                <w:rFonts w:eastAsia="Calibri"/>
                <w:lang w:eastAsia="en-US"/>
              </w:rPr>
              <w:t>Non-professionals, toddler</w:t>
            </w:r>
          </w:p>
        </w:tc>
        <w:tc>
          <w:tcPr>
            <w:tcW w:w="1462" w:type="pct"/>
            <w:tcMar>
              <w:top w:w="57" w:type="dxa"/>
              <w:bottom w:w="57" w:type="dxa"/>
            </w:tcMar>
          </w:tcPr>
          <w:p w14:paraId="0F725997" w14:textId="77777777" w:rsidR="00CB0677" w:rsidRDefault="00CB0677" w:rsidP="00CB0677">
            <w:pPr>
              <w:pStyle w:val="Standaard-Tabellen"/>
              <w:rPr>
                <w:rFonts w:eastAsia="Calibri"/>
              </w:rPr>
            </w:pPr>
            <w:r>
              <w:rPr>
                <w:rFonts w:eastAsia="Calibri"/>
              </w:rPr>
              <w:t xml:space="preserve">Tier 1 / </w:t>
            </w:r>
            <w:r w:rsidRPr="00B41694">
              <w:rPr>
                <w:rFonts w:eastAsia="Calibri"/>
              </w:rPr>
              <w:t>no PPE</w:t>
            </w:r>
          </w:p>
        </w:tc>
        <w:tc>
          <w:tcPr>
            <w:tcW w:w="1192" w:type="pct"/>
            <w:shd w:val="clear" w:color="auto" w:fill="auto"/>
            <w:tcMar>
              <w:top w:w="57" w:type="dxa"/>
              <w:bottom w:w="57" w:type="dxa"/>
            </w:tcMar>
            <w:vAlign w:val="center"/>
          </w:tcPr>
          <w:p w14:paraId="30E3A7D5" w14:textId="77777777" w:rsidR="00CB0677" w:rsidRPr="00B50CB0" w:rsidRDefault="00CB0677" w:rsidP="00CB0677">
            <w:pPr>
              <w:pStyle w:val="Standaard-Tabellen"/>
              <w:rPr>
                <w:rFonts w:eastAsia="Calibri"/>
              </w:rPr>
            </w:pPr>
            <w:r w:rsidRPr="00892C32">
              <w:rPr>
                <w:rFonts w:eastAsia="Calibri"/>
              </w:rPr>
              <w:t>3.19</w:t>
            </w:r>
            <w:r w:rsidRPr="00B50CB0">
              <w:rPr>
                <w:rFonts w:eastAsia="Calibri"/>
              </w:rPr>
              <w:t xml:space="preserve"> mg/kg </w:t>
            </w:r>
            <w:proofErr w:type="spellStart"/>
            <w:r w:rsidRPr="00B50CB0">
              <w:rPr>
                <w:rFonts w:eastAsia="Calibri"/>
              </w:rPr>
              <w:t>bw</w:t>
            </w:r>
            <w:proofErr w:type="spellEnd"/>
            <w:r w:rsidRPr="00B50CB0">
              <w:rPr>
                <w:rFonts w:eastAsia="Calibri"/>
              </w:rPr>
              <w:t>/day</w:t>
            </w:r>
          </w:p>
        </w:tc>
      </w:tr>
      <w:tr w:rsidR="00CB0677" w:rsidRPr="00FD2055" w14:paraId="03307E68" w14:textId="77777777" w:rsidTr="00CB0677">
        <w:trPr>
          <w:tblHeader/>
        </w:trPr>
        <w:tc>
          <w:tcPr>
            <w:tcW w:w="653" w:type="pct"/>
            <w:vMerge/>
            <w:tcBorders>
              <w:bottom w:val="single" w:sz="18" w:space="0" w:color="auto"/>
            </w:tcBorders>
            <w:tcMar>
              <w:top w:w="57" w:type="dxa"/>
              <w:bottom w:w="57" w:type="dxa"/>
            </w:tcMar>
          </w:tcPr>
          <w:p w14:paraId="2E82FBCD" w14:textId="77777777" w:rsidR="00CB0677" w:rsidRPr="00FD2055" w:rsidRDefault="00CB0677" w:rsidP="00CB0677">
            <w:pPr>
              <w:pStyle w:val="Standaard-Tabellen"/>
              <w:rPr>
                <w:rFonts w:eastAsia="Calibri"/>
              </w:rPr>
            </w:pPr>
          </w:p>
        </w:tc>
        <w:tc>
          <w:tcPr>
            <w:tcW w:w="1693" w:type="pct"/>
            <w:tcBorders>
              <w:bottom w:val="single" w:sz="18" w:space="0" w:color="auto"/>
            </w:tcBorders>
            <w:shd w:val="clear" w:color="auto" w:fill="auto"/>
            <w:tcMar>
              <w:top w:w="57" w:type="dxa"/>
              <w:bottom w:w="57" w:type="dxa"/>
            </w:tcMar>
          </w:tcPr>
          <w:p w14:paraId="7202AE34" w14:textId="77777777" w:rsidR="00CB0677" w:rsidRDefault="00CB0677" w:rsidP="00CB0677">
            <w:pPr>
              <w:pStyle w:val="Standaard-Tabellen"/>
              <w:rPr>
                <w:rFonts w:eastAsia="Calibri"/>
                <w:lang w:eastAsia="en-US"/>
              </w:rPr>
            </w:pPr>
            <w:r>
              <w:rPr>
                <w:rFonts w:eastAsia="Calibri"/>
                <w:lang w:eastAsia="en-US"/>
              </w:rPr>
              <w:t>Non-professionals, infant</w:t>
            </w:r>
          </w:p>
        </w:tc>
        <w:tc>
          <w:tcPr>
            <w:tcW w:w="1462" w:type="pct"/>
            <w:tcBorders>
              <w:bottom w:val="single" w:sz="18" w:space="0" w:color="auto"/>
            </w:tcBorders>
            <w:tcMar>
              <w:top w:w="57" w:type="dxa"/>
              <w:bottom w:w="57" w:type="dxa"/>
            </w:tcMar>
          </w:tcPr>
          <w:p w14:paraId="6BE1ECB6" w14:textId="77777777" w:rsidR="00CB0677" w:rsidRDefault="00CB0677" w:rsidP="00CB0677">
            <w:pPr>
              <w:pStyle w:val="Standaard-Tabellen"/>
              <w:rPr>
                <w:rFonts w:eastAsia="Calibri"/>
              </w:rPr>
            </w:pPr>
            <w:r>
              <w:rPr>
                <w:rFonts w:eastAsia="Calibri"/>
              </w:rPr>
              <w:t xml:space="preserve">Tier 1 / </w:t>
            </w:r>
            <w:r w:rsidRPr="00B41694">
              <w:rPr>
                <w:rFonts w:eastAsia="Calibri"/>
              </w:rPr>
              <w:t>no PPE</w:t>
            </w:r>
          </w:p>
        </w:tc>
        <w:tc>
          <w:tcPr>
            <w:tcW w:w="1192" w:type="pct"/>
            <w:tcBorders>
              <w:bottom w:val="single" w:sz="18" w:space="0" w:color="auto"/>
            </w:tcBorders>
            <w:shd w:val="clear" w:color="auto" w:fill="auto"/>
            <w:tcMar>
              <w:top w:w="57" w:type="dxa"/>
              <w:bottom w:w="57" w:type="dxa"/>
            </w:tcMar>
            <w:vAlign w:val="center"/>
          </w:tcPr>
          <w:p w14:paraId="5542EAA4" w14:textId="77777777" w:rsidR="00CB0677" w:rsidRPr="00B50CB0" w:rsidRDefault="00CB0677" w:rsidP="00CB0677">
            <w:pPr>
              <w:pStyle w:val="Standaard-Tabellen"/>
              <w:rPr>
                <w:rFonts w:eastAsia="Calibri"/>
              </w:rPr>
            </w:pPr>
            <w:r w:rsidRPr="00892C32">
              <w:rPr>
                <w:rFonts w:eastAsia="Calibri"/>
              </w:rPr>
              <w:t>2.27</w:t>
            </w:r>
            <w:r w:rsidRPr="00B50CB0">
              <w:rPr>
                <w:rFonts w:eastAsia="Calibri"/>
              </w:rPr>
              <w:t xml:space="preserve"> mg/kg </w:t>
            </w:r>
            <w:proofErr w:type="spellStart"/>
            <w:r w:rsidRPr="00B50CB0">
              <w:rPr>
                <w:rFonts w:eastAsia="Calibri"/>
              </w:rPr>
              <w:t>bw</w:t>
            </w:r>
            <w:proofErr w:type="spellEnd"/>
            <w:r w:rsidRPr="00B50CB0">
              <w:rPr>
                <w:rFonts w:eastAsia="Calibri"/>
              </w:rPr>
              <w:t>/day</w:t>
            </w:r>
          </w:p>
        </w:tc>
      </w:tr>
    </w:tbl>
    <w:bookmarkEnd w:id="188"/>
    <w:p w14:paraId="531EB15B" w14:textId="77777777" w:rsidR="00CC3AED" w:rsidRDefault="00CC3AED" w:rsidP="00CC3AED">
      <w:pPr>
        <w:pStyle w:val="Titre6"/>
        <w:rPr>
          <w:lang w:val="en-US"/>
        </w:rPr>
      </w:pPr>
      <w:r>
        <w:rPr>
          <w:lang w:val="en-US"/>
        </w:rPr>
        <w:lastRenderedPageBreak/>
        <w:t>USE 2 against ticks – application rate 1.0 mg/cm</w:t>
      </w:r>
      <w:r w:rsidRPr="002F5C9C">
        <w:rPr>
          <w:vertAlign w:val="superscript"/>
          <w:lang w:val="en-US"/>
        </w:rPr>
        <w:t>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28"/>
        <w:gridCol w:w="3181"/>
        <w:gridCol w:w="2747"/>
        <w:gridCol w:w="2240"/>
      </w:tblGrid>
      <w:tr w:rsidR="00CC3AED" w:rsidRPr="00F41048" w14:paraId="5FCAEDE5" w14:textId="77777777" w:rsidTr="00CC3AED">
        <w:trPr>
          <w:tblHeader/>
        </w:trPr>
        <w:tc>
          <w:tcPr>
            <w:tcW w:w="5000" w:type="pct"/>
            <w:gridSpan w:val="4"/>
            <w:shd w:val="clear" w:color="auto" w:fill="FFFFCC"/>
          </w:tcPr>
          <w:p w14:paraId="5B86DCA1" w14:textId="77777777" w:rsidR="00CC3AED" w:rsidRPr="00F41048" w:rsidRDefault="00CC3AED" w:rsidP="00CC3AED">
            <w:pPr>
              <w:pStyle w:val="Standaard-Tabellen"/>
              <w:jc w:val="center"/>
              <w:rPr>
                <w:rFonts w:eastAsia="Calibri"/>
                <w:b/>
              </w:rPr>
            </w:pPr>
            <w:r w:rsidRPr="00F41048">
              <w:rPr>
                <w:rFonts w:eastAsia="Calibri"/>
                <w:b/>
              </w:rPr>
              <w:t>Scenarios and values to be used in risk assessment</w:t>
            </w:r>
          </w:p>
        </w:tc>
      </w:tr>
      <w:tr w:rsidR="00CC3AED" w:rsidRPr="00F41048" w14:paraId="0A9B960D" w14:textId="77777777" w:rsidTr="00CC3AED">
        <w:trPr>
          <w:tblHeader/>
        </w:trPr>
        <w:tc>
          <w:tcPr>
            <w:tcW w:w="653" w:type="pct"/>
            <w:shd w:val="clear" w:color="auto" w:fill="BFBFBF" w:themeFill="background1" w:themeFillShade="BF"/>
            <w:tcMar>
              <w:top w:w="57" w:type="dxa"/>
              <w:bottom w:w="57" w:type="dxa"/>
            </w:tcMar>
          </w:tcPr>
          <w:p w14:paraId="07154921" w14:textId="77777777" w:rsidR="00CC3AED" w:rsidRPr="00F41048" w:rsidRDefault="00CC3AED" w:rsidP="00CC3AED">
            <w:pPr>
              <w:pStyle w:val="Standaard-Tabellen"/>
              <w:rPr>
                <w:rFonts w:eastAsia="Calibri"/>
                <w:b/>
              </w:rPr>
            </w:pPr>
            <w:r w:rsidRPr="00F41048">
              <w:rPr>
                <w:rFonts w:eastAsia="Calibri"/>
                <w:b/>
              </w:rPr>
              <w:t>Scenario number</w:t>
            </w:r>
          </w:p>
        </w:tc>
        <w:tc>
          <w:tcPr>
            <w:tcW w:w="1693" w:type="pct"/>
            <w:shd w:val="clear" w:color="auto" w:fill="BFBFBF" w:themeFill="background1" w:themeFillShade="BF"/>
            <w:tcMar>
              <w:top w:w="57" w:type="dxa"/>
              <w:bottom w:w="57" w:type="dxa"/>
            </w:tcMar>
          </w:tcPr>
          <w:p w14:paraId="56A32FC8" w14:textId="77777777" w:rsidR="00CC3AED" w:rsidRPr="00F41048" w:rsidRDefault="00CC3AED" w:rsidP="00CC3AED">
            <w:pPr>
              <w:pStyle w:val="Standaard-Tabellen"/>
              <w:rPr>
                <w:rFonts w:eastAsia="Calibri"/>
                <w:b/>
              </w:rPr>
            </w:pPr>
            <w:r w:rsidRPr="00F41048">
              <w:rPr>
                <w:rFonts w:eastAsia="Calibri"/>
                <w:b/>
              </w:rPr>
              <w:t>Exposed group</w:t>
            </w:r>
          </w:p>
          <w:p w14:paraId="4D6CFFB8" w14:textId="77777777" w:rsidR="00CC3AED" w:rsidRPr="00F41048" w:rsidRDefault="00CC3AED" w:rsidP="00CC3AED">
            <w:pPr>
              <w:pStyle w:val="Standaard-Tabellen"/>
              <w:rPr>
                <w:rFonts w:eastAsia="Calibri"/>
                <w:b/>
              </w:rPr>
            </w:pPr>
            <w:r w:rsidRPr="00F41048">
              <w:rPr>
                <w:rFonts w:eastAsia="Calibri"/>
                <w:b/>
              </w:rPr>
              <w:t>(e.g. professionals, non-professionals, bystanders)</w:t>
            </w:r>
          </w:p>
        </w:tc>
        <w:tc>
          <w:tcPr>
            <w:tcW w:w="1462" w:type="pct"/>
            <w:shd w:val="clear" w:color="auto" w:fill="BFBFBF" w:themeFill="background1" w:themeFillShade="BF"/>
            <w:tcMar>
              <w:top w:w="57" w:type="dxa"/>
              <w:bottom w:w="57" w:type="dxa"/>
            </w:tcMar>
          </w:tcPr>
          <w:p w14:paraId="699B1D8B" w14:textId="77777777" w:rsidR="00CC3AED" w:rsidRPr="00F41048" w:rsidRDefault="00CC3AED" w:rsidP="00CC3AED">
            <w:pPr>
              <w:pStyle w:val="Standaard-Tabellen"/>
              <w:rPr>
                <w:rFonts w:eastAsia="Calibri"/>
                <w:b/>
              </w:rPr>
            </w:pPr>
            <w:r w:rsidRPr="00F41048">
              <w:rPr>
                <w:rFonts w:eastAsia="Calibri"/>
                <w:b/>
              </w:rPr>
              <w:t>Tier/PPE</w:t>
            </w:r>
          </w:p>
        </w:tc>
        <w:tc>
          <w:tcPr>
            <w:tcW w:w="1192" w:type="pct"/>
            <w:tcBorders>
              <w:bottom w:val="single" w:sz="18" w:space="0" w:color="auto"/>
            </w:tcBorders>
            <w:shd w:val="clear" w:color="auto" w:fill="BFBFBF" w:themeFill="background1" w:themeFillShade="BF"/>
            <w:tcMar>
              <w:top w:w="57" w:type="dxa"/>
              <w:bottom w:w="57" w:type="dxa"/>
            </w:tcMar>
          </w:tcPr>
          <w:p w14:paraId="7EC94651" w14:textId="77777777" w:rsidR="00CC3AED" w:rsidRPr="00F41048" w:rsidRDefault="00CC3AED" w:rsidP="00CC3AED">
            <w:pPr>
              <w:pStyle w:val="Standaard-Tabellen"/>
              <w:rPr>
                <w:rFonts w:eastAsia="Calibri"/>
                <w:b/>
              </w:rPr>
            </w:pPr>
            <w:r w:rsidRPr="00F41048">
              <w:rPr>
                <w:rFonts w:eastAsia="Calibri"/>
                <w:b/>
              </w:rPr>
              <w:t>Estimated total uptake</w:t>
            </w:r>
          </w:p>
        </w:tc>
      </w:tr>
      <w:tr w:rsidR="00CC3AED" w:rsidRPr="00892C32" w14:paraId="7E90DFE4" w14:textId="77777777" w:rsidTr="00CC3AED">
        <w:trPr>
          <w:tblHeader/>
        </w:trPr>
        <w:tc>
          <w:tcPr>
            <w:tcW w:w="653" w:type="pct"/>
            <w:vMerge w:val="restart"/>
            <w:tcBorders>
              <w:top w:val="single" w:sz="18" w:space="0" w:color="auto"/>
            </w:tcBorders>
            <w:tcMar>
              <w:top w:w="57" w:type="dxa"/>
              <w:bottom w:w="57" w:type="dxa"/>
            </w:tcMar>
          </w:tcPr>
          <w:p w14:paraId="0DD837AF" w14:textId="77777777" w:rsidR="00CC3AED" w:rsidRPr="00FD2055" w:rsidRDefault="00CC3AED" w:rsidP="00CC3AED">
            <w:pPr>
              <w:pStyle w:val="Standaard-Tabellen"/>
              <w:rPr>
                <w:rFonts w:eastAsia="Calibri"/>
              </w:rPr>
            </w:pPr>
            <w:r w:rsidRPr="00FD2055">
              <w:rPr>
                <w:rFonts w:eastAsia="Calibri"/>
                <w:lang w:eastAsia="en-US"/>
              </w:rPr>
              <w:t>1.</w:t>
            </w:r>
          </w:p>
          <w:p w14:paraId="3ADCE893" w14:textId="77777777" w:rsidR="00CC3AED" w:rsidRPr="00FD2055" w:rsidRDefault="00CC3AED" w:rsidP="00CC3AED">
            <w:pPr>
              <w:pStyle w:val="Standaard-Tabellen"/>
              <w:rPr>
                <w:rFonts w:eastAsia="Calibri"/>
              </w:rPr>
            </w:pPr>
          </w:p>
        </w:tc>
        <w:tc>
          <w:tcPr>
            <w:tcW w:w="1693" w:type="pct"/>
            <w:tcBorders>
              <w:top w:val="single" w:sz="18" w:space="0" w:color="auto"/>
            </w:tcBorders>
            <w:shd w:val="clear" w:color="auto" w:fill="auto"/>
            <w:tcMar>
              <w:top w:w="57" w:type="dxa"/>
              <w:bottom w:w="57" w:type="dxa"/>
            </w:tcMar>
          </w:tcPr>
          <w:p w14:paraId="47D32B7D" w14:textId="77777777" w:rsidR="00CC3AED" w:rsidRPr="00FD2055" w:rsidRDefault="00CC3AED" w:rsidP="00CC3AED">
            <w:pPr>
              <w:pStyle w:val="Standaard-Tabellen"/>
              <w:tabs>
                <w:tab w:val="left" w:pos="1035"/>
              </w:tabs>
              <w:rPr>
                <w:rFonts w:eastAsia="Calibri"/>
              </w:rPr>
            </w:pPr>
            <w:r>
              <w:rPr>
                <w:rFonts w:eastAsia="Calibri"/>
                <w:lang w:eastAsia="en-US"/>
              </w:rPr>
              <w:t>Non-professionals, adult</w:t>
            </w:r>
          </w:p>
        </w:tc>
        <w:tc>
          <w:tcPr>
            <w:tcW w:w="1462" w:type="pct"/>
            <w:tcBorders>
              <w:top w:val="single" w:sz="18" w:space="0" w:color="auto"/>
            </w:tcBorders>
            <w:tcMar>
              <w:top w:w="57" w:type="dxa"/>
              <w:bottom w:w="57" w:type="dxa"/>
            </w:tcMar>
          </w:tcPr>
          <w:p w14:paraId="0B383D52" w14:textId="77777777" w:rsidR="00CC3AED" w:rsidRPr="00FD2055" w:rsidRDefault="00CC3AED" w:rsidP="00CC3AED">
            <w:pPr>
              <w:pStyle w:val="Standaard-Tabellen"/>
              <w:rPr>
                <w:rFonts w:eastAsia="Calibri"/>
              </w:rPr>
            </w:pPr>
            <w:r>
              <w:rPr>
                <w:rFonts w:eastAsia="Calibri"/>
                <w:lang w:eastAsia="en-US"/>
              </w:rPr>
              <w:t>Tier 1, no PPE, dermal, 7 applications/day</w:t>
            </w:r>
          </w:p>
        </w:tc>
        <w:tc>
          <w:tcPr>
            <w:tcW w:w="1192" w:type="pct"/>
            <w:tcBorders>
              <w:top w:val="single" w:sz="18" w:space="0" w:color="auto"/>
            </w:tcBorders>
            <w:shd w:val="clear" w:color="auto" w:fill="auto"/>
            <w:tcMar>
              <w:top w:w="57" w:type="dxa"/>
              <w:bottom w:w="57" w:type="dxa"/>
            </w:tcMar>
            <w:vAlign w:val="center"/>
          </w:tcPr>
          <w:p w14:paraId="07951D47" w14:textId="77777777" w:rsidR="00CC3AED" w:rsidRPr="00892C32" w:rsidRDefault="00CC3AED" w:rsidP="00CC3AED">
            <w:pPr>
              <w:pStyle w:val="Standaard-Tabellen"/>
              <w:rPr>
                <w:rFonts w:eastAsia="Calibri"/>
                <w:highlight w:val="yellow"/>
              </w:rPr>
            </w:pPr>
            <w:r>
              <w:rPr>
                <w:rFonts w:cs="Arial"/>
              </w:rPr>
              <w:t>14.91</w:t>
            </w:r>
            <w:r w:rsidRPr="00C96F98">
              <w:rPr>
                <w:rFonts w:cs="Arial"/>
              </w:rPr>
              <w:t xml:space="preserve"> mg/kg </w:t>
            </w:r>
            <w:proofErr w:type="spellStart"/>
            <w:r w:rsidRPr="00C96F98">
              <w:rPr>
                <w:rFonts w:cs="Arial"/>
              </w:rPr>
              <w:t>bw</w:t>
            </w:r>
            <w:proofErr w:type="spellEnd"/>
            <w:r w:rsidRPr="00C96F98">
              <w:rPr>
                <w:rFonts w:cs="Arial"/>
              </w:rPr>
              <w:t>/day</w:t>
            </w:r>
          </w:p>
        </w:tc>
      </w:tr>
      <w:tr w:rsidR="00CC3AED" w:rsidRPr="00892C32" w14:paraId="7B61428E" w14:textId="77777777" w:rsidTr="00CC3AED">
        <w:trPr>
          <w:tblHeader/>
        </w:trPr>
        <w:tc>
          <w:tcPr>
            <w:tcW w:w="653" w:type="pct"/>
            <w:vMerge/>
            <w:tcMar>
              <w:top w:w="57" w:type="dxa"/>
              <w:bottom w:w="57" w:type="dxa"/>
            </w:tcMar>
          </w:tcPr>
          <w:p w14:paraId="16EA2963" w14:textId="77777777" w:rsidR="00CC3AED" w:rsidRPr="00FD2055" w:rsidRDefault="00CC3AED" w:rsidP="00CC3AED">
            <w:pPr>
              <w:pStyle w:val="Standaard-Tabellen"/>
              <w:rPr>
                <w:rFonts w:eastAsia="Calibri"/>
              </w:rPr>
            </w:pPr>
          </w:p>
        </w:tc>
        <w:tc>
          <w:tcPr>
            <w:tcW w:w="1693" w:type="pct"/>
            <w:shd w:val="clear" w:color="auto" w:fill="auto"/>
            <w:tcMar>
              <w:top w:w="57" w:type="dxa"/>
              <w:bottom w:w="57" w:type="dxa"/>
            </w:tcMar>
          </w:tcPr>
          <w:p w14:paraId="304282AC" w14:textId="77777777" w:rsidR="00CC3AED" w:rsidRDefault="00CC3AED" w:rsidP="00CC3AED">
            <w:pPr>
              <w:pStyle w:val="Standaard-Tabellen"/>
              <w:tabs>
                <w:tab w:val="left" w:pos="1035"/>
              </w:tabs>
              <w:rPr>
                <w:rFonts w:eastAsia="Calibri"/>
              </w:rPr>
            </w:pPr>
            <w:r>
              <w:rPr>
                <w:rFonts w:eastAsia="Calibri"/>
                <w:lang w:eastAsia="en-US"/>
              </w:rPr>
              <w:t>Non-professionals, child (6-12)</w:t>
            </w:r>
          </w:p>
        </w:tc>
        <w:tc>
          <w:tcPr>
            <w:tcW w:w="1462" w:type="pct"/>
            <w:tcMar>
              <w:top w:w="57" w:type="dxa"/>
              <w:bottom w:w="57" w:type="dxa"/>
            </w:tcMar>
          </w:tcPr>
          <w:p w14:paraId="029BD3CF" w14:textId="77777777" w:rsidR="00CC3AED" w:rsidRPr="00FD2055" w:rsidRDefault="00CC3AED" w:rsidP="00CC3AED">
            <w:pPr>
              <w:pStyle w:val="Standaard-Tabellen"/>
              <w:rPr>
                <w:rFonts w:eastAsia="Calibri"/>
              </w:rPr>
            </w:pPr>
            <w:r>
              <w:rPr>
                <w:rFonts w:eastAsia="Calibri"/>
                <w:lang w:eastAsia="en-US"/>
              </w:rPr>
              <w:t>Tier 1, no PPE, dermal, 4 applications/day</w:t>
            </w:r>
          </w:p>
        </w:tc>
        <w:tc>
          <w:tcPr>
            <w:tcW w:w="1192" w:type="pct"/>
            <w:shd w:val="clear" w:color="auto" w:fill="auto"/>
            <w:tcMar>
              <w:top w:w="57" w:type="dxa"/>
              <w:bottom w:w="57" w:type="dxa"/>
            </w:tcMar>
            <w:vAlign w:val="center"/>
          </w:tcPr>
          <w:p w14:paraId="2F195F14" w14:textId="77777777" w:rsidR="00CC3AED" w:rsidRPr="00892C32" w:rsidRDefault="00CC3AED" w:rsidP="00CC3AED">
            <w:pPr>
              <w:pStyle w:val="Standaard-Tabellen"/>
              <w:rPr>
                <w:rFonts w:eastAsia="Calibri"/>
                <w:highlight w:val="yellow"/>
              </w:rPr>
            </w:pPr>
            <w:r w:rsidRPr="0014128A">
              <w:rPr>
                <w:rFonts w:cs="Arial"/>
              </w:rPr>
              <w:t xml:space="preserve">11.86 mg/kg </w:t>
            </w:r>
            <w:proofErr w:type="spellStart"/>
            <w:r w:rsidRPr="0014128A">
              <w:rPr>
                <w:rFonts w:cs="Arial"/>
              </w:rPr>
              <w:t>bw</w:t>
            </w:r>
            <w:proofErr w:type="spellEnd"/>
            <w:r w:rsidRPr="0014128A">
              <w:rPr>
                <w:rFonts w:cs="Arial"/>
              </w:rPr>
              <w:t>/day</w:t>
            </w:r>
          </w:p>
        </w:tc>
      </w:tr>
      <w:tr w:rsidR="00CC3AED" w:rsidRPr="00892C32" w14:paraId="0E2CF4EE" w14:textId="77777777" w:rsidTr="00CC3AED">
        <w:trPr>
          <w:tblHeader/>
        </w:trPr>
        <w:tc>
          <w:tcPr>
            <w:tcW w:w="653" w:type="pct"/>
            <w:vMerge/>
            <w:tcMar>
              <w:top w:w="57" w:type="dxa"/>
              <w:bottom w:w="57" w:type="dxa"/>
            </w:tcMar>
          </w:tcPr>
          <w:p w14:paraId="5D432C95" w14:textId="77777777" w:rsidR="00CC3AED" w:rsidRPr="00FD2055" w:rsidRDefault="00CC3AED" w:rsidP="00CC3AED">
            <w:pPr>
              <w:pStyle w:val="Standaard-Tabellen"/>
              <w:rPr>
                <w:rFonts w:eastAsia="Calibri"/>
              </w:rPr>
            </w:pPr>
          </w:p>
        </w:tc>
        <w:tc>
          <w:tcPr>
            <w:tcW w:w="1693" w:type="pct"/>
            <w:shd w:val="clear" w:color="auto" w:fill="auto"/>
            <w:tcMar>
              <w:top w:w="57" w:type="dxa"/>
              <w:bottom w:w="57" w:type="dxa"/>
            </w:tcMar>
          </w:tcPr>
          <w:p w14:paraId="751238A7" w14:textId="77777777" w:rsidR="00CC3AED" w:rsidRDefault="00CC3AED" w:rsidP="00CC3AED">
            <w:pPr>
              <w:pStyle w:val="Standaard-Tabellen"/>
              <w:tabs>
                <w:tab w:val="left" w:pos="1035"/>
              </w:tabs>
              <w:rPr>
                <w:rFonts w:eastAsia="Calibri"/>
                <w:lang w:eastAsia="en-US"/>
              </w:rPr>
            </w:pPr>
            <w:r>
              <w:rPr>
                <w:rFonts w:eastAsia="Calibri"/>
                <w:lang w:eastAsia="en-US"/>
              </w:rPr>
              <w:t>Non-professionals, child (2-6)</w:t>
            </w:r>
          </w:p>
        </w:tc>
        <w:tc>
          <w:tcPr>
            <w:tcW w:w="1462" w:type="pct"/>
            <w:tcMar>
              <w:top w:w="57" w:type="dxa"/>
              <w:bottom w:w="57" w:type="dxa"/>
            </w:tcMar>
          </w:tcPr>
          <w:p w14:paraId="5714476B" w14:textId="77777777" w:rsidR="00CC3AED" w:rsidRDefault="00CC3AED" w:rsidP="00CC3AED">
            <w:pPr>
              <w:pStyle w:val="Standaard-Tabellen"/>
              <w:rPr>
                <w:rFonts w:eastAsia="Calibri"/>
                <w:lang w:eastAsia="en-US"/>
              </w:rPr>
            </w:pPr>
            <w:r>
              <w:rPr>
                <w:rFonts w:eastAsia="Calibri"/>
                <w:lang w:eastAsia="en-US"/>
              </w:rPr>
              <w:t>Tier 1, no PPE, dermal, 2 applications/day</w:t>
            </w:r>
          </w:p>
        </w:tc>
        <w:tc>
          <w:tcPr>
            <w:tcW w:w="1192" w:type="pct"/>
            <w:shd w:val="clear" w:color="auto" w:fill="auto"/>
            <w:tcMar>
              <w:top w:w="57" w:type="dxa"/>
              <w:bottom w:w="57" w:type="dxa"/>
            </w:tcMar>
            <w:vAlign w:val="center"/>
          </w:tcPr>
          <w:p w14:paraId="4004AB50" w14:textId="77777777" w:rsidR="00CC3AED" w:rsidRPr="00892C32" w:rsidRDefault="00CC3AED" w:rsidP="00CC3AED">
            <w:pPr>
              <w:pStyle w:val="Standaard-Tabellen"/>
              <w:rPr>
                <w:rFonts w:cs="Arial"/>
                <w:highlight w:val="yellow"/>
              </w:rPr>
            </w:pPr>
            <w:r w:rsidRPr="0014128A">
              <w:rPr>
                <w:rFonts w:cs="Arial"/>
              </w:rPr>
              <w:t xml:space="preserve">6.71 mg/kg </w:t>
            </w:r>
            <w:proofErr w:type="spellStart"/>
            <w:r w:rsidRPr="0014128A">
              <w:rPr>
                <w:rFonts w:cs="Arial"/>
              </w:rPr>
              <w:t>bw</w:t>
            </w:r>
            <w:proofErr w:type="spellEnd"/>
            <w:r w:rsidRPr="0014128A">
              <w:rPr>
                <w:rFonts w:cs="Arial"/>
              </w:rPr>
              <w:t>/day</w:t>
            </w:r>
          </w:p>
        </w:tc>
      </w:tr>
      <w:tr w:rsidR="00CC3AED" w:rsidRPr="00892C32" w14:paraId="1E61DA14" w14:textId="77777777" w:rsidTr="00CC3AED">
        <w:trPr>
          <w:tblHeader/>
        </w:trPr>
        <w:tc>
          <w:tcPr>
            <w:tcW w:w="653" w:type="pct"/>
            <w:vMerge/>
            <w:tcMar>
              <w:top w:w="57" w:type="dxa"/>
              <w:bottom w:w="57" w:type="dxa"/>
            </w:tcMar>
          </w:tcPr>
          <w:p w14:paraId="6DBD1245" w14:textId="77777777" w:rsidR="00CC3AED" w:rsidRPr="00FD2055" w:rsidRDefault="00CC3AED" w:rsidP="00CC3AED">
            <w:pPr>
              <w:pStyle w:val="Standaard-Tabellen"/>
              <w:rPr>
                <w:rFonts w:eastAsia="Calibri"/>
              </w:rPr>
            </w:pPr>
          </w:p>
        </w:tc>
        <w:tc>
          <w:tcPr>
            <w:tcW w:w="1693" w:type="pct"/>
            <w:shd w:val="clear" w:color="auto" w:fill="auto"/>
            <w:tcMar>
              <w:top w:w="57" w:type="dxa"/>
              <w:bottom w:w="57" w:type="dxa"/>
            </w:tcMar>
          </w:tcPr>
          <w:p w14:paraId="0972C9AC" w14:textId="77777777" w:rsidR="00CC3AED" w:rsidRDefault="00CC3AED" w:rsidP="00CC3AED">
            <w:pPr>
              <w:pStyle w:val="Standaard-Tabellen"/>
              <w:tabs>
                <w:tab w:val="left" w:pos="1035"/>
              </w:tabs>
              <w:rPr>
                <w:rFonts w:eastAsia="Calibri"/>
              </w:rPr>
            </w:pPr>
            <w:r>
              <w:rPr>
                <w:rFonts w:eastAsia="Calibri"/>
                <w:lang w:eastAsia="en-US"/>
              </w:rPr>
              <w:t>Non-professionals, toddler</w:t>
            </w:r>
          </w:p>
        </w:tc>
        <w:tc>
          <w:tcPr>
            <w:tcW w:w="1462" w:type="pct"/>
            <w:tcMar>
              <w:top w:w="57" w:type="dxa"/>
              <w:bottom w:w="57" w:type="dxa"/>
            </w:tcMar>
          </w:tcPr>
          <w:p w14:paraId="13AF6E7B" w14:textId="77777777" w:rsidR="00CC3AED" w:rsidRPr="00FD2055" w:rsidRDefault="00CC3AED" w:rsidP="00CC3AED">
            <w:pPr>
              <w:pStyle w:val="Standaard-Tabellen"/>
              <w:rPr>
                <w:rFonts w:eastAsia="Calibri"/>
              </w:rPr>
            </w:pPr>
            <w:r>
              <w:rPr>
                <w:rFonts w:eastAsia="Calibri"/>
                <w:lang w:eastAsia="en-US"/>
              </w:rPr>
              <w:t>Tier 1, no PPE, dermal, 2 applications/day</w:t>
            </w:r>
          </w:p>
        </w:tc>
        <w:tc>
          <w:tcPr>
            <w:tcW w:w="1192" w:type="pct"/>
            <w:shd w:val="clear" w:color="auto" w:fill="auto"/>
            <w:tcMar>
              <w:top w:w="57" w:type="dxa"/>
              <w:bottom w:w="57" w:type="dxa"/>
            </w:tcMar>
            <w:vAlign w:val="center"/>
          </w:tcPr>
          <w:p w14:paraId="4C2E117E" w14:textId="77777777" w:rsidR="00CC3AED" w:rsidRPr="00892C32" w:rsidRDefault="00CC3AED" w:rsidP="00CC3AED">
            <w:pPr>
              <w:pStyle w:val="Standaard-Tabellen"/>
              <w:rPr>
                <w:rFonts w:eastAsia="Calibri"/>
                <w:highlight w:val="yellow"/>
              </w:rPr>
            </w:pPr>
            <w:r w:rsidRPr="0014128A">
              <w:rPr>
                <w:rFonts w:cs="Arial"/>
              </w:rPr>
              <w:t xml:space="preserve">7.39 mg/kg </w:t>
            </w:r>
            <w:proofErr w:type="spellStart"/>
            <w:r w:rsidRPr="0014128A">
              <w:rPr>
                <w:rFonts w:cs="Arial"/>
              </w:rPr>
              <w:t>bw</w:t>
            </w:r>
            <w:proofErr w:type="spellEnd"/>
            <w:r w:rsidRPr="0014128A">
              <w:rPr>
                <w:rFonts w:cs="Arial"/>
              </w:rPr>
              <w:t>/day</w:t>
            </w:r>
          </w:p>
        </w:tc>
      </w:tr>
      <w:tr w:rsidR="00CC3AED" w:rsidRPr="00892C32" w14:paraId="7F0AE680" w14:textId="77777777" w:rsidTr="00CC3AED">
        <w:trPr>
          <w:tblHeader/>
        </w:trPr>
        <w:tc>
          <w:tcPr>
            <w:tcW w:w="653" w:type="pct"/>
            <w:vMerge/>
            <w:tcMar>
              <w:top w:w="57" w:type="dxa"/>
              <w:bottom w:w="57" w:type="dxa"/>
            </w:tcMar>
          </w:tcPr>
          <w:p w14:paraId="2AF7F9CC" w14:textId="77777777" w:rsidR="00CC3AED" w:rsidRPr="00FD2055" w:rsidRDefault="00CC3AED" w:rsidP="00CC3AED">
            <w:pPr>
              <w:pStyle w:val="Standaard-Tabellen"/>
              <w:rPr>
                <w:rFonts w:eastAsia="Calibri"/>
              </w:rPr>
            </w:pPr>
          </w:p>
        </w:tc>
        <w:tc>
          <w:tcPr>
            <w:tcW w:w="1693" w:type="pct"/>
            <w:tcBorders>
              <w:bottom w:val="double" w:sz="4" w:space="0" w:color="auto"/>
            </w:tcBorders>
            <w:shd w:val="clear" w:color="auto" w:fill="auto"/>
            <w:tcMar>
              <w:top w:w="57" w:type="dxa"/>
              <w:bottom w:w="57" w:type="dxa"/>
            </w:tcMar>
          </w:tcPr>
          <w:p w14:paraId="0636DA5C" w14:textId="77777777" w:rsidR="00CC3AED" w:rsidRDefault="00CC3AED" w:rsidP="00CC3AED">
            <w:pPr>
              <w:pStyle w:val="Standaard-Tabellen"/>
              <w:tabs>
                <w:tab w:val="left" w:pos="1035"/>
              </w:tabs>
              <w:rPr>
                <w:rFonts w:eastAsia="Calibri"/>
                <w:lang w:eastAsia="en-US"/>
              </w:rPr>
            </w:pPr>
            <w:r>
              <w:rPr>
                <w:rFonts w:eastAsia="Calibri"/>
                <w:lang w:eastAsia="en-US"/>
              </w:rPr>
              <w:t>Non-professionals, infant</w:t>
            </w:r>
          </w:p>
        </w:tc>
        <w:tc>
          <w:tcPr>
            <w:tcW w:w="1462" w:type="pct"/>
            <w:tcBorders>
              <w:bottom w:val="double" w:sz="4" w:space="0" w:color="auto"/>
            </w:tcBorders>
            <w:tcMar>
              <w:top w:w="57" w:type="dxa"/>
              <w:bottom w:w="57" w:type="dxa"/>
            </w:tcMar>
          </w:tcPr>
          <w:p w14:paraId="0163A756" w14:textId="77777777" w:rsidR="00CC3AED" w:rsidRDefault="00CC3AED" w:rsidP="00CC3AED">
            <w:pPr>
              <w:pStyle w:val="Standaard-Tabellen"/>
              <w:rPr>
                <w:rFonts w:eastAsia="Calibri"/>
                <w:lang w:eastAsia="en-US"/>
              </w:rPr>
            </w:pPr>
            <w:r>
              <w:rPr>
                <w:rFonts w:eastAsia="Calibri"/>
                <w:lang w:eastAsia="en-US"/>
              </w:rPr>
              <w:t>Tier 1, no PPE, dermal, 2 applications/day</w:t>
            </w:r>
          </w:p>
        </w:tc>
        <w:tc>
          <w:tcPr>
            <w:tcW w:w="1192" w:type="pct"/>
            <w:tcBorders>
              <w:bottom w:val="double" w:sz="4" w:space="0" w:color="auto"/>
            </w:tcBorders>
            <w:shd w:val="clear" w:color="auto" w:fill="auto"/>
            <w:tcMar>
              <w:top w:w="57" w:type="dxa"/>
              <w:bottom w:w="57" w:type="dxa"/>
            </w:tcMar>
            <w:vAlign w:val="center"/>
          </w:tcPr>
          <w:p w14:paraId="67172C49" w14:textId="77777777" w:rsidR="00CC3AED" w:rsidRPr="00892C32" w:rsidRDefault="00CC3AED" w:rsidP="00CC3AED">
            <w:pPr>
              <w:pStyle w:val="Standaard-Tabellen"/>
              <w:rPr>
                <w:rFonts w:cs="Arial"/>
                <w:highlight w:val="yellow"/>
              </w:rPr>
            </w:pPr>
            <w:r>
              <w:rPr>
                <w:rFonts w:cs="Arial"/>
              </w:rPr>
              <w:t>7.89</w:t>
            </w:r>
            <w:r w:rsidRPr="00C96F98">
              <w:rPr>
                <w:rFonts w:cs="Arial"/>
              </w:rPr>
              <w:t xml:space="preserve"> mg/kg </w:t>
            </w:r>
            <w:proofErr w:type="spellStart"/>
            <w:r w:rsidRPr="00C96F98">
              <w:rPr>
                <w:rFonts w:cs="Arial"/>
              </w:rPr>
              <w:t>bw</w:t>
            </w:r>
            <w:proofErr w:type="spellEnd"/>
            <w:r w:rsidRPr="00C96F98">
              <w:rPr>
                <w:rFonts w:cs="Arial"/>
              </w:rPr>
              <w:t>/day</w:t>
            </w:r>
          </w:p>
        </w:tc>
      </w:tr>
      <w:tr w:rsidR="00CC3AED" w:rsidRPr="00892C32" w14:paraId="5C07FE92" w14:textId="77777777" w:rsidTr="00CC3AED">
        <w:trPr>
          <w:tblHeader/>
        </w:trPr>
        <w:tc>
          <w:tcPr>
            <w:tcW w:w="653" w:type="pct"/>
            <w:vMerge/>
            <w:tcMar>
              <w:top w:w="57" w:type="dxa"/>
              <w:bottom w:w="57" w:type="dxa"/>
            </w:tcMar>
          </w:tcPr>
          <w:p w14:paraId="6039BD13" w14:textId="77777777" w:rsidR="00CC3AED" w:rsidRPr="00FD2055" w:rsidRDefault="00CC3AED" w:rsidP="00CC3AED">
            <w:pPr>
              <w:pStyle w:val="Standaard-Tabellen"/>
              <w:rPr>
                <w:rFonts w:eastAsia="Calibri"/>
              </w:rPr>
            </w:pPr>
          </w:p>
        </w:tc>
        <w:tc>
          <w:tcPr>
            <w:tcW w:w="1693" w:type="pct"/>
            <w:tcBorders>
              <w:top w:val="double" w:sz="4" w:space="0" w:color="auto"/>
            </w:tcBorders>
            <w:shd w:val="clear" w:color="auto" w:fill="auto"/>
            <w:tcMar>
              <w:top w:w="57" w:type="dxa"/>
              <w:bottom w:w="57" w:type="dxa"/>
            </w:tcMar>
          </w:tcPr>
          <w:p w14:paraId="2217766B" w14:textId="77777777" w:rsidR="00CC3AED" w:rsidRDefault="00CC3AED" w:rsidP="00CC3AED">
            <w:pPr>
              <w:pStyle w:val="Standaard-Tabellen"/>
              <w:tabs>
                <w:tab w:val="left" w:pos="1035"/>
              </w:tabs>
              <w:rPr>
                <w:rFonts w:eastAsia="Calibri"/>
                <w:lang w:eastAsia="en-US"/>
              </w:rPr>
            </w:pPr>
            <w:r>
              <w:rPr>
                <w:rFonts w:eastAsia="Calibri"/>
                <w:lang w:eastAsia="en-US"/>
              </w:rPr>
              <w:t>Non-professionals, adult</w:t>
            </w:r>
          </w:p>
        </w:tc>
        <w:tc>
          <w:tcPr>
            <w:tcW w:w="1462" w:type="pct"/>
            <w:tcBorders>
              <w:top w:val="double" w:sz="4" w:space="0" w:color="auto"/>
            </w:tcBorders>
            <w:tcMar>
              <w:top w:w="57" w:type="dxa"/>
              <w:bottom w:w="57" w:type="dxa"/>
            </w:tcMar>
          </w:tcPr>
          <w:p w14:paraId="7926ABA7" w14:textId="77777777" w:rsidR="00CC3AED" w:rsidRDefault="00CC3AED" w:rsidP="00CC3AED">
            <w:pPr>
              <w:pStyle w:val="Standaard-Tabellen"/>
              <w:rPr>
                <w:rFonts w:eastAsia="Calibri"/>
                <w:lang w:eastAsia="en-US"/>
              </w:rPr>
            </w:pPr>
            <w:r w:rsidRPr="008A5992">
              <w:rPr>
                <w:rFonts w:eastAsia="Calibri"/>
                <w:lang w:eastAsia="en-US"/>
              </w:rPr>
              <w:t xml:space="preserve">Tier </w:t>
            </w:r>
            <w:r>
              <w:rPr>
                <w:rFonts w:eastAsia="Calibri"/>
                <w:lang w:eastAsia="en-US"/>
              </w:rPr>
              <w:t>2, no PPE, dermal, 6</w:t>
            </w:r>
            <w:r w:rsidRPr="008A5992">
              <w:rPr>
                <w:rFonts w:eastAsia="Calibri"/>
                <w:lang w:eastAsia="en-US"/>
              </w:rPr>
              <w:t xml:space="preserve"> applications/day</w:t>
            </w:r>
          </w:p>
        </w:tc>
        <w:tc>
          <w:tcPr>
            <w:tcW w:w="1192" w:type="pct"/>
            <w:tcBorders>
              <w:top w:val="double" w:sz="4" w:space="0" w:color="auto"/>
            </w:tcBorders>
            <w:shd w:val="clear" w:color="auto" w:fill="auto"/>
            <w:tcMar>
              <w:top w:w="57" w:type="dxa"/>
              <w:bottom w:w="57" w:type="dxa"/>
            </w:tcMar>
            <w:vAlign w:val="center"/>
          </w:tcPr>
          <w:p w14:paraId="5B941C21" w14:textId="77777777" w:rsidR="00CC3AED" w:rsidRPr="00892C32" w:rsidRDefault="00CC3AED" w:rsidP="00CC3AED">
            <w:pPr>
              <w:pStyle w:val="Standaard-Tabellen"/>
              <w:rPr>
                <w:rFonts w:cs="Arial"/>
                <w:highlight w:val="yellow"/>
              </w:rPr>
            </w:pPr>
            <w:r>
              <w:rPr>
                <w:rFonts w:cs="Arial"/>
              </w:rPr>
              <w:t>12.78</w:t>
            </w:r>
            <w:r w:rsidRPr="00C96F98">
              <w:rPr>
                <w:rFonts w:cs="Arial"/>
              </w:rPr>
              <w:t xml:space="preserve"> mg/kg </w:t>
            </w:r>
            <w:proofErr w:type="spellStart"/>
            <w:r w:rsidRPr="00C96F98">
              <w:rPr>
                <w:rFonts w:cs="Arial"/>
              </w:rPr>
              <w:t>bw</w:t>
            </w:r>
            <w:proofErr w:type="spellEnd"/>
            <w:r w:rsidRPr="00C96F98">
              <w:rPr>
                <w:rFonts w:cs="Arial"/>
              </w:rPr>
              <w:t>/day</w:t>
            </w:r>
          </w:p>
        </w:tc>
      </w:tr>
      <w:tr w:rsidR="00CC3AED" w:rsidRPr="00892C32" w14:paraId="24C799DA" w14:textId="77777777" w:rsidTr="00CC3AED">
        <w:trPr>
          <w:tblHeader/>
        </w:trPr>
        <w:tc>
          <w:tcPr>
            <w:tcW w:w="653" w:type="pct"/>
            <w:vMerge/>
            <w:tcMar>
              <w:top w:w="57" w:type="dxa"/>
              <w:bottom w:w="57" w:type="dxa"/>
            </w:tcMar>
          </w:tcPr>
          <w:p w14:paraId="39BE060D" w14:textId="77777777" w:rsidR="00CC3AED" w:rsidRPr="00FD2055" w:rsidRDefault="00CC3AED" w:rsidP="00CC3AED">
            <w:pPr>
              <w:pStyle w:val="Standaard-Tabellen"/>
              <w:rPr>
                <w:rFonts w:eastAsia="Calibri"/>
              </w:rPr>
            </w:pPr>
          </w:p>
        </w:tc>
        <w:tc>
          <w:tcPr>
            <w:tcW w:w="1693" w:type="pct"/>
            <w:shd w:val="clear" w:color="auto" w:fill="auto"/>
            <w:tcMar>
              <w:top w:w="57" w:type="dxa"/>
              <w:bottom w:w="57" w:type="dxa"/>
            </w:tcMar>
          </w:tcPr>
          <w:p w14:paraId="49FAE07D" w14:textId="77777777" w:rsidR="00CC3AED" w:rsidRDefault="00CC3AED" w:rsidP="00CC3AED">
            <w:pPr>
              <w:pStyle w:val="Standaard-Tabellen"/>
              <w:tabs>
                <w:tab w:val="left" w:pos="1035"/>
              </w:tabs>
              <w:rPr>
                <w:rFonts w:eastAsia="Calibri"/>
                <w:lang w:eastAsia="en-US"/>
              </w:rPr>
            </w:pPr>
            <w:r>
              <w:rPr>
                <w:rFonts w:eastAsia="Calibri"/>
                <w:lang w:eastAsia="en-US"/>
              </w:rPr>
              <w:t>Non-professionals, child (6-12)</w:t>
            </w:r>
          </w:p>
        </w:tc>
        <w:tc>
          <w:tcPr>
            <w:tcW w:w="1462" w:type="pct"/>
            <w:tcMar>
              <w:top w:w="57" w:type="dxa"/>
              <w:bottom w:w="57" w:type="dxa"/>
            </w:tcMar>
          </w:tcPr>
          <w:p w14:paraId="3882E4FE" w14:textId="77777777" w:rsidR="00CC3AED" w:rsidRDefault="00CC3AED" w:rsidP="00CC3AED">
            <w:pPr>
              <w:pStyle w:val="Standaard-Tabellen"/>
              <w:rPr>
                <w:rFonts w:eastAsia="Calibri"/>
                <w:lang w:eastAsia="en-US"/>
              </w:rPr>
            </w:pPr>
            <w:r>
              <w:rPr>
                <w:rFonts w:eastAsia="Calibri"/>
                <w:lang w:eastAsia="en-US"/>
              </w:rPr>
              <w:t>Tier 2, no PPE, dermal, 3 applications/day</w:t>
            </w:r>
          </w:p>
        </w:tc>
        <w:tc>
          <w:tcPr>
            <w:tcW w:w="1192" w:type="pct"/>
            <w:shd w:val="clear" w:color="auto" w:fill="auto"/>
            <w:tcMar>
              <w:top w:w="57" w:type="dxa"/>
              <w:bottom w:w="57" w:type="dxa"/>
            </w:tcMar>
            <w:vAlign w:val="center"/>
          </w:tcPr>
          <w:p w14:paraId="1097A5FD" w14:textId="77777777" w:rsidR="00CC3AED" w:rsidRPr="00892C32" w:rsidRDefault="00CC3AED" w:rsidP="00CC3AED">
            <w:pPr>
              <w:pStyle w:val="Standaard-Tabellen"/>
              <w:rPr>
                <w:highlight w:val="yellow"/>
              </w:rPr>
            </w:pPr>
            <w:r w:rsidRPr="0014128A">
              <w:rPr>
                <w:rFonts w:cs="Arial"/>
              </w:rPr>
              <w:t xml:space="preserve">8.89 mg/kg </w:t>
            </w:r>
            <w:proofErr w:type="spellStart"/>
            <w:r w:rsidRPr="0014128A">
              <w:rPr>
                <w:rFonts w:cs="Arial"/>
              </w:rPr>
              <w:t>bw</w:t>
            </w:r>
            <w:proofErr w:type="spellEnd"/>
            <w:r w:rsidRPr="0014128A">
              <w:rPr>
                <w:rFonts w:cs="Arial"/>
              </w:rPr>
              <w:t>/day</w:t>
            </w:r>
          </w:p>
        </w:tc>
      </w:tr>
      <w:tr w:rsidR="00CC3AED" w:rsidRPr="00892C32" w14:paraId="26137758" w14:textId="77777777" w:rsidTr="00CC3AED">
        <w:trPr>
          <w:tblHeader/>
        </w:trPr>
        <w:tc>
          <w:tcPr>
            <w:tcW w:w="653" w:type="pct"/>
            <w:vMerge/>
            <w:tcMar>
              <w:top w:w="57" w:type="dxa"/>
              <w:bottom w:w="57" w:type="dxa"/>
            </w:tcMar>
          </w:tcPr>
          <w:p w14:paraId="186609DA" w14:textId="77777777" w:rsidR="00CC3AED" w:rsidRPr="00FD2055" w:rsidRDefault="00CC3AED" w:rsidP="00CC3AED">
            <w:pPr>
              <w:pStyle w:val="Standaard-Tabellen"/>
              <w:rPr>
                <w:rFonts w:eastAsia="Calibri"/>
              </w:rPr>
            </w:pPr>
          </w:p>
        </w:tc>
        <w:tc>
          <w:tcPr>
            <w:tcW w:w="1693" w:type="pct"/>
            <w:tcBorders>
              <w:bottom w:val="single" w:sz="4" w:space="0" w:color="auto"/>
            </w:tcBorders>
            <w:shd w:val="clear" w:color="auto" w:fill="auto"/>
            <w:tcMar>
              <w:top w:w="57" w:type="dxa"/>
              <w:bottom w:w="57" w:type="dxa"/>
            </w:tcMar>
          </w:tcPr>
          <w:p w14:paraId="1D94B8E1" w14:textId="77777777" w:rsidR="00CC3AED" w:rsidRDefault="00CC3AED" w:rsidP="00CC3AED">
            <w:pPr>
              <w:pStyle w:val="Standaard-Tabellen"/>
              <w:tabs>
                <w:tab w:val="left" w:pos="1035"/>
              </w:tabs>
              <w:rPr>
                <w:rFonts w:eastAsia="Calibri"/>
                <w:lang w:eastAsia="en-US"/>
              </w:rPr>
            </w:pPr>
            <w:r>
              <w:rPr>
                <w:rFonts w:eastAsia="Calibri"/>
                <w:lang w:eastAsia="en-US"/>
              </w:rPr>
              <w:t>Non-professionals, child (2-6)</w:t>
            </w:r>
          </w:p>
        </w:tc>
        <w:tc>
          <w:tcPr>
            <w:tcW w:w="1462" w:type="pct"/>
            <w:tcBorders>
              <w:bottom w:val="single" w:sz="4" w:space="0" w:color="auto"/>
            </w:tcBorders>
            <w:tcMar>
              <w:top w:w="57" w:type="dxa"/>
              <w:bottom w:w="57" w:type="dxa"/>
            </w:tcMar>
          </w:tcPr>
          <w:p w14:paraId="6D854A8E" w14:textId="77777777" w:rsidR="00CC3AED" w:rsidRDefault="00CC3AED" w:rsidP="00CC3AED">
            <w:pPr>
              <w:pStyle w:val="Standaard-Tabellen"/>
              <w:rPr>
                <w:rFonts w:eastAsia="Calibri"/>
                <w:lang w:eastAsia="en-US"/>
              </w:rPr>
            </w:pPr>
            <w:r>
              <w:rPr>
                <w:rFonts w:eastAsia="Calibri"/>
                <w:lang w:eastAsia="en-US"/>
              </w:rPr>
              <w:t>Tier 2, no PPE, dermal, 1 application/day</w:t>
            </w:r>
          </w:p>
        </w:tc>
        <w:tc>
          <w:tcPr>
            <w:tcW w:w="1192" w:type="pct"/>
            <w:shd w:val="clear" w:color="auto" w:fill="auto"/>
            <w:tcMar>
              <w:top w:w="57" w:type="dxa"/>
              <w:bottom w:w="57" w:type="dxa"/>
            </w:tcMar>
            <w:vAlign w:val="center"/>
          </w:tcPr>
          <w:p w14:paraId="2D8A19FB" w14:textId="77777777" w:rsidR="00CC3AED" w:rsidRPr="00892C32" w:rsidRDefault="00CC3AED" w:rsidP="00CC3AED">
            <w:pPr>
              <w:pStyle w:val="Standaard-Tabellen"/>
              <w:rPr>
                <w:highlight w:val="yellow"/>
              </w:rPr>
            </w:pPr>
            <w:r w:rsidRPr="0014128A">
              <w:rPr>
                <w:rFonts w:cs="Arial"/>
              </w:rPr>
              <w:t xml:space="preserve">3.36 mg/kg </w:t>
            </w:r>
            <w:proofErr w:type="spellStart"/>
            <w:r w:rsidRPr="0014128A">
              <w:rPr>
                <w:rFonts w:cs="Arial"/>
              </w:rPr>
              <w:t>bw</w:t>
            </w:r>
            <w:proofErr w:type="spellEnd"/>
            <w:r w:rsidRPr="0014128A">
              <w:rPr>
                <w:rFonts w:cs="Arial"/>
              </w:rPr>
              <w:t>/day</w:t>
            </w:r>
          </w:p>
        </w:tc>
      </w:tr>
      <w:tr w:rsidR="00CC3AED" w:rsidRPr="00892C32" w14:paraId="1C1CDC76" w14:textId="77777777" w:rsidTr="00CC3AED">
        <w:trPr>
          <w:tblHeader/>
        </w:trPr>
        <w:tc>
          <w:tcPr>
            <w:tcW w:w="653" w:type="pct"/>
            <w:vMerge/>
            <w:tcMar>
              <w:top w:w="57" w:type="dxa"/>
              <w:bottom w:w="57" w:type="dxa"/>
            </w:tcMar>
          </w:tcPr>
          <w:p w14:paraId="53D6378B" w14:textId="77777777" w:rsidR="00CC3AED" w:rsidRPr="00FD2055" w:rsidRDefault="00CC3AED" w:rsidP="00CC3AED">
            <w:pPr>
              <w:pStyle w:val="Standaard-Tabellen"/>
              <w:rPr>
                <w:rFonts w:eastAsia="Calibri"/>
              </w:rPr>
            </w:pPr>
          </w:p>
        </w:tc>
        <w:tc>
          <w:tcPr>
            <w:tcW w:w="1693" w:type="pct"/>
            <w:tcBorders>
              <w:top w:val="single" w:sz="4" w:space="0" w:color="auto"/>
            </w:tcBorders>
            <w:shd w:val="clear" w:color="auto" w:fill="auto"/>
            <w:tcMar>
              <w:top w:w="57" w:type="dxa"/>
              <w:bottom w:w="57" w:type="dxa"/>
            </w:tcMar>
          </w:tcPr>
          <w:p w14:paraId="5C1DC1C3" w14:textId="77777777" w:rsidR="00CC3AED" w:rsidRDefault="00CC3AED" w:rsidP="00CC3AED">
            <w:pPr>
              <w:pStyle w:val="Standaard-Tabellen"/>
              <w:tabs>
                <w:tab w:val="left" w:pos="1035"/>
              </w:tabs>
              <w:rPr>
                <w:rFonts w:eastAsia="Calibri"/>
                <w:lang w:eastAsia="en-US"/>
              </w:rPr>
            </w:pPr>
            <w:r>
              <w:rPr>
                <w:rFonts w:eastAsia="Calibri"/>
                <w:lang w:eastAsia="en-US"/>
              </w:rPr>
              <w:t>Non-professionals, toddler</w:t>
            </w:r>
          </w:p>
        </w:tc>
        <w:tc>
          <w:tcPr>
            <w:tcW w:w="1462" w:type="pct"/>
            <w:tcBorders>
              <w:top w:val="single" w:sz="4" w:space="0" w:color="auto"/>
            </w:tcBorders>
            <w:tcMar>
              <w:top w:w="57" w:type="dxa"/>
              <w:bottom w:w="57" w:type="dxa"/>
            </w:tcMar>
          </w:tcPr>
          <w:p w14:paraId="7C9F2FC0" w14:textId="77777777" w:rsidR="00CC3AED" w:rsidRDefault="00CC3AED" w:rsidP="00CC3AED">
            <w:pPr>
              <w:pStyle w:val="Standaard-Tabellen"/>
              <w:rPr>
                <w:rFonts w:eastAsia="Calibri"/>
                <w:lang w:eastAsia="en-US"/>
              </w:rPr>
            </w:pPr>
            <w:r>
              <w:rPr>
                <w:rFonts w:eastAsia="Calibri"/>
                <w:lang w:eastAsia="en-US"/>
              </w:rPr>
              <w:t>Tier 2, no PPE, dermal, 1 application/day</w:t>
            </w:r>
          </w:p>
        </w:tc>
        <w:tc>
          <w:tcPr>
            <w:tcW w:w="1192" w:type="pct"/>
            <w:shd w:val="clear" w:color="auto" w:fill="auto"/>
            <w:tcMar>
              <w:top w:w="57" w:type="dxa"/>
              <w:bottom w:w="57" w:type="dxa"/>
            </w:tcMar>
            <w:vAlign w:val="center"/>
          </w:tcPr>
          <w:p w14:paraId="01F7D7C2" w14:textId="77777777" w:rsidR="00CC3AED" w:rsidRPr="00892C32" w:rsidRDefault="00CC3AED" w:rsidP="00CC3AED">
            <w:pPr>
              <w:pStyle w:val="Standaard-Tabellen"/>
              <w:rPr>
                <w:rFonts w:cs="Arial"/>
                <w:highlight w:val="yellow"/>
              </w:rPr>
            </w:pPr>
            <w:r w:rsidRPr="0014128A">
              <w:rPr>
                <w:rFonts w:cs="Arial"/>
              </w:rPr>
              <w:t xml:space="preserve">3.70 mg/kg </w:t>
            </w:r>
            <w:proofErr w:type="spellStart"/>
            <w:r w:rsidRPr="0014128A">
              <w:rPr>
                <w:rFonts w:cs="Arial"/>
              </w:rPr>
              <w:t>bw</w:t>
            </w:r>
            <w:proofErr w:type="spellEnd"/>
            <w:r w:rsidRPr="0014128A">
              <w:rPr>
                <w:rFonts w:cs="Arial"/>
              </w:rPr>
              <w:t>/day</w:t>
            </w:r>
          </w:p>
        </w:tc>
      </w:tr>
      <w:tr w:rsidR="00CC3AED" w:rsidRPr="00892C32" w14:paraId="6FB2C6A0" w14:textId="77777777" w:rsidTr="00CC3AED">
        <w:trPr>
          <w:tblHeader/>
        </w:trPr>
        <w:tc>
          <w:tcPr>
            <w:tcW w:w="653" w:type="pct"/>
            <w:vMerge/>
            <w:tcMar>
              <w:top w:w="57" w:type="dxa"/>
              <w:bottom w:w="57" w:type="dxa"/>
            </w:tcMar>
          </w:tcPr>
          <w:p w14:paraId="1A424A14" w14:textId="77777777" w:rsidR="00CC3AED" w:rsidRPr="00FD2055" w:rsidRDefault="00CC3AED" w:rsidP="00CC3AED">
            <w:pPr>
              <w:pStyle w:val="Standaard-Tabellen"/>
              <w:rPr>
                <w:rFonts w:eastAsia="Calibri"/>
              </w:rPr>
            </w:pPr>
          </w:p>
        </w:tc>
        <w:tc>
          <w:tcPr>
            <w:tcW w:w="1693" w:type="pct"/>
            <w:tcBorders>
              <w:bottom w:val="double" w:sz="4" w:space="0" w:color="auto"/>
            </w:tcBorders>
            <w:shd w:val="clear" w:color="auto" w:fill="auto"/>
            <w:tcMar>
              <w:top w:w="57" w:type="dxa"/>
              <w:bottom w:w="57" w:type="dxa"/>
            </w:tcMar>
          </w:tcPr>
          <w:p w14:paraId="7C209603" w14:textId="77777777" w:rsidR="00CC3AED" w:rsidRDefault="00CC3AED" w:rsidP="00CC3AED">
            <w:pPr>
              <w:pStyle w:val="Standaard-Tabellen"/>
              <w:tabs>
                <w:tab w:val="left" w:pos="1035"/>
              </w:tabs>
              <w:rPr>
                <w:rFonts w:eastAsia="Calibri"/>
                <w:lang w:eastAsia="en-US"/>
              </w:rPr>
            </w:pPr>
            <w:r>
              <w:rPr>
                <w:rFonts w:eastAsia="Calibri"/>
                <w:lang w:eastAsia="en-US"/>
              </w:rPr>
              <w:t>Non-professionals, infant</w:t>
            </w:r>
          </w:p>
        </w:tc>
        <w:tc>
          <w:tcPr>
            <w:tcW w:w="1462" w:type="pct"/>
            <w:tcBorders>
              <w:bottom w:val="double" w:sz="4" w:space="0" w:color="auto"/>
            </w:tcBorders>
            <w:tcMar>
              <w:top w:w="57" w:type="dxa"/>
              <w:bottom w:w="57" w:type="dxa"/>
            </w:tcMar>
          </w:tcPr>
          <w:p w14:paraId="0927EC80" w14:textId="77777777" w:rsidR="00CC3AED" w:rsidRDefault="00CC3AED" w:rsidP="00CC3AED">
            <w:pPr>
              <w:pStyle w:val="Standaard-Tabellen"/>
              <w:rPr>
                <w:rFonts w:eastAsia="Calibri"/>
                <w:lang w:eastAsia="en-US"/>
              </w:rPr>
            </w:pPr>
            <w:r>
              <w:rPr>
                <w:rFonts w:eastAsia="Calibri"/>
                <w:lang w:eastAsia="en-US"/>
              </w:rPr>
              <w:t>Tier 2, no PPE, dermal, 1 application/day</w:t>
            </w:r>
          </w:p>
        </w:tc>
        <w:tc>
          <w:tcPr>
            <w:tcW w:w="1192" w:type="pct"/>
            <w:tcBorders>
              <w:bottom w:val="double" w:sz="4" w:space="0" w:color="auto"/>
            </w:tcBorders>
            <w:shd w:val="clear" w:color="auto" w:fill="auto"/>
            <w:tcMar>
              <w:top w:w="57" w:type="dxa"/>
              <w:bottom w:w="57" w:type="dxa"/>
            </w:tcMar>
            <w:vAlign w:val="center"/>
          </w:tcPr>
          <w:p w14:paraId="5BA8A445" w14:textId="77777777" w:rsidR="00CC3AED" w:rsidRPr="00892C32" w:rsidRDefault="00CC3AED" w:rsidP="00CC3AED">
            <w:pPr>
              <w:pStyle w:val="Standaard-Tabellen"/>
              <w:rPr>
                <w:rFonts w:cs="Arial"/>
                <w:highlight w:val="yellow"/>
              </w:rPr>
            </w:pPr>
            <w:r>
              <w:rPr>
                <w:rFonts w:cs="Arial"/>
              </w:rPr>
              <w:t>3.95</w:t>
            </w:r>
            <w:r w:rsidRPr="00C96F98">
              <w:rPr>
                <w:rFonts w:cs="Arial"/>
              </w:rPr>
              <w:t xml:space="preserve"> mg/kg </w:t>
            </w:r>
            <w:proofErr w:type="spellStart"/>
            <w:r w:rsidRPr="00C96F98">
              <w:rPr>
                <w:rFonts w:cs="Arial"/>
              </w:rPr>
              <w:t>bw</w:t>
            </w:r>
            <w:proofErr w:type="spellEnd"/>
            <w:r w:rsidRPr="00C96F98">
              <w:rPr>
                <w:rFonts w:cs="Arial"/>
              </w:rPr>
              <w:t>/day</w:t>
            </w:r>
          </w:p>
        </w:tc>
      </w:tr>
      <w:tr w:rsidR="00CC3AED" w:rsidRPr="00892C32" w14:paraId="50A2F2D6" w14:textId="77777777" w:rsidTr="00CC3AED">
        <w:trPr>
          <w:tblHeader/>
        </w:trPr>
        <w:tc>
          <w:tcPr>
            <w:tcW w:w="653" w:type="pct"/>
            <w:vMerge/>
            <w:tcMar>
              <w:top w:w="57" w:type="dxa"/>
              <w:bottom w:w="57" w:type="dxa"/>
            </w:tcMar>
          </w:tcPr>
          <w:p w14:paraId="387AE6FB" w14:textId="77777777" w:rsidR="00CC3AED" w:rsidRPr="00FD2055" w:rsidRDefault="00CC3AED" w:rsidP="00CC3AED">
            <w:pPr>
              <w:pStyle w:val="Standaard-Tabellen"/>
              <w:rPr>
                <w:rFonts w:eastAsia="Calibri"/>
              </w:rPr>
            </w:pPr>
          </w:p>
        </w:tc>
        <w:tc>
          <w:tcPr>
            <w:tcW w:w="1693" w:type="pct"/>
            <w:tcBorders>
              <w:top w:val="double" w:sz="4" w:space="0" w:color="auto"/>
              <w:bottom w:val="single" w:sz="4" w:space="0" w:color="auto"/>
            </w:tcBorders>
            <w:shd w:val="clear" w:color="auto" w:fill="auto"/>
            <w:tcMar>
              <w:top w:w="57" w:type="dxa"/>
              <w:bottom w:w="57" w:type="dxa"/>
            </w:tcMar>
          </w:tcPr>
          <w:p w14:paraId="5DFBF297" w14:textId="77777777" w:rsidR="00CC3AED" w:rsidRPr="00FD2055" w:rsidRDefault="00CC3AED" w:rsidP="00CC3AED">
            <w:pPr>
              <w:pStyle w:val="Standaard-Tabellen"/>
              <w:rPr>
                <w:rFonts w:eastAsia="Calibri"/>
              </w:rPr>
            </w:pPr>
            <w:r>
              <w:rPr>
                <w:rFonts w:eastAsia="Calibri"/>
                <w:lang w:eastAsia="en-US"/>
              </w:rPr>
              <w:t>Non-professionals, adult</w:t>
            </w:r>
          </w:p>
        </w:tc>
        <w:tc>
          <w:tcPr>
            <w:tcW w:w="1462" w:type="pct"/>
            <w:tcBorders>
              <w:top w:val="double" w:sz="4" w:space="0" w:color="auto"/>
              <w:bottom w:val="single" w:sz="4" w:space="0" w:color="auto"/>
            </w:tcBorders>
            <w:tcMar>
              <w:top w:w="57" w:type="dxa"/>
              <w:bottom w:w="57" w:type="dxa"/>
            </w:tcMar>
          </w:tcPr>
          <w:p w14:paraId="259668AB" w14:textId="77777777" w:rsidR="00CC3AED" w:rsidRPr="00FD2055" w:rsidRDefault="00CC3AED" w:rsidP="00CC3AED">
            <w:pPr>
              <w:pStyle w:val="Standaard-Tabellen"/>
              <w:rPr>
                <w:rFonts w:eastAsia="Calibri"/>
              </w:rPr>
            </w:pPr>
            <w:r w:rsidRPr="008A5992">
              <w:rPr>
                <w:rFonts w:eastAsia="Calibri"/>
                <w:lang w:eastAsia="en-US"/>
              </w:rPr>
              <w:t xml:space="preserve">Tier </w:t>
            </w:r>
            <w:r>
              <w:rPr>
                <w:rFonts w:eastAsia="Calibri"/>
                <w:lang w:eastAsia="en-US"/>
              </w:rPr>
              <w:t>3</w:t>
            </w:r>
            <w:r w:rsidRPr="008A5992">
              <w:rPr>
                <w:rFonts w:eastAsia="Calibri"/>
                <w:lang w:eastAsia="en-US"/>
              </w:rPr>
              <w:t xml:space="preserve">, no PPE, dermal, </w:t>
            </w:r>
            <w:r>
              <w:rPr>
                <w:rFonts w:eastAsia="Calibri"/>
                <w:lang w:eastAsia="en-US"/>
              </w:rPr>
              <w:t>2</w:t>
            </w:r>
            <w:r w:rsidRPr="008A5992">
              <w:rPr>
                <w:rFonts w:eastAsia="Calibri"/>
                <w:lang w:eastAsia="en-US"/>
              </w:rPr>
              <w:t xml:space="preserve"> application</w:t>
            </w:r>
            <w:r>
              <w:rPr>
                <w:rFonts w:eastAsia="Calibri"/>
                <w:lang w:eastAsia="en-US"/>
              </w:rPr>
              <w:t>s</w:t>
            </w:r>
            <w:r w:rsidRPr="008A5992">
              <w:rPr>
                <w:rFonts w:eastAsia="Calibri"/>
                <w:lang w:eastAsia="en-US"/>
              </w:rPr>
              <w:t>/day</w:t>
            </w:r>
          </w:p>
        </w:tc>
        <w:tc>
          <w:tcPr>
            <w:tcW w:w="1192" w:type="pct"/>
            <w:shd w:val="clear" w:color="auto" w:fill="auto"/>
            <w:tcMar>
              <w:top w:w="57" w:type="dxa"/>
              <w:bottom w:w="57" w:type="dxa"/>
            </w:tcMar>
            <w:vAlign w:val="center"/>
          </w:tcPr>
          <w:p w14:paraId="163A2B7C" w14:textId="77777777" w:rsidR="00CC3AED" w:rsidRPr="00892C32" w:rsidRDefault="00CC3AED" w:rsidP="00CC3AED">
            <w:pPr>
              <w:pStyle w:val="Standaard-Tabellen"/>
              <w:rPr>
                <w:rFonts w:eastAsia="Calibri"/>
                <w:highlight w:val="yellow"/>
              </w:rPr>
            </w:pPr>
            <w:r w:rsidRPr="00C96F98">
              <w:rPr>
                <w:rFonts w:cs="Arial"/>
              </w:rPr>
              <w:t>4.</w:t>
            </w:r>
            <w:r>
              <w:rPr>
                <w:rFonts w:cs="Arial"/>
              </w:rPr>
              <w:t>26</w:t>
            </w:r>
            <w:r w:rsidRPr="00C96F98">
              <w:rPr>
                <w:rFonts w:cs="Arial"/>
              </w:rPr>
              <w:t xml:space="preserve"> mg/kg </w:t>
            </w:r>
            <w:proofErr w:type="spellStart"/>
            <w:r w:rsidRPr="00C96F98">
              <w:rPr>
                <w:rFonts w:cs="Arial"/>
              </w:rPr>
              <w:t>bw</w:t>
            </w:r>
            <w:proofErr w:type="spellEnd"/>
            <w:r w:rsidRPr="00C96F98">
              <w:rPr>
                <w:rFonts w:cs="Arial"/>
              </w:rPr>
              <w:t>/day</w:t>
            </w:r>
          </w:p>
        </w:tc>
      </w:tr>
      <w:tr w:rsidR="00CC3AED" w:rsidRPr="00892C32" w14:paraId="3D982AEF" w14:textId="77777777" w:rsidTr="00CC3AED">
        <w:trPr>
          <w:tblHeader/>
        </w:trPr>
        <w:tc>
          <w:tcPr>
            <w:tcW w:w="653" w:type="pct"/>
            <w:vMerge/>
            <w:tcBorders>
              <w:bottom w:val="single" w:sz="18" w:space="0" w:color="auto"/>
            </w:tcBorders>
            <w:tcMar>
              <w:top w:w="57" w:type="dxa"/>
              <w:bottom w:w="57" w:type="dxa"/>
            </w:tcMar>
          </w:tcPr>
          <w:p w14:paraId="164ADDD4" w14:textId="77777777" w:rsidR="00CC3AED" w:rsidRPr="00FD2055" w:rsidRDefault="00CC3AED" w:rsidP="00CC3AED">
            <w:pPr>
              <w:pStyle w:val="Standaard-Tabellen"/>
              <w:rPr>
                <w:rFonts w:eastAsia="Calibri"/>
              </w:rPr>
            </w:pPr>
          </w:p>
        </w:tc>
        <w:tc>
          <w:tcPr>
            <w:tcW w:w="1693" w:type="pct"/>
            <w:tcBorders>
              <w:top w:val="single" w:sz="4" w:space="0" w:color="auto"/>
              <w:bottom w:val="single" w:sz="18" w:space="0" w:color="auto"/>
            </w:tcBorders>
            <w:shd w:val="clear" w:color="auto" w:fill="auto"/>
            <w:tcMar>
              <w:top w:w="57" w:type="dxa"/>
              <w:bottom w:w="57" w:type="dxa"/>
            </w:tcMar>
          </w:tcPr>
          <w:p w14:paraId="512CB893" w14:textId="77777777" w:rsidR="00CC3AED" w:rsidRDefault="00CC3AED" w:rsidP="00CC3AED">
            <w:pPr>
              <w:pStyle w:val="Standaard-Tabellen"/>
              <w:rPr>
                <w:rFonts w:eastAsia="Calibri"/>
                <w:lang w:eastAsia="en-US"/>
              </w:rPr>
            </w:pPr>
            <w:r w:rsidRPr="00F97F91">
              <w:rPr>
                <w:rFonts w:eastAsia="Calibri"/>
                <w:lang w:eastAsia="en-US"/>
              </w:rPr>
              <w:t>Non-professionals, child (6-12)</w:t>
            </w:r>
          </w:p>
        </w:tc>
        <w:tc>
          <w:tcPr>
            <w:tcW w:w="1462" w:type="pct"/>
            <w:tcBorders>
              <w:top w:val="single" w:sz="4" w:space="0" w:color="auto"/>
              <w:bottom w:val="single" w:sz="18" w:space="0" w:color="auto"/>
            </w:tcBorders>
            <w:tcMar>
              <w:top w:w="57" w:type="dxa"/>
              <w:bottom w:w="57" w:type="dxa"/>
            </w:tcMar>
          </w:tcPr>
          <w:p w14:paraId="3BB1BFD6" w14:textId="77777777" w:rsidR="00CC3AED" w:rsidRPr="008A5992" w:rsidRDefault="00CC3AED" w:rsidP="00CC3AED">
            <w:pPr>
              <w:pStyle w:val="Standaard-Tabellen"/>
              <w:rPr>
                <w:rFonts w:eastAsia="Calibri"/>
                <w:lang w:eastAsia="en-US"/>
              </w:rPr>
            </w:pPr>
            <w:r w:rsidRPr="00F97F91">
              <w:rPr>
                <w:rFonts w:eastAsia="Calibri"/>
                <w:lang w:eastAsia="en-US"/>
              </w:rPr>
              <w:t>Tier 3, no PPE, dermal, 1 application/day</w:t>
            </w:r>
          </w:p>
        </w:tc>
        <w:tc>
          <w:tcPr>
            <w:tcW w:w="1192" w:type="pct"/>
            <w:tcBorders>
              <w:bottom w:val="single" w:sz="18" w:space="0" w:color="auto"/>
            </w:tcBorders>
            <w:shd w:val="clear" w:color="auto" w:fill="auto"/>
            <w:tcMar>
              <w:top w:w="57" w:type="dxa"/>
              <w:bottom w:w="57" w:type="dxa"/>
            </w:tcMar>
            <w:vAlign w:val="center"/>
          </w:tcPr>
          <w:p w14:paraId="2D1945D1" w14:textId="77777777" w:rsidR="00CC3AED" w:rsidRPr="00892C32" w:rsidRDefault="00CC3AED" w:rsidP="00CC3AED">
            <w:pPr>
              <w:pStyle w:val="Standaard-Tabellen"/>
              <w:rPr>
                <w:highlight w:val="yellow"/>
              </w:rPr>
            </w:pPr>
            <w:r>
              <w:rPr>
                <w:rFonts w:cs="Arial"/>
              </w:rPr>
              <w:t>2.96</w:t>
            </w:r>
            <w:r w:rsidRPr="00C96F98">
              <w:rPr>
                <w:rFonts w:cs="Arial"/>
              </w:rPr>
              <w:t xml:space="preserve"> mg/kg </w:t>
            </w:r>
            <w:proofErr w:type="spellStart"/>
            <w:r w:rsidRPr="00C96F98">
              <w:rPr>
                <w:rFonts w:cs="Arial"/>
              </w:rPr>
              <w:t>bw</w:t>
            </w:r>
            <w:proofErr w:type="spellEnd"/>
            <w:r w:rsidRPr="00C96F98">
              <w:rPr>
                <w:rFonts w:cs="Arial"/>
              </w:rPr>
              <w:t>/day</w:t>
            </w:r>
          </w:p>
        </w:tc>
      </w:tr>
      <w:tr w:rsidR="00CC3AED" w:rsidRPr="00892C32" w14:paraId="359992A0" w14:textId="77777777" w:rsidTr="00CC3AED">
        <w:trPr>
          <w:tblHeader/>
        </w:trPr>
        <w:tc>
          <w:tcPr>
            <w:tcW w:w="653" w:type="pct"/>
            <w:vMerge w:val="restart"/>
            <w:tcBorders>
              <w:top w:val="single" w:sz="18" w:space="0" w:color="auto"/>
            </w:tcBorders>
            <w:tcMar>
              <w:top w:w="57" w:type="dxa"/>
              <w:bottom w:w="57" w:type="dxa"/>
            </w:tcMar>
          </w:tcPr>
          <w:p w14:paraId="11B3DBA8" w14:textId="77777777" w:rsidR="00CC3AED" w:rsidRPr="00FD2055" w:rsidRDefault="00CC3AED" w:rsidP="00CC3AED">
            <w:pPr>
              <w:pStyle w:val="Standaard-Tabellen"/>
              <w:rPr>
                <w:rFonts w:eastAsia="Calibri"/>
              </w:rPr>
            </w:pPr>
            <w:r>
              <w:rPr>
                <w:rFonts w:eastAsia="Calibri"/>
                <w:lang w:eastAsia="en-US"/>
              </w:rPr>
              <w:t>2.</w:t>
            </w:r>
          </w:p>
          <w:p w14:paraId="3BFE84CA" w14:textId="77777777" w:rsidR="00CC3AED" w:rsidRPr="00FD2055" w:rsidRDefault="00CC3AED" w:rsidP="00CC3AED">
            <w:pPr>
              <w:pStyle w:val="Standaard-Tabellen"/>
              <w:rPr>
                <w:rFonts w:eastAsia="Calibri"/>
              </w:rPr>
            </w:pPr>
          </w:p>
        </w:tc>
        <w:tc>
          <w:tcPr>
            <w:tcW w:w="1693" w:type="pct"/>
            <w:tcBorders>
              <w:top w:val="single" w:sz="18" w:space="0" w:color="auto"/>
            </w:tcBorders>
            <w:shd w:val="clear" w:color="auto" w:fill="auto"/>
            <w:tcMar>
              <w:top w:w="57" w:type="dxa"/>
              <w:bottom w:w="57" w:type="dxa"/>
            </w:tcMar>
          </w:tcPr>
          <w:p w14:paraId="2E38FB2C" w14:textId="77777777" w:rsidR="00CC3AED" w:rsidRPr="00FD2055" w:rsidRDefault="00CC3AED" w:rsidP="00CC3AED">
            <w:pPr>
              <w:pStyle w:val="Standaard-Tabellen"/>
              <w:rPr>
                <w:rFonts w:eastAsia="Calibri"/>
              </w:rPr>
            </w:pPr>
            <w:r>
              <w:rPr>
                <w:rFonts w:eastAsia="Calibri"/>
                <w:lang w:eastAsia="en-US"/>
              </w:rPr>
              <w:t>Non-professionals, adult</w:t>
            </w:r>
          </w:p>
        </w:tc>
        <w:tc>
          <w:tcPr>
            <w:tcW w:w="1462" w:type="pct"/>
            <w:tcMar>
              <w:top w:w="57" w:type="dxa"/>
              <w:bottom w:w="57" w:type="dxa"/>
            </w:tcMar>
          </w:tcPr>
          <w:p w14:paraId="5B088CE4" w14:textId="77777777" w:rsidR="00CC3AED" w:rsidRPr="00FD2055" w:rsidRDefault="00CC3AED" w:rsidP="00CC3AED">
            <w:pPr>
              <w:pStyle w:val="Standaard-Tabellen"/>
              <w:rPr>
                <w:rFonts w:eastAsia="Calibri"/>
              </w:rPr>
            </w:pPr>
            <w:r>
              <w:rPr>
                <w:rFonts w:eastAsia="Calibri"/>
                <w:lang w:eastAsia="en-US"/>
              </w:rPr>
              <w:t>Tier 1, no PPE,</w:t>
            </w:r>
            <w:r w:rsidRPr="00FC31C2">
              <w:rPr>
                <w:rFonts w:eastAsia="Calibri"/>
                <w:lang w:eastAsia="en-US"/>
              </w:rPr>
              <w:t xml:space="preserve"> Hand-mouth transfer reverse reference scenario</w:t>
            </w:r>
            <w:r>
              <w:rPr>
                <w:rFonts w:eastAsia="Calibri"/>
                <w:lang w:eastAsia="en-US"/>
              </w:rPr>
              <w:t>, oral</w:t>
            </w:r>
          </w:p>
        </w:tc>
        <w:tc>
          <w:tcPr>
            <w:tcW w:w="1192" w:type="pct"/>
            <w:tcBorders>
              <w:top w:val="single" w:sz="18" w:space="0" w:color="auto"/>
            </w:tcBorders>
            <w:tcMar>
              <w:top w:w="57" w:type="dxa"/>
              <w:bottom w:w="57" w:type="dxa"/>
            </w:tcMar>
            <w:vAlign w:val="center"/>
          </w:tcPr>
          <w:p w14:paraId="7211F2B9" w14:textId="77777777" w:rsidR="00CC3AED" w:rsidRPr="00892C32" w:rsidRDefault="00CC3AED" w:rsidP="00CC3AED">
            <w:pPr>
              <w:pStyle w:val="Standaard-Tabellen"/>
              <w:rPr>
                <w:rFonts w:eastAsia="Calibri"/>
                <w:highlight w:val="yellow"/>
              </w:rPr>
            </w:pPr>
            <w:r>
              <w:rPr>
                <w:rFonts w:eastAsia="Calibri"/>
              </w:rPr>
              <w:t>U</w:t>
            </w:r>
            <w:r w:rsidRPr="00BD1DDF">
              <w:rPr>
                <w:rFonts w:eastAsia="Calibri"/>
              </w:rPr>
              <w:t xml:space="preserve">p to </w:t>
            </w:r>
            <w:r>
              <w:rPr>
                <w:rFonts w:eastAsia="Calibri"/>
              </w:rPr>
              <w:t>8.21</w:t>
            </w:r>
            <w:r w:rsidRPr="00BD1DDF">
              <w:rPr>
                <w:rFonts w:eastAsia="Calibri"/>
              </w:rPr>
              <w:t xml:space="preserve"> applications</w:t>
            </w:r>
          </w:p>
        </w:tc>
      </w:tr>
      <w:tr w:rsidR="00CC3AED" w:rsidRPr="00892C32" w14:paraId="381DA58A" w14:textId="77777777" w:rsidTr="00CC3AED">
        <w:trPr>
          <w:tblHeader/>
        </w:trPr>
        <w:tc>
          <w:tcPr>
            <w:tcW w:w="653" w:type="pct"/>
            <w:vMerge/>
            <w:tcMar>
              <w:top w:w="57" w:type="dxa"/>
              <w:bottom w:w="57" w:type="dxa"/>
            </w:tcMar>
          </w:tcPr>
          <w:p w14:paraId="5F9AE1DC" w14:textId="77777777" w:rsidR="00CC3AED" w:rsidRPr="00FD2055" w:rsidRDefault="00CC3AED" w:rsidP="00CC3AED">
            <w:pPr>
              <w:pStyle w:val="Standaard-Tabellen"/>
              <w:rPr>
                <w:rFonts w:eastAsia="Calibri"/>
              </w:rPr>
            </w:pPr>
          </w:p>
        </w:tc>
        <w:tc>
          <w:tcPr>
            <w:tcW w:w="1693" w:type="pct"/>
            <w:shd w:val="clear" w:color="auto" w:fill="auto"/>
            <w:tcMar>
              <w:top w:w="57" w:type="dxa"/>
              <w:bottom w:w="57" w:type="dxa"/>
            </w:tcMar>
          </w:tcPr>
          <w:p w14:paraId="53D797AD" w14:textId="77777777" w:rsidR="00CC3AED" w:rsidRPr="00FD2055" w:rsidRDefault="00CC3AED" w:rsidP="00CC3AED">
            <w:pPr>
              <w:pStyle w:val="Standaard-Tabellen"/>
              <w:rPr>
                <w:rFonts w:eastAsia="Calibri"/>
              </w:rPr>
            </w:pPr>
            <w:r>
              <w:rPr>
                <w:rFonts w:eastAsia="Calibri"/>
                <w:lang w:eastAsia="en-US"/>
              </w:rPr>
              <w:t>Non-professionals, child (6-12)</w:t>
            </w:r>
          </w:p>
        </w:tc>
        <w:tc>
          <w:tcPr>
            <w:tcW w:w="1462" w:type="pct"/>
            <w:tcMar>
              <w:top w:w="57" w:type="dxa"/>
              <w:bottom w:w="57" w:type="dxa"/>
            </w:tcMar>
          </w:tcPr>
          <w:p w14:paraId="10E2B120" w14:textId="77777777" w:rsidR="00CC3AED" w:rsidRPr="00FD2055" w:rsidRDefault="00CC3AED" w:rsidP="00CC3AED">
            <w:pPr>
              <w:pStyle w:val="Standaard-Tabellen"/>
              <w:rPr>
                <w:rFonts w:eastAsia="Calibri"/>
              </w:rPr>
            </w:pPr>
            <w:r>
              <w:rPr>
                <w:rFonts w:eastAsia="Calibri"/>
                <w:lang w:eastAsia="en-US"/>
              </w:rPr>
              <w:t>Tier 1, no PPE,</w:t>
            </w:r>
            <w:r w:rsidRPr="00FC31C2">
              <w:rPr>
                <w:rFonts w:eastAsia="Calibri"/>
                <w:lang w:eastAsia="en-US"/>
              </w:rPr>
              <w:t xml:space="preserve"> Hand-mouth transfer reverse reference scenario</w:t>
            </w:r>
            <w:r>
              <w:rPr>
                <w:rFonts w:eastAsia="Calibri"/>
                <w:lang w:eastAsia="en-US"/>
              </w:rPr>
              <w:t>, oral</w:t>
            </w:r>
          </w:p>
        </w:tc>
        <w:tc>
          <w:tcPr>
            <w:tcW w:w="1192" w:type="pct"/>
            <w:tcMar>
              <w:top w:w="57" w:type="dxa"/>
              <w:bottom w:w="57" w:type="dxa"/>
            </w:tcMar>
            <w:vAlign w:val="center"/>
          </w:tcPr>
          <w:p w14:paraId="63B1D3F7" w14:textId="77777777" w:rsidR="00CC3AED" w:rsidRPr="00892C32" w:rsidRDefault="00CC3AED" w:rsidP="00CC3AED">
            <w:pPr>
              <w:pStyle w:val="Standaard-Tabellen"/>
              <w:rPr>
                <w:rFonts w:eastAsia="Calibri"/>
                <w:highlight w:val="yellow"/>
              </w:rPr>
            </w:pPr>
            <w:r>
              <w:rPr>
                <w:rFonts w:eastAsia="Calibri"/>
              </w:rPr>
              <w:t>Up to 2.95</w:t>
            </w:r>
            <w:r w:rsidRPr="00BD1DDF">
              <w:rPr>
                <w:rFonts w:eastAsia="Calibri"/>
              </w:rPr>
              <w:t xml:space="preserve"> applications</w:t>
            </w:r>
          </w:p>
        </w:tc>
      </w:tr>
      <w:tr w:rsidR="00CC3AED" w:rsidRPr="00892C32" w14:paraId="1B09E701" w14:textId="77777777" w:rsidTr="00CC3AED">
        <w:trPr>
          <w:tblHeader/>
        </w:trPr>
        <w:tc>
          <w:tcPr>
            <w:tcW w:w="653" w:type="pct"/>
            <w:vMerge/>
            <w:tcMar>
              <w:top w:w="57" w:type="dxa"/>
              <w:bottom w:w="57" w:type="dxa"/>
            </w:tcMar>
          </w:tcPr>
          <w:p w14:paraId="64646DCE" w14:textId="77777777" w:rsidR="00CC3AED" w:rsidRPr="00FD2055" w:rsidRDefault="00CC3AED" w:rsidP="00CC3AED">
            <w:pPr>
              <w:pStyle w:val="Standaard-Tabellen"/>
              <w:rPr>
                <w:rFonts w:eastAsia="Calibri"/>
              </w:rPr>
            </w:pPr>
          </w:p>
        </w:tc>
        <w:tc>
          <w:tcPr>
            <w:tcW w:w="1693" w:type="pct"/>
            <w:shd w:val="clear" w:color="auto" w:fill="auto"/>
            <w:tcMar>
              <w:top w:w="57" w:type="dxa"/>
              <w:bottom w:w="57" w:type="dxa"/>
            </w:tcMar>
          </w:tcPr>
          <w:p w14:paraId="7BD56D65" w14:textId="77777777" w:rsidR="00CC3AED" w:rsidRPr="00FD2055" w:rsidRDefault="00CC3AED" w:rsidP="00CC3AED">
            <w:pPr>
              <w:pStyle w:val="Standaard-Tabellen"/>
              <w:rPr>
                <w:rFonts w:eastAsia="Calibri"/>
              </w:rPr>
            </w:pPr>
            <w:r>
              <w:rPr>
                <w:rFonts w:eastAsia="Calibri"/>
                <w:lang w:eastAsia="en-US"/>
              </w:rPr>
              <w:t>Non-professionals, child (2-6)</w:t>
            </w:r>
          </w:p>
        </w:tc>
        <w:tc>
          <w:tcPr>
            <w:tcW w:w="1462" w:type="pct"/>
            <w:tcMar>
              <w:top w:w="57" w:type="dxa"/>
              <w:bottom w:w="57" w:type="dxa"/>
            </w:tcMar>
          </w:tcPr>
          <w:p w14:paraId="45D2BBAB" w14:textId="77777777" w:rsidR="00CC3AED" w:rsidRPr="00FD2055" w:rsidRDefault="00CC3AED" w:rsidP="00CC3AED">
            <w:pPr>
              <w:pStyle w:val="Standaard-Tabellen"/>
              <w:rPr>
                <w:rFonts w:eastAsia="Calibri"/>
              </w:rPr>
            </w:pPr>
            <w:r>
              <w:rPr>
                <w:rFonts w:eastAsia="Calibri"/>
                <w:lang w:eastAsia="en-US"/>
              </w:rPr>
              <w:t>Tier 1, no PPE,</w:t>
            </w:r>
            <w:r w:rsidRPr="00FC31C2">
              <w:rPr>
                <w:rFonts w:eastAsia="Calibri"/>
                <w:lang w:eastAsia="en-US"/>
              </w:rPr>
              <w:t xml:space="preserve"> Hand-mouth transfer reverse reference scenario</w:t>
            </w:r>
            <w:r>
              <w:rPr>
                <w:rFonts w:eastAsia="Calibri"/>
                <w:lang w:eastAsia="en-US"/>
              </w:rPr>
              <w:t>, oral</w:t>
            </w:r>
          </w:p>
        </w:tc>
        <w:tc>
          <w:tcPr>
            <w:tcW w:w="1192" w:type="pct"/>
            <w:tcMar>
              <w:top w:w="57" w:type="dxa"/>
              <w:bottom w:w="57" w:type="dxa"/>
            </w:tcMar>
            <w:vAlign w:val="center"/>
          </w:tcPr>
          <w:p w14:paraId="40767240" w14:textId="77777777" w:rsidR="00CC3AED" w:rsidRPr="00892C32" w:rsidRDefault="00CC3AED" w:rsidP="00CC3AED">
            <w:pPr>
              <w:pStyle w:val="Standaard-Tabellen"/>
              <w:rPr>
                <w:rFonts w:eastAsia="Calibri"/>
                <w:highlight w:val="yellow"/>
              </w:rPr>
            </w:pPr>
            <w:r>
              <w:rPr>
                <w:rFonts w:eastAsia="Calibri"/>
              </w:rPr>
              <w:t>Up to  2.61</w:t>
            </w:r>
            <w:r w:rsidRPr="00BD1DDF">
              <w:rPr>
                <w:rFonts w:eastAsia="Calibri"/>
              </w:rPr>
              <w:t xml:space="preserve"> applications</w:t>
            </w:r>
          </w:p>
        </w:tc>
      </w:tr>
      <w:tr w:rsidR="00CC3AED" w:rsidRPr="00892C32" w14:paraId="5A863B6C" w14:textId="77777777" w:rsidTr="00CC3AED">
        <w:trPr>
          <w:tblHeader/>
        </w:trPr>
        <w:tc>
          <w:tcPr>
            <w:tcW w:w="653" w:type="pct"/>
            <w:vMerge/>
            <w:tcMar>
              <w:top w:w="57" w:type="dxa"/>
              <w:bottom w:w="57" w:type="dxa"/>
            </w:tcMar>
          </w:tcPr>
          <w:p w14:paraId="65EFDE76" w14:textId="77777777" w:rsidR="00CC3AED" w:rsidRPr="00FD2055" w:rsidRDefault="00CC3AED" w:rsidP="00CC3AED">
            <w:pPr>
              <w:pStyle w:val="Standaard-Tabellen"/>
              <w:rPr>
                <w:rFonts w:eastAsia="Calibri"/>
              </w:rPr>
            </w:pPr>
          </w:p>
        </w:tc>
        <w:tc>
          <w:tcPr>
            <w:tcW w:w="1693" w:type="pct"/>
            <w:shd w:val="clear" w:color="auto" w:fill="auto"/>
            <w:tcMar>
              <w:top w:w="57" w:type="dxa"/>
              <w:bottom w:w="57" w:type="dxa"/>
            </w:tcMar>
          </w:tcPr>
          <w:p w14:paraId="3E36518C" w14:textId="77777777" w:rsidR="00CC3AED" w:rsidRPr="00FD2055" w:rsidRDefault="00CC3AED" w:rsidP="00CC3AED">
            <w:pPr>
              <w:pStyle w:val="Standaard-Tabellen"/>
              <w:rPr>
                <w:rFonts w:eastAsia="Calibri"/>
              </w:rPr>
            </w:pPr>
            <w:r>
              <w:rPr>
                <w:rFonts w:eastAsia="Calibri"/>
                <w:lang w:eastAsia="en-US"/>
              </w:rPr>
              <w:t>Non-professionals, toddler</w:t>
            </w:r>
          </w:p>
        </w:tc>
        <w:tc>
          <w:tcPr>
            <w:tcW w:w="1462" w:type="pct"/>
            <w:tcMar>
              <w:top w:w="57" w:type="dxa"/>
              <w:bottom w:w="57" w:type="dxa"/>
            </w:tcMar>
          </w:tcPr>
          <w:p w14:paraId="44E34B4A" w14:textId="77777777" w:rsidR="00CC3AED" w:rsidRPr="00FD2055" w:rsidRDefault="00CC3AED" w:rsidP="00CC3AED">
            <w:pPr>
              <w:pStyle w:val="Standaard-Tabellen"/>
              <w:rPr>
                <w:rFonts w:eastAsia="Calibri"/>
              </w:rPr>
            </w:pPr>
            <w:r>
              <w:rPr>
                <w:rFonts w:eastAsia="Calibri"/>
                <w:lang w:eastAsia="en-US"/>
              </w:rPr>
              <w:t>Tier 1, no PPE,</w:t>
            </w:r>
            <w:r w:rsidRPr="00FC31C2">
              <w:rPr>
                <w:rFonts w:eastAsia="Calibri"/>
                <w:lang w:eastAsia="en-US"/>
              </w:rPr>
              <w:t xml:space="preserve"> Hand-mouth transfer reverse reference scenario</w:t>
            </w:r>
            <w:r>
              <w:rPr>
                <w:rFonts w:eastAsia="Calibri"/>
                <w:lang w:eastAsia="en-US"/>
              </w:rPr>
              <w:t>, oral</w:t>
            </w:r>
          </w:p>
        </w:tc>
        <w:tc>
          <w:tcPr>
            <w:tcW w:w="1192" w:type="pct"/>
            <w:tcMar>
              <w:top w:w="57" w:type="dxa"/>
              <w:bottom w:w="57" w:type="dxa"/>
            </w:tcMar>
            <w:vAlign w:val="center"/>
          </w:tcPr>
          <w:p w14:paraId="5ECC3125" w14:textId="77777777" w:rsidR="00CC3AED" w:rsidRPr="00892C32" w:rsidRDefault="00CC3AED" w:rsidP="00CC3AED">
            <w:pPr>
              <w:pStyle w:val="Standaard-Tabellen"/>
              <w:rPr>
                <w:rFonts w:eastAsia="Calibri"/>
                <w:highlight w:val="yellow"/>
              </w:rPr>
            </w:pPr>
            <w:r>
              <w:rPr>
                <w:rFonts w:eastAsia="Calibri"/>
              </w:rPr>
              <w:t>Up to 2.37</w:t>
            </w:r>
            <w:r w:rsidRPr="00BD1DDF">
              <w:rPr>
                <w:rFonts w:eastAsia="Calibri"/>
              </w:rPr>
              <w:t xml:space="preserve"> applications</w:t>
            </w:r>
          </w:p>
        </w:tc>
      </w:tr>
      <w:tr w:rsidR="00CC3AED" w:rsidRPr="00892C32" w14:paraId="2E3703FD" w14:textId="77777777" w:rsidTr="00CC3AED">
        <w:trPr>
          <w:tblHeader/>
        </w:trPr>
        <w:tc>
          <w:tcPr>
            <w:tcW w:w="653" w:type="pct"/>
            <w:vMerge/>
            <w:tcMar>
              <w:top w:w="57" w:type="dxa"/>
              <w:bottom w:w="57" w:type="dxa"/>
            </w:tcMar>
          </w:tcPr>
          <w:p w14:paraId="6AA2760C" w14:textId="77777777" w:rsidR="00CC3AED" w:rsidRPr="00FD2055" w:rsidRDefault="00CC3AED" w:rsidP="00CC3AED">
            <w:pPr>
              <w:pStyle w:val="Standaard-Tabellen"/>
              <w:rPr>
                <w:rFonts w:eastAsia="Calibri"/>
              </w:rPr>
            </w:pPr>
          </w:p>
        </w:tc>
        <w:tc>
          <w:tcPr>
            <w:tcW w:w="1693" w:type="pct"/>
            <w:tcBorders>
              <w:bottom w:val="single" w:sz="18" w:space="0" w:color="auto"/>
            </w:tcBorders>
            <w:shd w:val="clear" w:color="auto" w:fill="auto"/>
            <w:tcMar>
              <w:top w:w="57" w:type="dxa"/>
              <w:bottom w:w="57" w:type="dxa"/>
            </w:tcMar>
          </w:tcPr>
          <w:p w14:paraId="7597A610" w14:textId="77777777" w:rsidR="00CC3AED" w:rsidRPr="00FD2055" w:rsidRDefault="00CC3AED" w:rsidP="00CC3AED">
            <w:pPr>
              <w:pStyle w:val="Standaard-Tabellen"/>
              <w:rPr>
                <w:rFonts w:eastAsia="Calibri"/>
              </w:rPr>
            </w:pPr>
            <w:r>
              <w:rPr>
                <w:rFonts w:eastAsia="Calibri"/>
                <w:lang w:eastAsia="en-US"/>
              </w:rPr>
              <w:t>Non-professionals, infant</w:t>
            </w:r>
          </w:p>
        </w:tc>
        <w:tc>
          <w:tcPr>
            <w:tcW w:w="1462" w:type="pct"/>
            <w:tcBorders>
              <w:bottom w:val="single" w:sz="18" w:space="0" w:color="auto"/>
            </w:tcBorders>
            <w:tcMar>
              <w:top w:w="57" w:type="dxa"/>
              <w:bottom w:w="57" w:type="dxa"/>
            </w:tcMar>
          </w:tcPr>
          <w:p w14:paraId="55CAAFBE" w14:textId="77777777" w:rsidR="00CC3AED" w:rsidRPr="00FD2055" w:rsidRDefault="00CC3AED" w:rsidP="00CC3AED">
            <w:pPr>
              <w:pStyle w:val="Standaard-Tabellen"/>
              <w:rPr>
                <w:rFonts w:eastAsia="Calibri"/>
              </w:rPr>
            </w:pPr>
            <w:r>
              <w:rPr>
                <w:rFonts w:eastAsia="Calibri"/>
                <w:lang w:eastAsia="en-US"/>
              </w:rPr>
              <w:t>Tier 1, no PPE,</w:t>
            </w:r>
            <w:r w:rsidRPr="00FC31C2">
              <w:rPr>
                <w:rFonts w:eastAsia="Calibri"/>
                <w:lang w:eastAsia="en-US"/>
              </w:rPr>
              <w:t xml:space="preserve"> Hand-mouth transfer reverse reference scenario</w:t>
            </w:r>
            <w:r>
              <w:rPr>
                <w:rFonts w:eastAsia="Calibri"/>
                <w:lang w:eastAsia="en-US"/>
              </w:rPr>
              <w:t>, oral</w:t>
            </w:r>
          </w:p>
        </w:tc>
        <w:tc>
          <w:tcPr>
            <w:tcW w:w="1192" w:type="pct"/>
            <w:tcBorders>
              <w:bottom w:val="single" w:sz="18" w:space="0" w:color="auto"/>
            </w:tcBorders>
            <w:tcMar>
              <w:top w:w="57" w:type="dxa"/>
              <w:bottom w:w="57" w:type="dxa"/>
            </w:tcMar>
            <w:vAlign w:val="center"/>
          </w:tcPr>
          <w:p w14:paraId="5BC4F6A5" w14:textId="77777777" w:rsidR="00CC3AED" w:rsidRPr="00892C32" w:rsidRDefault="00CC3AED" w:rsidP="00CC3AED">
            <w:pPr>
              <w:pStyle w:val="Standaard-Tabellen"/>
              <w:rPr>
                <w:rFonts w:eastAsia="Calibri"/>
                <w:highlight w:val="yellow"/>
              </w:rPr>
            </w:pPr>
            <w:r>
              <w:rPr>
                <w:rFonts w:eastAsia="Calibri"/>
              </w:rPr>
              <w:t>Up to 2.22</w:t>
            </w:r>
            <w:r w:rsidRPr="00BD1DDF">
              <w:rPr>
                <w:rFonts w:eastAsia="Calibri"/>
              </w:rPr>
              <w:t xml:space="preserve"> applications</w:t>
            </w:r>
          </w:p>
        </w:tc>
      </w:tr>
      <w:tr w:rsidR="00CC3AED" w:rsidRPr="00B50CB0" w14:paraId="56CA2D93" w14:textId="77777777" w:rsidTr="00CC3AED">
        <w:trPr>
          <w:tblHeader/>
        </w:trPr>
        <w:tc>
          <w:tcPr>
            <w:tcW w:w="653" w:type="pct"/>
            <w:vMerge w:val="restart"/>
            <w:tcBorders>
              <w:top w:val="single" w:sz="18" w:space="0" w:color="auto"/>
            </w:tcBorders>
            <w:tcMar>
              <w:top w:w="57" w:type="dxa"/>
              <w:bottom w:w="57" w:type="dxa"/>
            </w:tcMar>
          </w:tcPr>
          <w:p w14:paraId="0FA0D7E8" w14:textId="77777777" w:rsidR="00CC3AED" w:rsidRPr="00FD2055" w:rsidRDefault="00CC3AED" w:rsidP="00CC3AED">
            <w:pPr>
              <w:pStyle w:val="Standaard-Tabellen"/>
              <w:rPr>
                <w:rFonts w:eastAsia="Calibri"/>
              </w:rPr>
            </w:pPr>
            <w:r>
              <w:rPr>
                <w:rFonts w:eastAsia="Calibri"/>
                <w:lang w:eastAsia="en-US"/>
              </w:rPr>
              <w:t>3.</w:t>
            </w:r>
          </w:p>
        </w:tc>
        <w:tc>
          <w:tcPr>
            <w:tcW w:w="1693" w:type="pct"/>
            <w:tcBorders>
              <w:top w:val="single" w:sz="18" w:space="0" w:color="auto"/>
            </w:tcBorders>
            <w:shd w:val="clear" w:color="auto" w:fill="auto"/>
            <w:tcMar>
              <w:top w:w="57" w:type="dxa"/>
              <w:bottom w:w="57" w:type="dxa"/>
            </w:tcMar>
          </w:tcPr>
          <w:p w14:paraId="28878E57" w14:textId="77777777" w:rsidR="00CC3AED" w:rsidRPr="00FD2055" w:rsidRDefault="00CC3AED" w:rsidP="00CC3AED">
            <w:pPr>
              <w:pStyle w:val="Standaard-Tabellen"/>
              <w:rPr>
                <w:rFonts w:eastAsia="Calibri"/>
              </w:rPr>
            </w:pPr>
            <w:r>
              <w:rPr>
                <w:rFonts w:eastAsia="Calibri"/>
                <w:lang w:eastAsia="en-US"/>
              </w:rPr>
              <w:t>Non-professionals, adult</w:t>
            </w:r>
          </w:p>
        </w:tc>
        <w:tc>
          <w:tcPr>
            <w:tcW w:w="1462" w:type="pct"/>
            <w:tcBorders>
              <w:top w:val="single" w:sz="18" w:space="0" w:color="auto"/>
            </w:tcBorders>
            <w:tcMar>
              <w:top w:w="57" w:type="dxa"/>
              <w:bottom w:w="57" w:type="dxa"/>
            </w:tcMar>
          </w:tcPr>
          <w:p w14:paraId="736C55C7" w14:textId="77777777" w:rsidR="00CC3AED" w:rsidRPr="00FD2055" w:rsidRDefault="00CC3AED" w:rsidP="00CC3AED">
            <w:pPr>
              <w:pStyle w:val="Standaard-Tabellen"/>
              <w:rPr>
                <w:rFonts w:eastAsia="Calibri"/>
              </w:rPr>
            </w:pPr>
            <w:r>
              <w:rPr>
                <w:rFonts w:eastAsia="Calibri"/>
              </w:rPr>
              <w:t xml:space="preserve">Tier 1 / no PPE </w:t>
            </w:r>
          </w:p>
        </w:tc>
        <w:tc>
          <w:tcPr>
            <w:tcW w:w="1192" w:type="pct"/>
            <w:shd w:val="clear" w:color="auto" w:fill="auto"/>
            <w:tcMar>
              <w:top w:w="57" w:type="dxa"/>
              <w:bottom w:w="57" w:type="dxa"/>
            </w:tcMar>
            <w:vAlign w:val="center"/>
          </w:tcPr>
          <w:p w14:paraId="1E2399A6" w14:textId="77777777" w:rsidR="00CC3AED" w:rsidRPr="00B50CB0" w:rsidRDefault="00CC3AED" w:rsidP="00CC3AED">
            <w:pPr>
              <w:pStyle w:val="Standaard-Tabellen"/>
              <w:rPr>
                <w:rFonts w:eastAsia="Calibri"/>
              </w:rPr>
            </w:pPr>
            <w:r w:rsidRPr="0014128A">
              <w:rPr>
                <w:rFonts w:eastAsia="Calibri"/>
              </w:rPr>
              <w:t xml:space="preserve">3.17 mg/kg </w:t>
            </w:r>
            <w:proofErr w:type="spellStart"/>
            <w:r w:rsidRPr="0014128A">
              <w:rPr>
                <w:rFonts w:eastAsia="Calibri"/>
              </w:rPr>
              <w:t>bw</w:t>
            </w:r>
            <w:proofErr w:type="spellEnd"/>
            <w:r w:rsidRPr="0014128A">
              <w:rPr>
                <w:rFonts w:eastAsia="Calibri"/>
              </w:rPr>
              <w:t>/day</w:t>
            </w:r>
          </w:p>
        </w:tc>
      </w:tr>
      <w:tr w:rsidR="00CC3AED" w:rsidRPr="00B50CB0" w14:paraId="45F7502C" w14:textId="77777777" w:rsidTr="00CC3AED">
        <w:trPr>
          <w:tblHeader/>
        </w:trPr>
        <w:tc>
          <w:tcPr>
            <w:tcW w:w="653" w:type="pct"/>
            <w:vMerge/>
            <w:tcMar>
              <w:top w:w="57" w:type="dxa"/>
              <w:bottom w:w="57" w:type="dxa"/>
            </w:tcMar>
          </w:tcPr>
          <w:p w14:paraId="25434A0E" w14:textId="77777777" w:rsidR="00CC3AED" w:rsidRPr="00FD2055" w:rsidRDefault="00CC3AED" w:rsidP="00CC3AED">
            <w:pPr>
              <w:pStyle w:val="Standaard-Tabellen"/>
              <w:rPr>
                <w:rFonts w:eastAsia="Calibri"/>
              </w:rPr>
            </w:pPr>
          </w:p>
        </w:tc>
        <w:tc>
          <w:tcPr>
            <w:tcW w:w="1693" w:type="pct"/>
            <w:shd w:val="clear" w:color="auto" w:fill="auto"/>
            <w:tcMar>
              <w:top w:w="57" w:type="dxa"/>
              <w:bottom w:w="57" w:type="dxa"/>
            </w:tcMar>
          </w:tcPr>
          <w:p w14:paraId="217CB2E9" w14:textId="77777777" w:rsidR="00CC3AED" w:rsidRPr="00FD2055" w:rsidRDefault="00CC3AED" w:rsidP="00CC3AED">
            <w:pPr>
              <w:pStyle w:val="Standaard-Tabellen"/>
              <w:rPr>
                <w:rFonts w:eastAsia="Calibri"/>
              </w:rPr>
            </w:pPr>
            <w:r>
              <w:rPr>
                <w:rFonts w:eastAsia="Calibri"/>
                <w:lang w:eastAsia="en-US"/>
              </w:rPr>
              <w:t>Non-professionals, child (6-12)</w:t>
            </w:r>
          </w:p>
        </w:tc>
        <w:tc>
          <w:tcPr>
            <w:tcW w:w="1462" w:type="pct"/>
            <w:tcMar>
              <w:top w:w="57" w:type="dxa"/>
              <w:bottom w:w="57" w:type="dxa"/>
            </w:tcMar>
          </w:tcPr>
          <w:p w14:paraId="47E8547C" w14:textId="77777777" w:rsidR="00CC3AED" w:rsidRPr="00FD2055" w:rsidRDefault="00CC3AED" w:rsidP="00CC3AED">
            <w:pPr>
              <w:pStyle w:val="Standaard-Tabellen"/>
              <w:rPr>
                <w:rFonts w:eastAsia="Calibri"/>
              </w:rPr>
            </w:pPr>
            <w:r>
              <w:rPr>
                <w:rFonts w:eastAsia="Calibri"/>
              </w:rPr>
              <w:t xml:space="preserve">Tier 1 / </w:t>
            </w:r>
            <w:r w:rsidRPr="00B41694">
              <w:rPr>
                <w:rFonts w:eastAsia="Calibri"/>
              </w:rPr>
              <w:t>no PPE</w:t>
            </w:r>
          </w:p>
        </w:tc>
        <w:tc>
          <w:tcPr>
            <w:tcW w:w="1192" w:type="pct"/>
            <w:shd w:val="clear" w:color="auto" w:fill="auto"/>
            <w:tcMar>
              <w:top w:w="57" w:type="dxa"/>
              <w:bottom w:w="57" w:type="dxa"/>
            </w:tcMar>
            <w:vAlign w:val="center"/>
          </w:tcPr>
          <w:p w14:paraId="36FDE998" w14:textId="77777777" w:rsidR="00CC3AED" w:rsidRPr="00B50CB0" w:rsidRDefault="00CC3AED" w:rsidP="00CC3AED">
            <w:pPr>
              <w:pStyle w:val="Standaard-Tabellen"/>
              <w:rPr>
                <w:rFonts w:eastAsia="Calibri"/>
              </w:rPr>
            </w:pPr>
            <w:r w:rsidRPr="0014128A">
              <w:rPr>
                <w:rFonts w:eastAsia="Calibri"/>
              </w:rPr>
              <w:t xml:space="preserve">2.33 mg/kg </w:t>
            </w:r>
            <w:proofErr w:type="spellStart"/>
            <w:r w:rsidRPr="0014128A">
              <w:rPr>
                <w:rFonts w:eastAsia="Calibri"/>
              </w:rPr>
              <w:t>bw</w:t>
            </w:r>
            <w:proofErr w:type="spellEnd"/>
            <w:r w:rsidRPr="0014128A">
              <w:rPr>
                <w:rFonts w:eastAsia="Calibri"/>
              </w:rPr>
              <w:t>/day</w:t>
            </w:r>
          </w:p>
        </w:tc>
      </w:tr>
      <w:tr w:rsidR="00CC3AED" w:rsidRPr="00B50CB0" w14:paraId="55DA1D43" w14:textId="77777777" w:rsidTr="00CC3AED">
        <w:trPr>
          <w:tblHeader/>
        </w:trPr>
        <w:tc>
          <w:tcPr>
            <w:tcW w:w="653" w:type="pct"/>
            <w:vMerge/>
            <w:tcMar>
              <w:top w:w="57" w:type="dxa"/>
              <w:bottom w:w="57" w:type="dxa"/>
            </w:tcMar>
          </w:tcPr>
          <w:p w14:paraId="3BCB8DAA" w14:textId="77777777" w:rsidR="00CC3AED" w:rsidRPr="00FD2055" w:rsidRDefault="00CC3AED" w:rsidP="00CC3AED">
            <w:pPr>
              <w:pStyle w:val="Standaard-Tabellen"/>
              <w:rPr>
                <w:rFonts w:eastAsia="Calibri"/>
              </w:rPr>
            </w:pPr>
          </w:p>
        </w:tc>
        <w:tc>
          <w:tcPr>
            <w:tcW w:w="1693" w:type="pct"/>
            <w:shd w:val="clear" w:color="auto" w:fill="auto"/>
            <w:tcMar>
              <w:top w:w="57" w:type="dxa"/>
              <w:bottom w:w="57" w:type="dxa"/>
            </w:tcMar>
          </w:tcPr>
          <w:p w14:paraId="0B0678E5" w14:textId="77777777" w:rsidR="00CC3AED" w:rsidRDefault="00CC3AED" w:rsidP="00CC3AED">
            <w:pPr>
              <w:pStyle w:val="Standaard-Tabellen"/>
              <w:rPr>
                <w:rFonts w:eastAsia="Calibri"/>
                <w:lang w:eastAsia="en-US"/>
              </w:rPr>
            </w:pPr>
            <w:r>
              <w:rPr>
                <w:rFonts w:eastAsia="Calibri"/>
                <w:lang w:eastAsia="en-US"/>
              </w:rPr>
              <w:t>Non-professionals, child (2-6)</w:t>
            </w:r>
          </w:p>
        </w:tc>
        <w:tc>
          <w:tcPr>
            <w:tcW w:w="1462" w:type="pct"/>
            <w:tcMar>
              <w:top w:w="57" w:type="dxa"/>
              <w:bottom w:w="57" w:type="dxa"/>
            </w:tcMar>
          </w:tcPr>
          <w:p w14:paraId="12589D45" w14:textId="77777777" w:rsidR="00CC3AED" w:rsidRDefault="00CC3AED" w:rsidP="00CC3AED">
            <w:pPr>
              <w:pStyle w:val="Standaard-Tabellen"/>
              <w:rPr>
                <w:rFonts w:eastAsia="Calibri"/>
              </w:rPr>
            </w:pPr>
            <w:r>
              <w:rPr>
                <w:rFonts w:eastAsia="Calibri"/>
              </w:rPr>
              <w:t xml:space="preserve">Tier 1 / </w:t>
            </w:r>
            <w:r w:rsidRPr="00B41694">
              <w:rPr>
                <w:rFonts w:eastAsia="Calibri"/>
              </w:rPr>
              <w:t>no PPE</w:t>
            </w:r>
          </w:p>
        </w:tc>
        <w:tc>
          <w:tcPr>
            <w:tcW w:w="1192" w:type="pct"/>
            <w:tcBorders>
              <w:bottom w:val="single" w:sz="6" w:space="0" w:color="auto"/>
            </w:tcBorders>
            <w:shd w:val="clear" w:color="auto" w:fill="auto"/>
            <w:tcMar>
              <w:top w:w="57" w:type="dxa"/>
              <w:bottom w:w="57" w:type="dxa"/>
            </w:tcMar>
            <w:vAlign w:val="center"/>
          </w:tcPr>
          <w:p w14:paraId="6C961CC2" w14:textId="77777777" w:rsidR="00CC3AED" w:rsidRPr="00B50CB0" w:rsidRDefault="00CC3AED" w:rsidP="00CC3AED">
            <w:pPr>
              <w:pStyle w:val="Standaard-Tabellen"/>
              <w:rPr>
                <w:rFonts w:eastAsia="Calibri"/>
              </w:rPr>
            </w:pPr>
            <w:r w:rsidRPr="0014128A">
              <w:rPr>
                <w:rFonts w:eastAsia="Calibri"/>
              </w:rPr>
              <w:t xml:space="preserve">2.52 mg/kg </w:t>
            </w:r>
            <w:proofErr w:type="spellStart"/>
            <w:r w:rsidRPr="0014128A">
              <w:rPr>
                <w:rFonts w:eastAsia="Calibri"/>
              </w:rPr>
              <w:t>bw</w:t>
            </w:r>
            <w:proofErr w:type="spellEnd"/>
            <w:r w:rsidRPr="0014128A">
              <w:rPr>
                <w:rFonts w:eastAsia="Calibri"/>
              </w:rPr>
              <w:t>/day</w:t>
            </w:r>
          </w:p>
        </w:tc>
      </w:tr>
      <w:tr w:rsidR="00CC3AED" w:rsidRPr="00B50CB0" w14:paraId="4B2C0B30" w14:textId="77777777" w:rsidTr="00CC3AED">
        <w:trPr>
          <w:tblHeader/>
        </w:trPr>
        <w:tc>
          <w:tcPr>
            <w:tcW w:w="653" w:type="pct"/>
            <w:vMerge/>
            <w:tcMar>
              <w:top w:w="57" w:type="dxa"/>
              <w:bottom w:w="57" w:type="dxa"/>
            </w:tcMar>
          </w:tcPr>
          <w:p w14:paraId="2BA164A3" w14:textId="77777777" w:rsidR="00CC3AED" w:rsidRPr="00FD2055" w:rsidRDefault="00CC3AED" w:rsidP="00CC3AED">
            <w:pPr>
              <w:pStyle w:val="Standaard-Tabellen"/>
              <w:rPr>
                <w:rFonts w:eastAsia="Calibri"/>
              </w:rPr>
            </w:pPr>
          </w:p>
        </w:tc>
        <w:tc>
          <w:tcPr>
            <w:tcW w:w="1693" w:type="pct"/>
            <w:shd w:val="clear" w:color="auto" w:fill="auto"/>
            <w:tcMar>
              <w:top w:w="57" w:type="dxa"/>
              <w:bottom w:w="57" w:type="dxa"/>
            </w:tcMar>
          </w:tcPr>
          <w:p w14:paraId="699E9E20" w14:textId="77777777" w:rsidR="00CC3AED" w:rsidRDefault="00CC3AED" w:rsidP="00CC3AED">
            <w:pPr>
              <w:pStyle w:val="Standaard-Tabellen"/>
              <w:rPr>
                <w:rFonts w:eastAsia="Calibri"/>
                <w:lang w:eastAsia="en-US"/>
              </w:rPr>
            </w:pPr>
            <w:r>
              <w:rPr>
                <w:rFonts w:eastAsia="Calibri"/>
                <w:lang w:eastAsia="en-US"/>
              </w:rPr>
              <w:t>Non-professionals, toddler</w:t>
            </w:r>
          </w:p>
        </w:tc>
        <w:tc>
          <w:tcPr>
            <w:tcW w:w="1462" w:type="pct"/>
            <w:tcMar>
              <w:top w:w="57" w:type="dxa"/>
              <w:bottom w:w="57" w:type="dxa"/>
            </w:tcMar>
          </w:tcPr>
          <w:p w14:paraId="05251476" w14:textId="77777777" w:rsidR="00CC3AED" w:rsidRDefault="00CC3AED" w:rsidP="00CC3AED">
            <w:pPr>
              <w:pStyle w:val="Standaard-Tabellen"/>
              <w:rPr>
                <w:rFonts w:eastAsia="Calibri"/>
              </w:rPr>
            </w:pPr>
            <w:r>
              <w:rPr>
                <w:rFonts w:eastAsia="Calibri"/>
              </w:rPr>
              <w:t xml:space="preserve">Tier 1 / </w:t>
            </w:r>
            <w:r w:rsidRPr="00B41694">
              <w:rPr>
                <w:rFonts w:eastAsia="Calibri"/>
              </w:rPr>
              <w:t>no PPE</w:t>
            </w:r>
          </w:p>
        </w:tc>
        <w:tc>
          <w:tcPr>
            <w:tcW w:w="1192" w:type="pct"/>
            <w:tcBorders>
              <w:bottom w:val="single" w:sz="4" w:space="0" w:color="auto"/>
            </w:tcBorders>
            <w:shd w:val="clear" w:color="auto" w:fill="auto"/>
            <w:tcMar>
              <w:top w:w="57" w:type="dxa"/>
              <w:bottom w:w="57" w:type="dxa"/>
            </w:tcMar>
            <w:vAlign w:val="center"/>
          </w:tcPr>
          <w:p w14:paraId="7A8E9661" w14:textId="77777777" w:rsidR="00CC3AED" w:rsidRPr="00B50CB0" w:rsidRDefault="00CC3AED" w:rsidP="00CC3AED">
            <w:pPr>
              <w:pStyle w:val="Standaard-Tabellen"/>
              <w:rPr>
                <w:rFonts w:eastAsia="Calibri"/>
              </w:rPr>
            </w:pPr>
            <w:r w:rsidRPr="0014128A">
              <w:rPr>
                <w:rFonts w:eastAsia="Calibri"/>
              </w:rPr>
              <w:t xml:space="preserve">2.77 mg/kg </w:t>
            </w:r>
            <w:proofErr w:type="spellStart"/>
            <w:r w:rsidRPr="0014128A">
              <w:rPr>
                <w:rFonts w:eastAsia="Calibri"/>
              </w:rPr>
              <w:t>bw</w:t>
            </w:r>
            <w:proofErr w:type="spellEnd"/>
            <w:r w:rsidRPr="0014128A">
              <w:rPr>
                <w:rFonts w:eastAsia="Calibri"/>
              </w:rPr>
              <w:t>/day</w:t>
            </w:r>
          </w:p>
        </w:tc>
      </w:tr>
      <w:tr w:rsidR="00CC3AED" w:rsidRPr="00B50CB0" w14:paraId="34FDBD4F" w14:textId="77777777" w:rsidTr="00CC3AED">
        <w:trPr>
          <w:tblHeader/>
        </w:trPr>
        <w:tc>
          <w:tcPr>
            <w:tcW w:w="653" w:type="pct"/>
            <w:vMerge/>
            <w:tcBorders>
              <w:bottom w:val="single" w:sz="18" w:space="0" w:color="auto"/>
            </w:tcBorders>
            <w:tcMar>
              <w:top w:w="57" w:type="dxa"/>
              <w:bottom w:w="57" w:type="dxa"/>
            </w:tcMar>
          </w:tcPr>
          <w:p w14:paraId="73B60554" w14:textId="77777777" w:rsidR="00CC3AED" w:rsidRPr="00FD2055" w:rsidRDefault="00CC3AED" w:rsidP="00CC3AED">
            <w:pPr>
              <w:pStyle w:val="Standaard-Tabellen"/>
              <w:rPr>
                <w:rFonts w:eastAsia="Calibri"/>
              </w:rPr>
            </w:pPr>
          </w:p>
        </w:tc>
        <w:tc>
          <w:tcPr>
            <w:tcW w:w="1693" w:type="pct"/>
            <w:tcBorders>
              <w:bottom w:val="single" w:sz="18" w:space="0" w:color="auto"/>
            </w:tcBorders>
            <w:shd w:val="clear" w:color="auto" w:fill="auto"/>
            <w:tcMar>
              <w:top w:w="57" w:type="dxa"/>
              <w:bottom w:w="57" w:type="dxa"/>
            </w:tcMar>
          </w:tcPr>
          <w:p w14:paraId="28F76001" w14:textId="77777777" w:rsidR="00CC3AED" w:rsidRDefault="00CC3AED" w:rsidP="00CC3AED">
            <w:pPr>
              <w:pStyle w:val="Standaard-Tabellen"/>
              <w:rPr>
                <w:rFonts w:eastAsia="Calibri"/>
                <w:lang w:eastAsia="en-US"/>
              </w:rPr>
            </w:pPr>
            <w:r>
              <w:rPr>
                <w:rFonts w:eastAsia="Calibri"/>
                <w:lang w:eastAsia="en-US"/>
              </w:rPr>
              <w:t>Non-professionals, infant</w:t>
            </w:r>
          </w:p>
        </w:tc>
        <w:tc>
          <w:tcPr>
            <w:tcW w:w="1462" w:type="pct"/>
            <w:tcBorders>
              <w:bottom w:val="single" w:sz="18" w:space="0" w:color="auto"/>
            </w:tcBorders>
            <w:tcMar>
              <w:top w:w="57" w:type="dxa"/>
              <w:bottom w:w="57" w:type="dxa"/>
            </w:tcMar>
          </w:tcPr>
          <w:p w14:paraId="352ABCD6" w14:textId="77777777" w:rsidR="00CC3AED" w:rsidRDefault="00CC3AED" w:rsidP="00CC3AED">
            <w:pPr>
              <w:pStyle w:val="Standaard-Tabellen"/>
              <w:rPr>
                <w:rFonts w:eastAsia="Calibri"/>
              </w:rPr>
            </w:pPr>
            <w:r>
              <w:rPr>
                <w:rFonts w:eastAsia="Calibri"/>
              </w:rPr>
              <w:t xml:space="preserve">Tier 1 / </w:t>
            </w:r>
            <w:r w:rsidRPr="00B41694">
              <w:rPr>
                <w:rFonts w:eastAsia="Calibri"/>
              </w:rPr>
              <w:t>no PPE</w:t>
            </w:r>
          </w:p>
        </w:tc>
        <w:tc>
          <w:tcPr>
            <w:tcW w:w="1192" w:type="pct"/>
            <w:tcBorders>
              <w:top w:val="single" w:sz="4" w:space="0" w:color="auto"/>
              <w:bottom w:val="single" w:sz="18" w:space="0" w:color="auto"/>
            </w:tcBorders>
            <w:shd w:val="clear" w:color="auto" w:fill="auto"/>
            <w:tcMar>
              <w:top w:w="57" w:type="dxa"/>
              <w:bottom w:w="57" w:type="dxa"/>
            </w:tcMar>
            <w:vAlign w:val="center"/>
          </w:tcPr>
          <w:p w14:paraId="439B399B" w14:textId="77777777" w:rsidR="00CC3AED" w:rsidRPr="00B50CB0" w:rsidRDefault="00CC3AED" w:rsidP="00CC3AED">
            <w:pPr>
              <w:pStyle w:val="Standaard-Tabellen"/>
              <w:rPr>
                <w:rFonts w:eastAsia="Calibri"/>
              </w:rPr>
            </w:pPr>
            <w:r w:rsidRPr="0014128A">
              <w:rPr>
                <w:rFonts w:eastAsia="Calibri"/>
              </w:rPr>
              <w:t xml:space="preserve">1.97 mg/kg </w:t>
            </w:r>
            <w:proofErr w:type="spellStart"/>
            <w:r w:rsidRPr="0014128A">
              <w:rPr>
                <w:rFonts w:eastAsia="Calibri"/>
              </w:rPr>
              <w:t>bw</w:t>
            </w:r>
            <w:proofErr w:type="spellEnd"/>
            <w:r w:rsidRPr="0014128A">
              <w:rPr>
                <w:rFonts w:eastAsia="Calibri"/>
              </w:rPr>
              <w:t>/day</w:t>
            </w:r>
          </w:p>
        </w:tc>
      </w:tr>
    </w:tbl>
    <w:p w14:paraId="40FA9602" w14:textId="77777777" w:rsidR="00CC3AED" w:rsidRDefault="00CC3AED" w:rsidP="00CC3AED">
      <w:pPr>
        <w:pStyle w:val="Titre4"/>
        <w:numPr>
          <w:ilvl w:val="0"/>
          <w:numId w:val="0"/>
        </w:numPr>
      </w:pPr>
    </w:p>
    <w:p w14:paraId="4D6B7B4B" w14:textId="72E4721C" w:rsidR="00FE0250" w:rsidRDefault="00FE0250" w:rsidP="00FE0250">
      <w:pPr>
        <w:pStyle w:val="Titre4"/>
      </w:pPr>
      <w:bookmarkStart w:id="189" w:name="_Toc12967173"/>
      <w:r>
        <w:t>Risk characterisation for human health</w:t>
      </w:r>
      <w:bookmarkEnd w:id="189"/>
    </w:p>
    <w:p w14:paraId="2F65DD9E" w14:textId="77777777" w:rsidR="00FE0250" w:rsidRPr="007E5F71" w:rsidRDefault="00FE0250" w:rsidP="007E5F71">
      <w:pPr>
        <w:pStyle w:val="Titre5"/>
        <w:numPr>
          <w:ilvl w:val="0"/>
          <w:numId w:val="0"/>
        </w:numPr>
      </w:pPr>
      <w:bookmarkStart w:id="190" w:name="_Toc12967174"/>
      <w:r w:rsidRPr="007E5F71">
        <w:t xml:space="preserve">Reference values to be used in Risk </w:t>
      </w:r>
      <w:proofErr w:type="spellStart"/>
      <w:r w:rsidRPr="007E5F71">
        <w:t>Characterisation</w:t>
      </w:r>
      <w:bookmarkEnd w:id="19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780"/>
        <w:gridCol w:w="1212"/>
        <w:gridCol w:w="560"/>
        <w:gridCol w:w="1504"/>
        <w:gridCol w:w="2978"/>
      </w:tblGrid>
      <w:tr w:rsidR="00565DAF" w:rsidRPr="00FE0250" w14:paraId="6EC86F38" w14:textId="77777777" w:rsidTr="00565DAF">
        <w:tc>
          <w:tcPr>
            <w:tcW w:w="569" w:type="pct"/>
            <w:shd w:val="clear" w:color="auto" w:fill="BFBFBF" w:themeFill="background1" w:themeFillShade="BF"/>
          </w:tcPr>
          <w:p w14:paraId="71F3BA0E" w14:textId="77777777" w:rsidR="00565DAF" w:rsidRPr="00FE0250" w:rsidRDefault="00565DAF" w:rsidP="00BE71A6">
            <w:pPr>
              <w:pStyle w:val="Standaard-Tabellen"/>
              <w:rPr>
                <w:rFonts w:eastAsia="Calibri"/>
                <w:b/>
              </w:rPr>
            </w:pPr>
            <w:r w:rsidRPr="00FE0250">
              <w:rPr>
                <w:rFonts w:eastAsia="Calibri"/>
                <w:b/>
              </w:rPr>
              <w:t xml:space="preserve">Reference </w:t>
            </w:r>
          </w:p>
        </w:tc>
        <w:tc>
          <w:tcPr>
            <w:tcW w:w="1012" w:type="pct"/>
            <w:shd w:val="clear" w:color="auto" w:fill="BFBFBF" w:themeFill="background1" w:themeFillShade="BF"/>
          </w:tcPr>
          <w:p w14:paraId="2E35AC1D" w14:textId="77777777" w:rsidR="00565DAF" w:rsidRPr="00FE0250" w:rsidRDefault="00565DAF" w:rsidP="00BE71A6">
            <w:pPr>
              <w:pStyle w:val="Standaard-Tabellen"/>
              <w:rPr>
                <w:rFonts w:eastAsia="Calibri"/>
                <w:b/>
              </w:rPr>
            </w:pPr>
            <w:r w:rsidRPr="00FE0250">
              <w:rPr>
                <w:rFonts w:eastAsia="Calibri"/>
                <w:b/>
              </w:rPr>
              <w:t>Study</w:t>
            </w:r>
          </w:p>
        </w:tc>
        <w:tc>
          <w:tcPr>
            <w:tcW w:w="710" w:type="pct"/>
            <w:shd w:val="clear" w:color="auto" w:fill="BFBFBF" w:themeFill="background1" w:themeFillShade="BF"/>
          </w:tcPr>
          <w:p w14:paraId="5C18A648" w14:textId="77777777" w:rsidR="00565DAF" w:rsidRPr="00FE0250" w:rsidRDefault="00565DAF" w:rsidP="00BE71A6">
            <w:pPr>
              <w:pStyle w:val="Standaard-Tabellen"/>
              <w:rPr>
                <w:rFonts w:eastAsia="Calibri"/>
                <w:b/>
              </w:rPr>
            </w:pPr>
            <w:r w:rsidRPr="00FE0250">
              <w:rPr>
                <w:rFonts w:eastAsia="Calibri"/>
                <w:b/>
              </w:rPr>
              <w:t>NOAEL (LOAEL)</w:t>
            </w:r>
          </w:p>
        </w:tc>
        <w:tc>
          <w:tcPr>
            <w:tcW w:w="195" w:type="pct"/>
            <w:shd w:val="clear" w:color="auto" w:fill="BFBFBF" w:themeFill="background1" w:themeFillShade="BF"/>
          </w:tcPr>
          <w:p w14:paraId="38AFF884" w14:textId="77777777" w:rsidR="00565DAF" w:rsidRPr="00FE0250" w:rsidRDefault="00565DAF" w:rsidP="00BE71A6">
            <w:pPr>
              <w:pStyle w:val="Standaard-Tabellen"/>
              <w:rPr>
                <w:rFonts w:eastAsia="Calibri"/>
                <w:b/>
                <w:vertAlign w:val="superscript"/>
              </w:rPr>
            </w:pPr>
            <w:r w:rsidRPr="00FE0250">
              <w:rPr>
                <w:rFonts w:eastAsia="Calibri"/>
                <w:b/>
              </w:rPr>
              <w:t>AF</w:t>
            </w:r>
            <w:r w:rsidRPr="00FE0250">
              <w:rPr>
                <w:rFonts w:eastAsia="Calibri"/>
                <w:b/>
                <w:vertAlign w:val="superscript"/>
              </w:rPr>
              <w:t>1</w:t>
            </w:r>
          </w:p>
        </w:tc>
        <w:tc>
          <w:tcPr>
            <w:tcW w:w="865" w:type="pct"/>
            <w:shd w:val="clear" w:color="auto" w:fill="BFBFBF" w:themeFill="background1" w:themeFillShade="BF"/>
          </w:tcPr>
          <w:p w14:paraId="51DDAA0E" w14:textId="77777777" w:rsidR="00565DAF" w:rsidRPr="00FE0250" w:rsidRDefault="00565DAF" w:rsidP="00BE71A6">
            <w:pPr>
              <w:pStyle w:val="Standaard-Tabellen"/>
              <w:rPr>
                <w:rFonts w:eastAsia="Calibri"/>
                <w:b/>
              </w:rPr>
            </w:pPr>
            <w:r w:rsidRPr="00FE0250">
              <w:rPr>
                <w:rFonts w:eastAsia="Calibri"/>
                <w:b/>
              </w:rPr>
              <w:t>Correction for oral absorption</w:t>
            </w:r>
          </w:p>
        </w:tc>
        <w:tc>
          <w:tcPr>
            <w:tcW w:w="1649" w:type="pct"/>
            <w:shd w:val="clear" w:color="auto" w:fill="BFBFBF" w:themeFill="background1" w:themeFillShade="BF"/>
          </w:tcPr>
          <w:p w14:paraId="3FD1CD94" w14:textId="77777777" w:rsidR="00565DAF" w:rsidRPr="00FE0250" w:rsidRDefault="00565DAF" w:rsidP="00BE71A6">
            <w:pPr>
              <w:pStyle w:val="Standaard-Tabellen"/>
              <w:rPr>
                <w:rFonts w:eastAsia="Calibri"/>
                <w:b/>
              </w:rPr>
            </w:pPr>
            <w:r w:rsidRPr="00FE0250">
              <w:rPr>
                <w:rFonts w:eastAsia="Calibri"/>
                <w:b/>
              </w:rPr>
              <w:t>Value</w:t>
            </w:r>
          </w:p>
        </w:tc>
      </w:tr>
      <w:tr w:rsidR="00565DAF" w:rsidRPr="00FD2055" w14:paraId="332E7F83" w14:textId="77777777" w:rsidTr="00565DAF">
        <w:tc>
          <w:tcPr>
            <w:tcW w:w="569" w:type="pct"/>
            <w:shd w:val="clear" w:color="auto" w:fill="auto"/>
          </w:tcPr>
          <w:p w14:paraId="1A5FA9FD" w14:textId="77777777" w:rsidR="00565DAF" w:rsidRPr="00FD2055" w:rsidRDefault="00565DAF" w:rsidP="00BE71A6">
            <w:pPr>
              <w:pStyle w:val="Standaard-Tabellen"/>
              <w:rPr>
                <w:rFonts w:eastAsia="Calibri"/>
              </w:rPr>
            </w:pPr>
            <w:proofErr w:type="spellStart"/>
            <w:r w:rsidRPr="00FD2055">
              <w:rPr>
                <w:rFonts w:eastAsia="Calibri"/>
              </w:rPr>
              <w:t>AELshort</w:t>
            </w:r>
            <w:proofErr w:type="spellEnd"/>
            <w:r w:rsidRPr="00FD2055">
              <w:rPr>
                <w:rFonts w:eastAsia="Calibri"/>
              </w:rPr>
              <w:t>-term</w:t>
            </w:r>
          </w:p>
        </w:tc>
        <w:tc>
          <w:tcPr>
            <w:tcW w:w="1012" w:type="pct"/>
          </w:tcPr>
          <w:p w14:paraId="6308FF16" w14:textId="77777777" w:rsidR="00565DAF" w:rsidRDefault="00565DAF" w:rsidP="00BE71A6">
            <w:pPr>
              <w:pStyle w:val="Standaard-Tabellen"/>
            </w:pPr>
            <w:r>
              <w:t>Rabbit, oral, 28-days toxicity study</w:t>
            </w:r>
          </w:p>
          <w:p w14:paraId="6B2EE753" w14:textId="77777777" w:rsidR="00565DAF" w:rsidRPr="00FD2055" w:rsidRDefault="00565DAF" w:rsidP="00BE71A6">
            <w:pPr>
              <w:pStyle w:val="Standaard-Tabellen"/>
              <w:rPr>
                <w:rFonts w:eastAsia="Calibri"/>
              </w:rPr>
            </w:pPr>
            <w:r>
              <w:t>Rabbit, oral, developmental study</w:t>
            </w:r>
          </w:p>
        </w:tc>
        <w:tc>
          <w:tcPr>
            <w:tcW w:w="710" w:type="pct"/>
          </w:tcPr>
          <w:p w14:paraId="016D506B" w14:textId="77777777" w:rsidR="00565DAF" w:rsidRDefault="00565DAF" w:rsidP="00BE71A6">
            <w:pPr>
              <w:pStyle w:val="Standaard-Tabellen"/>
              <w:rPr>
                <w:rFonts w:eastAsia="Calibri"/>
                <w:lang w:eastAsia="en-US"/>
              </w:rPr>
            </w:pPr>
            <w:r>
              <w:rPr>
                <w:rFonts w:eastAsia="Calibri"/>
                <w:lang w:eastAsia="en-US"/>
              </w:rPr>
              <w:t xml:space="preserve">500 (1500) mg/kg </w:t>
            </w:r>
            <w:proofErr w:type="spellStart"/>
            <w:r>
              <w:rPr>
                <w:rFonts w:eastAsia="Calibri"/>
                <w:lang w:eastAsia="en-US"/>
              </w:rPr>
              <w:t>bw</w:t>
            </w:r>
            <w:proofErr w:type="spellEnd"/>
            <w:r>
              <w:rPr>
                <w:rFonts w:eastAsia="Calibri"/>
                <w:lang w:eastAsia="en-US"/>
              </w:rPr>
              <w:t>/d</w:t>
            </w:r>
          </w:p>
          <w:p w14:paraId="59B2D6B0" w14:textId="77777777" w:rsidR="00565DAF" w:rsidRDefault="00565DAF" w:rsidP="00BE71A6">
            <w:pPr>
              <w:pStyle w:val="Standaard-Tabellen"/>
              <w:rPr>
                <w:rFonts w:eastAsia="Calibri"/>
                <w:lang w:eastAsia="en-US"/>
              </w:rPr>
            </w:pPr>
          </w:p>
          <w:p w14:paraId="3CE2F229" w14:textId="77777777" w:rsidR="00565DAF" w:rsidRPr="00FD2055" w:rsidRDefault="00565DAF" w:rsidP="00BE71A6">
            <w:pPr>
              <w:pStyle w:val="Standaard-Tabellen"/>
              <w:rPr>
                <w:rFonts w:eastAsia="Calibri"/>
              </w:rPr>
            </w:pPr>
            <w:r>
              <w:rPr>
                <w:rFonts w:eastAsia="Calibri"/>
                <w:lang w:eastAsia="en-US"/>
              </w:rPr>
              <w:t xml:space="preserve">300 (600) mg/kg </w:t>
            </w:r>
            <w:proofErr w:type="spellStart"/>
            <w:r>
              <w:rPr>
                <w:rFonts w:eastAsia="Calibri"/>
                <w:lang w:eastAsia="en-US"/>
              </w:rPr>
              <w:t>bw</w:t>
            </w:r>
            <w:proofErr w:type="spellEnd"/>
            <w:r>
              <w:rPr>
                <w:rFonts w:eastAsia="Calibri"/>
                <w:lang w:eastAsia="en-US"/>
              </w:rPr>
              <w:t>/d</w:t>
            </w:r>
          </w:p>
        </w:tc>
        <w:tc>
          <w:tcPr>
            <w:tcW w:w="195" w:type="pct"/>
          </w:tcPr>
          <w:p w14:paraId="6970D420" w14:textId="77777777" w:rsidR="00565DAF" w:rsidRPr="00FD2055" w:rsidRDefault="00565DAF" w:rsidP="00BE71A6">
            <w:pPr>
              <w:pStyle w:val="Standaard-Tabellen"/>
              <w:rPr>
                <w:rFonts w:eastAsia="Calibri"/>
              </w:rPr>
            </w:pPr>
            <w:r>
              <w:rPr>
                <w:rFonts w:eastAsia="Calibri"/>
                <w:lang w:eastAsia="en-US"/>
              </w:rPr>
              <w:t>100</w:t>
            </w:r>
          </w:p>
        </w:tc>
        <w:tc>
          <w:tcPr>
            <w:tcW w:w="865" w:type="pct"/>
          </w:tcPr>
          <w:p w14:paraId="2886C989" w14:textId="77777777" w:rsidR="00565DAF" w:rsidRPr="00FD2055" w:rsidRDefault="00565DAF" w:rsidP="00BE71A6">
            <w:pPr>
              <w:pStyle w:val="Standaard-Tabellen"/>
              <w:rPr>
                <w:rFonts w:eastAsia="Calibri"/>
              </w:rPr>
            </w:pPr>
            <w:r>
              <w:rPr>
                <w:rFonts w:eastAsia="Calibri"/>
                <w:lang w:eastAsia="en-US"/>
              </w:rPr>
              <w:t>100%</w:t>
            </w:r>
          </w:p>
        </w:tc>
        <w:tc>
          <w:tcPr>
            <w:tcW w:w="1649" w:type="pct"/>
            <w:shd w:val="clear" w:color="auto" w:fill="auto"/>
          </w:tcPr>
          <w:p w14:paraId="55EE548D" w14:textId="77777777" w:rsidR="00565DAF" w:rsidRPr="00FD2055" w:rsidRDefault="00565DAF" w:rsidP="00BE71A6">
            <w:pPr>
              <w:pStyle w:val="Standaard-Tabellen"/>
              <w:rPr>
                <w:rFonts w:eastAsia="Calibri"/>
              </w:rPr>
            </w:pPr>
            <w:r>
              <w:rPr>
                <w:rFonts w:eastAsia="Calibri"/>
                <w:lang w:eastAsia="en-US"/>
              </w:rPr>
              <w:t xml:space="preserve">5 mg/kg </w:t>
            </w:r>
            <w:proofErr w:type="spellStart"/>
            <w:r>
              <w:rPr>
                <w:rFonts w:eastAsia="Calibri"/>
                <w:lang w:eastAsia="en-US"/>
              </w:rPr>
              <w:t>bw</w:t>
            </w:r>
            <w:proofErr w:type="spellEnd"/>
            <w:r>
              <w:rPr>
                <w:rFonts w:eastAsia="Calibri"/>
                <w:lang w:eastAsia="en-US"/>
              </w:rPr>
              <w:t>/d</w:t>
            </w:r>
          </w:p>
        </w:tc>
      </w:tr>
      <w:tr w:rsidR="00565DAF" w:rsidRPr="00FD2055" w14:paraId="4A05AE70" w14:textId="77777777" w:rsidTr="00565DAF">
        <w:tc>
          <w:tcPr>
            <w:tcW w:w="569" w:type="pct"/>
            <w:shd w:val="clear" w:color="auto" w:fill="auto"/>
          </w:tcPr>
          <w:p w14:paraId="19DE99B6" w14:textId="77777777" w:rsidR="00565DAF" w:rsidRPr="00FD2055" w:rsidRDefault="00565DAF" w:rsidP="00BE71A6">
            <w:pPr>
              <w:pStyle w:val="Standaard-Tabellen"/>
              <w:rPr>
                <w:rFonts w:eastAsia="Calibri"/>
              </w:rPr>
            </w:pPr>
            <w:proofErr w:type="spellStart"/>
            <w:r w:rsidRPr="00FD2055">
              <w:rPr>
                <w:rFonts w:eastAsia="Calibri"/>
              </w:rPr>
              <w:t>AELmedium</w:t>
            </w:r>
            <w:proofErr w:type="spellEnd"/>
            <w:r w:rsidRPr="00FD2055">
              <w:rPr>
                <w:rFonts w:eastAsia="Calibri"/>
              </w:rPr>
              <w:t>-term</w:t>
            </w:r>
          </w:p>
        </w:tc>
        <w:tc>
          <w:tcPr>
            <w:tcW w:w="1012" w:type="pct"/>
          </w:tcPr>
          <w:p w14:paraId="0BBB9BC9" w14:textId="77777777" w:rsidR="00565DAF" w:rsidRDefault="00565DAF" w:rsidP="00BE71A6">
            <w:pPr>
              <w:pStyle w:val="Standaard-Tabellen"/>
            </w:pPr>
            <w:r>
              <w:t>Rabbit, oral, 28-days toxicity study</w:t>
            </w:r>
          </w:p>
          <w:p w14:paraId="37541821" w14:textId="77777777" w:rsidR="00565DAF" w:rsidRPr="00FD2055" w:rsidRDefault="00565DAF" w:rsidP="00BE71A6">
            <w:pPr>
              <w:pStyle w:val="Standaard-Tabellen"/>
              <w:rPr>
                <w:rFonts w:eastAsia="Calibri"/>
              </w:rPr>
            </w:pPr>
            <w:r>
              <w:t>Rabbit, oral, developmental study</w:t>
            </w:r>
          </w:p>
        </w:tc>
        <w:tc>
          <w:tcPr>
            <w:tcW w:w="710" w:type="pct"/>
          </w:tcPr>
          <w:p w14:paraId="302E86FA" w14:textId="77777777" w:rsidR="00565DAF" w:rsidRDefault="00565DAF" w:rsidP="00BE71A6">
            <w:pPr>
              <w:pStyle w:val="Standaard-Tabellen"/>
              <w:rPr>
                <w:rFonts w:eastAsia="Calibri"/>
                <w:lang w:eastAsia="en-US"/>
              </w:rPr>
            </w:pPr>
            <w:r>
              <w:rPr>
                <w:rFonts w:eastAsia="Calibri"/>
                <w:lang w:eastAsia="en-US"/>
              </w:rPr>
              <w:t xml:space="preserve">500 (1500) mg/kg </w:t>
            </w:r>
            <w:proofErr w:type="spellStart"/>
            <w:r>
              <w:rPr>
                <w:rFonts w:eastAsia="Calibri"/>
                <w:lang w:eastAsia="en-US"/>
              </w:rPr>
              <w:t>bw</w:t>
            </w:r>
            <w:proofErr w:type="spellEnd"/>
            <w:r>
              <w:rPr>
                <w:rFonts w:eastAsia="Calibri"/>
                <w:lang w:eastAsia="en-US"/>
              </w:rPr>
              <w:t>/d</w:t>
            </w:r>
          </w:p>
          <w:p w14:paraId="03FCE843" w14:textId="77777777" w:rsidR="00565DAF" w:rsidRDefault="00565DAF" w:rsidP="00BE71A6">
            <w:pPr>
              <w:pStyle w:val="Standaard-Tabellen"/>
              <w:rPr>
                <w:rFonts w:eastAsia="Calibri"/>
                <w:lang w:eastAsia="en-US"/>
              </w:rPr>
            </w:pPr>
          </w:p>
          <w:p w14:paraId="1866F1BD" w14:textId="77777777" w:rsidR="00565DAF" w:rsidRPr="00FD2055" w:rsidRDefault="00565DAF" w:rsidP="00BE71A6">
            <w:pPr>
              <w:pStyle w:val="Standaard-Tabellen"/>
              <w:rPr>
                <w:rFonts w:eastAsia="Calibri"/>
              </w:rPr>
            </w:pPr>
            <w:r>
              <w:rPr>
                <w:rFonts w:eastAsia="Calibri"/>
                <w:lang w:eastAsia="en-US"/>
              </w:rPr>
              <w:t xml:space="preserve">300 (600) mg/kg </w:t>
            </w:r>
            <w:proofErr w:type="spellStart"/>
            <w:r>
              <w:rPr>
                <w:rFonts w:eastAsia="Calibri"/>
                <w:lang w:eastAsia="en-US"/>
              </w:rPr>
              <w:t>bw</w:t>
            </w:r>
            <w:proofErr w:type="spellEnd"/>
            <w:r>
              <w:rPr>
                <w:rFonts w:eastAsia="Calibri"/>
                <w:lang w:eastAsia="en-US"/>
              </w:rPr>
              <w:t>/d</w:t>
            </w:r>
          </w:p>
        </w:tc>
        <w:tc>
          <w:tcPr>
            <w:tcW w:w="195" w:type="pct"/>
          </w:tcPr>
          <w:p w14:paraId="40549742" w14:textId="77777777" w:rsidR="00565DAF" w:rsidRPr="00FD2055" w:rsidRDefault="00565DAF" w:rsidP="00BE71A6">
            <w:pPr>
              <w:pStyle w:val="Standaard-Tabellen"/>
              <w:rPr>
                <w:rFonts w:eastAsia="Calibri"/>
              </w:rPr>
            </w:pPr>
            <w:r>
              <w:rPr>
                <w:rFonts w:eastAsia="Calibri"/>
                <w:lang w:eastAsia="en-US"/>
              </w:rPr>
              <w:t>100</w:t>
            </w:r>
          </w:p>
        </w:tc>
        <w:tc>
          <w:tcPr>
            <w:tcW w:w="865" w:type="pct"/>
          </w:tcPr>
          <w:p w14:paraId="083B9047" w14:textId="77777777" w:rsidR="00565DAF" w:rsidRPr="00FD2055" w:rsidRDefault="00565DAF" w:rsidP="00BE71A6">
            <w:pPr>
              <w:pStyle w:val="Standaard-Tabellen"/>
              <w:rPr>
                <w:rFonts w:eastAsia="Calibri"/>
              </w:rPr>
            </w:pPr>
            <w:r>
              <w:rPr>
                <w:rFonts w:eastAsia="Calibri"/>
                <w:lang w:eastAsia="en-US"/>
              </w:rPr>
              <w:t>100%</w:t>
            </w:r>
          </w:p>
        </w:tc>
        <w:tc>
          <w:tcPr>
            <w:tcW w:w="1649" w:type="pct"/>
            <w:shd w:val="clear" w:color="auto" w:fill="auto"/>
          </w:tcPr>
          <w:p w14:paraId="701AAA57" w14:textId="77777777" w:rsidR="00565DAF" w:rsidRPr="00FD2055" w:rsidRDefault="00565DAF" w:rsidP="00BE71A6">
            <w:pPr>
              <w:pStyle w:val="Standaard-Tabellen"/>
              <w:rPr>
                <w:rFonts w:eastAsia="Calibri"/>
              </w:rPr>
            </w:pPr>
            <w:r>
              <w:rPr>
                <w:rFonts w:eastAsia="Calibri"/>
                <w:lang w:eastAsia="en-US"/>
              </w:rPr>
              <w:t xml:space="preserve">5 mg/kg </w:t>
            </w:r>
            <w:proofErr w:type="spellStart"/>
            <w:r>
              <w:rPr>
                <w:rFonts w:eastAsia="Calibri"/>
                <w:lang w:eastAsia="en-US"/>
              </w:rPr>
              <w:t>bw</w:t>
            </w:r>
            <w:proofErr w:type="spellEnd"/>
            <w:r>
              <w:rPr>
                <w:rFonts w:eastAsia="Calibri"/>
                <w:lang w:eastAsia="en-US"/>
              </w:rPr>
              <w:t>/d</w:t>
            </w:r>
          </w:p>
        </w:tc>
      </w:tr>
      <w:tr w:rsidR="00565DAF" w:rsidRPr="00FD2055" w14:paraId="329F36E8" w14:textId="77777777" w:rsidTr="00565DAF">
        <w:tc>
          <w:tcPr>
            <w:tcW w:w="569" w:type="pct"/>
            <w:shd w:val="clear" w:color="auto" w:fill="auto"/>
          </w:tcPr>
          <w:p w14:paraId="5701C8A4" w14:textId="77777777" w:rsidR="00565DAF" w:rsidRPr="00FD2055" w:rsidRDefault="00565DAF" w:rsidP="00BE71A6">
            <w:pPr>
              <w:pStyle w:val="Standaard-Tabellen"/>
              <w:rPr>
                <w:rFonts w:eastAsia="Calibri"/>
              </w:rPr>
            </w:pPr>
            <w:proofErr w:type="spellStart"/>
            <w:r w:rsidRPr="00FD2055">
              <w:rPr>
                <w:rFonts w:eastAsia="Calibri"/>
              </w:rPr>
              <w:t>AELlong</w:t>
            </w:r>
            <w:proofErr w:type="spellEnd"/>
            <w:r w:rsidRPr="00FD2055">
              <w:rPr>
                <w:rFonts w:eastAsia="Calibri"/>
              </w:rPr>
              <w:t>-term</w:t>
            </w:r>
          </w:p>
        </w:tc>
        <w:tc>
          <w:tcPr>
            <w:tcW w:w="1012" w:type="pct"/>
          </w:tcPr>
          <w:p w14:paraId="7A7B2021" w14:textId="77777777" w:rsidR="00565DAF" w:rsidRDefault="00565DAF" w:rsidP="00BE71A6">
            <w:pPr>
              <w:pStyle w:val="Standaard-Tabellen"/>
            </w:pPr>
            <w:r>
              <w:t>Rabbit, oral, 28-days toxicity study</w:t>
            </w:r>
          </w:p>
          <w:p w14:paraId="608C890C" w14:textId="77777777" w:rsidR="00565DAF" w:rsidRPr="00FD2055" w:rsidRDefault="00565DAF" w:rsidP="00BE71A6">
            <w:pPr>
              <w:pStyle w:val="Standaard-Tabellen"/>
              <w:rPr>
                <w:rFonts w:eastAsia="Calibri"/>
              </w:rPr>
            </w:pPr>
            <w:r>
              <w:t>Rabbit, oral, developmental study</w:t>
            </w:r>
          </w:p>
        </w:tc>
        <w:tc>
          <w:tcPr>
            <w:tcW w:w="710" w:type="pct"/>
          </w:tcPr>
          <w:p w14:paraId="0A728354" w14:textId="77777777" w:rsidR="00565DAF" w:rsidRDefault="00565DAF" w:rsidP="00BE71A6">
            <w:pPr>
              <w:pStyle w:val="Standaard-Tabellen"/>
              <w:rPr>
                <w:rFonts w:eastAsia="Calibri"/>
                <w:lang w:eastAsia="en-US"/>
              </w:rPr>
            </w:pPr>
            <w:r>
              <w:rPr>
                <w:rFonts w:eastAsia="Calibri"/>
                <w:lang w:eastAsia="en-US"/>
              </w:rPr>
              <w:t xml:space="preserve">500 (1500) mg/kg </w:t>
            </w:r>
            <w:proofErr w:type="spellStart"/>
            <w:r>
              <w:rPr>
                <w:rFonts w:eastAsia="Calibri"/>
                <w:lang w:eastAsia="en-US"/>
              </w:rPr>
              <w:t>bw</w:t>
            </w:r>
            <w:proofErr w:type="spellEnd"/>
            <w:r>
              <w:rPr>
                <w:rFonts w:eastAsia="Calibri"/>
                <w:lang w:eastAsia="en-US"/>
              </w:rPr>
              <w:t>/d</w:t>
            </w:r>
          </w:p>
          <w:p w14:paraId="6624EB8E" w14:textId="77777777" w:rsidR="00565DAF" w:rsidRDefault="00565DAF" w:rsidP="00BE71A6">
            <w:pPr>
              <w:pStyle w:val="Standaard-Tabellen"/>
              <w:rPr>
                <w:rFonts w:eastAsia="Calibri"/>
                <w:lang w:eastAsia="en-US"/>
              </w:rPr>
            </w:pPr>
          </w:p>
          <w:p w14:paraId="316D8FB6" w14:textId="77777777" w:rsidR="00565DAF" w:rsidRPr="00FD2055" w:rsidRDefault="00565DAF" w:rsidP="00BE71A6">
            <w:pPr>
              <w:pStyle w:val="Standaard-Tabellen"/>
              <w:rPr>
                <w:rFonts w:eastAsia="Calibri"/>
              </w:rPr>
            </w:pPr>
            <w:r>
              <w:rPr>
                <w:rFonts w:eastAsia="Calibri"/>
                <w:lang w:eastAsia="en-US"/>
              </w:rPr>
              <w:t xml:space="preserve">300 (600) mg/kg </w:t>
            </w:r>
            <w:proofErr w:type="spellStart"/>
            <w:r>
              <w:rPr>
                <w:rFonts w:eastAsia="Calibri"/>
                <w:lang w:eastAsia="en-US"/>
              </w:rPr>
              <w:t>bw</w:t>
            </w:r>
            <w:proofErr w:type="spellEnd"/>
            <w:r>
              <w:rPr>
                <w:rFonts w:eastAsia="Calibri"/>
                <w:lang w:eastAsia="en-US"/>
              </w:rPr>
              <w:t>/d</w:t>
            </w:r>
          </w:p>
        </w:tc>
        <w:tc>
          <w:tcPr>
            <w:tcW w:w="195" w:type="pct"/>
          </w:tcPr>
          <w:p w14:paraId="532F0CE3" w14:textId="77777777" w:rsidR="00565DAF" w:rsidRPr="00FD2055" w:rsidRDefault="00565DAF" w:rsidP="00BE71A6">
            <w:pPr>
              <w:pStyle w:val="Standaard-Tabellen"/>
              <w:rPr>
                <w:rFonts w:eastAsia="Calibri"/>
              </w:rPr>
            </w:pPr>
            <w:r>
              <w:rPr>
                <w:rFonts w:eastAsia="Calibri"/>
                <w:lang w:eastAsia="en-US"/>
              </w:rPr>
              <w:t>100</w:t>
            </w:r>
          </w:p>
        </w:tc>
        <w:tc>
          <w:tcPr>
            <w:tcW w:w="865" w:type="pct"/>
          </w:tcPr>
          <w:p w14:paraId="4F0E3D27" w14:textId="77777777" w:rsidR="00565DAF" w:rsidRPr="00FD2055" w:rsidRDefault="00565DAF" w:rsidP="00BE71A6">
            <w:pPr>
              <w:pStyle w:val="Standaard-Tabellen"/>
              <w:rPr>
                <w:rFonts w:eastAsia="Calibri"/>
              </w:rPr>
            </w:pPr>
            <w:r>
              <w:rPr>
                <w:rFonts w:eastAsia="Calibri"/>
                <w:lang w:eastAsia="en-US"/>
              </w:rPr>
              <w:t>100%</w:t>
            </w:r>
          </w:p>
        </w:tc>
        <w:tc>
          <w:tcPr>
            <w:tcW w:w="1649" w:type="pct"/>
            <w:shd w:val="clear" w:color="auto" w:fill="auto"/>
          </w:tcPr>
          <w:p w14:paraId="704CCF17" w14:textId="77777777" w:rsidR="00565DAF" w:rsidRDefault="00565DAF" w:rsidP="00BE71A6">
            <w:pPr>
              <w:pStyle w:val="Standaard-Tabellen"/>
            </w:pPr>
            <w:r>
              <w:t xml:space="preserve">5 mg/kg </w:t>
            </w:r>
            <w:proofErr w:type="spellStart"/>
            <w:r>
              <w:t>bw</w:t>
            </w:r>
            <w:proofErr w:type="spellEnd"/>
            <w:r>
              <w:t>/d</w:t>
            </w:r>
          </w:p>
          <w:p w14:paraId="4DB1A1F6" w14:textId="77777777" w:rsidR="00565DAF" w:rsidRPr="00FD2055" w:rsidRDefault="00565DAF" w:rsidP="00BE71A6">
            <w:pPr>
              <w:pStyle w:val="Standaard-Tabellen"/>
              <w:rPr>
                <w:rFonts w:eastAsia="Calibri"/>
              </w:rPr>
            </w:pPr>
            <w:r>
              <w:t>(not applicable here, maximum number of applications is 28 days per year)</w:t>
            </w:r>
          </w:p>
        </w:tc>
      </w:tr>
      <w:tr w:rsidR="00565DAF" w:rsidRPr="00FD2055" w14:paraId="47D021FC" w14:textId="77777777" w:rsidTr="00565DAF">
        <w:tc>
          <w:tcPr>
            <w:tcW w:w="569" w:type="pct"/>
            <w:shd w:val="clear" w:color="auto" w:fill="auto"/>
          </w:tcPr>
          <w:p w14:paraId="210A2246" w14:textId="77777777" w:rsidR="00565DAF" w:rsidRPr="00FD2055" w:rsidRDefault="00565DAF" w:rsidP="00BE71A6">
            <w:pPr>
              <w:pStyle w:val="Standaard-Tabellen"/>
              <w:rPr>
                <w:rFonts w:eastAsia="Calibri"/>
              </w:rPr>
            </w:pPr>
            <w:proofErr w:type="spellStart"/>
            <w:r w:rsidRPr="00FD2055">
              <w:rPr>
                <w:rFonts w:eastAsia="Calibri"/>
              </w:rPr>
              <w:t>ARfD</w:t>
            </w:r>
            <w:proofErr w:type="spellEnd"/>
          </w:p>
        </w:tc>
        <w:tc>
          <w:tcPr>
            <w:tcW w:w="1012" w:type="pct"/>
          </w:tcPr>
          <w:p w14:paraId="1CD18F8E" w14:textId="77777777" w:rsidR="00565DAF" w:rsidRPr="00FD2055" w:rsidRDefault="00565DAF" w:rsidP="00BE71A6">
            <w:pPr>
              <w:pStyle w:val="Standaard-Tabellen"/>
              <w:rPr>
                <w:rFonts w:eastAsia="Calibri"/>
              </w:rPr>
            </w:pPr>
            <w:proofErr w:type="spellStart"/>
            <w:r>
              <w:rPr>
                <w:rFonts w:eastAsia="Calibri"/>
                <w:lang w:eastAsia="en-US"/>
              </w:rPr>
              <w:t>n.a.</w:t>
            </w:r>
            <w:proofErr w:type="spellEnd"/>
          </w:p>
        </w:tc>
        <w:tc>
          <w:tcPr>
            <w:tcW w:w="710" w:type="pct"/>
          </w:tcPr>
          <w:p w14:paraId="2E7CEFF0" w14:textId="77777777" w:rsidR="00565DAF" w:rsidRPr="00FD2055" w:rsidRDefault="00565DAF" w:rsidP="00BE71A6">
            <w:pPr>
              <w:pStyle w:val="Standaard-Tabellen"/>
              <w:rPr>
                <w:rFonts w:eastAsia="Calibri"/>
              </w:rPr>
            </w:pPr>
            <w:proofErr w:type="spellStart"/>
            <w:r>
              <w:rPr>
                <w:rFonts w:eastAsia="Calibri"/>
                <w:lang w:eastAsia="en-US"/>
              </w:rPr>
              <w:t>n.a.</w:t>
            </w:r>
            <w:proofErr w:type="spellEnd"/>
          </w:p>
        </w:tc>
        <w:tc>
          <w:tcPr>
            <w:tcW w:w="195" w:type="pct"/>
          </w:tcPr>
          <w:p w14:paraId="0A0D8A41" w14:textId="77777777" w:rsidR="00565DAF" w:rsidRPr="00FD2055" w:rsidRDefault="00565DAF" w:rsidP="00BE71A6">
            <w:pPr>
              <w:pStyle w:val="Standaard-Tabellen"/>
              <w:rPr>
                <w:rFonts w:eastAsia="Calibri"/>
              </w:rPr>
            </w:pPr>
          </w:p>
        </w:tc>
        <w:tc>
          <w:tcPr>
            <w:tcW w:w="865" w:type="pct"/>
          </w:tcPr>
          <w:p w14:paraId="447D9EB4" w14:textId="77777777" w:rsidR="00565DAF" w:rsidRPr="00FD2055" w:rsidRDefault="00565DAF" w:rsidP="00BE71A6">
            <w:pPr>
              <w:pStyle w:val="Standaard-Tabellen"/>
              <w:rPr>
                <w:rFonts w:eastAsia="Calibri"/>
              </w:rPr>
            </w:pPr>
          </w:p>
        </w:tc>
        <w:tc>
          <w:tcPr>
            <w:tcW w:w="1649" w:type="pct"/>
            <w:shd w:val="clear" w:color="auto" w:fill="auto"/>
          </w:tcPr>
          <w:p w14:paraId="223E36FC" w14:textId="77777777" w:rsidR="00565DAF" w:rsidRPr="00FD2055" w:rsidRDefault="00565DAF" w:rsidP="00BE71A6">
            <w:pPr>
              <w:pStyle w:val="Standaard-Tabellen"/>
              <w:rPr>
                <w:rFonts w:eastAsia="Calibri"/>
              </w:rPr>
            </w:pPr>
            <w:r>
              <w:t>not applicable, no residues in food or feed occur</w:t>
            </w:r>
          </w:p>
        </w:tc>
      </w:tr>
      <w:tr w:rsidR="00565DAF" w:rsidRPr="00FD2055" w14:paraId="27169C99" w14:textId="77777777" w:rsidTr="00565DAF">
        <w:tc>
          <w:tcPr>
            <w:tcW w:w="569" w:type="pct"/>
            <w:shd w:val="clear" w:color="auto" w:fill="auto"/>
          </w:tcPr>
          <w:p w14:paraId="16B4A27B" w14:textId="77777777" w:rsidR="00565DAF" w:rsidRPr="00FD2055" w:rsidRDefault="00565DAF" w:rsidP="00BE71A6">
            <w:pPr>
              <w:pStyle w:val="Standaard-Tabellen"/>
              <w:rPr>
                <w:rFonts w:eastAsia="Calibri"/>
              </w:rPr>
            </w:pPr>
            <w:r w:rsidRPr="00FD2055">
              <w:rPr>
                <w:rFonts w:eastAsia="Calibri"/>
              </w:rPr>
              <w:t>ADI</w:t>
            </w:r>
          </w:p>
        </w:tc>
        <w:tc>
          <w:tcPr>
            <w:tcW w:w="1012" w:type="pct"/>
          </w:tcPr>
          <w:p w14:paraId="2ACA0BAC" w14:textId="77777777" w:rsidR="00565DAF" w:rsidRPr="00FD2055" w:rsidRDefault="00565DAF" w:rsidP="00BE71A6">
            <w:pPr>
              <w:pStyle w:val="Standaard-Tabellen"/>
              <w:rPr>
                <w:rFonts w:eastAsia="Calibri"/>
              </w:rPr>
            </w:pPr>
            <w:proofErr w:type="spellStart"/>
            <w:r>
              <w:rPr>
                <w:rFonts w:eastAsia="Calibri"/>
                <w:lang w:eastAsia="en-US"/>
              </w:rPr>
              <w:t>n.a.</w:t>
            </w:r>
            <w:proofErr w:type="spellEnd"/>
          </w:p>
        </w:tc>
        <w:tc>
          <w:tcPr>
            <w:tcW w:w="710" w:type="pct"/>
          </w:tcPr>
          <w:p w14:paraId="242E87CC" w14:textId="77777777" w:rsidR="00565DAF" w:rsidRPr="00FD2055" w:rsidRDefault="00565DAF" w:rsidP="00BE71A6">
            <w:pPr>
              <w:pStyle w:val="Standaard-Tabellen"/>
              <w:rPr>
                <w:rFonts w:eastAsia="Calibri"/>
              </w:rPr>
            </w:pPr>
            <w:proofErr w:type="spellStart"/>
            <w:r>
              <w:rPr>
                <w:rFonts w:eastAsia="Calibri"/>
                <w:lang w:eastAsia="en-US"/>
              </w:rPr>
              <w:t>n.a.</w:t>
            </w:r>
            <w:proofErr w:type="spellEnd"/>
          </w:p>
        </w:tc>
        <w:tc>
          <w:tcPr>
            <w:tcW w:w="195" w:type="pct"/>
          </w:tcPr>
          <w:p w14:paraId="281C6D6F" w14:textId="77777777" w:rsidR="00565DAF" w:rsidRPr="00FD2055" w:rsidRDefault="00565DAF" w:rsidP="00BE71A6">
            <w:pPr>
              <w:pStyle w:val="Standaard-Tabellen"/>
              <w:rPr>
                <w:rFonts w:eastAsia="Calibri"/>
              </w:rPr>
            </w:pPr>
          </w:p>
        </w:tc>
        <w:tc>
          <w:tcPr>
            <w:tcW w:w="865" w:type="pct"/>
          </w:tcPr>
          <w:p w14:paraId="659F0A5F" w14:textId="77777777" w:rsidR="00565DAF" w:rsidRPr="00FD2055" w:rsidRDefault="00565DAF" w:rsidP="00BE71A6">
            <w:pPr>
              <w:pStyle w:val="Standaard-Tabellen"/>
              <w:rPr>
                <w:rFonts w:eastAsia="Calibri"/>
              </w:rPr>
            </w:pPr>
          </w:p>
        </w:tc>
        <w:tc>
          <w:tcPr>
            <w:tcW w:w="1649" w:type="pct"/>
            <w:shd w:val="clear" w:color="auto" w:fill="auto"/>
          </w:tcPr>
          <w:p w14:paraId="215DD08E" w14:textId="77777777" w:rsidR="00565DAF" w:rsidRPr="00FD2055" w:rsidRDefault="00565DAF" w:rsidP="00BE71A6">
            <w:pPr>
              <w:pStyle w:val="Standaard-Tabellen"/>
              <w:rPr>
                <w:rFonts w:eastAsia="Calibri"/>
              </w:rPr>
            </w:pPr>
            <w:r>
              <w:t>not applicable, no residues in food or feed occur</w:t>
            </w:r>
          </w:p>
        </w:tc>
      </w:tr>
    </w:tbl>
    <w:p w14:paraId="29825839" w14:textId="77777777" w:rsidR="00565DAF" w:rsidRPr="00FD2055" w:rsidRDefault="00565DAF" w:rsidP="00565DAF">
      <w:pPr>
        <w:pStyle w:val="Voetnoot"/>
        <w:rPr>
          <w:rFonts w:eastAsia="Calibri"/>
          <w:lang w:eastAsia="en-US"/>
        </w:rPr>
      </w:pPr>
      <w:r w:rsidRPr="00FD2055">
        <w:rPr>
          <w:rFonts w:eastAsia="Calibri"/>
          <w:vertAlign w:val="superscript"/>
          <w:lang w:eastAsia="en-US"/>
        </w:rPr>
        <w:t>1</w:t>
      </w:r>
      <w:r w:rsidRPr="00071FD4">
        <w:rPr>
          <w:rFonts w:eastAsia="Calibri"/>
          <w:iCs/>
          <w:lang w:eastAsia="en-US"/>
        </w:rPr>
        <w:t xml:space="preserve"> </w:t>
      </w:r>
      <w:r>
        <w:rPr>
          <w:rFonts w:eastAsia="Calibri"/>
          <w:iCs/>
          <w:lang w:eastAsia="en-US"/>
        </w:rPr>
        <w:t>reason for assessment factor: f</w:t>
      </w:r>
      <w:r w:rsidRPr="004B5CD8">
        <w:rPr>
          <w:rFonts w:eastAsia="Calibri"/>
          <w:iCs/>
          <w:lang w:eastAsia="en-US"/>
        </w:rPr>
        <w:t>actor 10 for both intra-species and interspecies differences</w:t>
      </w:r>
      <w:r>
        <w:rPr>
          <w:rFonts w:eastAsia="Calibri"/>
          <w:iCs/>
          <w:lang w:eastAsia="en-US"/>
        </w:rPr>
        <w:t>. No extrapolation factor for duration is needed, as the overall NOAEL is derived from a repeated 28d-oral toxicity study and a teratogenicity study.</w:t>
      </w:r>
    </w:p>
    <w:p w14:paraId="087F56DB" w14:textId="77777777" w:rsidR="007E5F71" w:rsidRDefault="007E5F71">
      <w:pPr>
        <w:spacing w:before="0" w:after="160" w:line="259" w:lineRule="auto"/>
        <w:rPr>
          <w:rFonts w:eastAsia="Calibri"/>
          <w:lang w:eastAsia="en-US"/>
        </w:rPr>
      </w:pPr>
    </w:p>
    <w:p w14:paraId="1833C25D" w14:textId="77777777" w:rsidR="00C82D5E" w:rsidRDefault="00C82D5E">
      <w:pPr>
        <w:spacing w:before="0" w:after="160" w:line="259" w:lineRule="auto"/>
        <w:rPr>
          <w:rFonts w:eastAsia="Calibri"/>
          <w:lang w:eastAsia="en-US"/>
        </w:rPr>
      </w:pPr>
      <w:r>
        <w:rPr>
          <w:rFonts w:eastAsia="Calibri"/>
          <w:lang w:eastAsia="en-US"/>
        </w:rPr>
        <w:br w:type="page"/>
      </w:r>
    </w:p>
    <w:p w14:paraId="14B4231C" w14:textId="77777777" w:rsidR="00881426" w:rsidRPr="007E5F71" w:rsidRDefault="00881426" w:rsidP="007E5F71">
      <w:pPr>
        <w:pStyle w:val="Titre5"/>
        <w:numPr>
          <w:ilvl w:val="0"/>
          <w:numId w:val="13"/>
        </w:numPr>
      </w:pPr>
      <w:bookmarkStart w:id="191" w:name="_Toc12967175"/>
      <w:bookmarkStart w:id="192" w:name="_Toc403472775"/>
      <w:bookmarkStart w:id="193" w:name="_Toc389729089"/>
      <w:r w:rsidRPr="007E5F71">
        <w:lastRenderedPageBreak/>
        <w:t>Risk for industrial users</w:t>
      </w:r>
      <w:bookmarkEnd w:id="191"/>
      <w:r w:rsidRPr="007E5F71">
        <w:t xml:space="preserve"> </w:t>
      </w:r>
    </w:p>
    <w:bookmarkEnd w:id="192"/>
    <w:bookmarkEnd w:id="193"/>
    <w:p w14:paraId="483B2066" w14:textId="066273FB" w:rsidR="00CB0677" w:rsidRDefault="00CB0677" w:rsidP="00CB0677">
      <w:pPr>
        <w:rPr>
          <w:lang w:val="en-US" w:eastAsia="en-US"/>
        </w:rPr>
      </w:pPr>
      <w:r>
        <w:rPr>
          <w:lang w:val="en-US" w:eastAsia="en-US"/>
        </w:rPr>
        <w:t>Not relevant since the product Insect Repellent Lotion IR3535</w:t>
      </w:r>
      <w:r>
        <w:rPr>
          <w:vertAlign w:val="superscript"/>
          <w:lang w:val="en-US" w:eastAsia="en-US"/>
        </w:rPr>
        <w:t>®</w:t>
      </w:r>
      <w:r>
        <w:rPr>
          <w:lang w:val="en-US" w:eastAsia="en-US"/>
        </w:rPr>
        <w:t xml:space="preserve"> 10% is</w:t>
      </w:r>
      <w:r w:rsidR="00CC3AED">
        <w:rPr>
          <w:lang w:val="en-US" w:eastAsia="en-US"/>
        </w:rPr>
        <w:t xml:space="preserve"> not</w:t>
      </w:r>
      <w:r>
        <w:rPr>
          <w:lang w:val="en-US" w:eastAsia="en-US"/>
        </w:rPr>
        <w:t xml:space="preserve"> intended to be used by industrial users. </w:t>
      </w:r>
    </w:p>
    <w:p w14:paraId="1F56C1D9" w14:textId="77777777" w:rsidR="00CB0677" w:rsidRDefault="00CB0677" w:rsidP="00CB0677">
      <w:pPr>
        <w:rPr>
          <w:rFonts w:eastAsia="Calibri"/>
          <w:lang w:eastAsia="en-US"/>
        </w:rPr>
      </w:pPr>
    </w:p>
    <w:p w14:paraId="1986E47B" w14:textId="77777777" w:rsidR="00881426" w:rsidRDefault="00881426" w:rsidP="007E5F71">
      <w:pPr>
        <w:pStyle w:val="Titre5"/>
      </w:pPr>
      <w:bookmarkStart w:id="194" w:name="_Toc389729090"/>
      <w:bookmarkStart w:id="195" w:name="_Toc403472776"/>
      <w:bookmarkStart w:id="196" w:name="_Toc12967176"/>
      <w:r w:rsidRPr="007E5F71">
        <w:t>Risk for professional users</w:t>
      </w:r>
      <w:bookmarkEnd w:id="194"/>
      <w:bookmarkEnd w:id="195"/>
      <w:bookmarkEnd w:id="196"/>
      <w:r w:rsidRPr="007E5F71">
        <w:t xml:space="preserve"> </w:t>
      </w:r>
    </w:p>
    <w:p w14:paraId="4C431842" w14:textId="45D6EB25" w:rsidR="00CB0677" w:rsidRDefault="00CB0677" w:rsidP="00CB0677">
      <w:pPr>
        <w:rPr>
          <w:lang w:val="en-US" w:eastAsia="en-US"/>
        </w:rPr>
      </w:pPr>
      <w:bookmarkStart w:id="197" w:name="_Toc389729091"/>
      <w:bookmarkStart w:id="198" w:name="_Toc403472777"/>
      <w:r>
        <w:rPr>
          <w:lang w:val="en-US" w:eastAsia="en-US"/>
        </w:rPr>
        <w:t>Not relevant since the product Insect Repellent Lotion IR3535</w:t>
      </w:r>
      <w:r>
        <w:rPr>
          <w:vertAlign w:val="superscript"/>
          <w:lang w:val="en-US" w:eastAsia="en-US"/>
        </w:rPr>
        <w:t>®</w:t>
      </w:r>
      <w:r>
        <w:rPr>
          <w:lang w:val="en-US" w:eastAsia="en-US"/>
        </w:rPr>
        <w:t xml:space="preserve"> 10% is </w:t>
      </w:r>
      <w:r w:rsidR="00CC3AED">
        <w:rPr>
          <w:lang w:val="en-US" w:eastAsia="en-US"/>
        </w:rPr>
        <w:t xml:space="preserve">not </w:t>
      </w:r>
      <w:r>
        <w:rPr>
          <w:lang w:val="en-US" w:eastAsia="en-US"/>
        </w:rPr>
        <w:t xml:space="preserve">intended </w:t>
      </w:r>
      <w:r w:rsidR="00CC3AED">
        <w:rPr>
          <w:lang w:val="en-US" w:eastAsia="en-US"/>
        </w:rPr>
        <w:t xml:space="preserve">for professional use. </w:t>
      </w:r>
    </w:p>
    <w:p w14:paraId="69EEEE1C" w14:textId="77777777" w:rsidR="00881426" w:rsidRPr="007E5F71" w:rsidRDefault="00881426" w:rsidP="007E5F71">
      <w:pPr>
        <w:pStyle w:val="Titre5"/>
      </w:pPr>
      <w:bookmarkStart w:id="199" w:name="_Toc12967177"/>
      <w:r w:rsidRPr="007E5F71">
        <w:t>Risk for non-professional users</w:t>
      </w:r>
      <w:bookmarkEnd w:id="197"/>
      <w:bookmarkEnd w:id="198"/>
      <w:bookmarkEnd w:id="199"/>
      <w:r w:rsidRPr="007E5F71">
        <w:t xml:space="preserve"> </w:t>
      </w:r>
    </w:p>
    <w:p w14:paraId="0E319DF6" w14:textId="10CD6F0A" w:rsidR="00881426" w:rsidRDefault="00881426" w:rsidP="00881426">
      <w:pPr>
        <w:pStyle w:val="Titre6"/>
        <w:rPr>
          <w:lang w:val="en-US"/>
        </w:rPr>
      </w:pPr>
      <w:r w:rsidRPr="00CC3AED">
        <w:rPr>
          <w:lang w:val="en-US"/>
        </w:rPr>
        <w:t xml:space="preserve">Systemic effects </w:t>
      </w:r>
    </w:p>
    <w:p w14:paraId="4957C184" w14:textId="77777777" w:rsidR="00CC3AED" w:rsidRPr="009A3C76" w:rsidRDefault="00CC3AED" w:rsidP="00CC3AED">
      <w:pPr>
        <w:pStyle w:val="Titre7"/>
        <w:rPr>
          <w:lang w:val="en-US"/>
        </w:rPr>
      </w:pPr>
      <w:r w:rsidRPr="009A3C76">
        <w:rPr>
          <w:lang w:val="en-US"/>
        </w:rPr>
        <w:t>USE 1 against mosquitoes – application rate 1.15 mg/cm</w:t>
      </w:r>
      <w:r w:rsidRPr="009A3C76">
        <w:rPr>
          <w:vertAlign w:val="superscript"/>
          <w:lang w:val="en-US"/>
        </w:rPr>
        <w:t>2</w:t>
      </w:r>
    </w:p>
    <w:p w14:paraId="342994A5" w14:textId="77777777" w:rsidR="00CC3AED" w:rsidRPr="00DC5E41" w:rsidRDefault="00CC3AED" w:rsidP="00CC3AED">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611"/>
        <w:gridCol w:w="1158"/>
        <w:gridCol w:w="908"/>
        <w:gridCol w:w="1811"/>
        <w:gridCol w:w="1376"/>
        <w:gridCol w:w="1692"/>
      </w:tblGrid>
      <w:tr w:rsidR="00CB0677" w:rsidRPr="00015252" w14:paraId="3B6CF09A" w14:textId="77777777" w:rsidTr="00CB0677">
        <w:tc>
          <w:tcPr>
            <w:tcW w:w="981" w:type="pct"/>
            <w:tcBorders>
              <w:bottom w:val="single" w:sz="18" w:space="0" w:color="auto"/>
            </w:tcBorders>
            <w:shd w:val="clear" w:color="auto" w:fill="BFBFBF" w:themeFill="background1" w:themeFillShade="BF"/>
          </w:tcPr>
          <w:p w14:paraId="65837706" w14:textId="77777777" w:rsidR="00CB0677" w:rsidRPr="00015252" w:rsidRDefault="00CB0677" w:rsidP="00CB0677">
            <w:pPr>
              <w:pStyle w:val="Standaard-Tabellen"/>
              <w:rPr>
                <w:rFonts w:eastAsia="Calibri"/>
                <w:b/>
              </w:rPr>
            </w:pPr>
            <w:r w:rsidRPr="00015252">
              <w:rPr>
                <w:rFonts w:eastAsia="Calibri"/>
                <w:b/>
              </w:rPr>
              <w:t>Task/</w:t>
            </w:r>
          </w:p>
          <w:p w14:paraId="7F7A1A09" w14:textId="77777777" w:rsidR="00CB0677" w:rsidRPr="00015252" w:rsidRDefault="00CB0677" w:rsidP="00CB0677">
            <w:pPr>
              <w:pStyle w:val="Standaard-Tabellen"/>
              <w:rPr>
                <w:rFonts w:eastAsia="Calibri"/>
                <w:b/>
              </w:rPr>
            </w:pPr>
            <w:r w:rsidRPr="00015252">
              <w:rPr>
                <w:rFonts w:eastAsia="Calibri"/>
                <w:b/>
              </w:rPr>
              <w:t>Scenario</w:t>
            </w:r>
          </w:p>
        </w:tc>
        <w:tc>
          <w:tcPr>
            <w:tcW w:w="324" w:type="pct"/>
            <w:tcBorders>
              <w:bottom w:val="single" w:sz="18" w:space="0" w:color="auto"/>
            </w:tcBorders>
            <w:shd w:val="clear" w:color="auto" w:fill="BFBFBF" w:themeFill="background1" w:themeFillShade="BF"/>
          </w:tcPr>
          <w:p w14:paraId="0A45CAF3" w14:textId="77777777" w:rsidR="00CB0677" w:rsidRPr="00015252" w:rsidRDefault="00CB0677" w:rsidP="00CB0677">
            <w:pPr>
              <w:pStyle w:val="Standaard-Tabellen"/>
              <w:rPr>
                <w:rFonts w:eastAsia="Calibri"/>
                <w:b/>
              </w:rPr>
            </w:pPr>
            <w:r w:rsidRPr="00015252">
              <w:rPr>
                <w:rFonts w:eastAsia="Calibri"/>
                <w:b/>
              </w:rPr>
              <w:t>Tier</w:t>
            </w:r>
          </w:p>
        </w:tc>
        <w:tc>
          <w:tcPr>
            <w:tcW w:w="616" w:type="pct"/>
            <w:tcBorders>
              <w:bottom w:val="single" w:sz="18" w:space="0" w:color="auto"/>
            </w:tcBorders>
            <w:shd w:val="clear" w:color="auto" w:fill="BFBFBF" w:themeFill="background1" w:themeFillShade="BF"/>
          </w:tcPr>
          <w:p w14:paraId="32879389" w14:textId="77777777" w:rsidR="00CB0677" w:rsidRPr="00015252" w:rsidRDefault="00CB0677" w:rsidP="00CB0677">
            <w:pPr>
              <w:pStyle w:val="Standaard-Tabellen"/>
              <w:rPr>
                <w:rFonts w:eastAsia="Calibri"/>
                <w:b/>
              </w:rPr>
            </w:pPr>
            <w:r w:rsidRPr="00015252">
              <w:rPr>
                <w:rFonts w:eastAsia="Calibri"/>
                <w:b/>
              </w:rPr>
              <w:t>Systemic NOAEL</w:t>
            </w:r>
          </w:p>
          <w:p w14:paraId="1633BEA5" w14:textId="77777777" w:rsidR="00CB0677" w:rsidRPr="00015252" w:rsidRDefault="00CB0677" w:rsidP="00CB0677">
            <w:pPr>
              <w:pStyle w:val="Standaard-Tabellen"/>
              <w:rPr>
                <w:rFonts w:eastAsia="Calibri"/>
                <w:b/>
              </w:rPr>
            </w:pPr>
            <w:r w:rsidRPr="00015252">
              <w:rPr>
                <w:rFonts w:eastAsia="Calibri"/>
                <w:b/>
              </w:rPr>
              <w:t xml:space="preserve">mg/kg </w:t>
            </w:r>
            <w:proofErr w:type="spellStart"/>
            <w:r w:rsidRPr="00015252">
              <w:rPr>
                <w:rFonts w:eastAsia="Calibri"/>
                <w:b/>
              </w:rPr>
              <w:t>bw</w:t>
            </w:r>
            <w:proofErr w:type="spellEnd"/>
            <w:r w:rsidRPr="00015252">
              <w:rPr>
                <w:rFonts w:eastAsia="Calibri"/>
                <w:b/>
              </w:rPr>
              <w:t>/d</w:t>
            </w:r>
          </w:p>
        </w:tc>
        <w:tc>
          <w:tcPr>
            <w:tcW w:w="483" w:type="pct"/>
            <w:tcBorders>
              <w:bottom w:val="single" w:sz="18" w:space="0" w:color="auto"/>
            </w:tcBorders>
            <w:shd w:val="clear" w:color="auto" w:fill="BFBFBF" w:themeFill="background1" w:themeFillShade="BF"/>
          </w:tcPr>
          <w:p w14:paraId="5A258B8B" w14:textId="77777777" w:rsidR="00CB0677" w:rsidRPr="00015252" w:rsidRDefault="00CB0677" w:rsidP="00CB0677">
            <w:pPr>
              <w:pStyle w:val="Standaard-Tabellen"/>
              <w:rPr>
                <w:rFonts w:eastAsia="Calibri"/>
                <w:b/>
                <w:lang w:val="es-ES"/>
              </w:rPr>
            </w:pPr>
            <w:r w:rsidRPr="00015252">
              <w:rPr>
                <w:rFonts w:eastAsia="Calibri"/>
                <w:b/>
                <w:lang w:val="es-ES"/>
              </w:rPr>
              <w:t>AEL</w:t>
            </w:r>
          </w:p>
          <w:p w14:paraId="6D6737E6" w14:textId="77777777" w:rsidR="00CB0677" w:rsidRPr="00015252" w:rsidRDefault="00CB0677" w:rsidP="00CB0677">
            <w:pPr>
              <w:pStyle w:val="Standaard-Tabellen"/>
              <w:rPr>
                <w:rFonts w:eastAsia="Calibri"/>
                <w:b/>
                <w:lang w:val="es-ES"/>
              </w:rPr>
            </w:pPr>
            <w:r w:rsidRPr="00015252">
              <w:rPr>
                <w:rFonts w:eastAsia="Calibri"/>
                <w:b/>
                <w:lang w:val="es-ES"/>
              </w:rPr>
              <w:t xml:space="preserve">mg/kg </w:t>
            </w:r>
            <w:proofErr w:type="spellStart"/>
            <w:r w:rsidRPr="00015252">
              <w:rPr>
                <w:rFonts w:eastAsia="Calibri"/>
                <w:b/>
                <w:lang w:val="es-ES"/>
              </w:rPr>
              <w:t>bw</w:t>
            </w:r>
            <w:proofErr w:type="spellEnd"/>
            <w:r w:rsidRPr="00015252">
              <w:rPr>
                <w:rFonts w:eastAsia="Calibri"/>
                <w:b/>
                <w:lang w:val="es-ES"/>
              </w:rPr>
              <w:t>/d</w:t>
            </w:r>
          </w:p>
        </w:tc>
        <w:tc>
          <w:tcPr>
            <w:tcW w:w="963" w:type="pct"/>
            <w:shd w:val="clear" w:color="auto" w:fill="BFBFBF" w:themeFill="background1" w:themeFillShade="BF"/>
          </w:tcPr>
          <w:p w14:paraId="2BD85BAE" w14:textId="77777777" w:rsidR="00CB0677" w:rsidRPr="00015252" w:rsidRDefault="00CB0677" w:rsidP="00CB0677">
            <w:pPr>
              <w:pStyle w:val="Standaard-Tabellen"/>
              <w:rPr>
                <w:rFonts w:eastAsia="Calibri"/>
                <w:b/>
              </w:rPr>
            </w:pPr>
            <w:r w:rsidRPr="00015252">
              <w:rPr>
                <w:rFonts w:eastAsia="Calibri"/>
                <w:b/>
              </w:rPr>
              <w:t>Estimated uptake</w:t>
            </w:r>
          </w:p>
          <w:p w14:paraId="2641F60F" w14:textId="77777777" w:rsidR="00CB0677" w:rsidRPr="00015252" w:rsidRDefault="00CB0677" w:rsidP="00CB0677">
            <w:pPr>
              <w:pStyle w:val="Standaard-Tabellen"/>
              <w:rPr>
                <w:rFonts w:eastAsia="Calibri"/>
                <w:b/>
              </w:rPr>
            </w:pPr>
            <w:r w:rsidRPr="00015252">
              <w:rPr>
                <w:rFonts w:eastAsia="Calibri"/>
                <w:b/>
              </w:rPr>
              <w:t xml:space="preserve">mg/kg </w:t>
            </w:r>
            <w:proofErr w:type="spellStart"/>
            <w:r w:rsidRPr="00015252">
              <w:rPr>
                <w:rFonts w:eastAsia="Calibri"/>
                <w:b/>
              </w:rPr>
              <w:t>bw</w:t>
            </w:r>
            <w:proofErr w:type="spellEnd"/>
            <w:r w:rsidRPr="00015252">
              <w:rPr>
                <w:rFonts w:eastAsia="Calibri"/>
                <w:b/>
              </w:rPr>
              <w:t>/d</w:t>
            </w:r>
          </w:p>
        </w:tc>
        <w:tc>
          <w:tcPr>
            <w:tcW w:w="732" w:type="pct"/>
            <w:tcBorders>
              <w:bottom w:val="single" w:sz="18" w:space="0" w:color="auto"/>
            </w:tcBorders>
            <w:shd w:val="clear" w:color="auto" w:fill="BFBFBF" w:themeFill="background1" w:themeFillShade="BF"/>
          </w:tcPr>
          <w:p w14:paraId="4B895ABD" w14:textId="77777777" w:rsidR="00CB0677" w:rsidRPr="00015252" w:rsidRDefault="00CB0677" w:rsidP="00CB0677">
            <w:pPr>
              <w:pStyle w:val="Standaard-Tabellen"/>
              <w:rPr>
                <w:rFonts w:eastAsia="Calibri"/>
                <w:b/>
              </w:rPr>
            </w:pPr>
            <w:r w:rsidRPr="00015252">
              <w:rPr>
                <w:rFonts w:eastAsia="Calibri"/>
                <w:b/>
              </w:rPr>
              <w:t xml:space="preserve">Estimated uptake/ AEL </w:t>
            </w:r>
          </w:p>
          <w:p w14:paraId="6F6AF4D3" w14:textId="77777777" w:rsidR="00CB0677" w:rsidRPr="00015252" w:rsidRDefault="00CB0677" w:rsidP="00CB0677">
            <w:pPr>
              <w:pStyle w:val="Standaard-Tabellen"/>
              <w:rPr>
                <w:rFonts w:eastAsia="Calibri"/>
                <w:b/>
              </w:rPr>
            </w:pPr>
            <w:r w:rsidRPr="00015252">
              <w:rPr>
                <w:rFonts w:eastAsia="Calibri"/>
                <w:b/>
              </w:rPr>
              <w:t>(%)</w:t>
            </w:r>
          </w:p>
        </w:tc>
        <w:tc>
          <w:tcPr>
            <w:tcW w:w="900" w:type="pct"/>
            <w:tcBorders>
              <w:bottom w:val="single" w:sz="18" w:space="0" w:color="auto"/>
            </w:tcBorders>
            <w:shd w:val="clear" w:color="auto" w:fill="BFBFBF" w:themeFill="background1" w:themeFillShade="BF"/>
          </w:tcPr>
          <w:p w14:paraId="753F3FA1" w14:textId="77777777" w:rsidR="00CB0677" w:rsidRPr="00015252" w:rsidRDefault="00CB0677" w:rsidP="00CB0677">
            <w:pPr>
              <w:pStyle w:val="Standaard-Tabellen"/>
              <w:rPr>
                <w:rFonts w:eastAsia="Calibri"/>
                <w:b/>
              </w:rPr>
            </w:pPr>
            <w:r w:rsidRPr="00015252">
              <w:rPr>
                <w:rFonts w:eastAsia="Calibri"/>
                <w:b/>
              </w:rPr>
              <w:t>Acceptable</w:t>
            </w:r>
          </w:p>
          <w:p w14:paraId="167902CB" w14:textId="77777777" w:rsidR="00CB0677" w:rsidRPr="00015252" w:rsidRDefault="00CB0677" w:rsidP="00CB0677">
            <w:pPr>
              <w:pStyle w:val="Standaard-Tabellen"/>
              <w:rPr>
                <w:rFonts w:eastAsia="Calibri"/>
                <w:b/>
              </w:rPr>
            </w:pPr>
            <w:r w:rsidRPr="00015252">
              <w:rPr>
                <w:rFonts w:eastAsia="Calibri"/>
                <w:b/>
              </w:rPr>
              <w:t>(yes/no)</w:t>
            </w:r>
          </w:p>
        </w:tc>
      </w:tr>
      <w:tr w:rsidR="00CB0677" w:rsidRPr="00FD2055" w14:paraId="41D08A32" w14:textId="77777777" w:rsidTr="00CB0677">
        <w:tc>
          <w:tcPr>
            <w:tcW w:w="981" w:type="pct"/>
            <w:tcBorders>
              <w:top w:val="single" w:sz="18" w:space="0" w:color="auto"/>
            </w:tcBorders>
            <w:shd w:val="clear" w:color="auto" w:fill="auto"/>
          </w:tcPr>
          <w:p w14:paraId="5D570907" w14:textId="77777777" w:rsidR="00CB0677" w:rsidRPr="00FD2055" w:rsidRDefault="00CB0677" w:rsidP="00CB0677">
            <w:pPr>
              <w:pStyle w:val="Standaard-Tabellen"/>
              <w:rPr>
                <w:rFonts w:eastAsia="Calibri"/>
              </w:rPr>
            </w:pPr>
            <w:r w:rsidRPr="0091532F">
              <w:rPr>
                <w:rFonts w:eastAsia="Calibri"/>
                <w:szCs w:val="18"/>
                <w:lang w:eastAsia="en-US"/>
              </w:rPr>
              <w:t>Scenario 1, dermal, adult</w:t>
            </w:r>
          </w:p>
        </w:tc>
        <w:tc>
          <w:tcPr>
            <w:tcW w:w="324" w:type="pct"/>
            <w:tcBorders>
              <w:top w:val="single" w:sz="18" w:space="0" w:color="auto"/>
            </w:tcBorders>
            <w:shd w:val="clear" w:color="auto" w:fill="auto"/>
          </w:tcPr>
          <w:p w14:paraId="6F023D83" w14:textId="77777777" w:rsidR="00CB0677" w:rsidRPr="00FD2055" w:rsidRDefault="00CB0677" w:rsidP="00CB0677">
            <w:pPr>
              <w:pStyle w:val="Standaard-Tabellen"/>
              <w:rPr>
                <w:rFonts w:eastAsia="Calibri"/>
              </w:rPr>
            </w:pPr>
            <w:r w:rsidRPr="0091532F">
              <w:rPr>
                <w:rFonts w:eastAsia="Calibri"/>
                <w:szCs w:val="18"/>
                <w:lang w:eastAsia="en-US"/>
              </w:rPr>
              <w:t>1</w:t>
            </w:r>
          </w:p>
        </w:tc>
        <w:tc>
          <w:tcPr>
            <w:tcW w:w="616" w:type="pct"/>
            <w:tcBorders>
              <w:top w:val="single" w:sz="18" w:space="0" w:color="auto"/>
            </w:tcBorders>
            <w:shd w:val="clear" w:color="auto" w:fill="auto"/>
          </w:tcPr>
          <w:p w14:paraId="43FEC0FA"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tcBorders>
              <w:top w:val="single" w:sz="18" w:space="0" w:color="auto"/>
            </w:tcBorders>
            <w:shd w:val="clear" w:color="auto" w:fill="auto"/>
          </w:tcPr>
          <w:p w14:paraId="1F3E105D"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tcBorders>
              <w:top w:val="single" w:sz="18" w:space="0" w:color="auto"/>
            </w:tcBorders>
            <w:vAlign w:val="center"/>
          </w:tcPr>
          <w:p w14:paraId="2B067596" w14:textId="77777777" w:rsidR="00CB0677" w:rsidRPr="00FD2055" w:rsidRDefault="00CB0677" w:rsidP="00CB0677">
            <w:pPr>
              <w:pStyle w:val="Standaard-Tabellen"/>
              <w:rPr>
                <w:rFonts w:eastAsia="Calibri"/>
              </w:rPr>
            </w:pPr>
            <w:r w:rsidRPr="00AF7F5A">
              <w:rPr>
                <w:rFonts w:cs="Arial"/>
              </w:rPr>
              <w:t xml:space="preserve">17.15 </w:t>
            </w:r>
          </w:p>
        </w:tc>
        <w:tc>
          <w:tcPr>
            <w:tcW w:w="732" w:type="pct"/>
            <w:tcBorders>
              <w:top w:val="single" w:sz="18" w:space="0" w:color="auto"/>
            </w:tcBorders>
            <w:shd w:val="clear" w:color="auto" w:fill="auto"/>
            <w:vAlign w:val="center"/>
          </w:tcPr>
          <w:p w14:paraId="31D9BF01" w14:textId="77777777" w:rsidR="00CB0677" w:rsidRPr="00FD2055" w:rsidRDefault="00CB0677" w:rsidP="00CB0677">
            <w:pPr>
              <w:pStyle w:val="Standaard-Tabellen"/>
              <w:rPr>
                <w:rFonts w:eastAsia="Calibri"/>
              </w:rPr>
            </w:pPr>
            <w:r>
              <w:rPr>
                <w:rFonts w:eastAsia="Calibri"/>
                <w:color w:val="FF0000"/>
                <w:szCs w:val="18"/>
                <w:lang w:eastAsia="en-US"/>
              </w:rPr>
              <w:t>342.98</w:t>
            </w:r>
          </w:p>
        </w:tc>
        <w:tc>
          <w:tcPr>
            <w:tcW w:w="900" w:type="pct"/>
            <w:tcBorders>
              <w:top w:val="single" w:sz="18" w:space="0" w:color="auto"/>
            </w:tcBorders>
            <w:shd w:val="clear" w:color="auto" w:fill="auto"/>
            <w:vAlign w:val="center"/>
          </w:tcPr>
          <w:p w14:paraId="09815618" w14:textId="77777777" w:rsidR="00CB0677" w:rsidRPr="00FD2055" w:rsidRDefault="00CB0677" w:rsidP="00CB0677">
            <w:pPr>
              <w:pStyle w:val="Standaard-Tabellen"/>
              <w:rPr>
                <w:rFonts w:eastAsia="Calibri"/>
              </w:rPr>
            </w:pPr>
            <w:r w:rsidRPr="00C8715D">
              <w:rPr>
                <w:rFonts w:eastAsia="Calibri"/>
                <w:color w:val="FF0000"/>
                <w:szCs w:val="18"/>
                <w:lang w:eastAsia="en-US"/>
              </w:rPr>
              <w:t xml:space="preserve">No </w:t>
            </w:r>
          </w:p>
        </w:tc>
      </w:tr>
      <w:tr w:rsidR="00CB0677" w:rsidRPr="00FD2055" w14:paraId="2899E085" w14:textId="77777777" w:rsidTr="00CB0677">
        <w:tc>
          <w:tcPr>
            <w:tcW w:w="981" w:type="pct"/>
            <w:shd w:val="clear" w:color="auto" w:fill="auto"/>
          </w:tcPr>
          <w:p w14:paraId="785271D5" w14:textId="77777777" w:rsidR="00CB0677" w:rsidRPr="00FD2055" w:rsidRDefault="00CB0677" w:rsidP="00CB0677">
            <w:pPr>
              <w:pStyle w:val="Standaard-Tabellen"/>
              <w:rPr>
                <w:rFonts w:eastAsia="Calibri"/>
              </w:rPr>
            </w:pPr>
            <w:r w:rsidRPr="0091532F">
              <w:rPr>
                <w:rFonts w:eastAsia="Calibri"/>
                <w:szCs w:val="18"/>
                <w:lang w:eastAsia="en-US"/>
              </w:rPr>
              <w:t>Scenario 1, dermal, child</w:t>
            </w:r>
            <w:r>
              <w:rPr>
                <w:rFonts w:eastAsia="Calibri"/>
                <w:szCs w:val="18"/>
                <w:lang w:eastAsia="en-US"/>
              </w:rPr>
              <w:t xml:space="preserve"> (6-12)</w:t>
            </w:r>
          </w:p>
        </w:tc>
        <w:tc>
          <w:tcPr>
            <w:tcW w:w="324" w:type="pct"/>
            <w:shd w:val="clear" w:color="auto" w:fill="auto"/>
          </w:tcPr>
          <w:p w14:paraId="0DE5F823" w14:textId="77777777" w:rsidR="00CB0677" w:rsidRPr="00FD2055" w:rsidRDefault="00CB0677" w:rsidP="00CB0677">
            <w:pPr>
              <w:pStyle w:val="Standaard-Tabellen"/>
              <w:rPr>
                <w:rFonts w:eastAsia="Calibri"/>
              </w:rPr>
            </w:pPr>
            <w:r w:rsidRPr="0091532F">
              <w:rPr>
                <w:rFonts w:eastAsia="Calibri"/>
                <w:szCs w:val="18"/>
                <w:lang w:eastAsia="en-US"/>
              </w:rPr>
              <w:t>1</w:t>
            </w:r>
          </w:p>
        </w:tc>
        <w:tc>
          <w:tcPr>
            <w:tcW w:w="616" w:type="pct"/>
            <w:shd w:val="clear" w:color="auto" w:fill="auto"/>
          </w:tcPr>
          <w:p w14:paraId="4A6CFEA7"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shd w:val="clear" w:color="auto" w:fill="auto"/>
          </w:tcPr>
          <w:p w14:paraId="52721F63"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vAlign w:val="center"/>
          </w:tcPr>
          <w:p w14:paraId="7F2B072E" w14:textId="77777777" w:rsidR="00CB0677" w:rsidRPr="00FD2055" w:rsidRDefault="00CB0677" w:rsidP="00CB0677">
            <w:pPr>
              <w:pStyle w:val="Standaard-Tabellen"/>
              <w:rPr>
                <w:rFonts w:eastAsia="Calibri"/>
              </w:rPr>
            </w:pPr>
            <w:r w:rsidRPr="00AF7F5A">
              <w:rPr>
                <w:rFonts w:cs="Arial"/>
              </w:rPr>
              <w:t xml:space="preserve">13.63 </w:t>
            </w:r>
          </w:p>
        </w:tc>
        <w:tc>
          <w:tcPr>
            <w:tcW w:w="732" w:type="pct"/>
            <w:shd w:val="clear" w:color="auto" w:fill="auto"/>
            <w:vAlign w:val="center"/>
          </w:tcPr>
          <w:p w14:paraId="30BF7755" w14:textId="77777777" w:rsidR="00CB0677" w:rsidRPr="00FD2055" w:rsidRDefault="00CB0677" w:rsidP="00CB0677">
            <w:pPr>
              <w:pStyle w:val="Standaard-Tabellen"/>
              <w:rPr>
                <w:rFonts w:eastAsia="Calibri"/>
              </w:rPr>
            </w:pPr>
            <w:r>
              <w:rPr>
                <w:rFonts w:eastAsia="Calibri"/>
                <w:color w:val="FF0000"/>
                <w:szCs w:val="18"/>
                <w:lang w:eastAsia="en-US"/>
              </w:rPr>
              <w:t>272.69</w:t>
            </w:r>
          </w:p>
        </w:tc>
        <w:tc>
          <w:tcPr>
            <w:tcW w:w="900" w:type="pct"/>
            <w:shd w:val="clear" w:color="auto" w:fill="auto"/>
            <w:vAlign w:val="center"/>
          </w:tcPr>
          <w:p w14:paraId="3C51C907" w14:textId="77777777" w:rsidR="00CB0677" w:rsidRPr="00FD2055" w:rsidRDefault="00CB0677" w:rsidP="00CB0677">
            <w:pPr>
              <w:pStyle w:val="Standaard-Tabellen"/>
              <w:rPr>
                <w:rFonts w:eastAsia="Calibri"/>
              </w:rPr>
            </w:pPr>
            <w:r w:rsidRPr="00C8715D">
              <w:rPr>
                <w:rFonts w:eastAsia="Calibri"/>
                <w:color w:val="FF0000"/>
                <w:szCs w:val="18"/>
                <w:lang w:eastAsia="en-US"/>
              </w:rPr>
              <w:t xml:space="preserve">No </w:t>
            </w:r>
          </w:p>
        </w:tc>
      </w:tr>
      <w:tr w:rsidR="00CB0677" w:rsidRPr="00FD2055" w14:paraId="42872BBE" w14:textId="77777777" w:rsidTr="00CB0677">
        <w:tc>
          <w:tcPr>
            <w:tcW w:w="981" w:type="pct"/>
            <w:shd w:val="clear" w:color="auto" w:fill="auto"/>
          </w:tcPr>
          <w:p w14:paraId="32471307" w14:textId="77777777" w:rsidR="00CB0677" w:rsidRPr="00FD2055" w:rsidRDefault="00CB0677" w:rsidP="00CB0677">
            <w:pPr>
              <w:pStyle w:val="Standaard-Tabellen"/>
              <w:rPr>
                <w:rFonts w:eastAsia="Calibri"/>
              </w:rPr>
            </w:pPr>
            <w:r w:rsidRPr="0091532F">
              <w:rPr>
                <w:rFonts w:eastAsia="Calibri"/>
                <w:szCs w:val="18"/>
                <w:lang w:eastAsia="en-US"/>
              </w:rPr>
              <w:t>Scenario 1, dermal, child</w:t>
            </w:r>
            <w:r>
              <w:rPr>
                <w:rFonts w:eastAsia="Calibri"/>
                <w:szCs w:val="18"/>
                <w:lang w:eastAsia="en-US"/>
              </w:rPr>
              <w:t xml:space="preserve"> (2-6)</w:t>
            </w:r>
          </w:p>
        </w:tc>
        <w:tc>
          <w:tcPr>
            <w:tcW w:w="324" w:type="pct"/>
            <w:shd w:val="clear" w:color="auto" w:fill="auto"/>
          </w:tcPr>
          <w:p w14:paraId="6BB1BCAC" w14:textId="77777777" w:rsidR="00CB0677" w:rsidRPr="00FD2055" w:rsidRDefault="00CB0677" w:rsidP="00CB0677">
            <w:pPr>
              <w:pStyle w:val="Standaard-Tabellen"/>
              <w:rPr>
                <w:rFonts w:eastAsia="Calibri"/>
              </w:rPr>
            </w:pPr>
            <w:r w:rsidRPr="0091532F">
              <w:rPr>
                <w:rFonts w:eastAsia="Calibri"/>
                <w:szCs w:val="18"/>
                <w:lang w:eastAsia="en-US"/>
              </w:rPr>
              <w:t>1</w:t>
            </w:r>
          </w:p>
        </w:tc>
        <w:tc>
          <w:tcPr>
            <w:tcW w:w="616" w:type="pct"/>
            <w:shd w:val="clear" w:color="auto" w:fill="auto"/>
          </w:tcPr>
          <w:p w14:paraId="1C9FF71E"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shd w:val="clear" w:color="auto" w:fill="auto"/>
          </w:tcPr>
          <w:p w14:paraId="3FD7EB47"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vAlign w:val="center"/>
          </w:tcPr>
          <w:p w14:paraId="5969D12B" w14:textId="77777777" w:rsidR="00CB0677" w:rsidRPr="00FD2055" w:rsidRDefault="00CB0677" w:rsidP="00CB0677">
            <w:pPr>
              <w:pStyle w:val="Standaard-Tabellen"/>
              <w:rPr>
                <w:rFonts w:eastAsia="Calibri"/>
              </w:rPr>
            </w:pPr>
            <w:r w:rsidRPr="00AF7F5A">
              <w:rPr>
                <w:rFonts w:cs="Arial"/>
              </w:rPr>
              <w:t xml:space="preserve">7.72 </w:t>
            </w:r>
            <w:r w:rsidDel="00D216BD">
              <w:rPr>
                <w:rFonts w:cs="Arial"/>
                <w:szCs w:val="20"/>
                <w:lang w:eastAsia="de-DE"/>
              </w:rPr>
              <w:t xml:space="preserve"> </w:t>
            </w:r>
          </w:p>
        </w:tc>
        <w:tc>
          <w:tcPr>
            <w:tcW w:w="732" w:type="pct"/>
            <w:shd w:val="clear" w:color="auto" w:fill="auto"/>
            <w:vAlign w:val="center"/>
          </w:tcPr>
          <w:p w14:paraId="4B8A384F" w14:textId="77777777" w:rsidR="00CB0677" w:rsidRPr="00FD2055" w:rsidRDefault="00CB0677" w:rsidP="00CB0677">
            <w:pPr>
              <w:pStyle w:val="Standaard-Tabellen"/>
              <w:rPr>
                <w:rFonts w:eastAsia="Calibri"/>
              </w:rPr>
            </w:pPr>
            <w:r>
              <w:rPr>
                <w:rFonts w:eastAsia="Calibri"/>
                <w:color w:val="FF0000"/>
                <w:szCs w:val="18"/>
                <w:lang w:eastAsia="en-US"/>
              </w:rPr>
              <w:t>154.39</w:t>
            </w:r>
          </w:p>
        </w:tc>
        <w:tc>
          <w:tcPr>
            <w:tcW w:w="900" w:type="pct"/>
            <w:shd w:val="clear" w:color="auto" w:fill="auto"/>
            <w:vAlign w:val="center"/>
          </w:tcPr>
          <w:p w14:paraId="109F18CD" w14:textId="77777777" w:rsidR="00CB0677" w:rsidRPr="00FD2055" w:rsidRDefault="00CB0677" w:rsidP="00CB0677">
            <w:pPr>
              <w:pStyle w:val="Standaard-Tabellen"/>
              <w:rPr>
                <w:rFonts w:eastAsia="Calibri"/>
              </w:rPr>
            </w:pPr>
            <w:r w:rsidRPr="00C8715D">
              <w:rPr>
                <w:rFonts w:eastAsia="Calibri"/>
                <w:color w:val="FF0000"/>
                <w:szCs w:val="18"/>
                <w:lang w:eastAsia="en-US"/>
              </w:rPr>
              <w:t>No</w:t>
            </w:r>
          </w:p>
        </w:tc>
      </w:tr>
      <w:tr w:rsidR="00CB0677" w:rsidRPr="00FD2055" w14:paraId="1D95C33A" w14:textId="77777777" w:rsidTr="00CB0677">
        <w:tc>
          <w:tcPr>
            <w:tcW w:w="981" w:type="pct"/>
            <w:shd w:val="clear" w:color="auto" w:fill="auto"/>
          </w:tcPr>
          <w:p w14:paraId="56A5E580" w14:textId="77777777" w:rsidR="00CB0677" w:rsidRPr="00FD2055" w:rsidRDefault="00CB0677" w:rsidP="00CB0677">
            <w:pPr>
              <w:pStyle w:val="Standaard-Tabellen"/>
              <w:rPr>
                <w:rFonts w:eastAsia="Calibri"/>
              </w:rPr>
            </w:pPr>
            <w:r w:rsidRPr="0091532F">
              <w:rPr>
                <w:rFonts w:eastAsia="Calibri"/>
                <w:szCs w:val="18"/>
                <w:lang w:eastAsia="en-US"/>
              </w:rPr>
              <w:t>Scenario 1, dermal, toddler</w:t>
            </w:r>
          </w:p>
        </w:tc>
        <w:tc>
          <w:tcPr>
            <w:tcW w:w="324" w:type="pct"/>
            <w:shd w:val="clear" w:color="auto" w:fill="auto"/>
          </w:tcPr>
          <w:p w14:paraId="3562324C" w14:textId="77777777" w:rsidR="00CB0677" w:rsidRPr="00FD2055" w:rsidRDefault="00CB0677" w:rsidP="00CB0677">
            <w:pPr>
              <w:pStyle w:val="Standaard-Tabellen"/>
              <w:rPr>
                <w:rFonts w:eastAsia="Calibri"/>
              </w:rPr>
            </w:pPr>
            <w:r w:rsidRPr="0091532F">
              <w:rPr>
                <w:rFonts w:eastAsia="Calibri"/>
                <w:szCs w:val="18"/>
                <w:lang w:eastAsia="en-US"/>
              </w:rPr>
              <w:t>1</w:t>
            </w:r>
          </w:p>
        </w:tc>
        <w:tc>
          <w:tcPr>
            <w:tcW w:w="616" w:type="pct"/>
            <w:shd w:val="clear" w:color="auto" w:fill="auto"/>
          </w:tcPr>
          <w:p w14:paraId="13305C70"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shd w:val="clear" w:color="auto" w:fill="auto"/>
          </w:tcPr>
          <w:p w14:paraId="4156EB76"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vAlign w:val="center"/>
          </w:tcPr>
          <w:p w14:paraId="3E93DF3D" w14:textId="77777777" w:rsidR="00CB0677" w:rsidRPr="00791F06" w:rsidRDefault="00CB0677" w:rsidP="00CB0677">
            <w:pPr>
              <w:pStyle w:val="Standaard-Tabellen"/>
              <w:rPr>
                <w:rFonts w:cs="Arial"/>
              </w:rPr>
            </w:pPr>
            <w:r w:rsidRPr="00AF7F5A">
              <w:rPr>
                <w:rFonts w:cs="Arial"/>
              </w:rPr>
              <w:t xml:space="preserve">8.50 </w:t>
            </w:r>
          </w:p>
        </w:tc>
        <w:tc>
          <w:tcPr>
            <w:tcW w:w="732" w:type="pct"/>
            <w:shd w:val="clear" w:color="auto" w:fill="auto"/>
            <w:vAlign w:val="center"/>
          </w:tcPr>
          <w:p w14:paraId="49E80B0A" w14:textId="77777777" w:rsidR="00CB0677" w:rsidRPr="00FD2055" w:rsidRDefault="00CB0677" w:rsidP="00CB0677">
            <w:pPr>
              <w:pStyle w:val="Standaard-Tabellen"/>
              <w:rPr>
                <w:rFonts w:eastAsia="Calibri"/>
              </w:rPr>
            </w:pPr>
            <w:r>
              <w:rPr>
                <w:rFonts w:eastAsia="Calibri"/>
                <w:color w:val="FF0000"/>
                <w:szCs w:val="18"/>
                <w:lang w:eastAsia="en-US"/>
              </w:rPr>
              <w:t>170.02</w:t>
            </w:r>
          </w:p>
        </w:tc>
        <w:tc>
          <w:tcPr>
            <w:tcW w:w="900" w:type="pct"/>
            <w:shd w:val="clear" w:color="auto" w:fill="auto"/>
            <w:vAlign w:val="center"/>
          </w:tcPr>
          <w:p w14:paraId="65FC5D57" w14:textId="77777777" w:rsidR="00CB0677" w:rsidRPr="00FD2055" w:rsidRDefault="00CB0677" w:rsidP="00CB0677">
            <w:pPr>
              <w:pStyle w:val="Standaard-Tabellen"/>
              <w:rPr>
                <w:rFonts w:eastAsia="Calibri"/>
              </w:rPr>
            </w:pPr>
            <w:r w:rsidRPr="00C8715D">
              <w:rPr>
                <w:rFonts w:eastAsia="Calibri"/>
                <w:color w:val="FF0000"/>
                <w:szCs w:val="18"/>
                <w:lang w:eastAsia="en-US"/>
              </w:rPr>
              <w:t>No</w:t>
            </w:r>
          </w:p>
        </w:tc>
      </w:tr>
      <w:tr w:rsidR="00CB0677" w:rsidRPr="00FD2055" w14:paraId="029F4AAA" w14:textId="77777777" w:rsidTr="00CB0677">
        <w:tc>
          <w:tcPr>
            <w:tcW w:w="981" w:type="pct"/>
            <w:tcBorders>
              <w:bottom w:val="double" w:sz="4" w:space="0" w:color="auto"/>
            </w:tcBorders>
            <w:shd w:val="clear" w:color="auto" w:fill="auto"/>
          </w:tcPr>
          <w:p w14:paraId="156F3BC6"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Scenario 1, dermal, infant</w:t>
            </w:r>
          </w:p>
        </w:tc>
        <w:tc>
          <w:tcPr>
            <w:tcW w:w="324" w:type="pct"/>
            <w:tcBorders>
              <w:bottom w:val="double" w:sz="4" w:space="0" w:color="auto"/>
            </w:tcBorders>
            <w:shd w:val="clear" w:color="auto" w:fill="auto"/>
          </w:tcPr>
          <w:p w14:paraId="6754DB24"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1</w:t>
            </w:r>
          </w:p>
        </w:tc>
        <w:tc>
          <w:tcPr>
            <w:tcW w:w="616" w:type="pct"/>
            <w:tcBorders>
              <w:bottom w:val="double" w:sz="4" w:space="0" w:color="auto"/>
            </w:tcBorders>
            <w:shd w:val="clear" w:color="auto" w:fill="auto"/>
          </w:tcPr>
          <w:p w14:paraId="3D67E778" w14:textId="77777777" w:rsidR="00CB0677" w:rsidRPr="0091532F" w:rsidRDefault="00CB0677" w:rsidP="00CB0677">
            <w:pPr>
              <w:pStyle w:val="Standaard-Tabellen"/>
              <w:rPr>
                <w:rFonts w:eastAsia="Calibri"/>
                <w:szCs w:val="18"/>
                <w:lang w:eastAsia="en-US"/>
              </w:rPr>
            </w:pPr>
            <w:r>
              <w:rPr>
                <w:rFonts w:eastAsia="Calibri"/>
                <w:szCs w:val="18"/>
                <w:lang w:eastAsia="en-US"/>
              </w:rPr>
              <w:t>500</w:t>
            </w:r>
          </w:p>
        </w:tc>
        <w:tc>
          <w:tcPr>
            <w:tcW w:w="483" w:type="pct"/>
            <w:tcBorders>
              <w:bottom w:val="double" w:sz="4" w:space="0" w:color="auto"/>
            </w:tcBorders>
            <w:shd w:val="clear" w:color="auto" w:fill="auto"/>
          </w:tcPr>
          <w:p w14:paraId="5627B5F1" w14:textId="77777777" w:rsidR="00CB0677" w:rsidRPr="0091532F" w:rsidRDefault="00CB0677" w:rsidP="00CB0677">
            <w:pPr>
              <w:pStyle w:val="Standaard-Tabellen"/>
              <w:rPr>
                <w:rFonts w:eastAsia="Calibri"/>
                <w:szCs w:val="18"/>
                <w:lang w:eastAsia="en-US"/>
              </w:rPr>
            </w:pPr>
            <w:r>
              <w:rPr>
                <w:rFonts w:eastAsia="Calibri"/>
                <w:szCs w:val="18"/>
                <w:lang w:eastAsia="en-US"/>
              </w:rPr>
              <w:t>5</w:t>
            </w:r>
          </w:p>
        </w:tc>
        <w:tc>
          <w:tcPr>
            <w:tcW w:w="963" w:type="pct"/>
            <w:tcBorders>
              <w:bottom w:val="double" w:sz="4" w:space="0" w:color="auto"/>
            </w:tcBorders>
            <w:vAlign w:val="center"/>
          </w:tcPr>
          <w:p w14:paraId="4C7BC61A" w14:textId="77777777" w:rsidR="00CB0677" w:rsidRPr="00A92D1C" w:rsidRDefault="00CB0677" w:rsidP="00CB0677">
            <w:pPr>
              <w:pStyle w:val="Standaard-Tabellen"/>
              <w:rPr>
                <w:rFonts w:cs="Arial"/>
              </w:rPr>
            </w:pPr>
            <w:r w:rsidRPr="00AF7F5A">
              <w:rPr>
                <w:rFonts w:cs="Arial"/>
              </w:rPr>
              <w:t xml:space="preserve">9.08 </w:t>
            </w:r>
          </w:p>
        </w:tc>
        <w:tc>
          <w:tcPr>
            <w:tcW w:w="732" w:type="pct"/>
            <w:tcBorders>
              <w:bottom w:val="double" w:sz="4" w:space="0" w:color="auto"/>
            </w:tcBorders>
            <w:shd w:val="clear" w:color="auto" w:fill="auto"/>
            <w:vAlign w:val="center"/>
          </w:tcPr>
          <w:p w14:paraId="436BAE55" w14:textId="77777777" w:rsidR="00CB0677" w:rsidRDefault="00CB0677" w:rsidP="00CB0677">
            <w:pPr>
              <w:pStyle w:val="Standaard-Tabellen"/>
              <w:rPr>
                <w:rFonts w:eastAsia="Calibri"/>
              </w:rPr>
            </w:pPr>
            <w:r>
              <w:rPr>
                <w:rFonts w:eastAsia="Calibri"/>
                <w:color w:val="FF0000"/>
                <w:szCs w:val="18"/>
                <w:lang w:eastAsia="en-US"/>
              </w:rPr>
              <w:t>181.53</w:t>
            </w:r>
          </w:p>
        </w:tc>
        <w:tc>
          <w:tcPr>
            <w:tcW w:w="900" w:type="pct"/>
            <w:tcBorders>
              <w:bottom w:val="double" w:sz="4" w:space="0" w:color="auto"/>
            </w:tcBorders>
            <w:shd w:val="clear" w:color="auto" w:fill="auto"/>
            <w:vAlign w:val="center"/>
          </w:tcPr>
          <w:p w14:paraId="150BD962" w14:textId="77777777" w:rsidR="00CB0677" w:rsidRPr="0091532F" w:rsidRDefault="00CB0677" w:rsidP="00CB0677">
            <w:pPr>
              <w:pStyle w:val="Standaard-Tabellen"/>
              <w:rPr>
                <w:rFonts w:eastAsia="Calibri"/>
                <w:szCs w:val="18"/>
                <w:lang w:eastAsia="en-US"/>
              </w:rPr>
            </w:pPr>
            <w:r w:rsidRPr="00C8715D">
              <w:rPr>
                <w:rFonts w:eastAsia="Calibri"/>
                <w:color w:val="FF0000"/>
                <w:szCs w:val="18"/>
                <w:lang w:eastAsia="en-US"/>
              </w:rPr>
              <w:t>No</w:t>
            </w:r>
            <w:r>
              <w:rPr>
                <w:rFonts w:eastAsia="Calibri"/>
                <w:szCs w:val="18"/>
                <w:lang w:eastAsia="en-US"/>
              </w:rPr>
              <w:t xml:space="preserve"> </w:t>
            </w:r>
          </w:p>
        </w:tc>
      </w:tr>
      <w:tr w:rsidR="00CB0677" w:rsidRPr="00FD2055" w14:paraId="3C4EEA13" w14:textId="77777777" w:rsidTr="00CB0677">
        <w:tc>
          <w:tcPr>
            <w:tcW w:w="981" w:type="pct"/>
            <w:shd w:val="clear" w:color="auto" w:fill="auto"/>
          </w:tcPr>
          <w:p w14:paraId="340008DE"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Scenario 1, dermal, adult</w:t>
            </w:r>
          </w:p>
        </w:tc>
        <w:tc>
          <w:tcPr>
            <w:tcW w:w="324" w:type="pct"/>
            <w:tcBorders>
              <w:top w:val="double" w:sz="4" w:space="0" w:color="auto"/>
            </w:tcBorders>
            <w:shd w:val="clear" w:color="auto" w:fill="auto"/>
          </w:tcPr>
          <w:p w14:paraId="0060ED78" w14:textId="77777777" w:rsidR="00CB0677" w:rsidRPr="0091532F" w:rsidRDefault="00CB0677" w:rsidP="00CB0677">
            <w:pPr>
              <w:pStyle w:val="Standaard-Tabellen"/>
              <w:rPr>
                <w:rFonts w:eastAsia="Calibri"/>
                <w:szCs w:val="18"/>
                <w:lang w:eastAsia="en-US"/>
              </w:rPr>
            </w:pPr>
            <w:r>
              <w:rPr>
                <w:rFonts w:eastAsia="Calibri"/>
                <w:szCs w:val="18"/>
                <w:lang w:eastAsia="en-US"/>
              </w:rPr>
              <w:t>2</w:t>
            </w:r>
          </w:p>
        </w:tc>
        <w:tc>
          <w:tcPr>
            <w:tcW w:w="616" w:type="pct"/>
            <w:shd w:val="clear" w:color="auto" w:fill="auto"/>
          </w:tcPr>
          <w:p w14:paraId="2182BD48" w14:textId="77777777" w:rsidR="00CB0677" w:rsidRPr="0091532F" w:rsidRDefault="00CB0677" w:rsidP="00CB0677">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2FA43ED6" w14:textId="77777777" w:rsidR="00CB0677" w:rsidRPr="0091532F" w:rsidRDefault="00CB0677" w:rsidP="00CB0677">
            <w:pPr>
              <w:pStyle w:val="Standaard-Tabellen"/>
              <w:rPr>
                <w:rFonts w:eastAsia="Calibri"/>
                <w:szCs w:val="18"/>
                <w:lang w:eastAsia="en-US"/>
              </w:rPr>
            </w:pPr>
            <w:r>
              <w:rPr>
                <w:rFonts w:eastAsia="Calibri"/>
                <w:szCs w:val="18"/>
                <w:lang w:eastAsia="en-US"/>
              </w:rPr>
              <w:t>5</w:t>
            </w:r>
          </w:p>
        </w:tc>
        <w:tc>
          <w:tcPr>
            <w:tcW w:w="963" w:type="pct"/>
            <w:tcBorders>
              <w:top w:val="double" w:sz="4" w:space="0" w:color="auto"/>
            </w:tcBorders>
            <w:vAlign w:val="center"/>
          </w:tcPr>
          <w:p w14:paraId="4B0B6B23" w14:textId="77777777" w:rsidR="00CB0677" w:rsidRPr="00A92D1C" w:rsidRDefault="00CB0677" w:rsidP="00CB0677">
            <w:pPr>
              <w:pStyle w:val="Standaard-Tabellen"/>
              <w:rPr>
                <w:rFonts w:cs="Arial"/>
              </w:rPr>
            </w:pPr>
            <w:r w:rsidRPr="00AF7F5A">
              <w:rPr>
                <w:rFonts w:cs="Arial"/>
              </w:rPr>
              <w:t xml:space="preserve">14.70 </w:t>
            </w:r>
          </w:p>
        </w:tc>
        <w:tc>
          <w:tcPr>
            <w:tcW w:w="732" w:type="pct"/>
            <w:tcBorders>
              <w:top w:val="double" w:sz="4" w:space="0" w:color="auto"/>
            </w:tcBorders>
            <w:shd w:val="clear" w:color="auto" w:fill="auto"/>
            <w:vAlign w:val="center"/>
          </w:tcPr>
          <w:p w14:paraId="1019FDED" w14:textId="77777777" w:rsidR="00CB0677" w:rsidRDefault="00CB0677" w:rsidP="00CB0677">
            <w:pPr>
              <w:pStyle w:val="Standaard-Tabellen"/>
              <w:rPr>
                <w:rFonts w:eastAsia="Calibri"/>
              </w:rPr>
            </w:pPr>
            <w:r>
              <w:rPr>
                <w:rFonts w:eastAsia="Calibri"/>
                <w:color w:val="FF0000"/>
                <w:szCs w:val="18"/>
                <w:lang w:eastAsia="en-US"/>
              </w:rPr>
              <w:t>293.99</w:t>
            </w:r>
          </w:p>
        </w:tc>
        <w:tc>
          <w:tcPr>
            <w:tcW w:w="900" w:type="pct"/>
            <w:shd w:val="clear" w:color="auto" w:fill="auto"/>
            <w:vAlign w:val="center"/>
          </w:tcPr>
          <w:p w14:paraId="502F2944" w14:textId="77777777" w:rsidR="00CB0677" w:rsidRPr="0091532F" w:rsidRDefault="00CB0677" w:rsidP="00CB0677">
            <w:pPr>
              <w:pStyle w:val="Standaard-Tabellen"/>
              <w:rPr>
                <w:rFonts w:eastAsia="Calibri"/>
                <w:szCs w:val="18"/>
                <w:lang w:eastAsia="en-US"/>
              </w:rPr>
            </w:pPr>
            <w:r w:rsidRPr="00C8715D">
              <w:rPr>
                <w:rFonts w:eastAsia="Calibri"/>
                <w:color w:val="FF0000"/>
                <w:szCs w:val="18"/>
                <w:lang w:eastAsia="en-US"/>
              </w:rPr>
              <w:t>No</w:t>
            </w:r>
          </w:p>
        </w:tc>
      </w:tr>
      <w:tr w:rsidR="00CB0677" w:rsidRPr="00FD2055" w14:paraId="02CFD6C1" w14:textId="77777777" w:rsidTr="00CB0677">
        <w:tc>
          <w:tcPr>
            <w:tcW w:w="981" w:type="pct"/>
            <w:shd w:val="clear" w:color="auto" w:fill="auto"/>
          </w:tcPr>
          <w:p w14:paraId="3A76A29C"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Scenario 1, dermal, child</w:t>
            </w:r>
            <w:r>
              <w:rPr>
                <w:rFonts w:eastAsia="Calibri"/>
                <w:szCs w:val="18"/>
                <w:lang w:eastAsia="en-US"/>
              </w:rPr>
              <w:t xml:space="preserve"> (6-12)</w:t>
            </w:r>
          </w:p>
        </w:tc>
        <w:tc>
          <w:tcPr>
            <w:tcW w:w="324" w:type="pct"/>
            <w:shd w:val="clear" w:color="auto" w:fill="auto"/>
          </w:tcPr>
          <w:p w14:paraId="74490DFD" w14:textId="77777777" w:rsidR="00CB0677" w:rsidRPr="0091532F" w:rsidRDefault="00CB0677" w:rsidP="00CB0677">
            <w:pPr>
              <w:pStyle w:val="Standaard-Tabellen"/>
              <w:rPr>
                <w:rFonts w:eastAsia="Calibri"/>
                <w:szCs w:val="18"/>
                <w:lang w:eastAsia="en-US"/>
              </w:rPr>
            </w:pPr>
            <w:r>
              <w:rPr>
                <w:rFonts w:eastAsia="Calibri"/>
                <w:szCs w:val="18"/>
                <w:lang w:eastAsia="en-US"/>
              </w:rPr>
              <w:t>2</w:t>
            </w:r>
          </w:p>
        </w:tc>
        <w:tc>
          <w:tcPr>
            <w:tcW w:w="616" w:type="pct"/>
            <w:shd w:val="clear" w:color="auto" w:fill="auto"/>
          </w:tcPr>
          <w:p w14:paraId="31AAA284" w14:textId="77777777" w:rsidR="00CB0677" w:rsidRPr="0091532F" w:rsidRDefault="00CB0677" w:rsidP="00CB0677">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7A296250" w14:textId="77777777" w:rsidR="00CB0677" w:rsidRPr="0091532F" w:rsidRDefault="00CB0677" w:rsidP="00CB0677">
            <w:pPr>
              <w:pStyle w:val="Standaard-Tabellen"/>
              <w:rPr>
                <w:rFonts w:eastAsia="Calibri"/>
                <w:szCs w:val="18"/>
                <w:lang w:eastAsia="en-US"/>
              </w:rPr>
            </w:pPr>
            <w:r>
              <w:rPr>
                <w:rFonts w:eastAsia="Calibri"/>
                <w:szCs w:val="18"/>
                <w:lang w:eastAsia="en-US"/>
              </w:rPr>
              <w:t>5</w:t>
            </w:r>
          </w:p>
        </w:tc>
        <w:tc>
          <w:tcPr>
            <w:tcW w:w="963" w:type="pct"/>
            <w:vAlign w:val="center"/>
          </w:tcPr>
          <w:p w14:paraId="20AD9864" w14:textId="77777777" w:rsidR="00CB0677" w:rsidRPr="00A92D1C" w:rsidRDefault="00CB0677" w:rsidP="00CB0677">
            <w:pPr>
              <w:pStyle w:val="Standaard-Tabellen"/>
              <w:rPr>
                <w:rFonts w:cs="Arial"/>
              </w:rPr>
            </w:pPr>
            <w:r w:rsidRPr="00AF7F5A">
              <w:rPr>
                <w:rFonts w:cs="Arial"/>
              </w:rPr>
              <w:t xml:space="preserve">10.23 </w:t>
            </w:r>
          </w:p>
        </w:tc>
        <w:tc>
          <w:tcPr>
            <w:tcW w:w="732" w:type="pct"/>
            <w:shd w:val="clear" w:color="auto" w:fill="auto"/>
            <w:vAlign w:val="center"/>
          </w:tcPr>
          <w:p w14:paraId="3EBBFB96" w14:textId="77777777" w:rsidR="00CB0677" w:rsidRDefault="00CB0677" w:rsidP="00CB0677">
            <w:pPr>
              <w:pStyle w:val="Standaard-Tabellen"/>
              <w:rPr>
                <w:rFonts w:eastAsia="Calibri"/>
              </w:rPr>
            </w:pPr>
            <w:r>
              <w:rPr>
                <w:rFonts w:eastAsia="Calibri"/>
                <w:color w:val="FF0000"/>
                <w:szCs w:val="18"/>
                <w:lang w:eastAsia="en-US"/>
              </w:rPr>
              <w:t>204.52</w:t>
            </w:r>
          </w:p>
        </w:tc>
        <w:tc>
          <w:tcPr>
            <w:tcW w:w="900" w:type="pct"/>
            <w:shd w:val="clear" w:color="auto" w:fill="auto"/>
            <w:vAlign w:val="center"/>
          </w:tcPr>
          <w:p w14:paraId="4CAF795E" w14:textId="77777777" w:rsidR="00CB0677" w:rsidRPr="0091532F" w:rsidRDefault="00CB0677" w:rsidP="00CB0677">
            <w:pPr>
              <w:pStyle w:val="Standaard-Tabellen"/>
              <w:rPr>
                <w:rFonts w:eastAsia="Calibri"/>
                <w:szCs w:val="18"/>
                <w:lang w:eastAsia="en-US"/>
              </w:rPr>
            </w:pPr>
            <w:r w:rsidRPr="00C8715D">
              <w:rPr>
                <w:rFonts w:eastAsia="Calibri"/>
                <w:color w:val="FF0000"/>
                <w:szCs w:val="18"/>
                <w:lang w:eastAsia="en-US"/>
              </w:rPr>
              <w:t>No</w:t>
            </w:r>
            <w:r>
              <w:rPr>
                <w:rFonts w:eastAsia="Calibri"/>
                <w:szCs w:val="18"/>
                <w:lang w:eastAsia="en-US"/>
              </w:rPr>
              <w:t xml:space="preserve"> </w:t>
            </w:r>
          </w:p>
        </w:tc>
      </w:tr>
      <w:tr w:rsidR="00CB0677" w:rsidRPr="00FD2055" w14:paraId="10D77FB1" w14:textId="77777777" w:rsidTr="00CB0677">
        <w:tc>
          <w:tcPr>
            <w:tcW w:w="981" w:type="pct"/>
            <w:shd w:val="clear" w:color="auto" w:fill="auto"/>
          </w:tcPr>
          <w:p w14:paraId="7A6E6827"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Scenario 1, dermal, child</w:t>
            </w:r>
            <w:r>
              <w:rPr>
                <w:rFonts w:eastAsia="Calibri"/>
                <w:szCs w:val="18"/>
                <w:lang w:eastAsia="en-US"/>
              </w:rPr>
              <w:t xml:space="preserve"> (2-6)</w:t>
            </w:r>
          </w:p>
        </w:tc>
        <w:tc>
          <w:tcPr>
            <w:tcW w:w="324" w:type="pct"/>
            <w:shd w:val="clear" w:color="auto" w:fill="auto"/>
          </w:tcPr>
          <w:p w14:paraId="789E894B" w14:textId="77777777" w:rsidR="00CB0677" w:rsidRDefault="00CB0677" w:rsidP="00CB0677">
            <w:pPr>
              <w:pStyle w:val="Standaard-Tabellen"/>
              <w:rPr>
                <w:rFonts w:eastAsia="Calibri"/>
                <w:szCs w:val="18"/>
                <w:lang w:eastAsia="en-US"/>
              </w:rPr>
            </w:pPr>
            <w:r>
              <w:rPr>
                <w:rFonts w:eastAsia="Calibri"/>
                <w:szCs w:val="18"/>
                <w:lang w:eastAsia="en-US"/>
              </w:rPr>
              <w:t>2</w:t>
            </w:r>
          </w:p>
        </w:tc>
        <w:tc>
          <w:tcPr>
            <w:tcW w:w="616" w:type="pct"/>
            <w:shd w:val="clear" w:color="auto" w:fill="auto"/>
          </w:tcPr>
          <w:p w14:paraId="7505ED04" w14:textId="77777777" w:rsidR="00CB0677" w:rsidRDefault="00CB0677" w:rsidP="00CB0677">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7F62AC82" w14:textId="77777777" w:rsidR="00CB0677" w:rsidRDefault="00CB0677" w:rsidP="00CB0677">
            <w:pPr>
              <w:pStyle w:val="Standaard-Tabellen"/>
              <w:rPr>
                <w:rFonts w:eastAsia="Calibri"/>
                <w:szCs w:val="18"/>
                <w:lang w:eastAsia="en-US"/>
              </w:rPr>
            </w:pPr>
            <w:r>
              <w:rPr>
                <w:rFonts w:eastAsia="Calibri"/>
                <w:szCs w:val="18"/>
                <w:lang w:eastAsia="en-US"/>
              </w:rPr>
              <w:t>5</w:t>
            </w:r>
          </w:p>
        </w:tc>
        <w:tc>
          <w:tcPr>
            <w:tcW w:w="963" w:type="pct"/>
            <w:shd w:val="clear" w:color="auto" w:fill="auto"/>
            <w:vAlign w:val="center"/>
          </w:tcPr>
          <w:p w14:paraId="0780F363" w14:textId="77777777" w:rsidR="00CB0677" w:rsidRPr="000C397E" w:rsidRDefault="00CB0677" w:rsidP="00CB0677">
            <w:pPr>
              <w:pStyle w:val="Standaard-Tabellen"/>
            </w:pPr>
            <w:r w:rsidRPr="00AF7F5A">
              <w:rPr>
                <w:rFonts w:cs="Arial"/>
              </w:rPr>
              <w:t xml:space="preserve">3.86 </w:t>
            </w:r>
          </w:p>
        </w:tc>
        <w:tc>
          <w:tcPr>
            <w:tcW w:w="732" w:type="pct"/>
            <w:shd w:val="clear" w:color="auto" w:fill="auto"/>
            <w:vAlign w:val="center"/>
          </w:tcPr>
          <w:p w14:paraId="7905CFB0" w14:textId="77777777" w:rsidR="00CB0677" w:rsidRPr="00D84EE6" w:rsidRDefault="00CB0677" w:rsidP="00CB0677">
            <w:pPr>
              <w:pStyle w:val="Standaard-Tabellen"/>
              <w:rPr>
                <w:rFonts w:eastAsia="Calibri"/>
                <w:szCs w:val="18"/>
                <w:lang w:eastAsia="en-US"/>
              </w:rPr>
            </w:pPr>
            <w:r>
              <w:rPr>
                <w:rFonts w:eastAsia="Calibri"/>
                <w:szCs w:val="18"/>
                <w:lang w:eastAsia="en-US"/>
              </w:rPr>
              <w:t>77.20</w:t>
            </w:r>
          </w:p>
        </w:tc>
        <w:tc>
          <w:tcPr>
            <w:tcW w:w="900" w:type="pct"/>
            <w:shd w:val="clear" w:color="auto" w:fill="auto"/>
          </w:tcPr>
          <w:p w14:paraId="6EFD9203" w14:textId="77777777" w:rsidR="00CB0677" w:rsidRPr="0091532F" w:rsidRDefault="00CB0677" w:rsidP="00CB0677">
            <w:pPr>
              <w:pStyle w:val="Standaard-Tabellen"/>
              <w:rPr>
                <w:rFonts w:eastAsia="Calibri"/>
                <w:szCs w:val="18"/>
                <w:lang w:eastAsia="en-US"/>
              </w:rPr>
            </w:pPr>
            <w:r w:rsidRPr="0060473E">
              <w:rPr>
                <w:rFonts w:eastAsia="Calibri"/>
                <w:szCs w:val="18"/>
                <w:lang w:eastAsia="en-US"/>
              </w:rPr>
              <w:t xml:space="preserve">Yes </w:t>
            </w:r>
          </w:p>
        </w:tc>
      </w:tr>
      <w:tr w:rsidR="00CB0677" w:rsidRPr="00FD2055" w14:paraId="520CFEDD" w14:textId="77777777" w:rsidTr="00CB0677">
        <w:tc>
          <w:tcPr>
            <w:tcW w:w="981" w:type="pct"/>
            <w:shd w:val="clear" w:color="auto" w:fill="auto"/>
          </w:tcPr>
          <w:p w14:paraId="364A73DB"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Scenario 1, dermal, toddler</w:t>
            </w:r>
          </w:p>
        </w:tc>
        <w:tc>
          <w:tcPr>
            <w:tcW w:w="324" w:type="pct"/>
            <w:shd w:val="clear" w:color="auto" w:fill="auto"/>
          </w:tcPr>
          <w:p w14:paraId="614B6821" w14:textId="77777777" w:rsidR="00CB0677" w:rsidRDefault="00CB0677" w:rsidP="00CB0677">
            <w:pPr>
              <w:pStyle w:val="Standaard-Tabellen"/>
              <w:rPr>
                <w:rFonts w:eastAsia="Calibri"/>
                <w:szCs w:val="18"/>
                <w:lang w:eastAsia="en-US"/>
              </w:rPr>
            </w:pPr>
            <w:r>
              <w:rPr>
                <w:rFonts w:eastAsia="Calibri"/>
                <w:szCs w:val="18"/>
                <w:lang w:eastAsia="en-US"/>
              </w:rPr>
              <w:t>2</w:t>
            </w:r>
          </w:p>
        </w:tc>
        <w:tc>
          <w:tcPr>
            <w:tcW w:w="616" w:type="pct"/>
            <w:shd w:val="clear" w:color="auto" w:fill="auto"/>
          </w:tcPr>
          <w:p w14:paraId="24E6B672" w14:textId="77777777" w:rsidR="00CB0677" w:rsidRDefault="00CB0677" w:rsidP="00CB0677">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41F201F0" w14:textId="77777777" w:rsidR="00CB0677" w:rsidRDefault="00CB0677" w:rsidP="00CB0677">
            <w:pPr>
              <w:pStyle w:val="Standaard-Tabellen"/>
              <w:rPr>
                <w:rFonts w:eastAsia="Calibri"/>
                <w:szCs w:val="18"/>
                <w:lang w:eastAsia="en-US"/>
              </w:rPr>
            </w:pPr>
            <w:r>
              <w:rPr>
                <w:rFonts w:eastAsia="Calibri"/>
                <w:szCs w:val="18"/>
                <w:lang w:eastAsia="en-US"/>
              </w:rPr>
              <w:t>5</w:t>
            </w:r>
          </w:p>
        </w:tc>
        <w:tc>
          <w:tcPr>
            <w:tcW w:w="963" w:type="pct"/>
            <w:shd w:val="clear" w:color="auto" w:fill="auto"/>
            <w:vAlign w:val="center"/>
          </w:tcPr>
          <w:p w14:paraId="7C413BCF" w14:textId="77777777" w:rsidR="00CB0677" w:rsidRPr="000C397E" w:rsidRDefault="00CB0677" w:rsidP="00CB0677">
            <w:pPr>
              <w:pStyle w:val="Standaard-Tabellen"/>
            </w:pPr>
            <w:r w:rsidRPr="00AF7F5A">
              <w:rPr>
                <w:rFonts w:cs="Arial"/>
              </w:rPr>
              <w:t xml:space="preserve">4.25 </w:t>
            </w:r>
          </w:p>
        </w:tc>
        <w:tc>
          <w:tcPr>
            <w:tcW w:w="732" w:type="pct"/>
            <w:shd w:val="clear" w:color="auto" w:fill="auto"/>
            <w:vAlign w:val="center"/>
          </w:tcPr>
          <w:p w14:paraId="6DA07C6B" w14:textId="77777777" w:rsidR="00CB0677" w:rsidRPr="00D84EE6" w:rsidRDefault="00CB0677" w:rsidP="00CB0677">
            <w:pPr>
              <w:pStyle w:val="Standaard-Tabellen"/>
              <w:rPr>
                <w:rFonts w:eastAsia="Calibri"/>
                <w:szCs w:val="18"/>
                <w:lang w:eastAsia="en-US"/>
              </w:rPr>
            </w:pPr>
            <w:r>
              <w:rPr>
                <w:rFonts w:eastAsia="Calibri"/>
                <w:szCs w:val="18"/>
                <w:lang w:eastAsia="en-US"/>
              </w:rPr>
              <w:t>85.01</w:t>
            </w:r>
          </w:p>
        </w:tc>
        <w:tc>
          <w:tcPr>
            <w:tcW w:w="900" w:type="pct"/>
            <w:shd w:val="clear" w:color="auto" w:fill="auto"/>
          </w:tcPr>
          <w:p w14:paraId="40D1F767" w14:textId="77777777" w:rsidR="00CB0677" w:rsidRPr="0091532F" w:rsidRDefault="00CB0677" w:rsidP="00CB0677">
            <w:pPr>
              <w:pStyle w:val="Standaard-Tabellen"/>
              <w:rPr>
                <w:rFonts w:eastAsia="Calibri"/>
                <w:szCs w:val="18"/>
                <w:lang w:eastAsia="en-US"/>
              </w:rPr>
            </w:pPr>
            <w:r w:rsidRPr="0060473E">
              <w:rPr>
                <w:rFonts w:eastAsia="Calibri"/>
                <w:szCs w:val="18"/>
                <w:lang w:eastAsia="en-US"/>
              </w:rPr>
              <w:t xml:space="preserve">Yes </w:t>
            </w:r>
          </w:p>
        </w:tc>
      </w:tr>
      <w:tr w:rsidR="00CB0677" w:rsidRPr="00FD2055" w14:paraId="22A3807E" w14:textId="77777777" w:rsidTr="00CB0677">
        <w:tc>
          <w:tcPr>
            <w:tcW w:w="981" w:type="pct"/>
            <w:tcBorders>
              <w:bottom w:val="double" w:sz="4" w:space="0" w:color="auto"/>
            </w:tcBorders>
            <w:shd w:val="clear" w:color="auto" w:fill="auto"/>
          </w:tcPr>
          <w:p w14:paraId="579A32F5"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Scenario 1, dermal, infant</w:t>
            </w:r>
          </w:p>
        </w:tc>
        <w:tc>
          <w:tcPr>
            <w:tcW w:w="324" w:type="pct"/>
            <w:tcBorders>
              <w:bottom w:val="double" w:sz="4" w:space="0" w:color="auto"/>
            </w:tcBorders>
            <w:shd w:val="clear" w:color="auto" w:fill="auto"/>
          </w:tcPr>
          <w:p w14:paraId="51A1D691" w14:textId="77777777" w:rsidR="00CB0677" w:rsidRPr="0091532F" w:rsidRDefault="00CB0677" w:rsidP="00CB0677">
            <w:pPr>
              <w:pStyle w:val="Standaard-Tabellen"/>
              <w:rPr>
                <w:rFonts w:eastAsia="Calibri"/>
                <w:szCs w:val="18"/>
                <w:lang w:eastAsia="en-US"/>
              </w:rPr>
            </w:pPr>
            <w:r>
              <w:rPr>
                <w:rFonts w:eastAsia="Calibri"/>
                <w:szCs w:val="18"/>
                <w:lang w:eastAsia="en-US"/>
              </w:rPr>
              <w:t>2</w:t>
            </w:r>
          </w:p>
        </w:tc>
        <w:tc>
          <w:tcPr>
            <w:tcW w:w="616" w:type="pct"/>
            <w:tcBorders>
              <w:bottom w:val="double" w:sz="4" w:space="0" w:color="auto"/>
            </w:tcBorders>
            <w:shd w:val="clear" w:color="auto" w:fill="auto"/>
          </w:tcPr>
          <w:p w14:paraId="48B1524A" w14:textId="77777777" w:rsidR="00CB0677" w:rsidRPr="0091532F" w:rsidRDefault="00CB0677" w:rsidP="00CB0677">
            <w:pPr>
              <w:pStyle w:val="Standaard-Tabellen"/>
              <w:rPr>
                <w:rFonts w:eastAsia="Calibri"/>
                <w:szCs w:val="18"/>
                <w:lang w:eastAsia="en-US"/>
              </w:rPr>
            </w:pPr>
            <w:r>
              <w:rPr>
                <w:rFonts w:eastAsia="Calibri"/>
                <w:szCs w:val="18"/>
                <w:lang w:eastAsia="en-US"/>
              </w:rPr>
              <w:t>500</w:t>
            </w:r>
          </w:p>
        </w:tc>
        <w:tc>
          <w:tcPr>
            <w:tcW w:w="483" w:type="pct"/>
            <w:tcBorders>
              <w:bottom w:val="double" w:sz="4" w:space="0" w:color="auto"/>
            </w:tcBorders>
            <w:shd w:val="clear" w:color="auto" w:fill="auto"/>
          </w:tcPr>
          <w:p w14:paraId="55AEC403" w14:textId="77777777" w:rsidR="00CB0677" w:rsidRPr="0091532F" w:rsidRDefault="00CB0677" w:rsidP="00CB0677">
            <w:pPr>
              <w:pStyle w:val="Standaard-Tabellen"/>
              <w:rPr>
                <w:rFonts w:eastAsia="Calibri"/>
                <w:szCs w:val="18"/>
                <w:lang w:eastAsia="en-US"/>
              </w:rPr>
            </w:pPr>
            <w:r>
              <w:rPr>
                <w:rFonts w:eastAsia="Calibri"/>
                <w:szCs w:val="18"/>
                <w:lang w:eastAsia="en-US"/>
              </w:rPr>
              <w:t>5</w:t>
            </w:r>
          </w:p>
        </w:tc>
        <w:tc>
          <w:tcPr>
            <w:tcW w:w="963" w:type="pct"/>
            <w:tcBorders>
              <w:bottom w:val="double" w:sz="4" w:space="0" w:color="auto"/>
            </w:tcBorders>
            <w:vAlign w:val="center"/>
          </w:tcPr>
          <w:p w14:paraId="2CA28CD8" w14:textId="77777777" w:rsidR="00CB0677" w:rsidRPr="00A92D1C" w:rsidRDefault="00CB0677" w:rsidP="00CB0677">
            <w:pPr>
              <w:pStyle w:val="Standaard-Tabellen"/>
              <w:rPr>
                <w:rFonts w:cs="Arial"/>
              </w:rPr>
            </w:pPr>
            <w:r w:rsidRPr="00AF7F5A">
              <w:rPr>
                <w:rFonts w:cs="Arial"/>
              </w:rPr>
              <w:t xml:space="preserve">4.54 </w:t>
            </w:r>
          </w:p>
        </w:tc>
        <w:tc>
          <w:tcPr>
            <w:tcW w:w="732" w:type="pct"/>
            <w:tcBorders>
              <w:bottom w:val="double" w:sz="4" w:space="0" w:color="auto"/>
            </w:tcBorders>
            <w:shd w:val="clear" w:color="auto" w:fill="auto"/>
            <w:vAlign w:val="center"/>
          </w:tcPr>
          <w:p w14:paraId="73020791" w14:textId="77777777" w:rsidR="00CB0677" w:rsidRPr="00D84EE6" w:rsidRDefault="00CB0677" w:rsidP="00CB0677">
            <w:pPr>
              <w:pStyle w:val="Standaard-Tabellen"/>
              <w:rPr>
                <w:rFonts w:eastAsia="Calibri"/>
              </w:rPr>
            </w:pPr>
            <w:r>
              <w:rPr>
                <w:rFonts w:eastAsia="Calibri"/>
                <w:szCs w:val="18"/>
                <w:lang w:eastAsia="en-US"/>
              </w:rPr>
              <w:t>90.76</w:t>
            </w:r>
          </w:p>
        </w:tc>
        <w:tc>
          <w:tcPr>
            <w:tcW w:w="900" w:type="pct"/>
            <w:tcBorders>
              <w:bottom w:val="double" w:sz="4" w:space="0" w:color="auto"/>
            </w:tcBorders>
            <w:shd w:val="clear" w:color="auto" w:fill="auto"/>
            <w:vAlign w:val="center"/>
          </w:tcPr>
          <w:p w14:paraId="2FE9425C" w14:textId="77777777" w:rsidR="00CB0677" w:rsidRPr="0091532F" w:rsidRDefault="00CB0677" w:rsidP="00CB0677">
            <w:pPr>
              <w:pStyle w:val="Standaard-Tabellen"/>
              <w:rPr>
                <w:rFonts w:eastAsia="Calibri"/>
                <w:szCs w:val="18"/>
                <w:lang w:eastAsia="en-US"/>
              </w:rPr>
            </w:pPr>
            <w:r>
              <w:rPr>
                <w:rFonts w:eastAsia="Calibri"/>
                <w:szCs w:val="18"/>
                <w:lang w:eastAsia="en-US"/>
              </w:rPr>
              <w:t xml:space="preserve">Yes </w:t>
            </w:r>
          </w:p>
        </w:tc>
      </w:tr>
      <w:tr w:rsidR="00CB0677" w:rsidRPr="00FD2055" w14:paraId="49F9C42D" w14:textId="77777777" w:rsidTr="00CB0677">
        <w:tc>
          <w:tcPr>
            <w:tcW w:w="981" w:type="pct"/>
            <w:shd w:val="clear" w:color="auto" w:fill="auto"/>
          </w:tcPr>
          <w:p w14:paraId="758516AB" w14:textId="77777777" w:rsidR="00CB0677" w:rsidRPr="00FD2055" w:rsidRDefault="00CB0677" w:rsidP="00CB0677">
            <w:pPr>
              <w:pStyle w:val="Standaard-Tabellen"/>
              <w:rPr>
                <w:rFonts w:eastAsia="Calibri"/>
              </w:rPr>
            </w:pPr>
            <w:r w:rsidRPr="0091532F">
              <w:rPr>
                <w:rFonts w:eastAsia="Calibri"/>
                <w:szCs w:val="18"/>
                <w:lang w:eastAsia="en-US"/>
              </w:rPr>
              <w:t>Scenario 1, dermal, adult</w:t>
            </w:r>
          </w:p>
        </w:tc>
        <w:tc>
          <w:tcPr>
            <w:tcW w:w="324" w:type="pct"/>
            <w:shd w:val="clear" w:color="auto" w:fill="auto"/>
          </w:tcPr>
          <w:p w14:paraId="0DC3A778" w14:textId="77777777" w:rsidR="00CB0677" w:rsidRPr="00FD2055" w:rsidRDefault="00CB0677" w:rsidP="00CB0677">
            <w:pPr>
              <w:pStyle w:val="Standaard-Tabellen"/>
              <w:rPr>
                <w:rFonts w:eastAsia="Calibri"/>
              </w:rPr>
            </w:pPr>
            <w:r>
              <w:rPr>
                <w:rFonts w:eastAsia="Calibri"/>
                <w:szCs w:val="18"/>
                <w:lang w:eastAsia="en-US"/>
              </w:rPr>
              <w:t>3</w:t>
            </w:r>
          </w:p>
        </w:tc>
        <w:tc>
          <w:tcPr>
            <w:tcW w:w="616" w:type="pct"/>
            <w:shd w:val="clear" w:color="auto" w:fill="auto"/>
          </w:tcPr>
          <w:p w14:paraId="25FC5820"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shd w:val="clear" w:color="auto" w:fill="auto"/>
          </w:tcPr>
          <w:p w14:paraId="5CCD7992"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shd w:val="clear" w:color="auto" w:fill="auto"/>
            <w:vAlign w:val="center"/>
          </w:tcPr>
          <w:p w14:paraId="51BDCDD9" w14:textId="77777777" w:rsidR="00CB0677" w:rsidRPr="00FD2055" w:rsidRDefault="00CB0677" w:rsidP="00CB0677">
            <w:pPr>
              <w:pStyle w:val="Standaard-Tabellen"/>
              <w:rPr>
                <w:rFonts w:eastAsia="Calibri"/>
              </w:rPr>
            </w:pPr>
            <w:r w:rsidRPr="00AF7F5A">
              <w:rPr>
                <w:rFonts w:cs="Arial"/>
              </w:rPr>
              <w:t xml:space="preserve">4.90 </w:t>
            </w:r>
          </w:p>
        </w:tc>
        <w:tc>
          <w:tcPr>
            <w:tcW w:w="732" w:type="pct"/>
            <w:shd w:val="clear" w:color="auto" w:fill="auto"/>
            <w:vAlign w:val="center"/>
          </w:tcPr>
          <w:p w14:paraId="798EE8AD" w14:textId="77777777" w:rsidR="00CB0677" w:rsidRPr="00D84EE6" w:rsidRDefault="00CB0677" w:rsidP="00CB0677">
            <w:pPr>
              <w:pStyle w:val="Standaard-Tabellen"/>
              <w:rPr>
                <w:rFonts w:eastAsia="Calibri"/>
              </w:rPr>
            </w:pPr>
            <w:r>
              <w:rPr>
                <w:rFonts w:eastAsia="Calibri"/>
                <w:szCs w:val="18"/>
                <w:lang w:eastAsia="en-US"/>
              </w:rPr>
              <w:t>97.995</w:t>
            </w:r>
          </w:p>
        </w:tc>
        <w:tc>
          <w:tcPr>
            <w:tcW w:w="900" w:type="pct"/>
            <w:shd w:val="clear" w:color="auto" w:fill="auto"/>
            <w:vAlign w:val="center"/>
          </w:tcPr>
          <w:p w14:paraId="7A8135CC" w14:textId="77777777" w:rsidR="00CB0677" w:rsidRPr="00FD2055" w:rsidRDefault="00CB0677" w:rsidP="00CB0677">
            <w:pPr>
              <w:pStyle w:val="Standaard-Tabellen"/>
              <w:rPr>
                <w:rFonts w:eastAsia="Calibri"/>
              </w:rPr>
            </w:pPr>
            <w:r w:rsidRPr="0091532F">
              <w:rPr>
                <w:rFonts w:eastAsia="Calibri"/>
                <w:szCs w:val="18"/>
                <w:lang w:eastAsia="en-US"/>
              </w:rPr>
              <w:t>Yes</w:t>
            </w:r>
            <w:r>
              <w:rPr>
                <w:rFonts w:eastAsia="Calibri"/>
                <w:szCs w:val="18"/>
                <w:lang w:eastAsia="en-US"/>
              </w:rPr>
              <w:t xml:space="preserve"> </w:t>
            </w:r>
          </w:p>
        </w:tc>
      </w:tr>
      <w:tr w:rsidR="00CB0677" w:rsidRPr="00FD2055" w14:paraId="7706837F" w14:textId="77777777" w:rsidTr="00CB0677">
        <w:tc>
          <w:tcPr>
            <w:tcW w:w="981" w:type="pct"/>
            <w:tcBorders>
              <w:bottom w:val="single" w:sz="18" w:space="0" w:color="auto"/>
            </w:tcBorders>
            <w:shd w:val="clear" w:color="auto" w:fill="auto"/>
          </w:tcPr>
          <w:p w14:paraId="0DE7CFF0"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Scenario 1, dermal, child</w:t>
            </w:r>
            <w:r>
              <w:rPr>
                <w:rFonts w:eastAsia="Calibri"/>
                <w:szCs w:val="18"/>
                <w:lang w:eastAsia="en-US"/>
              </w:rPr>
              <w:t xml:space="preserve"> (6-12)</w:t>
            </w:r>
          </w:p>
        </w:tc>
        <w:tc>
          <w:tcPr>
            <w:tcW w:w="324" w:type="pct"/>
            <w:tcBorders>
              <w:bottom w:val="single" w:sz="18" w:space="0" w:color="auto"/>
            </w:tcBorders>
            <w:shd w:val="clear" w:color="auto" w:fill="auto"/>
          </w:tcPr>
          <w:p w14:paraId="1120D8A5" w14:textId="77777777" w:rsidR="00CB0677" w:rsidRDefault="00CB0677" w:rsidP="00CB0677">
            <w:pPr>
              <w:pStyle w:val="Standaard-Tabellen"/>
              <w:rPr>
                <w:rFonts w:eastAsia="Calibri"/>
                <w:szCs w:val="18"/>
                <w:lang w:eastAsia="en-US"/>
              </w:rPr>
            </w:pPr>
            <w:r>
              <w:rPr>
                <w:rFonts w:eastAsia="Calibri"/>
                <w:szCs w:val="18"/>
                <w:lang w:eastAsia="en-US"/>
              </w:rPr>
              <w:t>3</w:t>
            </w:r>
          </w:p>
        </w:tc>
        <w:tc>
          <w:tcPr>
            <w:tcW w:w="616" w:type="pct"/>
            <w:tcBorders>
              <w:bottom w:val="single" w:sz="18" w:space="0" w:color="auto"/>
            </w:tcBorders>
            <w:shd w:val="clear" w:color="auto" w:fill="auto"/>
          </w:tcPr>
          <w:p w14:paraId="3423FD18" w14:textId="77777777" w:rsidR="00CB0677" w:rsidRDefault="00CB0677" w:rsidP="00CB0677">
            <w:pPr>
              <w:pStyle w:val="Standaard-Tabellen"/>
              <w:rPr>
                <w:rFonts w:eastAsia="Calibri"/>
                <w:szCs w:val="18"/>
                <w:lang w:eastAsia="en-US"/>
              </w:rPr>
            </w:pPr>
            <w:r>
              <w:rPr>
                <w:rFonts w:eastAsia="Calibri"/>
                <w:szCs w:val="18"/>
                <w:lang w:eastAsia="en-US"/>
              </w:rPr>
              <w:t>500</w:t>
            </w:r>
          </w:p>
        </w:tc>
        <w:tc>
          <w:tcPr>
            <w:tcW w:w="483" w:type="pct"/>
            <w:tcBorders>
              <w:bottom w:val="single" w:sz="18" w:space="0" w:color="auto"/>
            </w:tcBorders>
            <w:shd w:val="clear" w:color="auto" w:fill="auto"/>
          </w:tcPr>
          <w:p w14:paraId="63B162AD" w14:textId="77777777" w:rsidR="00CB0677" w:rsidRDefault="00CB0677" w:rsidP="00CB0677">
            <w:pPr>
              <w:pStyle w:val="Standaard-Tabellen"/>
              <w:rPr>
                <w:rFonts w:eastAsia="Calibri"/>
                <w:szCs w:val="18"/>
                <w:lang w:eastAsia="en-US"/>
              </w:rPr>
            </w:pPr>
            <w:r>
              <w:rPr>
                <w:rFonts w:eastAsia="Calibri"/>
                <w:szCs w:val="18"/>
                <w:lang w:eastAsia="en-US"/>
              </w:rPr>
              <w:t>5</w:t>
            </w:r>
          </w:p>
        </w:tc>
        <w:tc>
          <w:tcPr>
            <w:tcW w:w="963" w:type="pct"/>
            <w:tcBorders>
              <w:bottom w:val="single" w:sz="18" w:space="0" w:color="auto"/>
            </w:tcBorders>
            <w:shd w:val="clear" w:color="auto" w:fill="auto"/>
            <w:vAlign w:val="center"/>
          </w:tcPr>
          <w:p w14:paraId="27236256" w14:textId="77777777" w:rsidR="00CB0677" w:rsidRPr="000C397E" w:rsidRDefault="00CB0677" w:rsidP="00CB0677">
            <w:pPr>
              <w:pStyle w:val="Standaard-Tabellen"/>
            </w:pPr>
            <w:r w:rsidRPr="00AF7F5A">
              <w:rPr>
                <w:rFonts w:cs="Arial"/>
              </w:rPr>
              <w:t xml:space="preserve">3.41 </w:t>
            </w:r>
          </w:p>
        </w:tc>
        <w:tc>
          <w:tcPr>
            <w:tcW w:w="732" w:type="pct"/>
            <w:tcBorders>
              <w:bottom w:val="single" w:sz="18" w:space="0" w:color="auto"/>
            </w:tcBorders>
            <w:shd w:val="clear" w:color="auto" w:fill="auto"/>
            <w:vAlign w:val="center"/>
          </w:tcPr>
          <w:p w14:paraId="13804EC4" w14:textId="77777777" w:rsidR="00CB0677" w:rsidRPr="00D84EE6" w:rsidRDefault="00CB0677" w:rsidP="00CB0677">
            <w:pPr>
              <w:pStyle w:val="Standaard-Tabellen"/>
              <w:rPr>
                <w:rFonts w:eastAsia="Calibri"/>
                <w:szCs w:val="18"/>
                <w:lang w:eastAsia="en-US"/>
              </w:rPr>
            </w:pPr>
            <w:r>
              <w:rPr>
                <w:rFonts w:eastAsia="Calibri"/>
                <w:szCs w:val="18"/>
                <w:lang w:eastAsia="en-US"/>
              </w:rPr>
              <w:t>68.17</w:t>
            </w:r>
          </w:p>
        </w:tc>
        <w:tc>
          <w:tcPr>
            <w:tcW w:w="900" w:type="pct"/>
            <w:tcBorders>
              <w:bottom w:val="single" w:sz="18" w:space="0" w:color="auto"/>
            </w:tcBorders>
            <w:shd w:val="clear" w:color="auto" w:fill="auto"/>
            <w:vAlign w:val="center"/>
          </w:tcPr>
          <w:p w14:paraId="3C5A80A8" w14:textId="77777777" w:rsidR="00CB0677" w:rsidRDefault="00CB0677" w:rsidP="00CB0677">
            <w:pPr>
              <w:pStyle w:val="Standaard-Tabellen"/>
              <w:rPr>
                <w:rFonts w:eastAsia="Calibri"/>
                <w:szCs w:val="18"/>
                <w:lang w:eastAsia="en-US"/>
              </w:rPr>
            </w:pPr>
            <w:r w:rsidRPr="0091532F">
              <w:rPr>
                <w:rFonts w:eastAsia="Calibri"/>
                <w:szCs w:val="18"/>
                <w:lang w:eastAsia="en-US"/>
              </w:rPr>
              <w:t>Yes</w:t>
            </w:r>
          </w:p>
        </w:tc>
      </w:tr>
      <w:tr w:rsidR="00CB0677" w:rsidRPr="00FD2055" w14:paraId="1560DA07" w14:textId="77777777" w:rsidTr="00CB0677">
        <w:tc>
          <w:tcPr>
            <w:tcW w:w="981" w:type="pct"/>
            <w:tcBorders>
              <w:top w:val="single" w:sz="18" w:space="0" w:color="auto"/>
            </w:tcBorders>
            <w:shd w:val="clear" w:color="auto" w:fill="auto"/>
          </w:tcPr>
          <w:p w14:paraId="4FEF9081" w14:textId="77777777" w:rsidR="00CB0677" w:rsidRPr="00FD2055" w:rsidRDefault="00CB0677" w:rsidP="00CB0677">
            <w:pPr>
              <w:pStyle w:val="Standaard-Tabellen"/>
              <w:rPr>
                <w:rFonts w:eastAsia="Calibri"/>
              </w:rPr>
            </w:pPr>
            <w:r>
              <w:rPr>
                <w:rFonts w:eastAsia="Calibri"/>
                <w:szCs w:val="18"/>
                <w:lang w:eastAsia="en-US"/>
              </w:rPr>
              <w:t>Scenario 2</w:t>
            </w:r>
            <w:r w:rsidRPr="0091532F">
              <w:rPr>
                <w:rFonts w:eastAsia="Calibri"/>
                <w:szCs w:val="18"/>
                <w:lang w:eastAsia="en-US"/>
              </w:rPr>
              <w:t>, hand-mouth transfer, adult</w:t>
            </w:r>
          </w:p>
        </w:tc>
        <w:tc>
          <w:tcPr>
            <w:tcW w:w="324" w:type="pct"/>
            <w:tcBorders>
              <w:top w:val="single" w:sz="18" w:space="0" w:color="auto"/>
            </w:tcBorders>
            <w:shd w:val="clear" w:color="auto" w:fill="auto"/>
          </w:tcPr>
          <w:p w14:paraId="348777F6" w14:textId="77777777" w:rsidR="00CB0677" w:rsidRPr="00FD2055" w:rsidRDefault="00CB0677" w:rsidP="00CB0677">
            <w:pPr>
              <w:pStyle w:val="Standaard-Tabellen"/>
              <w:rPr>
                <w:rFonts w:eastAsia="Calibri"/>
              </w:rPr>
            </w:pPr>
            <w:r w:rsidRPr="0091532F">
              <w:rPr>
                <w:rFonts w:eastAsia="Calibri"/>
                <w:szCs w:val="18"/>
                <w:lang w:eastAsia="en-US"/>
              </w:rPr>
              <w:t>1</w:t>
            </w:r>
          </w:p>
        </w:tc>
        <w:tc>
          <w:tcPr>
            <w:tcW w:w="616" w:type="pct"/>
            <w:tcBorders>
              <w:top w:val="single" w:sz="18" w:space="0" w:color="auto"/>
            </w:tcBorders>
            <w:shd w:val="clear" w:color="auto" w:fill="auto"/>
          </w:tcPr>
          <w:p w14:paraId="4C11DCB4"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tcBorders>
              <w:top w:val="single" w:sz="18" w:space="0" w:color="auto"/>
            </w:tcBorders>
            <w:shd w:val="clear" w:color="auto" w:fill="auto"/>
          </w:tcPr>
          <w:p w14:paraId="644CB20A"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tcBorders>
              <w:top w:val="single" w:sz="18" w:space="0" w:color="auto"/>
            </w:tcBorders>
            <w:shd w:val="clear" w:color="auto" w:fill="auto"/>
            <w:vAlign w:val="center"/>
          </w:tcPr>
          <w:p w14:paraId="6D5722DD" w14:textId="77777777" w:rsidR="00CB0677" w:rsidRPr="00FD2055" w:rsidRDefault="00CB0677" w:rsidP="00CB0677">
            <w:pPr>
              <w:pStyle w:val="Standaard-Tabellen"/>
              <w:rPr>
                <w:rFonts w:eastAsia="Calibri"/>
              </w:rPr>
            </w:pPr>
            <w:r w:rsidRPr="00AF7F5A">
              <w:rPr>
                <w:rFonts w:eastAsia="Calibri"/>
              </w:rPr>
              <w:t>Up to 7.14 applications</w:t>
            </w:r>
          </w:p>
        </w:tc>
        <w:tc>
          <w:tcPr>
            <w:tcW w:w="732" w:type="pct"/>
            <w:tcBorders>
              <w:top w:val="single" w:sz="18" w:space="0" w:color="auto"/>
            </w:tcBorders>
            <w:shd w:val="clear" w:color="auto" w:fill="auto"/>
            <w:vAlign w:val="center"/>
          </w:tcPr>
          <w:p w14:paraId="42E17471" w14:textId="77777777" w:rsidR="00CB0677" w:rsidRPr="00FD2055" w:rsidRDefault="00CB0677" w:rsidP="00CB0677">
            <w:pPr>
              <w:pStyle w:val="Standaard-Tabellen"/>
              <w:rPr>
                <w:rFonts w:eastAsia="Calibri"/>
              </w:rPr>
            </w:pPr>
            <w:proofErr w:type="spellStart"/>
            <w:r w:rsidRPr="0091532F">
              <w:rPr>
                <w:rFonts w:eastAsia="Calibri"/>
                <w:szCs w:val="18"/>
                <w:lang w:eastAsia="en-US"/>
              </w:rPr>
              <w:t>n.a.</w:t>
            </w:r>
            <w:proofErr w:type="spellEnd"/>
          </w:p>
        </w:tc>
        <w:tc>
          <w:tcPr>
            <w:tcW w:w="900" w:type="pct"/>
            <w:tcBorders>
              <w:top w:val="single" w:sz="18" w:space="0" w:color="auto"/>
            </w:tcBorders>
            <w:shd w:val="clear" w:color="auto" w:fill="auto"/>
            <w:vAlign w:val="center"/>
          </w:tcPr>
          <w:p w14:paraId="5E3CEC24" w14:textId="77777777" w:rsidR="00CB0677" w:rsidRDefault="00CB0677" w:rsidP="00CB0677">
            <w:pPr>
              <w:pStyle w:val="Standaard-Tabellen"/>
              <w:rPr>
                <w:rFonts w:eastAsia="Calibri"/>
                <w:szCs w:val="18"/>
                <w:lang w:eastAsia="en-US"/>
              </w:rPr>
            </w:pPr>
            <w:r>
              <w:rPr>
                <w:rFonts w:eastAsia="Calibri"/>
                <w:szCs w:val="18"/>
                <w:lang w:eastAsia="en-US"/>
              </w:rPr>
              <w:t>Reverse</w:t>
            </w:r>
          </w:p>
          <w:p w14:paraId="623BF9CB" w14:textId="77777777" w:rsidR="00CB0677" w:rsidRDefault="00CB0677" w:rsidP="00CB0677">
            <w:pPr>
              <w:pStyle w:val="Standaard-Tabellen"/>
              <w:rPr>
                <w:rFonts w:eastAsia="Calibri"/>
                <w:szCs w:val="18"/>
                <w:lang w:eastAsia="en-US"/>
              </w:rPr>
            </w:pPr>
            <w:r>
              <w:rPr>
                <w:rFonts w:eastAsia="Calibri"/>
                <w:szCs w:val="18"/>
                <w:lang w:eastAsia="en-US"/>
              </w:rPr>
              <w:t>reference</w:t>
            </w:r>
          </w:p>
          <w:p w14:paraId="31EABCFC" w14:textId="77777777" w:rsidR="00CB0677" w:rsidRPr="00FD2055" w:rsidRDefault="00CB0677" w:rsidP="00CB0677">
            <w:pPr>
              <w:pStyle w:val="Standaard-Tabellen"/>
              <w:rPr>
                <w:rFonts w:eastAsia="Calibri"/>
              </w:rPr>
            </w:pPr>
            <w:r w:rsidRPr="0091532F">
              <w:rPr>
                <w:rFonts w:eastAsia="Calibri"/>
                <w:szCs w:val="18"/>
                <w:lang w:eastAsia="en-US"/>
              </w:rPr>
              <w:t>scenario</w:t>
            </w:r>
          </w:p>
        </w:tc>
      </w:tr>
      <w:tr w:rsidR="00CB0677" w:rsidRPr="00FD2055" w14:paraId="111CEFA3" w14:textId="77777777" w:rsidTr="00CB0677">
        <w:tc>
          <w:tcPr>
            <w:tcW w:w="981" w:type="pct"/>
            <w:shd w:val="clear" w:color="auto" w:fill="auto"/>
          </w:tcPr>
          <w:p w14:paraId="3F990726" w14:textId="77777777" w:rsidR="00CB0677" w:rsidRPr="00FD2055" w:rsidRDefault="00CB0677" w:rsidP="00CB0677">
            <w:pPr>
              <w:pStyle w:val="Standaard-Tabellen"/>
              <w:rPr>
                <w:rFonts w:eastAsia="Calibri"/>
              </w:rPr>
            </w:pPr>
            <w:r>
              <w:rPr>
                <w:rFonts w:eastAsia="Calibri"/>
                <w:szCs w:val="18"/>
                <w:lang w:eastAsia="en-US"/>
              </w:rPr>
              <w:t>Scenario 2</w:t>
            </w:r>
            <w:r w:rsidRPr="0091532F">
              <w:rPr>
                <w:rFonts w:eastAsia="Calibri"/>
                <w:szCs w:val="18"/>
                <w:lang w:eastAsia="en-US"/>
              </w:rPr>
              <w:t>, hand-mouth transfer, child</w:t>
            </w:r>
            <w:r>
              <w:rPr>
                <w:rFonts w:eastAsia="Calibri"/>
                <w:szCs w:val="18"/>
                <w:lang w:eastAsia="en-US"/>
              </w:rPr>
              <w:t xml:space="preserve"> (6-12)</w:t>
            </w:r>
          </w:p>
        </w:tc>
        <w:tc>
          <w:tcPr>
            <w:tcW w:w="324" w:type="pct"/>
            <w:shd w:val="clear" w:color="auto" w:fill="auto"/>
          </w:tcPr>
          <w:p w14:paraId="6CB41704" w14:textId="77777777" w:rsidR="00CB0677" w:rsidRPr="00FD2055" w:rsidRDefault="00CB0677" w:rsidP="00CB0677">
            <w:pPr>
              <w:pStyle w:val="Standaard-Tabellen"/>
              <w:rPr>
                <w:rFonts w:eastAsia="Calibri"/>
              </w:rPr>
            </w:pPr>
            <w:r w:rsidRPr="0091532F">
              <w:rPr>
                <w:rFonts w:eastAsia="Calibri"/>
                <w:szCs w:val="18"/>
                <w:lang w:eastAsia="en-US"/>
              </w:rPr>
              <w:t>1</w:t>
            </w:r>
          </w:p>
        </w:tc>
        <w:tc>
          <w:tcPr>
            <w:tcW w:w="616" w:type="pct"/>
            <w:shd w:val="clear" w:color="auto" w:fill="auto"/>
          </w:tcPr>
          <w:p w14:paraId="53E3E8F7"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shd w:val="clear" w:color="auto" w:fill="auto"/>
          </w:tcPr>
          <w:p w14:paraId="696D36F3"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shd w:val="clear" w:color="auto" w:fill="auto"/>
            <w:vAlign w:val="center"/>
          </w:tcPr>
          <w:p w14:paraId="1DE205B6" w14:textId="77777777" w:rsidR="00CB0677" w:rsidRPr="00FD2055" w:rsidRDefault="00CB0677" w:rsidP="00CB0677">
            <w:pPr>
              <w:pStyle w:val="Standaard-Tabellen"/>
              <w:rPr>
                <w:rFonts w:eastAsia="Calibri"/>
              </w:rPr>
            </w:pPr>
            <w:r w:rsidRPr="00AF7F5A">
              <w:rPr>
                <w:rFonts w:eastAsia="Calibri"/>
              </w:rPr>
              <w:t>Up to 2.57 applications</w:t>
            </w:r>
          </w:p>
        </w:tc>
        <w:tc>
          <w:tcPr>
            <w:tcW w:w="732" w:type="pct"/>
            <w:shd w:val="clear" w:color="auto" w:fill="auto"/>
            <w:vAlign w:val="center"/>
          </w:tcPr>
          <w:p w14:paraId="0301CD25" w14:textId="77777777" w:rsidR="00CB0677" w:rsidRPr="00FD2055" w:rsidRDefault="00CB0677" w:rsidP="00CB0677">
            <w:pPr>
              <w:pStyle w:val="Standaard-Tabellen"/>
              <w:rPr>
                <w:rFonts w:eastAsia="Calibri"/>
              </w:rPr>
            </w:pPr>
            <w:proofErr w:type="spellStart"/>
            <w:r w:rsidRPr="0091532F">
              <w:rPr>
                <w:rFonts w:eastAsia="Calibri"/>
                <w:szCs w:val="18"/>
                <w:lang w:eastAsia="en-US"/>
              </w:rPr>
              <w:t>n.a.</w:t>
            </w:r>
            <w:proofErr w:type="spellEnd"/>
          </w:p>
        </w:tc>
        <w:tc>
          <w:tcPr>
            <w:tcW w:w="900" w:type="pct"/>
            <w:shd w:val="clear" w:color="auto" w:fill="auto"/>
            <w:vAlign w:val="center"/>
          </w:tcPr>
          <w:p w14:paraId="7727B67E" w14:textId="77777777" w:rsidR="00CB0677" w:rsidRDefault="00CB0677" w:rsidP="00CB0677">
            <w:pPr>
              <w:pStyle w:val="Standaard-Tabellen"/>
              <w:rPr>
                <w:rFonts w:eastAsia="Calibri"/>
                <w:szCs w:val="18"/>
                <w:lang w:eastAsia="en-US"/>
              </w:rPr>
            </w:pPr>
            <w:r>
              <w:rPr>
                <w:rFonts w:eastAsia="Calibri"/>
                <w:szCs w:val="18"/>
                <w:lang w:eastAsia="en-US"/>
              </w:rPr>
              <w:t>Reverse</w:t>
            </w:r>
          </w:p>
          <w:p w14:paraId="4990E681" w14:textId="77777777" w:rsidR="00CB0677" w:rsidRDefault="00CB0677" w:rsidP="00CB0677">
            <w:pPr>
              <w:pStyle w:val="Standaard-Tabellen"/>
              <w:rPr>
                <w:rFonts w:eastAsia="Calibri"/>
                <w:szCs w:val="18"/>
                <w:lang w:eastAsia="en-US"/>
              </w:rPr>
            </w:pPr>
            <w:r>
              <w:rPr>
                <w:rFonts w:eastAsia="Calibri"/>
                <w:szCs w:val="18"/>
                <w:lang w:eastAsia="en-US"/>
              </w:rPr>
              <w:t>reference</w:t>
            </w:r>
          </w:p>
          <w:p w14:paraId="56E7AE77" w14:textId="77777777" w:rsidR="00CB0677" w:rsidRPr="00FD2055" w:rsidRDefault="00CB0677" w:rsidP="00CB0677">
            <w:pPr>
              <w:pStyle w:val="Standaard-Tabellen"/>
              <w:rPr>
                <w:rFonts w:eastAsia="Calibri"/>
              </w:rPr>
            </w:pPr>
            <w:r w:rsidRPr="0091532F">
              <w:rPr>
                <w:rFonts w:eastAsia="Calibri"/>
                <w:szCs w:val="18"/>
                <w:lang w:eastAsia="en-US"/>
              </w:rPr>
              <w:t>scenario</w:t>
            </w:r>
          </w:p>
        </w:tc>
      </w:tr>
      <w:tr w:rsidR="00CB0677" w:rsidRPr="00FD2055" w14:paraId="352EA4D9" w14:textId="77777777" w:rsidTr="00CB0677">
        <w:tc>
          <w:tcPr>
            <w:tcW w:w="981" w:type="pct"/>
            <w:shd w:val="clear" w:color="auto" w:fill="auto"/>
          </w:tcPr>
          <w:p w14:paraId="1E2202FA" w14:textId="77777777" w:rsidR="00CB0677" w:rsidRPr="00FD2055" w:rsidRDefault="00CB0677" w:rsidP="00CB0677">
            <w:pPr>
              <w:pStyle w:val="Standaard-Tabellen"/>
              <w:rPr>
                <w:rFonts w:eastAsia="Calibri"/>
              </w:rPr>
            </w:pPr>
            <w:r>
              <w:rPr>
                <w:rFonts w:eastAsia="Calibri"/>
                <w:szCs w:val="18"/>
                <w:lang w:eastAsia="en-US"/>
              </w:rPr>
              <w:t>Scenario 2</w:t>
            </w:r>
            <w:r w:rsidRPr="0091532F">
              <w:rPr>
                <w:rFonts w:eastAsia="Calibri"/>
                <w:szCs w:val="18"/>
                <w:lang w:eastAsia="en-US"/>
              </w:rPr>
              <w:t>, hand-mouth transfer, child</w:t>
            </w:r>
            <w:r>
              <w:rPr>
                <w:rFonts w:eastAsia="Calibri"/>
                <w:szCs w:val="18"/>
                <w:lang w:eastAsia="en-US"/>
              </w:rPr>
              <w:t xml:space="preserve"> (2-6)</w:t>
            </w:r>
          </w:p>
        </w:tc>
        <w:tc>
          <w:tcPr>
            <w:tcW w:w="324" w:type="pct"/>
            <w:shd w:val="clear" w:color="auto" w:fill="auto"/>
          </w:tcPr>
          <w:p w14:paraId="19D90498" w14:textId="77777777" w:rsidR="00CB0677" w:rsidRPr="00FD2055" w:rsidRDefault="00CB0677" w:rsidP="00CB0677">
            <w:pPr>
              <w:pStyle w:val="Standaard-Tabellen"/>
              <w:rPr>
                <w:rFonts w:eastAsia="Calibri"/>
              </w:rPr>
            </w:pPr>
            <w:r w:rsidRPr="0091532F">
              <w:rPr>
                <w:rFonts w:eastAsia="Calibri"/>
                <w:szCs w:val="18"/>
                <w:lang w:eastAsia="en-US"/>
              </w:rPr>
              <w:t>1</w:t>
            </w:r>
          </w:p>
        </w:tc>
        <w:tc>
          <w:tcPr>
            <w:tcW w:w="616" w:type="pct"/>
            <w:shd w:val="clear" w:color="auto" w:fill="auto"/>
          </w:tcPr>
          <w:p w14:paraId="3591F18B"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shd w:val="clear" w:color="auto" w:fill="auto"/>
          </w:tcPr>
          <w:p w14:paraId="3AEC2F6C"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shd w:val="clear" w:color="auto" w:fill="auto"/>
            <w:vAlign w:val="center"/>
          </w:tcPr>
          <w:p w14:paraId="11E4187B" w14:textId="77777777" w:rsidR="00CB0677" w:rsidRPr="00FD2055" w:rsidRDefault="00CB0677" w:rsidP="00CB0677">
            <w:pPr>
              <w:pStyle w:val="Standaard-Tabellen"/>
              <w:rPr>
                <w:rFonts w:eastAsia="Calibri"/>
              </w:rPr>
            </w:pPr>
            <w:r w:rsidRPr="00AF7F5A">
              <w:rPr>
                <w:rFonts w:eastAsia="Calibri"/>
              </w:rPr>
              <w:t>Up to  2.27 applications</w:t>
            </w:r>
          </w:p>
        </w:tc>
        <w:tc>
          <w:tcPr>
            <w:tcW w:w="732" w:type="pct"/>
            <w:shd w:val="clear" w:color="auto" w:fill="auto"/>
            <w:vAlign w:val="center"/>
          </w:tcPr>
          <w:p w14:paraId="768BDCC7" w14:textId="77777777" w:rsidR="00CB0677" w:rsidRPr="00FD2055" w:rsidRDefault="00CB0677" w:rsidP="00CB0677">
            <w:pPr>
              <w:pStyle w:val="Standaard-Tabellen"/>
              <w:rPr>
                <w:rFonts w:eastAsia="Calibri"/>
              </w:rPr>
            </w:pPr>
            <w:proofErr w:type="spellStart"/>
            <w:r w:rsidRPr="0091532F">
              <w:rPr>
                <w:rFonts w:eastAsia="Calibri"/>
                <w:szCs w:val="18"/>
                <w:lang w:eastAsia="en-US"/>
              </w:rPr>
              <w:t>n.a.</w:t>
            </w:r>
            <w:proofErr w:type="spellEnd"/>
          </w:p>
        </w:tc>
        <w:tc>
          <w:tcPr>
            <w:tcW w:w="900" w:type="pct"/>
            <w:shd w:val="clear" w:color="auto" w:fill="auto"/>
            <w:vAlign w:val="center"/>
          </w:tcPr>
          <w:p w14:paraId="6EA1C40A" w14:textId="77777777" w:rsidR="00CB0677" w:rsidRDefault="00CB0677" w:rsidP="00CB0677">
            <w:pPr>
              <w:pStyle w:val="Standaard-Tabellen"/>
              <w:rPr>
                <w:rFonts w:eastAsia="Calibri"/>
                <w:szCs w:val="18"/>
                <w:lang w:eastAsia="en-US"/>
              </w:rPr>
            </w:pPr>
            <w:r>
              <w:rPr>
                <w:rFonts w:eastAsia="Calibri"/>
                <w:szCs w:val="18"/>
                <w:lang w:eastAsia="en-US"/>
              </w:rPr>
              <w:t>Reverse</w:t>
            </w:r>
          </w:p>
          <w:p w14:paraId="4EEA9650" w14:textId="77777777" w:rsidR="00CB0677" w:rsidRDefault="00CB0677" w:rsidP="00CB0677">
            <w:pPr>
              <w:pStyle w:val="Standaard-Tabellen"/>
              <w:rPr>
                <w:rFonts w:eastAsia="Calibri"/>
                <w:szCs w:val="18"/>
                <w:lang w:eastAsia="en-US"/>
              </w:rPr>
            </w:pPr>
            <w:r>
              <w:rPr>
                <w:rFonts w:eastAsia="Calibri"/>
                <w:szCs w:val="18"/>
                <w:lang w:eastAsia="en-US"/>
              </w:rPr>
              <w:t>reference</w:t>
            </w:r>
          </w:p>
          <w:p w14:paraId="18955D72" w14:textId="77777777" w:rsidR="00CB0677" w:rsidRPr="00FD2055" w:rsidRDefault="00CB0677" w:rsidP="00CB0677">
            <w:pPr>
              <w:pStyle w:val="Standaard-Tabellen"/>
              <w:rPr>
                <w:rFonts w:eastAsia="Calibri"/>
              </w:rPr>
            </w:pPr>
            <w:r w:rsidRPr="0091532F">
              <w:rPr>
                <w:rFonts w:eastAsia="Calibri"/>
                <w:szCs w:val="18"/>
                <w:lang w:eastAsia="en-US"/>
              </w:rPr>
              <w:t>scenario</w:t>
            </w:r>
          </w:p>
        </w:tc>
      </w:tr>
      <w:tr w:rsidR="00CB0677" w:rsidRPr="00FD2055" w14:paraId="3A5783E8" w14:textId="77777777" w:rsidTr="00CB0677">
        <w:tc>
          <w:tcPr>
            <w:tcW w:w="981" w:type="pct"/>
            <w:shd w:val="clear" w:color="auto" w:fill="auto"/>
          </w:tcPr>
          <w:p w14:paraId="5976E8C7" w14:textId="77777777" w:rsidR="00CB0677" w:rsidRPr="00FD2055" w:rsidRDefault="00CB0677" w:rsidP="00CB0677">
            <w:pPr>
              <w:pStyle w:val="Standaard-Tabellen"/>
              <w:rPr>
                <w:rFonts w:eastAsia="Calibri"/>
              </w:rPr>
            </w:pPr>
            <w:r>
              <w:rPr>
                <w:rFonts w:eastAsia="Calibri"/>
                <w:szCs w:val="18"/>
                <w:lang w:eastAsia="en-US"/>
              </w:rPr>
              <w:t>Scenario 2</w:t>
            </w:r>
            <w:r w:rsidRPr="0091532F">
              <w:rPr>
                <w:rFonts w:eastAsia="Calibri"/>
                <w:szCs w:val="18"/>
                <w:lang w:eastAsia="en-US"/>
              </w:rPr>
              <w:t>, hand-mouth transfer, toddler</w:t>
            </w:r>
          </w:p>
        </w:tc>
        <w:tc>
          <w:tcPr>
            <w:tcW w:w="324" w:type="pct"/>
            <w:shd w:val="clear" w:color="auto" w:fill="auto"/>
          </w:tcPr>
          <w:p w14:paraId="41CD133A" w14:textId="77777777" w:rsidR="00CB0677" w:rsidRPr="00FD2055" w:rsidRDefault="00CB0677" w:rsidP="00CB0677">
            <w:pPr>
              <w:pStyle w:val="Standaard-Tabellen"/>
              <w:rPr>
                <w:rFonts w:eastAsia="Calibri"/>
              </w:rPr>
            </w:pPr>
            <w:r w:rsidRPr="0091532F">
              <w:rPr>
                <w:rFonts w:eastAsia="Calibri"/>
                <w:szCs w:val="18"/>
                <w:lang w:eastAsia="en-US"/>
              </w:rPr>
              <w:t>1</w:t>
            </w:r>
          </w:p>
        </w:tc>
        <w:tc>
          <w:tcPr>
            <w:tcW w:w="616" w:type="pct"/>
            <w:shd w:val="clear" w:color="auto" w:fill="auto"/>
          </w:tcPr>
          <w:p w14:paraId="7367785A"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shd w:val="clear" w:color="auto" w:fill="auto"/>
          </w:tcPr>
          <w:p w14:paraId="6380FE31"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shd w:val="clear" w:color="auto" w:fill="auto"/>
            <w:vAlign w:val="center"/>
          </w:tcPr>
          <w:p w14:paraId="66A49469" w14:textId="77777777" w:rsidR="00CB0677" w:rsidRPr="00FD2055" w:rsidRDefault="00CB0677" w:rsidP="00CB0677">
            <w:pPr>
              <w:pStyle w:val="Standaard-Tabellen"/>
              <w:rPr>
                <w:rFonts w:eastAsia="Calibri"/>
              </w:rPr>
            </w:pPr>
            <w:r w:rsidRPr="00AF7F5A">
              <w:rPr>
                <w:rFonts w:eastAsia="Calibri"/>
              </w:rPr>
              <w:t>Up to 2.06 applications</w:t>
            </w:r>
          </w:p>
        </w:tc>
        <w:tc>
          <w:tcPr>
            <w:tcW w:w="732" w:type="pct"/>
            <w:shd w:val="clear" w:color="auto" w:fill="auto"/>
            <w:vAlign w:val="center"/>
          </w:tcPr>
          <w:p w14:paraId="52DE6E97" w14:textId="77777777" w:rsidR="00CB0677" w:rsidRPr="00FD2055" w:rsidRDefault="00CB0677" w:rsidP="00CB0677">
            <w:pPr>
              <w:pStyle w:val="Standaard-Tabellen"/>
              <w:rPr>
                <w:rFonts w:eastAsia="Calibri"/>
              </w:rPr>
            </w:pPr>
            <w:proofErr w:type="spellStart"/>
            <w:r w:rsidRPr="0091532F">
              <w:rPr>
                <w:rFonts w:eastAsia="Calibri"/>
                <w:szCs w:val="18"/>
                <w:lang w:eastAsia="en-US"/>
              </w:rPr>
              <w:t>n.a.</w:t>
            </w:r>
            <w:proofErr w:type="spellEnd"/>
          </w:p>
        </w:tc>
        <w:tc>
          <w:tcPr>
            <w:tcW w:w="900" w:type="pct"/>
            <w:shd w:val="clear" w:color="auto" w:fill="auto"/>
            <w:vAlign w:val="center"/>
          </w:tcPr>
          <w:p w14:paraId="3A4566A8" w14:textId="77777777" w:rsidR="00CB0677" w:rsidRDefault="00CB0677" w:rsidP="00CB0677">
            <w:pPr>
              <w:pStyle w:val="Standaard-Tabellen"/>
              <w:rPr>
                <w:rFonts w:eastAsia="Calibri"/>
                <w:szCs w:val="18"/>
                <w:lang w:eastAsia="en-US"/>
              </w:rPr>
            </w:pPr>
            <w:r>
              <w:rPr>
                <w:rFonts w:eastAsia="Calibri"/>
                <w:szCs w:val="18"/>
                <w:lang w:eastAsia="en-US"/>
              </w:rPr>
              <w:t>Reverse</w:t>
            </w:r>
          </w:p>
          <w:p w14:paraId="137FFFAB" w14:textId="77777777" w:rsidR="00CB0677" w:rsidRDefault="00CB0677" w:rsidP="00CB0677">
            <w:pPr>
              <w:pStyle w:val="Standaard-Tabellen"/>
              <w:rPr>
                <w:rFonts w:eastAsia="Calibri"/>
                <w:szCs w:val="18"/>
                <w:lang w:eastAsia="en-US"/>
              </w:rPr>
            </w:pPr>
            <w:r>
              <w:rPr>
                <w:rFonts w:eastAsia="Calibri"/>
                <w:szCs w:val="18"/>
                <w:lang w:eastAsia="en-US"/>
              </w:rPr>
              <w:t>reference</w:t>
            </w:r>
          </w:p>
          <w:p w14:paraId="30800549" w14:textId="77777777" w:rsidR="00CB0677" w:rsidRPr="00FD2055" w:rsidRDefault="00CB0677" w:rsidP="00CB0677">
            <w:pPr>
              <w:pStyle w:val="Standaard-Tabellen"/>
              <w:rPr>
                <w:rFonts w:eastAsia="Calibri"/>
              </w:rPr>
            </w:pPr>
            <w:r w:rsidRPr="0091532F">
              <w:rPr>
                <w:rFonts w:eastAsia="Calibri"/>
                <w:szCs w:val="18"/>
                <w:lang w:eastAsia="en-US"/>
              </w:rPr>
              <w:t>scenario</w:t>
            </w:r>
          </w:p>
        </w:tc>
      </w:tr>
      <w:tr w:rsidR="00CB0677" w:rsidRPr="00FD2055" w14:paraId="07E284A7" w14:textId="77777777" w:rsidTr="00CB0677">
        <w:tc>
          <w:tcPr>
            <w:tcW w:w="981" w:type="pct"/>
            <w:tcBorders>
              <w:bottom w:val="single" w:sz="18" w:space="0" w:color="auto"/>
            </w:tcBorders>
            <w:shd w:val="clear" w:color="auto" w:fill="auto"/>
          </w:tcPr>
          <w:p w14:paraId="4A6C3293" w14:textId="77777777" w:rsidR="00CB0677" w:rsidRPr="00FD2055" w:rsidRDefault="00CB0677" w:rsidP="00CB0677">
            <w:pPr>
              <w:pStyle w:val="Standaard-Tabellen"/>
              <w:rPr>
                <w:rFonts w:eastAsia="Calibri"/>
              </w:rPr>
            </w:pPr>
            <w:r>
              <w:rPr>
                <w:rFonts w:eastAsia="Calibri"/>
                <w:szCs w:val="18"/>
                <w:lang w:eastAsia="en-US"/>
              </w:rPr>
              <w:lastRenderedPageBreak/>
              <w:t>Scenario 2</w:t>
            </w:r>
            <w:r w:rsidRPr="0091532F">
              <w:rPr>
                <w:rFonts w:eastAsia="Calibri"/>
                <w:szCs w:val="18"/>
                <w:lang w:eastAsia="en-US"/>
              </w:rPr>
              <w:t>, hand-mouth transfer, infant</w:t>
            </w:r>
          </w:p>
        </w:tc>
        <w:tc>
          <w:tcPr>
            <w:tcW w:w="324" w:type="pct"/>
            <w:tcBorders>
              <w:bottom w:val="single" w:sz="18" w:space="0" w:color="auto"/>
            </w:tcBorders>
            <w:shd w:val="clear" w:color="auto" w:fill="auto"/>
          </w:tcPr>
          <w:p w14:paraId="33DCFC55" w14:textId="77777777" w:rsidR="00CB0677" w:rsidRPr="00FD2055" w:rsidRDefault="00CB0677" w:rsidP="00CB0677">
            <w:pPr>
              <w:pStyle w:val="Standaard-Tabellen"/>
              <w:rPr>
                <w:rFonts w:eastAsia="Calibri"/>
              </w:rPr>
            </w:pPr>
            <w:r w:rsidRPr="0091532F">
              <w:rPr>
                <w:rFonts w:eastAsia="Calibri"/>
                <w:szCs w:val="18"/>
                <w:lang w:eastAsia="en-US"/>
              </w:rPr>
              <w:t>1</w:t>
            </w:r>
          </w:p>
        </w:tc>
        <w:tc>
          <w:tcPr>
            <w:tcW w:w="616" w:type="pct"/>
            <w:tcBorders>
              <w:bottom w:val="single" w:sz="18" w:space="0" w:color="auto"/>
            </w:tcBorders>
            <w:shd w:val="clear" w:color="auto" w:fill="auto"/>
          </w:tcPr>
          <w:p w14:paraId="3FC914EE"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tcBorders>
              <w:bottom w:val="single" w:sz="18" w:space="0" w:color="auto"/>
            </w:tcBorders>
            <w:shd w:val="clear" w:color="auto" w:fill="auto"/>
          </w:tcPr>
          <w:p w14:paraId="2034D650"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tcBorders>
              <w:bottom w:val="single" w:sz="18" w:space="0" w:color="auto"/>
            </w:tcBorders>
            <w:shd w:val="clear" w:color="auto" w:fill="auto"/>
            <w:vAlign w:val="center"/>
          </w:tcPr>
          <w:p w14:paraId="260E8B76" w14:textId="77777777" w:rsidR="00CB0677" w:rsidRPr="00FD2055" w:rsidRDefault="00CB0677" w:rsidP="00CB0677">
            <w:pPr>
              <w:pStyle w:val="Standaard-Tabellen"/>
              <w:rPr>
                <w:rFonts w:eastAsia="Calibri"/>
              </w:rPr>
            </w:pPr>
            <w:r w:rsidRPr="00AF7F5A">
              <w:rPr>
                <w:rFonts w:eastAsia="Calibri"/>
              </w:rPr>
              <w:t>Up to 1.93 applications</w:t>
            </w:r>
          </w:p>
        </w:tc>
        <w:tc>
          <w:tcPr>
            <w:tcW w:w="732" w:type="pct"/>
            <w:tcBorders>
              <w:bottom w:val="single" w:sz="18" w:space="0" w:color="auto"/>
            </w:tcBorders>
            <w:shd w:val="clear" w:color="auto" w:fill="auto"/>
            <w:vAlign w:val="center"/>
          </w:tcPr>
          <w:p w14:paraId="170903E3" w14:textId="77777777" w:rsidR="00CB0677" w:rsidRPr="00FD2055" w:rsidRDefault="00CB0677" w:rsidP="00CB0677">
            <w:pPr>
              <w:pStyle w:val="Standaard-Tabellen"/>
              <w:rPr>
                <w:rFonts w:eastAsia="Calibri"/>
              </w:rPr>
            </w:pPr>
            <w:proofErr w:type="spellStart"/>
            <w:r w:rsidRPr="0091532F">
              <w:rPr>
                <w:rFonts w:eastAsia="Calibri"/>
                <w:szCs w:val="18"/>
                <w:lang w:eastAsia="en-US"/>
              </w:rPr>
              <w:t>n.a.</w:t>
            </w:r>
            <w:proofErr w:type="spellEnd"/>
          </w:p>
        </w:tc>
        <w:tc>
          <w:tcPr>
            <w:tcW w:w="900" w:type="pct"/>
            <w:tcBorders>
              <w:bottom w:val="single" w:sz="18" w:space="0" w:color="auto"/>
            </w:tcBorders>
            <w:shd w:val="clear" w:color="auto" w:fill="auto"/>
            <w:vAlign w:val="center"/>
          </w:tcPr>
          <w:p w14:paraId="4FE6E305" w14:textId="77777777" w:rsidR="00CB0677" w:rsidRDefault="00CB0677" w:rsidP="00CB0677">
            <w:pPr>
              <w:pStyle w:val="Standaard-Tabellen"/>
              <w:rPr>
                <w:rFonts w:eastAsia="Calibri"/>
                <w:szCs w:val="18"/>
                <w:lang w:eastAsia="en-US"/>
              </w:rPr>
            </w:pPr>
            <w:r>
              <w:rPr>
                <w:rFonts w:eastAsia="Calibri"/>
                <w:szCs w:val="18"/>
                <w:lang w:eastAsia="en-US"/>
              </w:rPr>
              <w:t>Reverse</w:t>
            </w:r>
          </w:p>
          <w:p w14:paraId="67A02290" w14:textId="77777777" w:rsidR="00CB0677" w:rsidRDefault="00CB0677" w:rsidP="00CB0677">
            <w:pPr>
              <w:pStyle w:val="Standaard-Tabellen"/>
              <w:rPr>
                <w:rFonts w:eastAsia="Calibri"/>
                <w:szCs w:val="18"/>
                <w:lang w:eastAsia="en-US"/>
              </w:rPr>
            </w:pPr>
            <w:r>
              <w:rPr>
                <w:rFonts w:eastAsia="Calibri"/>
                <w:szCs w:val="18"/>
                <w:lang w:eastAsia="en-US"/>
              </w:rPr>
              <w:t>reference</w:t>
            </w:r>
          </w:p>
          <w:p w14:paraId="055ACFCC" w14:textId="77777777" w:rsidR="00CB0677" w:rsidRPr="00FD2055" w:rsidRDefault="00CB0677" w:rsidP="00CB0677">
            <w:pPr>
              <w:pStyle w:val="Standaard-Tabellen"/>
              <w:rPr>
                <w:rFonts w:eastAsia="Calibri"/>
              </w:rPr>
            </w:pPr>
            <w:r w:rsidRPr="0091532F">
              <w:rPr>
                <w:rFonts w:eastAsia="Calibri"/>
                <w:szCs w:val="18"/>
                <w:lang w:eastAsia="en-US"/>
              </w:rPr>
              <w:t>scenario</w:t>
            </w:r>
          </w:p>
        </w:tc>
      </w:tr>
      <w:tr w:rsidR="00CB0677" w:rsidRPr="00FD2055" w14:paraId="686A87BA" w14:textId="77777777" w:rsidTr="00CB0677">
        <w:tc>
          <w:tcPr>
            <w:tcW w:w="981" w:type="pct"/>
            <w:tcBorders>
              <w:top w:val="single" w:sz="18" w:space="0" w:color="auto"/>
            </w:tcBorders>
            <w:shd w:val="clear" w:color="auto" w:fill="auto"/>
          </w:tcPr>
          <w:p w14:paraId="1807AF58" w14:textId="77777777" w:rsidR="00CB0677" w:rsidRPr="00FD2055" w:rsidRDefault="00CB0677" w:rsidP="00CB0677">
            <w:pPr>
              <w:pStyle w:val="Standaard-Tabellen"/>
              <w:rPr>
                <w:rFonts w:eastAsia="Calibri"/>
              </w:rPr>
            </w:pPr>
            <w:r>
              <w:rPr>
                <w:rFonts w:eastAsia="Calibri"/>
                <w:szCs w:val="18"/>
                <w:lang w:eastAsia="en-US"/>
              </w:rPr>
              <w:t>Scenario 3</w:t>
            </w:r>
            <w:r w:rsidRPr="0091532F">
              <w:rPr>
                <w:rFonts w:eastAsia="Calibri"/>
                <w:szCs w:val="18"/>
                <w:lang w:eastAsia="en-US"/>
              </w:rPr>
              <w:t xml:space="preserve">, </w:t>
            </w:r>
            <w:proofErr w:type="spellStart"/>
            <w:r w:rsidRPr="0091532F">
              <w:rPr>
                <w:rFonts w:eastAsia="Calibri"/>
                <w:szCs w:val="18"/>
                <w:lang w:eastAsia="en-US"/>
              </w:rPr>
              <w:t>inhal</w:t>
            </w:r>
            <w:proofErr w:type="spellEnd"/>
            <w:r w:rsidRPr="0091532F">
              <w:rPr>
                <w:rFonts w:eastAsia="Calibri"/>
                <w:szCs w:val="18"/>
                <w:lang w:eastAsia="en-US"/>
              </w:rPr>
              <w:t>, adult</w:t>
            </w:r>
          </w:p>
        </w:tc>
        <w:tc>
          <w:tcPr>
            <w:tcW w:w="324" w:type="pct"/>
            <w:tcBorders>
              <w:top w:val="single" w:sz="18" w:space="0" w:color="auto"/>
            </w:tcBorders>
            <w:shd w:val="clear" w:color="auto" w:fill="auto"/>
          </w:tcPr>
          <w:p w14:paraId="79DE910A" w14:textId="77777777" w:rsidR="00CB0677" w:rsidRPr="00FD2055" w:rsidRDefault="00CB0677" w:rsidP="00CB0677">
            <w:pPr>
              <w:pStyle w:val="Standaard-Tabellen"/>
              <w:rPr>
                <w:rFonts w:eastAsia="Calibri"/>
              </w:rPr>
            </w:pPr>
            <w:r w:rsidRPr="0091532F">
              <w:rPr>
                <w:rFonts w:eastAsia="Calibri"/>
                <w:szCs w:val="18"/>
                <w:lang w:eastAsia="en-US"/>
              </w:rPr>
              <w:t>1</w:t>
            </w:r>
          </w:p>
        </w:tc>
        <w:tc>
          <w:tcPr>
            <w:tcW w:w="616" w:type="pct"/>
            <w:tcBorders>
              <w:top w:val="single" w:sz="18" w:space="0" w:color="auto"/>
            </w:tcBorders>
            <w:shd w:val="clear" w:color="auto" w:fill="auto"/>
          </w:tcPr>
          <w:p w14:paraId="6A6F372C"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tcBorders>
              <w:top w:val="single" w:sz="18" w:space="0" w:color="auto"/>
            </w:tcBorders>
            <w:shd w:val="clear" w:color="auto" w:fill="auto"/>
          </w:tcPr>
          <w:p w14:paraId="47A48DA4"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shd w:val="clear" w:color="auto" w:fill="auto"/>
            <w:vAlign w:val="center"/>
          </w:tcPr>
          <w:p w14:paraId="0EDAB3AF" w14:textId="77777777" w:rsidR="00CB0677" w:rsidRPr="00B50CB0" w:rsidRDefault="00CB0677" w:rsidP="00CB0677">
            <w:pPr>
              <w:pStyle w:val="Standaard-Tabellen"/>
              <w:rPr>
                <w:rFonts w:eastAsia="Calibri"/>
              </w:rPr>
            </w:pPr>
            <w:r w:rsidRPr="00892C32">
              <w:rPr>
                <w:rFonts w:eastAsia="Calibri"/>
                <w:bCs w:val="0"/>
              </w:rPr>
              <w:t>3.65</w:t>
            </w:r>
            <w:r w:rsidRPr="00B50CB0">
              <w:rPr>
                <w:rFonts w:eastAsia="Calibri"/>
                <w:bCs w:val="0"/>
              </w:rPr>
              <w:t xml:space="preserve"> </w:t>
            </w:r>
          </w:p>
        </w:tc>
        <w:tc>
          <w:tcPr>
            <w:tcW w:w="732" w:type="pct"/>
            <w:tcBorders>
              <w:top w:val="single" w:sz="18" w:space="0" w:color="auto"/>
            </w:tcBorders>
            <w:shd w:val="clear" w:color="auto" w:fill="auto"/>
            <w:vAlign w:val="center"/>
          </w:tcPr>
          <w:p w14:paraId="772BF1A6" w14:textId="77777777" w:rsidR="00CB0677" w:rsidRPr="00B50CB0" w:rsidRDefault="00CB0677" w:rsidP="00CB0677">
            <w:pPr>
              <w:pStyle w:val="Standaard-Tabellen"/>
              <w:rPr>
                <w:rFonts w:eastAsia="Calibri"/>
              </w:rPr>
            </w:pPr>
            <w:r w:rsidRPr="00892C32">
              <w:rPr>
                <w:rFonts w:eastAsia="Calibri"/>
                <w:szCs w:val="18"/>
                <w:lang w:eastAsia="en-US"/>
              </w:rPr>
              <w:t>73</w:t>
            </w:r>
          </w:p>
        </w:tc>
        <w:tc>
          <w:tcPr>
            <w:tcW w:w="900" w:type="pct"/>
            <w:tcBorders>
              <w:top w:val="single" w:sz="18" w:space="0" w:color="auto"/>
            </w:tcBorders>
            <w:shd w:val="clear" w:color="auto" w:fill="auto"/>
            <w:vAlign w:val="center"/>
          </w:tcPr>
          <w:p w14:paraId="6BE26C88" w14:textId="77777777" w:rsidR="00CB0677" w:rsidRPr="00FD2055" w:rsidRDefault="00CB0677" w:rsidP="00CB0677">
            <w:pPr>
              <w:pStyle w:val="Standaard-Tabellen"/>
              <w:rPr>
                <w:rFonts w:eastAsia="Calibri"/>
              </w:rPr>
            </w:pPr>
            <w:r w:rsidRPr="0091532F">
              <w:rPr>
                <w:rFonts w:eastAsia="Calibri"/>
                <w:szCs w:val="18"/>
                <w:lang w:eastAsia="en-US"/>
              </w:rPr>
              <w:t>Yes</w:t>
            </w:r>
            <w:r>
              <w:rPr>
                <w:rFonts w:eastAsia="Calibri"/>
                <w:szCs w:val="18"/>
                <w:lang w:eastAsia="en-US"/>
              </w:rPr>
              <w:t xml:space="preserve"> </w:t>
            </w:r>
          </w:p>
        </w:tc>
      </w:tr>
      <w:tr w:rsidR="00CB0677" w:rsidRPr="00FD2055" w14:paraId="3E692A7F" w14:textId="77777777" w:rsidTr="00CB0677">
        <w:tc>
          <w:tcPr>
            <w:tcW w:w="981" w:type="pct"/>
            <w:shd w:val="clear" w:color="auto" w:fill="auto"/>
          </w:tcPr>
          <w:p w14:paraId="59E5E12E" w14:textId="77777777" w:rsidR="00CB0677" w:rsidRPr="00FD2055" w:rsidRDefault="00CB0677" w:rsidP="00CB0677">
            <w:pPr>
              <w:pStyle w:val="Standaard-Tabellen"/>
              <w:rPr>
                <w:rFonts w:eastAsia="Calibri"/>
              </w:rPr>
            </w:pPr>
            <w:r>
              <w:rPr>
                <w:rFonts w:eastAsia="Calibri"/>
                <w:szCs w:val="18"/>
                <w:lang w:eastAsia="en-US"/>
              </w:rPr>
              <w:t>Scenario 3</w:t>
            </w:r>
            <w:r w:rsidRPr="0091532F">
              <w:rPr>
                <w:rFonts w:eastAsia="Calibri"/>
                <w:szCs w:val="18"/>
                <w:lang w:eastAsia="en-US"/>
              </w:rPr>
              <w:t xml:space="preserve">, </w:t>
            </w:r>
            <w:proofErr w:type="spellStart"/>
            <w:r w:rsidRPr="0091532F">
              <w:rPr>
                <w:rFonts w:eastAsia="Calibri"/>
                <w:szCs w:val="18"/>
                <w:lang w:eastAsia="en-US"/>
              </w:rPr>
              <w:t>inhal</w:t>
            </w:r>
            <w:proofErr w:type="spellEnd"/>
            <w:r w:rsidRPr="0091532F">
              <w:rPr>
                <w:rFonts w:eastAsia="Calibri"/>
                <w:szCs w:val="18"/>
                <w:lang w:eastAsia="en-US"/>
              </w:rPr>
              <w:t>, child</w:t>
            </w:r>
          </w:p>
        </w:tc>
        <w:tc>
          <w:tcPr>
            <w:tcW w:w="324" w:type="pct"/>
            <w:shd w:val="clear" w:color="auto" w:fill="auto"/>
          </w:tcPr>
          <w:p w14:paraId="62FC9027" w14:textId="77777777" w:rsidR="00CB0677" w:rsidRPr="00FD2055" w:rsidRDefault="00CB0677" w:rsidP="00CB0677">
            <w:pPr>
              <w:pStyle w:val="Standaard-Tabellen"/>
              <w:rPr>
                <w:rFonts w:eastAsia="Calibri"/>
              </w:rPr>
            </w:pPr>
            <w:r w:rsidRPr="0091532F">
              <w:rPr>
                <w:rFonts w:eastAsia="Calibri"/>
                <w:szCs w:val="18"/>
                <w:lang w:eastAsia="en-US"/>
              </w:rPr>
              <w:t>1</w:t>
            </w:r>
          </w:p>
        </w:tc>
        <w:tc>
          <w:tcPr>
            <w:tcW w:w="616" w:type="pct"/>
            <w:shd w:val="clear" w:color="auto" w:fill="auto"/>
          </w:tcPr>
          <w:p w14:paraId="0E331E55" w14:textId="77777777" w:rsidR="00CB0677" w:rsidRPr="00FD2055" w:rsidRDefault="00CB0677" w:rsidP="00CB0677">
            <w:pPr>
              <w:pStyle w:val="Standaard-Tabellen"/>
              <w:rPr>
                <w:rFonts w:eastAsia="Calibri"/>
              </w:rPr>
            </w:pPr>
            <w:r>
              <w:rPr>
                <w:rFonts w:eastAsia="Calibri"/>
                <w:szCs w:val="18"/>
                <w:lang w:eastAsia="en-US"/>
              </w:rPr>
              <w:t>500</w:t>
            </w:r>
          </w:p>
        </w:tc>
        <w:tc>
          <w:tcPr>
            <w:tcW w:w="483" w:type="pct"/>
            <w:shd w:val="clear" w:color="auto" w:fill="auto"/>
          </w:tcPr>
          <w:p w14:paraId="5A1F6783" w14:textId="77777777" w:rsidR="00CB0677" w:rsidRPr="00FD2055" w:rsidRDefault="00CB0677" w:rsidP="00CB0677">
            <w:pPr>
              <w:pStyle w:val="Standaard-Tabellen"/>
              <w:rPr>
                <w:rFonts w:eastAsia="Calibri"/>
              </w:rPr>
            </w:pPr>
            <w:r>
              <w:rPr>
                <w:rFonts w:eastAsia="Calibri"/>
                <w:szCs w:val="18"/>
                <w:lang w:eastAsia="en-US"/>
              </w:rPr>
              <w:t>5</w:t>
            </w:r>
          </w:p>
        </w:tc>
        <w:tc>
          <w:tcPr>
            <w:tcW w:w="963" w:type="pct"/>
            <w:shd w:val="clear" w:color="auto" w:fill="auto"/>
            <w:vAlign w:val="center"/>
          </w:tcPr>
          <w:p w14:paraId="01D2F51E" w14:textId="77777777" w:rsidR="00CB0677" w:rsidRPr="00B50CB0" w:rsidRDefault="00CB0677" w:rsidP="00CB0677">
            <w:pPr>
              <w:pStyle w:val="Standaard-Tabellen"/>
              <w:rPr>
                <w:rFonts w:eastAsia="Calibri"/>
              </w:rPr>
            </w:pPr>
            <w:r w:rsidRPr="00892C32">
              <w:rPr>
                <w:rFonts w:eastAsia="Calibri"/>
                <w:bCs w:val="0"/>
              </w:rPr>
              <w:t>2.68</w:t>
            </w:r>
            <w:r w:rsidRPr="00B50CB0">
              <w:rPr>
                <w:rFonts w:eastAsia="Calibri"/>
                <w:bCs w:val="0"/>
              </w:rPr>
              <w:t xml:space="preserve"> </w:t>
            </w:r>
          </w:p>
        </w:tc>
        <w:tc>
          <w:tcPr>
            <w:tcW w:w="732" w:type="pct"/>
            <w:shd w:val="clear" w:color="auto" w:fill="auto"/>
            <w:vAlign w:val="center"/>
          </w:tcPr>
          <w:p w14:paraId="1512424A" w14:textId="77777777" w:rsidR="00CB0677" w:rsidRPr="00B50CB0" w:rsidRDefault="00CB0677" w:rsidP="00CB0677">
            <w:pPr>
              <w:pStyle w:val="Standaard-Tabellen"/>
              <w:rPr>
                <w:rFonts w:eastAsia="Calibri"/>
              </w:rPr>
            </w:pPr>
            <w:r w:rsidRPr="00892C32">
              <w:rPr>
                <w:rFonts w:eastAsia="Calibri"/>
                <w:szCs w:val="18"/>
                <w:lang w:eastAsia="en-US"/>
              </w:rPr>
              <w:t>53.6</w:t>
            </w:r>
          </w:p>
        </w:tc>
        <w:tc>
          <w:tcPr>
            <w:tcW w:w="900" w:type="pct"/>
            <w:shd w:val="clear" w:color="auto" w:fill="auto"/>
            <w:vAlign w:val="center"/>
          </w:tcPr>
          <w:p w14:paraId="7885C1CF" w14:textId="77777777" w:rsidR="00CB0677" w:rsidRPr="00FD2055" w:rsidRDefault="00CB0677" w:rsidP="00CB0677">
            <w:pPr>
              <w:pStyle w:val="Standaard-Tabellen"/>
              <w:rPr>
                <w:rFonts w:eastAsia="Calibri"/>
              </w:rPr>
            </w:pPr>
            <w:r w:rsidRPr="0091532F">
              <w:rPr>
                <w:rFonts w:eastAsia="Calibri"/>
                <w:szCs w:val="18"/>
                <w:lang w:eastAsia="en-US"/>
              </w:rPr>
              <w:t>Yes</w:t>
            </w:r>
            <w:r>
              <w:rPr>
                <w:rFonts w:eastAsia="Calibri"/>
                <w:szCs w:val="18"/>
                <w:lang w:eastAsia="en-US"/>
              </w:rPr>
              <w:t xml:space="preserve"> </w:t>
            </w:r>
          </w:p>
        </w:tc>
      </w:tr>
      <w:tr w:rsidR="00CB0677" w:rsidRPr="00FD2055" w14:paraId="6445AE08" w14:textId="77777777" w:rsidTr="00CB0677">
        <w:tc>
          <w:tcPr>
            <w:tcW w:w="981" w:type="pct"/>
            <w:shd w:val="clear" w:color="auto" w:fill="auto"/>
          </w:tcPr>
          <w:p w14:paraId="63900D32" w14:textId="77777777" w:rsidR="00CB0677" w:rsidRDefault="00CB0677" w:rsidP="00CB0677">
            <w:pPr>
              <w:pStyle w:val="Standaard-Tabellen"/>
              <w:rPr>
                <w:rFonts w:eastAsia="Calibri"/>
                <w:szCs w:val="18"/>
                <w:lang w:eastAsia="en-US"/>
              </w:rPr>
            </w:pPr>
            <w:r>
              <w:rPr>
                <w:rFonts w:eastAsia="Calibri"/>
                <w:szCs w:val="18"/>
                <w:lang w:eastAsia="en-US"/>
              </w:rPr>
              <w:t>Scenario 3</w:t>
            </w:r>
            <w:r w:rsidRPr="0091532F">
              <w:rPr>
                <w:rFonts w:eastAsia="Calibri"/>
                <w:szCs w:val="18"/>
                <w:lang w:eastAsia="en-US"/>
              </w:rPr>
              <w:t xml:space="preserve">, </w:t>
            </w:r>
            <w:proofErr w:type="spellStart"/>
            <w:r w:rsidRPr="0091532F">
              <w:rPr>
                <w:rFonts w:eastAsia="Calibri"/>
                <w:szCs w:val="18"/>
                <w:lang w:eastAsia="en-US"/>
              </w:rPr>
              <w:t>inhal</w:t>
            </w:r>
            <w:proofErr w:type="spellEnd"/>
            <w:r w:rsidRPr="0091532F">
              <w:rPr>
                <w:rFonts w:eastAsia="Calibri"/>
                <w:szCs w:val="18"/>
                <w:lang w:eastAsia="en-US"/>
              </w:rPr>
              <w:t>, child</w:t>
            </w:r>
          </w:p>
        </w:tc>
        <w:tc>
          <w:tcPr>
            <w:tcW w:w="324" w:type="pct"/>
            <w:shd w:val="clear" w:color="auto" w:fill="auto"/>
          </w:tcPr>
          <w:p w14:paraId="285726CF"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1</w:t>
            </w:r>
          </w:p>
        </w:tc>
        <w:tc>
          <w:tcPr>
            <w:tcW w:w="616" w:type="pct"/>
            <w:shd w:val="clear" w:color="auto" w:fill="auto"/>
          </w:tcPr>
          <w:p w14:paraId="32789F67" w14:textId="77777777" w:rsidR="00CB0677" w:rsidRPr="0091532F" w:rsidRDefault="00CB0677" w:rsidP="00CB0677">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588801D7" w14:textId="77777777" w:rsidR="00CB0677" w:rsidRPr="0091532F" w:rsidRDefault="00CB0677" w:rsidP="00CB0677">
            <w:pPr>
              <w:pStyle w:val="Standaard-Tabellen"/>
              <w:rPr>
                <w:rFonts w:eastAsia="Calibri"/>
                <w:szCs w:val="18"/>
                <w:lang w:eastAsia="en-US"/>
              </w:rPr>
            </w:pPr>
            <w:r>
              <w:rPr>
                <w:rFonts w:eastAsia="Calibri"/>
                <w:szCs w:val="18"/>
                <w:lang w:eastAsia="en-US"/>
              </w:rPr>
              <w:t>5</w:t>
            </w:r>
          </w:p>
        </w:tc>
        <w:tc>
          <w:tcPr>
            <w:tcW w:w="963" w:type="pct"/>
            <w:shd w:val="clear" w:color="auto" w:fill="auto"/>
            <w:vAlign w:val="center"/>
          </w:tcPr>
          <w:p w14:paraId="74BB839F" w14:textId="77777777" w:rsidR="00CB0677" w:rsidRPr="00B50CB0" w:rsidRDefault="00CB0677" w:rsidP="00CB0677">
            <w:pPr>
              <w:pStyle w:val="Standaard-Tabellen"/>
              <w:rPr>
                <w:rFonts w:eastAsia="Calibri"/>
                <w:szCs w:val="18"/>
              </w:rPr>
            </w:pPr>
            <w:r w:rsidRPr="00892C32">
              <w:rPr>
                <w:rFonts w:eastAsia="Calibri"/>
                <w:bCs w:val="0"/>
              </w:rPr>
              <w:t>2.89</w:t>
            </w:r>
            <w:r w:rsidRPr="00B50CB0">
              <w:rPr>
                <w:rFonts w:eastAsia="Calibri"/>
                <w:bCs w:val="0"/>
              </w:rPr>
              <w:t xml:space="preserve"> </w:t>
            </w:r>
          </w:p>
        </w:tc>
        <w:tc>
          <w:tcPr>
            <w:tcW w:w="732" w:type="pct"/>
            <w:shd w:val="clear" w:color="auto" w:fill="auto"/>
            <w:vAlign w:val="center"/>
          </w:tcPr>
          <w:p w14:paraId="58B567E4" w14:textId="77777777" w:rsidR="00CB0677" w:rsidRPr="00B50CB0" w:rsidRDefault="00CB0677" w:rsidP="00CB0677">
            <w:pPr>
              <w:pStyle w:val="Standaard-Tabellen"/>
              <w:rPr>
                <w:rFonts w:eastAsia="Calibri"/>
                <w:szCs w:val="18"/>
                <w:lang w:eastAsia="en-US"/>
              </w:rPr>
            </w:pPr>
            <w:r w:rsidRPr="00892C32">
              <w:rPr>
                <w:rFonts w:eastAsia="Calibri"/>
                <w:szCs w:val="18"/>
                <w:lang w:eastAsia="en-US"/>
              </w:rPr>
              <w:t>57.8</w:t>
            </w:r>
          </w:p>
        </w:tc>
        <w:tc>
          <w:tcPr>
            <w:tcW w:w="900" w:type="pct"/>
            <w:shd w:val="clear" w:color="auto" w:fill="auto"/>
            <w:vAlign w:val="center"/>
          </w:tcPr>
          <w:p w14:paraId="425F7CDB"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Yes</w:t>
            </w:r>
            <w:r>
              <w:rPr>
                <w:rFonts w:eastAsia="Calibri"/>
                <w:szCs w:val="18"/>
                <w:lang w:eastAsia="en-US"/>
              </w:rPr>
              <w:t xml:space="preserve"> </w:t>
            </w:r>
          </w:p>
        </w:tc>
      </w:tr>
      <w:tr w:rsidR="00CB0677" w:rsidRPr="00FD2055" w14:paraId="760160BB" w14:textId="77777777" w:rsidTr="00CB0677">
        <w:tc>
          <w:tcPr>
            <w:tcW w:w="981" w:type="pct"/>
            <w:shd w:val="clear" w:color="auto" w:fill="auto"/>
          </w:tcPr>
          <w:p w14:paraId="603245E4" w14:textId="77777777" w:rsidR="00CB0677" w:rsidRDefault="00CB0677" w:rsidP="00CB0677">
            <w:pPr>
              <w:pStyle w:val="Standaard-Tabellen"/>
              <w:rPr>
                <w:rFonts w:eastAsia="Calibri"/>
                <w:szCs w:val="18"/>
                <w:lang w:eastAsia="en-US"/>
              </w:rPr>
            </w:pPr>
            <w:r>
              <w:rPr>
                <w:rFonts w:eastAsia="Calibri"/>
                <w:szCs w:val="18"/>
                <w:lang w:eastAsia="en-US"/>
              </w:rPr>
              <w:t>Scenario 3</w:t>
            </w:r>
            <w:r w:rsidRPr="0091532F">
              <w:rPr>
                <w:rFonts w:eastAsia="Calibri"/>
                <w:szCs w:val="18"/>
                <w:lang w:eastAsia="en-US"/>
              </w:rPr>
              <w:t xml:space="preserve">, </w:t>
            </w:r>
            <w:proofErr w:type="spellStart"/>
            <w:r w:rsidRPr="0091532F">
              <w:rPr>
                <w:rFonts w:eastAsia="Calibri"/>
                <w:szCs w:val="18"/>
                <w:lang w:eastAsia="en-US"/>
              </w:rPr>
              <w:t>inhal</w:t>
            </w:r>
            <w:proofErr w:type="spellEnd"/>
            <w:r w:rsidRPr="0091532F">
              <w:rPr>
                <w:rFonts w:eastAsia="Calibri"/>
                <w:szCs w:val="18"/>
                <w:lang w:eastAsia="en-US"/>
              </w:rPr>
              <w:t>, toddler</w:t>
            </w:r>
          </w:p>
        </w:tc>
        <w:tc>
          <w:tcPr>
            <w:tcW w:w="324" w:type="pct"/>
            <w:shd w:val="clear" w:color="auto" w:fill="auto"/>
          </w:tcPr>
          <w:p w14:paraId="03B025A2"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1</w:t>
            </w:r>
          </w:p>
        </w:tc>
        <w:tc>
          <w:tcPr>
            <w:tcW w:w="616" w:type="pct"/>
            <w:shd w:val="clear" w:color="auto" w:fill="auto"/>
          </w:tcPr>
          <w:p w14:paraId="17A05740" w14:textId="77777777" w:rsidR="00CB0677" w:rsidRPr="0091532F" w:rsidRDefault="00CB0677" w:rsidP="00CB0677">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7D3FE9D8" w14:textId="77777777" w:rsidR="00CB0677" w:rsidRPr="0091532F" w:rsidRDefault="00CB0677" w:rsidP="00CB0677">
            <w:pPr>
              <w:pStyle w:val="Standaard-Tabellen"/>
              <w:rPr>
                <w:rFonts w:eastAsia="Calibri"/>
                <w:szCs w:val="18"/>
                <w:lang w:eastAsia="en-US"/>
              </w:rPr>
            </w:pPr>
            <w:r>
              <w:rPr>
                <w:rFonts w:eastAsia="Calibri"/>
                <w:szCs w:val="18"/>
                <w:lang w:eastAsia="en-US"/>
              </w:rPr>
              <w:t>5</w:t>
            </w:r>
          </w:p>
        </w:tc>
        <w:tc>
          <w:tcPr>
            <w:tcW w:w="963" w:type="pct"/>
            <w:shd w:val="clear" w:color="auto" w:fill="auto"/>
            <w:vAlign w:val="center"/>
          </w:tcPr>
          <w:p w14:paraId="17FAFB22" w14:textId="77777777" w:rsidR="00CB0677" w:rsidRPr="00B50CB0" w:rsidRDefault="00CB0677" w:rsidP="00CB0677">
            <w:pPr>
              <w:pStyle w:val="Standaard-Tabellen"/>
              <w:rPr>
                <w:rFonts w:eastAsia="Calibri"/>
                <w:szCs w:val="18"/>
              </w:rPr>
            </w:pPr>
            <w:r w:rsidRPr="00892C32">
              <w:rPr>
                <w:rFonts w:eastAsia="Calibri"/>
                <w:bCs w:val="0"/>
              </w:rPr>
              <w:t>3.19</w:t>
            </w:r>
            <w:r w:rsidRPr="00B50CB0">
              <w:rPr>
                <w:rFonts w:eastAsia="Calibri"/>
                <w:bCs w:val="0"/>
              </w:rPr>
              <w:t xml:space="preserve"> </w:t>
            </w:r>
          </w:p>
        </w:tc>
        <w:tc>
          <w:tcPr>
            <w:tcW w:w="732" w:type="pct"/>
            <w:shd w:val="clear" w:color="auto" w:fill="auto"/>
            <w:vAlign w:val="center"/>
          </w:tcPr>
          <w:p w14:paraId="1280FDFA" w14:textId="77777777" w:rsidR="00CB0677" w:rsidRPr="00B50CB0" w:rsidRDefault="00CB0677" w:rsidP="00CB0677">
            <w:pPr>
              <w:pStyle w:val="Standaard-Tabellen"/>
              <w:rPr>
                <w:rFonts w:eastAsia="Calibri"/>
                <w:szCs w:val="18"/>
                <w:lang w:eastAsia="en-US"/>
              </w:rPr>
            </w:pPr>
            <w:r w:rsidRPr="00892C32">
              <w:rPr>
                <w:rFonts w:eastAsia="Calibri"/>
                <w:szCs w:val="18"/>
                <w:lang w:eastAsia="en-US"/>
              </w:rPr>
              <w:t>63.8</w:t>
            </w:r>
          </w:p>
        </w:tc>
        <w:tc>
          <w:tcPr>
            <w:tcW w:w="900" w:type="pct"/>
            <w:shd w:val="clear" w:color="auto" w:fill="auto"/>
            <w:vAlign w:val="center"/>
          </w:tcPr>
          <w:p w14:paraId="799C2341"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Yes</w:t>
            </w:r>
            <w:r>
              <w:rPr>
                <w:rFonts w:eastAsia="Calibri"/>
                <w:szCs w:val="18"/>
                <w:lang w:eastAsia="en-US"/>
              </w:rPr>
              <w:t xml:space="preserve"> </w:t>
            </w:r>
          </w:p>
        </w:tc>
      </w:tr>
      <w:tr w:rsidR="00CB0677" w:rsidRPr="00FD2055" w14:paraId="10126F21" w14:textId="77777777" w:rsidTr="00CB0677">
        <w:tc>
          <w:tcPr>
            <w:tcW w:w="981" w:type="pct"/>
            <w:shd w:val="clear" w:color="auto" w:fill="auto"/>
          </w:tcPr>
          <w:p w14:paraId="2DE8EA55" w14:textId="77777777" w:rsidR="00CB0677" w:rsidRDefault="00CB0677" w:rsidP="00CB0677">
            <w:pPr>
              <w:pStyle w:val="Standaard-Tabellen"/>
              <w:rPr>
                <w:rFonts w:eastAsia="Calibri"/>
                <w:szCs w:val="18"/>
                <w:lang w:eastAsia="en-US"/>
              </w:rPr>
            </w:pPr>
            <w:r>
              <w:rPr>
                <w:rFonts w:eastAsia="Calibri"/>
                <w:szCs w:val="18"/>
                <w:lang w:eastAsia="en-US"/>
              </w:rPr>
              <w:t>Scenario 3</w:t>
            </w:r>
            <w:r w:rsidRPr="0091532F">
              <w:rPr>
                <w:rFonts w:eastAsia="Calibri"/>
                <w:szCs w:val="18"/>
                <w:lang w:eastAsia="en-US"/>
              </w:rPr>
              <w:t xml:space="preserve">, </w:t>
            </w:r>
            <w:proofErr w:type="spellStart"/>
            <w:r w:rsidRPr="0091532F">
              <w:rPr>
                <w:rFonts w:eastAsia="Calibri"/>
                <w:szCs w:val="18"/>
                <w:lang w:eastAsia="en-US"/>
              </w:rPr>
              <w:t>inhal</w:t>
            </w:r>
            <w:proofErr w:type="spellEnd"/>
            <w:r w:rsidRPr="0091532F">
              <w:rPr>
                <w:rFonts w:eastAsia="Calibri"/>
                <w:szCs w:val="18"/>
                <w:lang w:eastAsia="en-US"/>
              </w:rPr>
              <w:t>, infant</w:t>
            </w:r>
          </w:p>
        </w:tc>
        <w:tc>
          <w:tcPr>
            <w:tcW w:w="324" w:type="pct"/>
            <w:shd w:val="clear" w:color="auto" w:fill="auto"/>
          </w:tcPr>
          <w:p w14:paraId="5B729738"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1</w:t>
            </w:r>
          </w:p>
        </w:tc>
        <w:tc>
          <w:tcPr>
            <w:tcW w:w="616" w:type="pct"/>
            <w:shd w:val="clear" w:color="auto" w:fill="auto"/>
          </w:tcPr>
          <w:p w14:paraId="56201F1A" w14:textId="77777777" w:rsidR="00CB0677" w:rsidRPr="0091532F" w:rsidRDefault="00CB0677" w:rsidP="00CB0677">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29560788" w14:textId="77777777" w:rsidR="00CB0677" w:rsidRPr="0091532F" w:rsidRDefault="00CB0677" w:rsidP="00CB0677">
            <w:pPr>
              <w:pStyle w:val="Standaard-Tabellen"/>
              <w:rPr>
                <w:rFonts w:eastAsia="Calibri"/>
                <w:szCs w:val="18"/>
                <w:lang w:eastAsia="en-US"/>
              </w:rPr>
            </w:pPr>
            <w:r>
              <w:rPr>
                <w:rFonts w:eastAsia="Calibri"/>
                <w:szCs w:val="18"/>
                <w:lang w:eastAsia="en-US"/>
              </w:rPr>
              <w:t>5</w:t>
            </w:r>
          </w:p>
        </w:tc>
        <w:tc>
          <w:tcPr>
            <w:tcW w:w="963" w:type="pct"/>
            <w:shd w:val="clear" w:color="auto" w:fill="auto"/>
            <w:vAlign w:val="center"/>
          </w:tcPr>
          <w:p w14:paraId="646BB323" w14:textId="77777777" w:rsidR="00CB0677" w:rsidRPr="00B50CB0" w:rsidRDefault="00CB0677" w:rsidP="00CB0677">
            <w:pPr>
              <w:pStyle w:val="Standaard-Tabellen"/>
              <w:rPr>
                <w:rFonts w:eastAsia="Calibri"/>
                <w:szCs w:val="18"/>
              </w:rPr>
            </w:pPr>
            <w:r w:rsidRPr="00892C32">
              <w:rPr>
                <w:rFonts w:eastAsia="Calibri"/>
                <w:szCs w:val="18"/>
              </w:rPr>
              <w:t>2.27</w:t>
            </w:r>
          </w:p>
        </w:tc>
        <w:tc>
          <w:tcPr>
            <w:tcW w:w="732" w:type="pct"/>
            <w:shd w:val="clear" w:color="auto" w:fill="auto"/>
            <w:vAlign w:val="center"/>
          </w:tcPr>
          <w:p w14:paraId="12C4318A" w14:textId="77777777" w:rsidR="00CB0677" w:rsidRPr="00B50CB0" w:rsidRDefault="00CB0677" w:rsidP="00CB0677">
            <w:pPr>
              <w:pStyle w:val="Standaard-Tabellen"/>
              <w:rPr>
                <w:rFonts w:eastAsia="Calibri"/>
                <w:szCs w:val="18"/>
                <w:lang w:eastAsia="en-US"/>
              </w:rPr>
            </w:pPr>
            <w:r w:rsidRPr="00892C32">
              <w:rPr>
                <w:rFonts w:eastAsia="Calibri"/>
                <w:szCs w:val="18"/>
                <w:lang w:eastAsia="en-US"/>
              </w:rPr>
              <w:t>45.4</w:t>
            </w:r>
          </w:p>
        </w:tc>
        <w:tc>
          <w:tcPr>
            <w:tcW w:w="900" w:type="pct"/>
            <w:shd w:val="clear" w:color="auto" w:fill="auto"/>
            <w:vAlign w:val="center"/>
          </w:tcPr>
          <w:p w14:paraId="0BAD3D39" w14:textId="77777777" w:rsidR="00CB0677" w:rsidRPr="0091532F" w:rsidRDefault="00CB0677" w:rsidP="00CB0677">
            <w:pPr>
              <w:pStyle w:val="Standaard-Tabellen"/>
              <w:rPr>
                <w:rFonts w:eastAsia="Calibri"/>
                <w:szCs w:val="18"/>
                <w:lang w:eastAsia="en-US"/>
              </w:rPr>
            </w:pPr>
            <w:r w:rsidRPr="0091532F">
              <w:rPr>
                <w:rFonts w:eastAsia="Calibri"/>
                <w:szCs w:val="18"/>
                <w:lang w:eastAsia="en-US"/>
              </w:rPr>
              <w:t>Yes</w:t>
            </w:r>
            <w:r>
              <w:rPr>
                <w:rFonts w:eastAsia="Calibri"/>
                <w:szCs w:val="18"/>
                <w:lang w:eastAsia="en-US"/>
              </w:rPr>
              <w:t xml:space="preserve"> </w:t>
            </w:r>
          </w:p>
        </w:tc>
      </w:tr>
    </w:tbl>
    <w:p w14:paraId="243A74B4" w14:textId="7097DBC5" w:rsidR="00881426" w:rsidRDefault="00881426" w:rsidP="00881426">
      <w:pPr>
        <w:rPr>
          <w:rFonts w:eastAsia="Calibri"/>
          <w:lang w:eastAsia="en-US"/>
        </w:rPr>
      </w:pPr>
    </w:p>
    <w:p w14:paraId="59802E5A" w14:textId="77777777" w:rsidR="00CC3AED" w:rsidRPr="002F5C9C" w:rsidRDefault="00CC3AED" w:rsidP="00CC3AED">
      <w:pPr>
        <w:pStyle w:val="Titre7"/>
        <w:rPr>
          <w:lang w:val="en-US"/>
        </w:rPr>
      </w:pPr>
      <w:r w:rsidRPr="002F5C9C">
        <w:rPr>
          <w:lang w:val="en-US"/>
        </w:rPr>
        <w:t xml:space="preserve">USE </w:t>
      </w:r>
      <w:r>
        <w:rPr>
          <w:lang w:val="en-US"/>
        </w:rPr>
        <w:t>2</w:t>
      </w:r>
      <w:r w:rsidRPr="002F5C9C">
        <w:rPr>
          <w:lang w:val="en-US"/>
        </w:rPr>
        <w:t xml:space="preserve"> against </w:t>
      </w:r>
      <w:r>
        <w:rPr>
          <w:lang w:val="en-US"/>
        </w:rPr>
        <w:t>ticks</w:t>
      </w:r>
      <w:r w:rsidRPr="002F5C9C">
        <w:rPr>
          <w:lang w:val="en-US"/>
        </w:rPr>
        <w:t xml:space="preserve"> – application rate 1.</w:t>
      </w:r>
      <w:r>
        <w:rPr>
          <w:lang w:val="en-US"/>
        </w:rPr>
        <w:t>0</w:t>
      </w:r>
      <w:r w:rsidRPr="002F5C9C">
        <w:rPr>
          <w:lang w:val="en-US"/>
        </w:rPr>
        <w:t xml:space="preserve"> mg/cm</w:t>
      </w:r>
      <w:r w:rsidRPr="002F5C9C">
        <w:rPr>
          <w:vertAlign w:val="superscript"/>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611"/>
        <w:gridCol w:w="1158"/>
        <w:gridCol w:w="908"/>
        <w:gridCol w:w="1811"/>
        <w:gridCol w:w="1376"/>
        <w:gridCol w:w="1689"/>
      </w:tblGrid>
      <w:tr w:rsidR="00CC3AED" w:rsidRPr="00015252" w14:paraId="6DFC1E3B" w14:textId="77777777" w:rsidTr="00CC3AED">
        <w:tc>
          <w:tcPr>
            <w:tcW w:w="983" w:type="pct"/>
            <w:tcBorders>
              <w:bottom w:val="single" w:sz="18" w:space="0" w:color="auto"/>
            </w:tcBorders>
            <w:shd w:val="clear" w:color="auto" w:fill="BFBFBF" w:themeFill="background1" w:themeFillShade="BF"/>
          </w:tcPr>
          <w:p w14:paraId="257F1B39" w14:textId="77777777" w:rsidR="00CC3AED" w:rsidRPr="00015252" w:rsidRDefault="00CC3AED" w:rsidP="00CC3AED">
            <w:pPr>
              <w:pStyle w:val="Standaard-Tabellen"/>
              <w:rPr>
                <w:rFonts w:eastAsia="Calibri"/>
                <w:b/>
              </w:rPr>
            </w:pPr>
            <w:r w:rsidRPr="00015252">
              <w:rPr>
                <w:rFonts w:eastAsia="Calibri"/>
                <w:b/>
              </w:rPr>
              <w:t>Task/</w:t>
            </w:r>
          </w:p>
          <w:p w14:paraId="18441C19" w14:textId="77777777" w:rsidR="00CC3AED" w:rsidRPr="00015252" w:rsidRDefault="00CC3AED" w:rsidP="00CC3AED">
            <w:pPr>
              <w:pStyle w:val="Standaard-Tabellen"/>
              <w:rPr>
                <w:rFonts w:eastAsia="Calibri"/>
                <w:b/>
              </w:rPr>
            </w:pPr>
            <w:r w:rsidRPr="00015252">
              <w:rPr>
                <w:rFonts w:eastAsia="Calibri"/>
                <w:b/>
              </w:rPr>
              <w:t>Scenario</w:t>
            </w:r>
          </w:p>
        </w:tc>
        <w:tc>
          <w:tcPr>
            <w:tcW w:w="325" w:type="pct"/>
            <w:tcBorders>
              <w:bottom w:val="single" w:sz="18" w:space="0" w:color="auto"/>
            </w:tcBorders>
            <w:shd w:val="clear" w:color="auto" w:fill="BFBFBF" w:themeFill="background1" w:themeFillShade="BF"/>
          </w:tcPr>
          <w:p w14:paraId="07F69C04" w14:textId="77777777" w:rsidR="00CC3AED" w:rsidRPr="00015252" w:rsidRDefault="00CC3AED" w:rsidP="00CC3AED">
            <w:pPr>
              <w:pStyle w:val="Standaard-Tabellen"/>
              <w:rPr>
                <w:rFonts w:eastAsia="Calibri"/>
                <w:b/>
              </w:rPr>
            </w:pPr>
            <w:r w:rsidRPr="00015252">
              <w:rPr>
                <w:rFonts w:eastAsia="Calibri"/>
                <w:b/>
              </w:rPr>
              <w:t>Tier</w:t>
            </w:r>
          </w:p>
        </w:tc>
        <w:tc>
          <w:tcPr>
            <w:tcW w:w="616" w:type="pct"/>
            <w:tcBorders>
              <w:bottom w:val="single" w:sz="18" w:space="0" w:color="auto"/>
            </w:tcBorders>
            <w:shd w:val="clear" w:color="auto" w:fill="BFBFBF" w:themeFill="background1" w:themeFillShade="BF"/>
          </w:tcPr>
          <w:p w14:paraId="1ACBEA05" w14:textId="77777777" w:rsidR="00CC3AED" w:rsidRPr="00015252" w:rsidRDefault="00CC3AED" w:rsidP="00CC3AED">
            <w:pPr>
              <w:pStyle w:val="Standaard-Tabellen"/>
              <w:rPr>
                <w:rFonts w:eastAsia="Calibri"/>
                <w:b/>
              </w:rPr>
            </w:pPr>
            <w:r w:rsidRPr="00015252">
              <w:rPr>
                <w:rFonts w:eastAsia="Calibri"/>
                <w:b/>
              </w:rPr>
              <w:t>Systemic NOAEL</w:t>
            </w:r>
          </w:p>
          <w:p w14:paraId="1BDD8DDF" w14:textId="77777777" w:rsidR="00CC3AED" w:rsidRPr="00015252" w:rsidRDefault="00CC3AED" w:rsidP="00CC3AED">
            <w:pPr>
              <w:pStyle w:val="Standaard-Tabellen"/>
              <w:rPr>
                <w:rFonts w:eastAsia="Calibri"/>
                <w:b/>
              </w:rPr>
            </w:pPr>
            <w:r w:rsidRPr="00015252">
              <w:rPr>
                <w:rFonts w:eastAsia="Calibri"/>
                <w:b/>
              </w:rPr>
              <w:t xml:space="preserve">mg/kg </w:t>
            </w:r>
            <w:proofErr w:type="spellStart"/>
            <w:r w:rsidRPr="00015252">
              <w:rPr>
                <w:rFonts w:eastAsia="Calibri"/>
                <w:b/>
              </w:rPr>
              <w:t>bw</w:t>
            </w:r>
            <w:proofErr w:type="spellEnd"/>
            <w:r w:rsidRPr="00015252">
              <w:rPr>
                <w:rFonts w:eastAsia="Calibri"/>
                <w:b/>
              </w:rPr>
              <w:t>/d</w:t>
            </w:r>
          </w:p>
        </w:tc>
        <w:tc>
          <w:tcPr>
            <w:tcW w:w="483" w:type="pct"/>
            <w:tcBorders>
              <w:bottom w:val="single" w:sz="18" w:space="0" w:color="auto"/>
            </w:tcBorders>
            <w:shd w:val="clear" w:color="auto" w:fill="BFBFBF" w:themeFill="background1" w:themeFillShade="BF"/>
          </w:tcPr>
          <w:p w14:paraId="1D986580" w14:textId="77777777" w:rsidR="00CC3AED" w:rsidRPr="00015252" w:rsidRDefault="00CC3AED" w:rsidP="00CC3AED">
            <w:pPr>
              <w:pStyle w:val="Standaard-Tabellen"/>
              <w:rPr>
                <w:rFonts w:eastAsia="Calibri"/>
                <w:b/>
                <w:lang w:val="es-ES"/>
              </w:rPr>
            </w:pPr>
            <w:r w:rsidRPr="00015252">
              <w:rPr>
                <w:rFonts w:eastAsia="Calibri"/>
                <w:b/>
                <w:lang w:val="es-ES"/>
              </w:rPr>
              <w:t>AEL</w:t>
            </w:r>
          </w:p>
          <w:p w14:paraId="7A7AAFE5" w14:textId="77777777" w:rsidR="00CC3AED" w:rsidRPr="00015252" w:rsidRDefault="00CC3AED" w:rsidP="00CC3AED">
            <w:pPr>
              <w:pStyle w:val="Standaard-Tabellen"/>
              <w:rPr>
                <w:rFonts w:eastAsia="Calibri"/>
                <w:b/>
                <w:lang w:val="es-ES"/>
              </w:rPr>
            </w:pPr>
            <w:r w:rsidRPr="00015252">
              <w:rPr>
                <w:rFonts w:eastAsia="Calibri"/>
                <w:b/>
                <w:lang w:val="es-ES"/>
              </w:rPr>
              <w:t xml:space="preserve">mg/kg </w:t>
            </w:r>
            <w:proofErr w:type="spellStart"/>
            <w:r w:rsidRPr="00015252">
              <w:rPr>
                <w:rFonts w:eastAsia="Calibri"/>
                <w:b/>
                <w:lang w:val="es-ES"/>
              </w:rPr>
              <w:t>bw</w:t>
            </w:r>
            <w:proofErr w:type="spellEnd"/>
            <w:r w:rsidRPr="00015252">
              <w:rPr>
                <w:rFonts w:eastAsia="Calibri"/>
                <w:b/>
                <w:lang w:val="es-ES"/>
              </w:rPr>
              <w:t>/d</w:t>
            </w:r>
          </w:p>
        </w:tc>
        <w:tc>
          <w:tcPr>
            <w:tcW w:w="963" w:type="pct"/>
            <w:shd w:val="clear" w:color="auto" w:fill="BFBFBF" w:themeFill="background1" w:themeFillShade="BF"/>
          </w:tcPr>
          <w:p w14:paraId="4FBAE092" w14:textId="77777777" w:rsidR="00CC3AED" w:rsidRPr="00015252" w:rsidRDefault="00CC3AED" w:rsidP="00CC3AED">
            <w:pPr>
              <w:pStyle w:val="Standaard-Tabellen"/>
              <w:rPr>
                <w:rFonts w:eastAsia="Calibri"/>
                <w:b/>
              </w:rPr>
            </w:pPr>
            <w:r w:rsidRPr="00015252">
              <w:rPr>
                <w:rFonts w:eastAsia="Calibri"/>
                <w:b/>
              </w:rPr>
              <w:t>Estimated uptake</w:t>
            </w:r>
          </w:p>
          <w:p w14:paraId="4F462EF5" w14:textId="77777777" w:rsidR="00CC3AED" w:rsidRPr="00015252" w:rsidRDefault="00CC3AED" w:rsidP="00CC3AED">
            <w:pPr>
              <w:pStyle w:val="Standaard-Tabellen"/>
              <w:rPr>
                <w:rFonts w:eastAsia="Calibri"/>
                <w:b/>
              </w:rPr>
            </w:pPr>
            <w:r w:rsidRPr="00015252">
              <w:rPr>
                <w:rFonts w:eastAsia="Calibri"/>
                <w:b/>
              </w:rPr>
              <w:t xml:space="preserve">mg/kg </w:t>
            </w:r>
            <w:proofErr w:type="spellStart"/>
            <w:r w:rsidRPr="00015252">
              <w:rPr>
                <w:rFonts w:eastAsia="Calibri"/>
                <w:b/>
              </w:rPr>
              <w:t>bw</w:t>
            </w:r>
            <w:proofErr w:type="spellEnd"/>
            <w:r w:rsidRPr="00015252">
              <w:rPr>
                <w:rFonts w:eastAsia="Calibri"/>
                <w:b/>
              </w:rPr>
              <w:t>/d</w:t>
            </w:r>
          </w:p>
        </w:tc>
        <w:tc>
          <w:tcPr>
            <w:tcW w:w="732" w:type="pct"/>
            <w:tcBorders>
              <w:bottom w:val="single" w:sz="18" w:space="0" w:color="auto"/>
            </w:tcBorders>
            <w:shd w:val="clear" w:color="auto" w:fill="BFBFBF" w:themeFill="background1" w:themeFillShade="BF"/>
          </w:tcPr>
          <w:p w14:paraId="528458C0" w14:textId="77777777" w:rsidR="00CC3AED" w:rsidRPr="00015252" w:rsidRDefault="00CC3AED" w:rsidP="00CC3AED">
            <w:pPr>
              <w:pStyle w:val="Standaard-Tabellen"/>
              <w:rPr>
                <w:rFonts w:eastAsia="Calibri"/>
                <w:b/>
              </w:rPr>
            </w:pPr>
            <w:r w:rsidRPr="00015252">
              <w:rPr>
                <w:rFonts w:eastAsia="Calibri"/>
                <w:b/>
              </w:rPr>
              <w:t xml:space="preserve">Estimated uptake/ AEL </w:t>
            </w:r>
          </w:p>
          <w:p w14:paraId="3A4D9F3B" w14:textId="77777777" w:rsidR="00CC3AED" w:rsidRPr="00015252" w:rsidRDefault="00CC3AED" w:rsidP="00CC3AED">
            <w:pPr>
              <w:pStyle w:val="Standaard-Tabellen"/>
              <w:rPr>
                <w:rFonts w:eastAsia="Calibri"/>
                <w:b/>
              </w:rPr>
            </w:pPr>
            <w:r w:rsidRPr="00015252">
              <w:rPr>
                <w:rFonts w:eastAsia="Calibri"/>
                <w:b/>
              </w:rPr>
              <w:t>(%)</w:t>
            </w:r>
          </w:p>
        </w:tc>
        <w:tc>
          <w:tcPr>
            <w:tcW w:w="898" w:type="pct"/>
            <w:tcBorders>
              <w:bottom w:val="single" w:sz="18" w:space="0" w:color="auto"/>
            </w:tcBorders>
            <w:shd w:val="clear" w:color="auto" w:fill="BFBFBF" w:themeFill="background1" w:themeFillShade="BF"/>
          </w:tcPr>
          <w:p w14:paraId="4EE28056" w14:textId="77777777" w:rsidR="00CC3AED" w:rsidRPr="00015252" w:rsidRDefault="00CC3AED" w:rsidP="00CC3AED">
            <w:pPr>
              <w:pStyle w:val="Standaard-Tabellen"/>
              <w:rPr>
                <w:rFonts w:eastAsia="Calibri"/>
                <w:b/>
              </w:rPr>
            </w:pPr>
            <w:r w:rsidRPr="00015252">
              <w:rPr>
                <w:rFonts w:eastAsia="Calibri"/>
                <w:b/>
              </w:rPr>
              <w:t>Acceptable</w:t>
            </w:r>
          </w:p>
          <w:p w14:paraId="62623E47" w14:textId="77777777" w:rsidR="00CC3AED" w:rsidRPr="00015252" w:rsidRDefault="00CC3AED" w:rsidP="00CC3AED">
            <w:pPr>
              <w:pStyle w:val="Standaard-Tabellen"/>
              <w:rPr>
                <w:rFonts w:eastAsia="Calibri"/>
                <w:b/>
              </w:rPr>
            </w:pPr>
            <w:r w:rsidRPr="00015252">
              <w:rPr>
                <w:rFonts w:eastAsia="Calibri"/>
                <w:b/>
              </w:rPr>
              <w:t>(yes/no)</w:t>
            </w:r>
          </w:p>
        </w:tc>
      </w:tr>
      <w:tr w:rsidR="00CC3AED" w:rsidRPr="00FD2055" w14:paraId="2A396A99" w14:textId="77777777" w:rsidTr="00CC3AED">
        <w:tc>
          <w:tcPr>
            <w:tcW w:w="983" w:type="pct"/>
            <w:tcBorders>
              <w:top w:val="single" w:sz="18" w:space="0" w:color="auto"/>
            </w:tcBorders>
            <w:shd w:val="clear" w:color="auto" w:fill="auto"/>
          </w:tcPr>
          <w:p w14:paraId="7C20A19C" w14:textId="77777777" w:rsidR="00CC3AED" w:rsidRPr="00FD2055" w:rsidRDefault="00CC3AED" w:rsidP="00CC3AED">
            <w:pPr>
              <w:pStyle w:val="Standaard-Tabellen"/>
              <w:rPr>
                <w:rFonts w:eastAsia="Calibri"/>
              </w:rPr>
            </w:pPr>
            <w:r w:rsidRPr="0091532F">
              <w:rPr>
                <w:rFonts w:eastAsia="Calibri"/>
                <w:szCs w:val="18"/>
                <w:lang w:eastAsia="en-US"/>
              </w:rPr>
              <w:t>Scenario 1, dermal, adult</w:t>
            </w:r>
          </w:p>
        </w:tc>
        <w:tc>
          <w:tcPr>
            <w:tcW w:w="325" w:type="pct"/>
            <w:tcBorders>
              <w:top w:val="single" w:sz="18" w:space="0" w:color="auto"/>
            </w:tcBorders>
            <w:shd w:val="clear" w:color="auto" w:fill="auto"/>
          </w:tcPr>
          <w:p w14:paraId="0AE4D855" w14:textId="77777777" w:rsidR="00CC3AED" w:rsidRPr="00FD2055" w:rsidRDefault="00CC3AED" w:rsidP="00CC3AED">
            <w:pPr>
              <w:pStyle w:val="Standaard-Tabellen"/>
              <w:rPr>
                <w:rFonts w:eastAsia="Calibri"/>
              </w:rPr>
            </w:pPr>
            <w:r w:rsidRPr="0091532F">
              <w:rPr>
                <w:rFonts w:eastAsia="Calibri"/>
                <w:szCs w:val="18"/>
                <w:lang w:eastAsia="en-US"/>
              </w:rPr>
              <w:t>1</w:t>
            </w:r>
          </w:p>
        </w:tc>
        <w:tc>
          <w:tcPr>
            <w:tcW w:w="616" w:type="pct"/>
            <w:tcBorders>
              <w:top w:val="single" w:sz="18" w:space="0" w:color="auto"/>
            </w:tcBorders>
            <w:shd w:val="clear" w:color="auto" w:fill="auto"/>
          </w:tcPr>
          <w:p w14:paraId="084BF5B2"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tcBorders>
              <w:top w:val="single" w:sz="18" w:space="0" w:color="auto"/>
            </w:tcBorders>
            <w:shd w:val="clear" w:color="auto" w:fill="auto"/>
          </w:tcPr>
          <w:p w14:paraId="651D65B5"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tcBorders>
              <w:top w:val="single" w:sz="18" w:space="0" w:color="auto"/>
            </w:tcBorders>
            <w:shd w:val="clear" w:color="auto" w:fill="auto"/>
            <w:vAlign w:val="center"/>
          </w:tcPr>
          <w:p w14:paraId="33D3CBDD" w14:textId="77777777" w:rsidR="00CC3AED" w:rsidRPr="00FD2055" w:rsidRDefault="00CC3AED" w:rsidP="00CC3AED">
            <w:pPr>
              <w:pStyle w:val="Standaard-Tabellen"/>
              <w:rPr>
                <w:rFonts w:eastAsia="Calibri"/>
              </w:rPr>
            </w:pPr>
            <w:r w:rsidRPr="00EB1F68">
              <w:rPr>
                <w:rFonts w:cs="Arial"/>
              </w:rPr>
              <w:t xml:space="preserve">14.91 </w:t>
            </w:r>
          </w:p>
        </w:tc>
        <w:tc>
          <w:tcPr>
            <w:tcW w:w="732" w:type="pct"/>
            <w:tcBorders>
              <w:top w:val="single" w:sz="18" w:space="0" w:color="auto"/>
            </w:tcBorders>
            <w:shd w:val="clear" w:color="auto" w:fill="auto"/>
            <w:vAlign w:val="center"/>
          </w:tcPr>
          <w:p w14:paraId="5F40A178" w14:textId="77777777" w:rsidR="00CC3AED" w:rsidRPr="00FD2055" w:rsidRDefault="00CC3AED" w:rsidP="00CC3AED">
            <w:pPr>
              <w:pStyle w:val="Standaard-Tabellen"/>
              <w:rPr>
                <w:rFonts w:eastAsia="Calibri"/>
              </w:rPr>
            </w:pPr>
            <w:r>
              <w:rPr>
                <w:rFonts w:eastAsia="Calibri"/>
                <w:color w:val="FF0000"/>
                <w:szCs w:val="18"/>
                <w:lang w:eastAsia="en-US"/>
              </w:rPr>
              <w:t>298.25</w:t>
            </w:r>
          </w:p>
        </w:tc>
        <w:tc>
          <w:tcPr>
            <w:tcW w:w="898" w:type="pct"/>
            <w:tcBorders>
              <w:top w:val="single" w:sz="18" w:space="0" w:color="auto"/>
            </w:tcBorders>
            <w:shd w:val="clear" w:color="auto" w:fill="auto"/>
            <w:vAlign w:val="center"/>
          </w:tcPr>
          <w:p w14:paraId="4D7F5DAC" w14:textId="77777777" w:rsidR="00CC3AED" w:rsidRPr="00FD2055" w:rsidRDefault="00CC3AED" w:rsidP="00CC3AED">
            <w:pPr>
              <w:pStyle w:val="Standaard-Tabellen"/>
              <w:rPr>
                <w:rFonts w:eastAsia="Calibri"/>
              </w:rPr>
            </w:pPr>
            <w:r w:rsidRPr="00C8715D">
              <w:rPr>
                <w:rFonts w:eastAsia="Calibri"/>
                <w:color w:val="FF0000"/>
                <w:szCs w:val="18"/>
                <w:lang w:eastAsia="en-US"/>
              </w:rPr>
              <w:t xml:space="preserve">No </w:t>
            </w:r>
          </w:p>
        </w:tc>
      </w:tr>
      <w:tr w:rsidR="00CC3AED" w:rsidRPr="00FD2055" w14:paraId="4D753226" w14:textId="77777777" w:rsidTr="00CC3AED">
        <w:tc>
          <w:tcPr>
            <w:tcW w:w="983" w:type="pct"/>
            <w:shd w:val="clear" w:color="auto" w:fill="auto"/>
          </w:tcPr>
          <w:p w14:paraId="77BB449F" w14:textId="77777777" w:rsidR="00CC3AED" w:rsidRPr="00FD2055" w:rsidRDefault="00CC3AED" w:rsidP="00CC3AED">
            <w:pPr>
              <w:pStyle w:val="Standaard-Tabellen"/>
              <w:rPr>
                <w:rFonts w:eastAsia="Calibri"/>
              </w:rPr>
            </w:pPr>
            <w:r w:rsidRPr="0091532F">
              <w:rPr>
                <w:rFonts w:eastAsia="Calibri"/>
                <w:szCs w:val="18"/>
                <w:lang w:eastAsia="en-US"/>
              </w:rPr>
              <w:t>Scenario 1, dermal, child</w:t>
            </w:r>
            <w:r>
              <w:rPr>
                <w:rFonts w:eastAsia="Calibri"/>
                <w:szCs w:val="18"/>
                <w:lang w:eastAsia="en-US"/>
              </w:rPr>
              <w:t xml:space="preserve"> (6-12)</w:t>
            </w:r>
          </w:p>
        </w:tc>
        <w:tc>
          <w:tcPr>
            <w:tcW w:w="325" w:type="pct"/>
            <w:shd w:val="clear" w:color="auto" w:fill="auto"/>
          </w:tcPr>
          <w:p w14:paraId="66448E2E" w14:textId="77777777" w:rsidR="00CC3AED" w:rsidRPr="00FD2055" w:rsidRDefault="00CC3AED" w:rsidP="00CC3AED">
            <w:pPr>
              <w:pStyle w:val="Standaard-Tabellen"/>
              <w:rPr>
                <w:rFonts w:eastAsia="Calibri"/>
              </w:rPr>
            </w:pPr>
            <w:r w:rsidRPr="0091532F">
              <w:rPr>
                <w:rFonts w:eastAsia="Calibri"/>
                <w:szCs w:val="18"/>
                <w:lang w:eastAsia="en-US"/>
              </w:rPr>
              <w:t>1</w:t>
            </w:r>
          </w:p>
        </w:tc>
        <w:tc>
          <w:tcPr>
            <w:tcW w:w="616" w:type="pct"/>
            <w:shd w:val="clear" w:color="auto" w:fill="auto"/>
          </w:tcPr>
          <w:p w14:paraId="6F0F75D1"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shd w:val="clear" w:color="auto" w:fill="auto"/>
          </w:tcPr>
          <w:p w14:paraId="3F27BD79"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vAlign w:val="center"/>
          </w:tcPr>
          <w:p w14:paraId="729CB02F" w14:textId="77777777" w:rsidR="00CC3AED" w:rsidRPr="00FD2055" w:rsidRDefault="00CC3AED" w:rsidP="00CC3AED">
            <w:pPr>
              <w:pStyle w:val="Standaard-Tabellen"/>
              <w:rPr>
                <w:rFonts w:eastAsia="Calibri"/>
              </w:rPr>
            </w:pPr>
            <w:r w:rsidRPr="00EB1F68">
              <w:rPr>
                <w:rFonts w:cs="Arial"/>
              </w:rPr>
              <w:t xml:space="preserve">11.86 </w:t>
            </w:r>
          </w:p>
        </w:tc>
        <w:tc>
          <w:tcPr>
            <w:tcW w:w="732" w:type="pct"/>
            <w:shd w:val="clear" w:color="auto" w:fill="auto"/>
            <w:vAlign w:val="center"/>
          </w:tcPr>
          <w:p w14:paraId="001FE421" w14:textId="77777777" w:rsidR="00CC3AED" w:rsidRPr="00FD2055" w:rsidRDefault="00CC3AED" w:rsidP="00CC3AED">
            <w:pPr>
              <w:pStyle w:val="Standaard-Tabellen"/>
              <w:rPr>
                <w:rFonts w:eastAsia="Calibri"/>
              </w:rPr>
            </w:pPr>
            <w:r>
              <w:rPr>
                <w:rFonts w:eastAsia="Calibri"/>
                <w:color w:val="FF0000"/>
                <w:szCs w:val="18"/>
                <w:lang w:eastAsia="en-US"/>
              </w:rPr>
              <w:t>237.12</w:t>
            </w:r>
          </w:p>
        </w:tc>
        <w:tc>
          <w:tcPr>
            <w:tcW w:w="898" w:type="pct"/>
            <w:shd w:val="clear" w:color="auto" w:fill="auto"/>
            <w:vAlign w:val="center"/>
          </w:tcPr>
          <w:p w14:paraId="627F6C93" w14:textId="77777777" w:rsidR="00CC3AED" w:rsidRPr="00FD2055" w:rsidRDefault="00CC3AED" w:rsidP="00CC3AED">
            <w:pPr>
              <w:pStyle w:val="Standaard-Tabellen"/>
              <w:rPr>
                <w:rFonts w:eastAsia="Calibri"/>
              </w:rPr>
            </w:pPr>
            <w:r w:rsidRPr="00C8715D">
              <w:rPr>
                <w:rFonts w:eastAsia="Calibri"/>
                <w:color w:val="FF0000"/>
                <w:szCs w:val="18"/>
                <w:lang w:eastAsia="en-US"/>
              </w:rPr>
              <w:t xml:space="preserve">No </w:t>
            </w:r>
          </w:p>
        </w:tc>
      </w:tr>
      <w:tr w:rsidR="00CC3AED" w:rsidRPr="00FD2055" w14:paraId="7AEC9B51" w14:textId="77777777" w:rsidTr="00CC3AED">
        <w:tc>
          <w:tcPr>
            <w:tcW w:w="983" w:type="pct"/>
            <w:shd w:val="clear" w:color="auto" w:fill="auto"/>
          </w:tcPr>
          <w:p w14:paraId="2411AF80" w14:textId="77777777" w:rsidR="00CC3AED" w:rsidRPr="00FD2055" w:rsidRDefault="00CC3AED" w:rsidP="00CC3AED">
            <w:pPr>
              <w:pStyle w:val="Standaard-Tabellen"/>
              <w:rPr>
                <w:rFonts w:eastAsia="Calibri"/>
              </w:rPr>
            </w:pPr>
            <w:r w:rsidRPr="0091532F">
              <w:rPr>
                <w:rFonts w:eastAsia="Calibri"/>
                <w:szCs w:val="18"/>
                <w:lang w:eastAsia="en-US"/>
              </w:rPr>
              <w:t>Scenario 1, dermal, child</w:t>
            </w:r>
            <w:r>
              <w:rPr>
                <w:rFonts w:eastAsia="Calibri"/>
                <w:szCs w:val="18"/>
                <w:lang w:eastAsia="en-US"/>
              </w:rPr>
              <w:t xml:space="preserve"> (2-6)</w:t>
            </w:r>
          </w:p>
        </w:tc>
        <w:tc>
          <w:tcPr>
            <w:tcW w:w="325" w:type="pct"/>
            <w:shd w:val="clear" w:color="auto" w:fill="auto"/>
          </w:tcPr>
          <w:p w14:paraId="55869738" w14:textId="77777777" w:rsidR="00CC3AED" w:rsidRPr="00FD2055" w:rsidRDefault="00CC3AED" w:rsidP="00CC3AED">
            <w:pPr>
              <w:pStyle w:val="Standaard-Tabellen"/>
              <w:rPr>
                <w:rFonts w:eastAsia="Calibri"/>
              </w:rPr>
            </w:pPr>
            <w:r w:rsidRPr="0091532F">
              <w:rPr>
                <w:rFonts w:eastAsia="Calibri"/>
                <w:szCs w:val="18"/>
                <w:lang w:eastAsia="en-US"/>
              </w:rPr>
              <w:t>1</w:t>
            </w:r>
          </w:p>
        </w:tc>
        <w:tc>
          <w:tcPr>
            <w:tcW w:w="616" w:type="pct"/>
            <w:shd w:val="clear" w:color="auto" w:fill="auto"/>
          </w:tcPr>
          <w:p w14:paraId="27641164"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shd w:val="clear" w:color="auto" w:fill="auto"/>
          </w:tcPr>
          <w:p w14:paraId="44FBFF32"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vAlign w:val="center"/>
          </w:tcPr>
          <w:p w14:paraId="127A0126" w14:textId="77777777" w:rsidR="00CC3AED" w:rsidRPr="00FD2055" w:rsidRDefault="00CC3AED" w:rsidP="00CC3AED">
            <w:pPr>
              <w:pStyle w:val="Standaard-Tabellen"/>
              <w:rPr>
                <w:rFonts w:eastAsia="Calibri"/>
              </w:rPr>
            </w:pPr>
            <w:r w:rsidRPr="00EB1F68">
              <w:rPr>
                <w:rFonts w:cs="Arial"/>
              </w:rPr>
              <w:t xml:space="preserve">6.71 </w:t>
            </w:r>
          </w:p>
        </w:tc>
        <w:tc>
          <w:tcPr>
            <w:tcW w:w="732" w:type="pct"/>
            <w:shd w:val="clear" w:color="auto" w:fill="auto"/>
            <w:vAlign w:val="center"/>
          </w:tcPr>
          <w:p w14:paraId="6D8ADC6E" w14:textId="77777777" w:rsidR="00CC3AED" w:rsidRPr="00FD2055" w:rsidRDefault="00CC3AED" w:rsidP="00CC3AED">
            <w:pPr>
              <w:pStyle w:val="Standaard-Tabellen"/>
              <w:rPr>
                <w:rFonts w:eastAsia="Calibri"/>
              </w:rPr>
            </w:pPr>
            <w:r>
              <w:rPr>
                <w:rFonts w:eastAsia="Calibri"/>
                <w:color w:val="FF0000"/>
                <w:szCs w:val="18"/>
                <w:lang w:eastAsia="en-US"/>
              </w:rPr>
              <w:t>134.26</w:t>
            </w:r>
          </w:p>
        </w:tc>
        <w:tc>
          <w:tcPr>
            <w:tcW w:w="898" w:type="pct"/>
            <w:shd w:val="clear" w:color="auto" w:fill="auto"/>
            <w:vAlign w:val="center"/>
          </w:tcPr>
          <w:p w14:paraId="033748B3" w14:textId="77777777" w:rsidR="00CC3AED" w:rsidRPr="00FD2055" w:rsidRDefault="00CC3AED" w:rsidP="00CC3AED">
            <w:pPr>
              <w:pStyle w:val="Standaard-Tabellen"/>
              <w:rPr>
                <w:rFonts w:eastAsia="Calibri"/>
              </w:rPr>
            </w:pPr>
            <w:r w:rsidRPr="00C8715D">
              <w:rPr>
                <w:rFonts w:eastAsia="Calibri"/>
                <w:color w:val="FF0000"/>
                <w:szCs w:val="18"/>
                <w:lang w:eastAsia="en-US"/>
              </w:rPr>
              <w:t>No</w:t>
            </w:r>
          </w:p>
        </w:tc>
      </w:tr>
      <w:tr w:rsidR="00CC3AED" w:rsidRPr="00FD2055" w14:paraId="720BBEE1" w14:textId="77777777" w:rsidTr="00CC3AED">
        <w:tc>
          <w:tcPr>
            <w:tcW w:w="983" w:type="pct"/>
            <w:shd w:val="clear" w:color="auto" w:fill="auto"/>
          </w:tcPr>
          <w:p w14:paraId="620F7DA5" w14:textId="77777777" w:rsidR="00CC3AED" w:rsidRPr="00FD2055" w:rsidRDefault="00CC3AED" w:rsidP="00CC3AED">
            <w:pPr>
              <w:pStyle w:val="Standaard-Tabellen"/>
              <w:rPr>
                <w:rFonts w:eastAsia="Calibri"/>
              </w:rPr>
            </w:pPr>
            <w:r w:rsidRPr="0091532F">
              <w:rPr>
                <w:rFonts w:eastAsia="Calibri"/>
                <w:szCs w:val="18"/>
                <w:lang w:eastAsia="en-US"/>
              </w:rPr>
              <w:t>Scenario 1, dermal, toddler</w:t>
            </w:r>
          </w:p>
        </w:tc>
        <w:tc>
          <w:tcPr>
            <w:tcW w:w="325" w:type="pct"/>
            <w:shd w:val="clear" w:color="auto" w:fill="auto"/>
          </w:tcPr>
          <w:p w14:paraId="0754003B" w14:textId="77777777" w:rsidR="00CC3AED" w:rsidRPr="00FD2055" w:rsidRDefault="00CC3AED" w:rsidP="00CC3AED">
            <w:pPr>
              <w:pStyle w:val="Standaard-Tabellen"/>
              <w:rPr>
                <w:rFonts w:eastAsia="Calibri"/>
              </w:rPr>
            </w:pPr>
            <w:r w:rsidRPr="0091532F">
              <w:rPr>
                <w:rFonts w:eastAsia="Calibri"/>
                <w:szCs w:val="18"/>
                <w:lang w:eastAsia="en-US"/>
              </w:rPr>
              <w:t>1</w:t>
            </w:r>
          </w:p>
        </w:tc>
        <w:tc>
          <w:tcPr>
            <w:tcW w:w="616" w:type="pct"/>
            <w:shd w:val="clear" w:color="auto" w:fill="auto"/>
          </w:tcPr>
          <w:p w14:paraId="3C999061"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shd w:val="clear" w:color="auto" w:fill="auto"/>
          </w:tcPr>
          <w:p w14:paraId="6A44B4E0"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vAlign w:val="center"/>
          </w:tcPr>
          <w:p w14:paraId="68DBD4D5" w14:textId="77777777" w:rsidR="00CC3AED" w:rsidRPr="00791F06" w:rsidRDefault="00CC3AED" w:rsidP="00CC3AED">
            <w:pPr>
              <w:pStyle w:val="Standaard-Tabellen"/>
              <w:rPr>
                <w:rFonts w:cs="Arial"/>
              </w:rPr>
            </w:pPr>
            <w:r w:rsidRPr="00EB1F68">
              <w:rPr>
                <w:rFonts w:cs="Arial"/>
              </w:rPr>
              <w:t xml:space="preserve">7.39 </w:t>
            </w:r>
          </w:p>
        </w:tc>
        <w:tc>
          <w:tcPr>
            <w:tcW w:w="732" w:type="pct"/>
            <w:shd w:val="clear" w:color="auto" w:fill="auto"/>
            <w:vAlign w:val="center"/>
          </w:tcPr>
          <w:p w14:paraId="5480D8F4" w14:textId="77777777" w:rsidR="00CC3AED" w:rsidRPr="00FD2055" w:rsidRDefault="00CC3AED" w:rsidP="00CC3AED">
            <w:pPr>
              <w:pStyle w:val="Standaard-Tabellen"/>
              <w:rPr>
                <w:rFonts w:eastAsia="Calibri"/>
              </w:rPr>
            </w:pPr>
            <w:r>
              <w:rPr>
                <w:rFonts w:eastAsia="Calibri"/>
                <w:color w:val="FF0000"/>
                <w:szCs w:val="18"/>
                <w:lang w:eastAsia="en-US"/>
              </w:rPr>
              <w:t>147.84</w:t>
            </w:r>
          </w:p>
        </w:tc>
        <w:tc>
          <w:tcPr>
            <w:tcW w:w="898" w:type="pct"/>
            <w:shd w:val="clear" w:color="auto" w:fill="auto"/>
            <w:vAlign w:val="center"/>
          </w:tcPr>
          <w:p w14:paraId="6E0FDFDB" w14:textId="77777777" w:rsidR="00CC3AED" w:rsidRPr="00FD2055" w:rsidRDefault="00CC3AED" w:rsidP="00CC3AED">
            <w:pPr>
              <w:pStyle w:val="Standaard-Tabellen"/>
              <w:rPr>
                <w:rFonts w:eastAsia="Calibri"/>
              </w:rPr>
            </w:pPr>
            <w:r w:rsidRPr="00C8715D">
              <w:rPr>
                <w:rFonts w:eastAsia="Calibri"/>
                <w:color w:val="FF0000"/>
                <w:szCs w:val="18"/>
                <w:lang w:eastAsia="en-US"/>
              </w:rPr>
              <w:t>No</w:t>
            </w:r>
          </w:p>
        </w:tc>
      </w:tr>
      <w:tr w:rsidR="00CC3AED" w:rsidRPr="00FD2055" w14:paraId="3745BB60" w14:textId="77777777" w:rsidTr="00CC3AED">
        <w:tc>
          <w:tcPr>
            <w:tcW w:w="983" w:type="pct"/>
            <w:tcBorders>
              <w:bottom w:val="double" w:sz="4" w:space="0" w:color="auto"/>
            </w:tcBorders>
            <w:shd w:val="clear" w:color="auto" w:fill="auto"/>
          </w:tcPr>
          <w:p w14:paraId="47A6B45A"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Scenario 1, dermal, infant</w:t>
            </w:r>
          </w:p>
        </w:tc>
        <w:tc>
          <w:tcPr>
            <w:tcW w:w="325" w:type="pct"/>
            <w:tcBorders>
              <w:bottom w:val="double" w:sz="4" w:space="0" w:color="auto"/>
            </w:tcBorders>
            <w:shd w:val="clear" w:color="auto" w:fill="auto"/>
          </w:tcPr>
          <w:p w14:paraId="6161A8D9"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1</w:t>
            </w:r>
          </w:p>
        </w:tc>
        <w:tc>
          <w:tcPr>
            <w:tcW w:w="616" w:type="pct"/>
            <w:tcBorders>
              <w:bottom w:val="double" w:sz="4" w:space="0" w:color="auto"/>
            </w:tcBorders>
            <w:shd w:val="clear" w:color="auto" w:fill="auto"/>
          </w:tcPr>
          <w:p w14:paraId="7A9789F6" w14:textId="77777777" w:rsidR="00CC3AED" w:rsidRPr="0091532F" w:rsidRDefault="00CC3AED" w:rsidP="00CC3AED">
            <w:pPr>
              <w:pStyle w:val="Standaard-Tabellen"/>
              <w:rPr>
                <w:rFonts w:eastAsia="Calibri"/>
                <w:szCs w:val="18"/>
                <w:lang w:eastAsia="en-US"/>
              </w:rPr>
            </w:pPr>
            <w:r>
              <w:rPr>
                <w:rFonts w:eastAsia="Calibri"/>
                <w:szCs w:val="18"/>
                <w:lang w:eastAsia="en-US"/>
              </w:rPr>
              <w:t>500</w:t>
            </w:r>
          </w:p>
        </w:tc>
        <w:tc>
          <w:tcPr>
            <w:tcW w:w="483" w:type="pct"/>
            <w:tcBorders>
              <w:bottom w:val="double" w:sz="4" w:space="0" w:color="auto"/>
            </w:tcBorders>
            <w:shd w:val="clear" w:color="auto" w:fill="auto"/>
          </w:tcPr>
          <w:p w14:paraId="2294893F" w14:textId="77777777" w:rsidR="00CC3AED" w:rsidRPr="0091532F" w:rsidRDefault="00CC3AED" w:rsidP="00CC3AED">
            <w:pPr>
              <w:pStyle w:val="Standaard-Tabellen"/>
              <w:rPr>
                <w:rFonts w:eastAsia="Calibri"/>
                <w:szCs w:val="18"/>
                <w:lang w:eastAsia="en-US"/>
              </w:rPr>
            </w:pPr>
            <w:r>
              <w:rPr>
                <w:rFonts w:eastAsia="Calibri"/>
                <w:szCs w:val="18"/>
                <w:lang w:eastAsia="en-US"/>
              </w:rPr>
              <w:t>5</w:t>
            </w:r>
          </w:p>
        </w:tc>
        <w:tc>
          <w:tcPr>
            <w:tcW w:w="963" w:type="pct"/>
            <w:tcBorders>
              <w:bottom w:val="double" w:sz="4" w:space="0" w:color="auto"/>
            </w:tcBorders>
            <w:shd w:val="clear" w:color="auto" w:fill="auto"/>
            <w:vAlign w:val="center"/>
          </w:tcPr>
          <w:p w14:paraId="3761F880" w14:textId="77777777" w:rsidR="00CC3AED" w:rsidRPr="00A92D1C" w:rsidRDefault="00CC3AED" w:rsidP="00CC3AED">
            <w:pPr>
              <w:pStyle w:val="Standaard-Tabellen"/>
              <w:rPr>
                <w:rFonts w:cs="Arial"/>
              </w:rPr>
            </w:pPr>
            <w:r w:rsidRPr="00EB1F68">
              <w:rPr>
                <w:rFonts w:cs="Arial"/>
              </w:rPr>
              <w:t xml:space="preserve">7.89 </w:t>
            </w:r>
          </w:p>
        </w:tc>
        <w:tc>
          <w:tcPr>
            <w:tcW w:w="732" w:type="pct"/>
            <w:tcBorders>
              <w:bottom w:val="double" w:sz="4" w:space="0" w:color="auto"/>
            </w:tcBorders>
            <w:shd w:val="clear" w:color="auto" w:fill="auto"/>
            <w:vAlign w:val="center"/>
          </w:tcPr>
          <w:p w14:paraId="44870C55" w14:textId="77777777" w:rsidR="00CC3AED" w:rsidRDefault="00CC3AED" w:rsidP="00CC3AED">
            <w:pPr>
              <w:pStyle w:val="Standaard-Tabellen"/>
              <w:rPr>
                <w:rFonts w:eastAsia="Calibri"/>
              </w:rPr>
            </w:pPr>
            <w:r>
              <w:rPr>
                <w:rFonts w:eastAsia="Calibri"/>
                <w:color w:val="FF0000"/>
                <w:szCs w:val="18"/>
                <w:lang w:eastAsia="en-US"/>
              </w:rPr>
              <w:t>157.85</w:t>
            </w:r>
          </w:p>
        </w:tc>
        <w:tc>
          <w:tcPr>
            <w:tcW w:w="898" w:type="pct"/>
            <w:tcBorders>
              <w:bottom w:val="double" w:sz="4" w:space="0" w:color="auto"/>
            </w:tcBorders>
            <w:shd w:val="clear" w:color="auto" w:fill="auto"/>
            <w:vAlign w:val="center"/>
          </w:tcPr>
          <w:p w14:paraId="0BF0FDD0" w14:textId="77777777" w:rsidR="00CC3AED" w:rsidRPr="0091532F" w:rsidRDefault="00CC3AED" w:rsidP="00CC3AED">
            <w:pPr>
              <w:pStyle w:val="Standaard-Tabellen"/>
              <w:rPr>
                <w:rFonts w:eastAsia="Calibri"/>
                <w:szCs w:val="18"/>
                <w:lang w:eastAsia="en-US"/>
              </w:rPr>
            </w:pPr>
            <w:r w:rsidRPr="00C8715D">
              <w:rPr>
                <w:rFonts w:eastAsia="Calibri"/>
                <w:color w:val="FF0000"/>
                <w:szCs w:val="18"/>
                <w:lang w:eastAsia="en-US"/>
              </w:rPr>
              <w:t>No</w:t>
            </w:r>
            <w:r>
              <w:rPr>
                <w:rFonts w:eastAsia="Calibri"/>
                <w:szCs w:val="18"/>
                <w:lang w:eastAsia="en-US"/>
              </w:rPr>
              <w:t xml:space="preserve"> </w:t>
            </w:r>
          </w:p>
        </w:tc>
      </w:tr>
      <w:tr w:rsidR="00CC3AED" w:rsidRPr="00FD2055" w14:paraId="3DDC4EE1" w14:textId="77777777" w:rsidTr="00CC3AED">
        <w:tc>
          <w:tcPr>
            <w:tcW w:w="983" w:type="pct"/>
            <w:shd w:val="clear" w:color="auto" w:fill="auto"/>
          </w:tcPr>
          <w:p w14:paraId="09322F2A"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Scenario 1, dermal, adult</w:t>
            </w:r>
          </w:p>
        </w:tc>
        <w:tc>
          <w:tcPr>
            <w:tcW w:w="325" w:type="pct"/>
            <w:tcBorders>
              <w:top w:val="double" w:sz="4" w:space="0" w:color="auto"/>
            </w:tcBorders>
            <w:shd w:val="clear" w:color="auto" w:fill="auto"/>
          </w:tcPr>
          <w:p w14:paraId="65481734" w14:textId="77777777" w:rsidR="00CC3AED" w:rsidRPr="0091532F" w:rsidRDefault="00CC3AED" w:rsidP="00CC3AED">
            <w:pPr>
              <w:pStyle w:val="Standaard-Tabellen"/>
              <w:rPr>
                <w:rFonts w:eastAsia="Calibri"/>
                <w:szCs w:val="18"/>
                <w:lang w:eastAsia="en-US"/>
              </w:rPr>
            </w:pPr>
            <w:r>
              <w:rPr>
                <w:rFonts w:eastAsia="Calibri"/>
                <w:szCs w:val="18"/>
                <w:lang w:eastAsia="en-US"/>
              </w:rPr>
              <w:t>2</w:t>
            </w:r>
          </w:p>
        </w:tc>
        <w:tc>
          <w:tcPr>
            <w:tcW w:w="616" w:type="pct"/>
            <w:shd w:val="clear" w:color="auto" w:fill="auto"/>
          </w:tcPr>
          <w:p w14:paraId="19AF0188" w14:textId="77777777" w:rsidR="00CC3AED" w:rsidRPr="0091532F" w:rsidRDefault="00CC3AED" w:rsidP="00CC3AED">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69DA7780" w14:textId="77777777" w:rsidR="00CC3AED" w:rsidRPr="0091532F" w:rsidRDefault="00CC3AED" w:rsidP="00CC3AED">
            <w:pPr>
              <w:pStyle w:val="Standaard-Tabellen"/>
              <w:rPr>
                <w:rFonts w:eastAsia="Calibri"/>
                <w:szCs w:val="18"/>
                <w:lang w:eastAsia="en-US"/>
              </w:rPr>
            </w:pPr>
            <w:r>
              <w:rPr>
                <w:rFonts w:eastAsia="Calibri"/>
                <w:szCs w:val="18"/>
                <w:lang w:eastAsia="en-US"/>
              </w:rPr>
              <w:t>5</w:t>
            </w:r>
          </w:p>
        </w:tc>
        <w:tc>
          <w:tcPr>
            <w:tcW w:w="963" w:type="pct"/>
            <w:tcBorders>
              <w:top w:val="double" w:sz="4" w:space="0" w:color="auto"/>
            </w:tcBorders>
            <w:shd w:val="clear" w:color="auto" w:fill="auto"/>
            <w:vAlign w:val="center"/>
          </w:tcPr>
          <w:p w14:paraId="7D275312" w14:textId="77777777" w:rsidR="00CC3AED" w:rsidRPr="00A92D1C" w:rsidRDefault="00CC3AED" w:rsidP="00CC3AED">
            <w:pPr>
              <w:pStyle w:val="Standaard-Tabellen"/>
              <w:rPr>
                <w:rFonts w:cs="Arial"/>
              </w:rPr>
            </w:pPr>
            <w:r w:rsidRPr="00EB1F68">
              <w:rPr>
                <w:rFonts w:cs="Arial"/>
              </w:rPr>
              <w:t>12.78</w:t>
            </w:r>
          </w:p>
        </w:tc>
        <w:tc>
          <w:tcPr>
            <w:tcW w:w="732" w:type="pct"/>
            <w:tcBorders>
              <w:top w:val="double" w:sz="4" w:space="0" w:color="auto"/>
            </w:tcBorders>
            <w:shd w:val="clear" w:color="auto" w:fill="auto"/>
            <w:vAlign w:val="center"/>
          </w:tcPr>
          <w:p w14:paraId="68AAD71E" w14:textId="77777777" w:rsidR="00CC3AED" w:rsidRDefault="00CC3AED" w:rsidP="00CC3AED">
            <w:pPr>
              <w:pStyle w:val="Standaard-Tabellen"/>
              <w:rPr>
                <w:rFonts w:eastAsia="Calibri"/>
              </w:rPr>
            </w:pPr>
            <w:r>
              <w:rPr>
                <w:rFonts w:eastAsia="Calibri"/>
                <w:color w:val="FF0000"/>
                <w:szCs w:val="18"/>
                <w:lang w:eastAsia="en-US"/>
              </w:rPr>
              <w:t>255.64</w:t>
            </w:r>
          </w:p>
        </w:tc>
        <w:tc>
          <w:tcPr>
            <w:tcW w:w="898" w:type="pct"/>
            <w:shd w:val="clear" w:color="auto" w:fill="auto"/>
            <w:vAlign w:val="center"/>
          </w:tcPr>
          <w:p w14:paraId="7D0B8438" w14:textId="77777777" w:rsidR="00CC3AED" w:rsidRPr="0091532F" w:rsidRDefault="00CC3AED" w:rsidP="00CC3AED">
            <w:pPr>
              <w:pStyle w:val="Standaard-Tabellen"/>
              <w:rPr>
                <w:rFonts w:eastAsia="Calibri"/>
                <w:szCs w:val="18"/>
                <w:lang w:eastAsia="en-US"/>
              </w:rPr>
            </w:pPr>
            <w:r w:rsidRPr="00C8715D">
              <w:rPr>
                <w:rFonts w:eastAsia="Calibri"/>
                <w:color w:val="FF0000"/>
                <w:szCs w:val="18"/>
                <w:lang w:eastAsia="en-US"/>
              </w:rPr>
              <w:t>No</w:t>
            </w:r>
          </w:p>
        </w:tc>
      </w:tr>
      <w:tr w:rsidR="00CC3AED" w:rsidRPr="00FD2055" w14:paraId="3A968C4A" w14:textId="77777777" w:rsidTr="00CC3AED">
        <w:tc>
          <w:tcPr>
            <w:tcW w:w="983" w:type="pct"/>
            <w:shd w:val="clear" w:color="auto" w:fill="auto"/>
          </w:tcPr>
          <w:p w14:paraId="47CAF55D"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Scenario 1, dermal, child</w:t>
            </w:r>
            <w:r>
              <w:rPr>
                <w:rFonts w:eastAsia="Calibri"/>
                <w:szCs w:val="18"/>
                <w:lang w:eastAsia="en-US"/>
              </w:rPr>
              <w:t xml:space="preserve"> (6-12)</w:t>
            </w:r>
          </w:p>
        </w:tc>
        <w:tc>
          <w:tcPr>
            <w:tcW w:w="325" w:type="pct"/>
            <w:shd w:val="clear" w:color="auto" w:fill="auto"/>
          </w:tcPr>
          <w:p w14:paraId="5033D2A4" w14:textId="77777777" w:rsidR="00CC3AED" w:rsidRPr="0091532F" w:rsidRDefault="00CC3AED" w:rsidP="00CC3AED">
            <w:pPr>
              <w:pStyle w:val="Standaard-Tabellen"/>
              <w:rPr>
                <w:rFonts w:eastAsia="Calibri"/>
                <w:szCs w:val="18"/>
                <w:lang w:eastAsia="en-US"/>
              </w:rPr>
            </w:pPr>
            <w:r>
              <w:rPr>
                <w:rFonts w:eastAsia="Calibri"/>
                <w:szCs w:val="18"/>
                <w:lang w:eastAsia="en-US"/>
              </w:rPr>
              <w:t>2</w:t>
            </w:r>
          </w:p>
        </w:tc>
        <w:tc>
          <w:tcPr>
            <w:tcW w:w="616" w:type="pct"/>
            <w:shd w:val="clear" w:color="auto" w:fill="auto"/>
          </w:tcPr>
          <w:p w14:paraId="6F24BFF5" w14:textId="77777777" w:rsidR="00CC3AED" w:rsidRPr="0091532F" w:rsidRDefault="00CC3AED" w:rsidP="00CC3AED">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6FE506CC" w14:textId="77777777" w:rsidR="00CC3AED" w:rsidRPr="0091532F" w:rsidRDefault="00CC3AED" w:rsidP="00CC3AED">
            <w:pPr>
              <w:pStyle w:val="Standaard-Tabellen"/>
              <w:rPr>
                <w:rFonts w:eastAsia="Calibri"/>
                <w:szCs w:val="18"/>
                <w:lang w:eastAsia="en-US"/>
              </w:rPr>
            </w:pPr>
            <w:r>
              <w:rPr>
                <w:rFonts w:eastAsia="Calibri"/>
                <w:szCs w:val="18"/>
                <w:lang w:eastAsia="en-US"/>
              </w:rPr>
              <w:t>5</w:t>
            </w:r>
          </w:p>
        </w:tc>
        <w:tc>
          <w:tcPr>
            <w:tcW w:w="963" w:type="pct"/>
            <w:vAlign w:val="center"/>
          </w:tcPr>
          <w:p w14:paraId="4042B66C" w14:textId="77777777" w:rsidR="00CC3AED" w:rsidRPr="00A92D1C" w:rsidRDefault="00CC3AED" w:rsidP="00CC3AED">
            <w:pPr>
              <w:pStyle w:val="Standaard-Tabellen"/>
              <w:rPr>
                <w:rFonts w:cs="Arial"/>
              </w:rPr>
            </w:pPr>
            <w:r w:rsidRPr="00EB1F68">
              <w:rPr>
                <w:rFonts w:cs="Arial"/>
              </w:rPr>
              <w:t xml:space="preserve">8.89 </w:t>
            </w:r>
          </w:p>
        </w:tc>
        <w:tc>
          <w:tcPr>
            <w:tcW w:w="732" w:type="pct"/>
            <w:shd w:val="clear" w:color="auto" w:fill="auto"/>
            <w:vAlign w:val="center"/>
          </w:tcPr>
          <w:p w14:paraId="5A5D1FE1" w14:textId="77777777" w:rsidR="00CC3AED" w:rsidRDefault="00CC3AED" w:rsidP="00CC3AED">
            <w:pPr>
              <w:pStyle w:val="Standaard-Tabellen"/>
              <w:rPr>
                <w:rFonts w:eastAsia="Calibri"/>
              </w:rPr>
            </w:pPr>
            <w:r>
              <w:rPr>
                <w:rFonts w:eastAsia="Calibri"/>
                <w:color w:val="FF0000"/>
                <w:szCs w:val="18"/>
                <w:lang w:eastAsia="en-US"/>
              </w:rPr>
              <w:t>177.84</w:t>
            </w:r>
          </w:p>
        </w:tc>
        <w:tc>
          <w:tcPr>
            <w:tcW w:w="898" w:type="pct"/>
            <w:shd w:val="clear" w:color="auto" w:fill="auto"/>
            <w:vAlign w:val="center"/>
          </w:tcPr>
          <w:p w14:paraId="419CE1FD" w14:textId="77777777" w:rsidR="00CC3AED" w:rsidRPr="0091532F" w:rsidRDefault="00CC3AED" w:rsidP="00CC3AED">
            <w:pPr>
              <w:pStyle w:val="Standaard-Tabellen"/>
              <w:rPr>
                <w:rFonts w:eastAsia="Calibri"/>
                <w:szCs w:val="18"/>
                <w:lang w:eastAsia="en-US"/>
              </w:rPr>
            </w:pPr>
            <w:r w:rsidRPr="00C8715D">
              <w:rPr>
                <w:rFonts w:eastAsia="Calibri"/>
                <w:color w:val="FF0000"/>
                <w:szCs w:val="18"/>
                <w:lang w:eastAsia="en-US"/>
              </w:rPr>
              <w:t>No</w:t>
            </w:r>
            <w:r>
              <w:rPr>
                <w:rFonts w:eastAsia="Calibri"/>
                <w:szCs w:val="18"/>
                <w:lang w:eastAsia="en-US"/>
              </w:rPr>
              <w:t xml:space="preserve"> </w:t>
            </w:r>
          </w:p>
        </w:tc>
      </w:tr>
      <w:tr w:rsidR="00CC3AED" w:rsidRPr="00FD2055" w14:paraId="6DF8D9E8" w14:textId="77777777" w:rsidTr="00CC3AED">
        <w:tc>
          <w:tcPr>
            <w:tcW w:w="983" w:type="pct"/>
            <w:shd w:val="clear" w:color="auto" w:fill="auto"/>
          </w:tcPr>
          <w:p w14:paraId="3C90C382"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Scenario 1, dermal, child</w:t>
            </w:r>
            <w:r>
              <w:rPr>
                <w:rFonts w:eastAsia="Calibri"/>
                <w:szCs w:val="18"/>
                <w:lang w:eastAsia="en-US"/>
              </w:rPr>
              <w:t xml:space="preserve"> (2-6)</w:t>
            </w:r>
          </w:p>
        </w:tc>
        <w:tc>
          <w:tcPr>
            <w:tcW w:w="325" w:type="pct"/>
            <w:shd w:val="clear" w:color="auto" w:fill="auto"/>
          </w:tcPr>
          <w:p w14:paraId="18A916CA" w14:textId="77777777" w:rsidR="00CC3AED" w:rsidRDefault="00CC3AED" w:rsidP="00CC3AED">
            <w:pPr>
              <w:pStyle w:val="Standaard-Tabellen"/>
              <w:rPr>
                <w:rFonts w:eastAsia="Calibri"/>
                <w:szCs w:val="18"/>
                <w:lang w:eastAsia="en-US"/>
              </w:rPr>
            </w:pPr>
            <w:r>
              <w:rPr>
                <w:rFonts w:eastAsia="Calibri"/>
                <w:szCs w:val="18"/>
                <w:lang w:eastAsia="en-US"/>
              </w:rPr>
              <w:t>2</w:t>
            </w:r>
          </w:p>
        </w:tc>
        <w:tc>
          <w:tcPr>
            <w:tcW w:w="616" w:type="pct"/>
            <w:shd w:val="clear" w:color="auto" w:fill="auto"/>
          </w:tcPr>
          <w:p w14:paraId="29DBFE94" w14:textId="77777777" w:rsidR="00CC3AED" w:rsidRDefault="00CC3AED" w:rsidP="00CC3AED">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77C23A45" w14:textId="77777777" w:rsidR="00CC3AED" w:rsidRDefault="00CC3AED" w:rsidP="00CC3AED">
            <w:pPr>
              <w:pStyle w:val="Standaard-Tabellen"/>
              <w:rPr>
                <w:rFonts w:eastAsia="Calibri"/>
                <w:szCs w:val="18"/>
                <w:lang w:eastAsia="en-US"/>
              </w:rPr>
            </w:pPr>
            <w:r>
              <w:rPr>
                <w:rFonts w:eastAsia="Calibri"/>
                <w:szCs w:val="18"/>
                <w:lang w:eastAsia="en-US"/>
              </w:rPr>
              <w:t>5</w:t>
            </w:r>
          </w:p>
        </w:tc>
        <w:tc>
          <w:tcPr>
            <w:tcW w:w="963" w:type="pct"/>
            <w:shd w:val="clear" w:color="auto" w:fill="auto"/>
            <w:vAlign w:val="center"/>
          </w:tcPr>
          <w:p w14:paraId="71426658" w14:textId="77777777" w:rsidR="00CC3AED" w:rsidRPr="000C397E" w:rsidRDefault="00CC3AED" w:rsidP="00CC3AED">
            <w:pPr>
              <w:pStyle w:val="Standaard-Tabellen"/>
            </w:pPr>
            <w:r w:rsidRPr="00EB1F68">
              <w:rPr>
                <w:rFonts w:cs="Arial"/>
              </w:rPr>
              <w:t xml:space="preserve">3.36 </w:t>
            </w:r>
          </w:p>
        </w:tc>
        <w:tc>
          <w:tcPr>
            <w:tcW w:w="732" w:type="pct"/>
            <w:shd w:val="clear" w:color="auto" w:fill="auto"/>
            <w:vAlign w:val="center"/>
          </w:tcPr>
          <w:p w14:paraId="1B5D32C9" w14:textId="77777777" w:rsidR="00CC3AED" w:rsidRPr="00D84EE6" w:rsidRDefault="00CC3AED" w:rsidP="00CC3AED">
            <w:pPr>
              <w:pStyle w:val="Standaard-Tabellen"/>
              <w:rPr>
                <w:rFonts w:eastAsia="Calibri"/>
                <w:szCs w:val="18"/>
                <w:lang w:eastAsia="en-US"/>
              </w:rPr>
            </w:pPr>
            <w:r>
              <w:rPr>
                <w:rFonts w:eastAsia="Calibri"/>
                <w:szCs w:val="18"/>
                <w:lang w:eastAsia="en-US"/>
              </w:rPr>
              <w:t>67.13</w:t>
            </w:r>
          </w:p>
        </w:tc>
        <w:tc>
          <w:tcPr>
            <w:tcW w:w="898" w:type="pct"/>
            <w:shd w:val="clear" w:color="auto" w:fill="auto"/>
          </w:tcPr>
          <w:p w14:paraId="61720363" w14:textId="77777777" w:rsidR="00CC3AED" w:rsidRPr="0091532F" w:rsidRDefault="00CC3AED" w:rsidP="00CC3AED">
            <w:pPr>
              <w:pStyle w:val="Standaard-Tabellen"/>
              <w:rPr>
                <w:rFonts w:eastAsia="Calibri"/>
                <w:szCs w:val="18"/>
                <w:lang w:eastAsia="en-US"/>
              </w:rPr>
            </w:pPr>
            <w:r w:rsidRPr="0060473E">
              <w:rPr>
                <w:rFonts w:eastAsia="Calibri"/>
                <w:szCs w:val="18"/>
                <w:lang w:eastAsia="en-US"/>
              </w:rPr>
              <w:t xml:space="preserve">Yes </w:t>
            </w:r>
          </w:p>
        </w:tc>
      </w:tr>
      <w:tr w:rsidR="00CC3AED" w:rsidRPr="00FD2055" w14:paraId="16DF857D" w14:textId="77777777" w:rsidTr="00CC3AED">
        <w:tc>
          <w:tcPr>
            <w:tcW w:w="983" w:type="pct"/>
            <w:shd w:val="clear" w:color="auto" w:fill="auto"/>
          </w:tcPr>
          <w:p w14:paraId="7ECC9D87"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Scenario 1, dermal, toddler</w:t>
            </w:r>
          </w:p>
        </w:tc>
        <w:tc>
          <w:tcPr>
            <w:tcW w:w="325" w:type="pct"/>
            <w:shd w:val="clear" w:color="auto" w:fill="auto"/>
          </w:tcPr>
          <w:p w14:paraId="0AC434D0" w14:textId="77777777" w:rsidR="00CC3AED" w:rsidRDefault="00CC3AED" w:rsidP="00CC3AED">
            <w:pPr>
              <w:pStyle w:val="Standaard-Tabellen"/>
              <w:rPr>
                <w:rFonts w:eastAsia="Calibri"/>
                <w:szCs w:val="18"/>
                <w:lang w:eastAsia="en-US"/>
              </w:rPr>
            </w:pPr>
            <w:r>
              <w:rPr>
                <w:rFonts w:eastAsia="Calibri"/>
                <w:szCs w:val="18"/>
                <w:lang w:eastAsia="en-US"/>
              </w:rPr>
              <w:t>2</w:t>
            </w:r>
          </w:p>
        </w:tc>
        <w:tc>
          <w:tcPr>
            <w:tcW w:w="616" w:type="pct"/>
            <w:shd w:val="clear" w:color="auto" w:fill="auto"/>
          </w:tcPr>
          <w:p w14:paraId="242AD147" w14:textId="77777777" w:rsidR="00CC3AED" w:rsidRDefault="00CC3AED" w:rsidP="00CC3AED">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19AB4FBC" w14:textId="77777777" w:rsidR="00CC3AED" w:rsidRDefault="00CC3AED" w:rsidP="00CC3AED">
            <w:pPr>
              <w:pStyle w:val="Standaard-Tabellen"/>
              <w:rPr>
                <w:rFonts w:eastAsia="Calibri"/>
                <w:szCs w:val="18"/>
                <w:lang w:eastAsia="en-US"/>
              </w:rPr>
            </w:pPr>
            <w:r>
              <w:rPr>
                <w:rFonts w:eastAsia="Calibri"/>
                <w:szCs w:val="18"/>
                <w:lang w:eastAsia="en-US"/>
              </w:rPr>
              <w:t>5</w:t>
            </w:r>
          </w:p>
        </w:tc>
        <w:tc>
          <w:tcPr>
            <w:tcW w:w="963" w:type="pct"/>
            <w:shd w:val="clear" w:color="auto" w:fill="auto"/>
            <w:vAlign w:val="center"/>
          </w:tcPr>
          <w:p w14:paraId="5C1EA8F3" w14:textId="77777777" w:rsidR="00CC3AED" w:rsidRPr="000C397E" w:rsidRDefault="00CC3AED" w:rsidP="00CC3AED">
            <w:pPr>
              <w:pStyle w:val="Standaard-Tabellen"/>
            </w:pPr>
            <w:r w:rsidRPr="00EB1F68">
              <w:rPr>
                <w:rFonts w:cs="Arial"/>
              </w:rPr>
              <w:t xml:space="preserve">3.70 </w:t>
            </w:r>
          </w:p>
        </w:tc>
        <w:tc>
          <w:tcPr>
            <w:tcW w:w="732" w:type="pct"/>
            <w:shd w:val="clear" w:color="auto" w:fill="auto"/>
            <w:vAlign w:val="center"/>
          </w:tcPr>
          <w:p w14:paraId="1F446153" w14:textId="77777777" w:rsidR="00CC3AED" w:rsidRPr="00D84EE6" w:rsidRDefault="00CC3AED" w:rsidP="00CC3AED">
            <w:pPr>
              <w:pStyle w:val="Standaard-Tabellen"/>
              <w:rPr>
                <w:rFonts w:eastAsia="Calibri"/>
                <w:szCs w:val="18"/>
                <w:lang w:eastAsia="en-US"/>
              </w:rPr>
            </w:pPr>
            <w:r>
              <w:rPr>
                <w:rFonts w:eastAsia="Calibri"/>
                <w:szCs w:val="18"/>
                <w:lang w:eastAsia="en-US"/>
              </w:rPr>
              <w:t>73.92</w:t>
            </w:r>
          </w:p>
        </w:tc>
        <w:tc>
          <w:tcPr>
            <w:tcW w:w="898" w:type="pct"/>
            <w:shd w:val="clear" w:color="auto" w:fill="auto"/>
          </w:tcPr>
          <w:p w14:paraId="1D5667F9" w14:textId="77777777" w:rsidR="00CC3AED" w:rsidRPr="0091532F" w:rsidRDefault="00CC3AED" w:rsidP="00CC3AED">
            <w:pPr>
              <w:pStyle w:val="Standaard-Tabellen"/>
              <w:rPr>
                <w:rFonts w:eastAsia="Calibri"/>
                <w:szCs w:val="18"/>
                <w:lang w:eastAsia="en-US"/>
              </w:rPr>
            </w:pPr>
            <w:r w:rsidRPr="0060473E">
              <w:rPr>
                <w:rFonts w:eastAsia="Calibri"/>
                <w:szCs w:val="18"/>
                <w:lang w:eastAsia="en-US"/>
              </w:rPr>
              <w:t xml:space="preserve">Yes </w:t>
            </w:r>
          </w:p>
        </w:tc>
      </w:tr>
      <w:tr w:rsidR="00CC3AED" w:rsidRPr="00FD2055" w14:paraId="7D7A61E0" w14:textId="77777777" w:rsidTr="00CC3AED">
        <w:tc>
          <w:tcPr>
            <w:tcW w:w="983" w:type="pct"/>
            <w:tcBorders>
              <w:bottom w:val="double" w:sz="4" w:space="0" w:color="auto"/>
            </w:tcBorders>
            <w:shd w:val="clear" w:color="auto" w:fill="auto"/>
          </w:tcPr>
          <w:p w14:paraId="1810D192"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Scenario 1, dermal, infant</w:t>
            </w:r>
          </w:p>
        </w:tc>
        <w:tc>
          <w:tcPr>
            <w:tcW w:w="325" w:type="pct"/>
            <w:tcBorders>
              <w:bottom w:val="double" w:sz="4" w:space="0" w:color="auto"/>
            </w:tcBorders>
            <w:shd w:val="clear" w:color="auto" w:fill="auto"/>
          </w:tcPr>
          <w:p w14:paraId="58449A9D" w14:textId="77777777" w:rsidR="00CC3AED" w:rsidRPr="0091532F" w:rsidRDefault="00CC3AED" w:rsidP="00CC3AED">
            <w:pPr>
              <w:pStyle w:val="Standaard-Tabellen"/>
              <w:rPr>
                <w:rFonts w:eastAsia="Calibri"/>
                <w:szCs w:val="18"/>
                <w:lang w:eastAsia="en-US"/>
              </w:rPr>
            </w:pPr>
            <w:r>
              <w:rPr>
                <w:rFonts w:eastAsia="Calibri"/>
                <w:szCs w:val="18"/>
                <w:lang w:eastAsia="en-US"/>
              </w:rPr>
              <w:t>2</w:t>
            </w:r>
          </w:p>
        </w:tc>
        <w:tc>
          <w:tcPr>
            <w:tcW w:w="616" w:type="pct"/>
            <w:tcBorders>
              <w:bottom w:val="double" w:sz="4" w:space="0" w:color="auto"/>
            </w:tcBorders>
            <w:shd w:val="clear" w:color="auto" w:fill="auto"/>
          </w:tcPr>
          <w:p w14:paraId="5AEC6B4D" w14:textId="77777777" w:rsidR="00CC3AED" w:rsidRPr="0091532F" w:rsidRDefault="00CC3AED" w:rsidP="00CC3AED">
            <w:pPr>
              <w:pStyle w:val="Standaard-Tabellen"/>
              <w:rPr>
                <w:rFonts w:eastAsia="Calibri"/>
                <w:szCs w:val="18"/>
                <w:lang w:eastAsia="en-US"/>
              </w:rPr>
            </w:pPr>
            <w:r>
              <w:rPr>
                <w:rFonts w:eastAsia="Calibri"/>
                <w:szCs w:val="18"/>
                <w:lang w:eastAsia="en-US"/>
              </w:rPr>
              <w:t>500</w:t>
            </w:r>
          </w:p>
        </w:tc>
        <w:tc>
          <w:tcPr>
            <w:tcW w:w="483" w:type="pct"/>
            <w:tcBorders>
              <w:bottom w:val="double" w:sz="4" w:space="0" w:color="auto"/>
            </w:tcBorders>
            <w:shd w:val="clear" w:color="auto" w:fill="auto"/>
          </w:tcPr>
          <w:p w14:paraId="3ADD42E3" w14:textId="77777777" w:rsidR="00CC3AED" w:rsidRPr="0091532F" w:rsidRDefault="00CC3AED" w:rsidP="00CC3AED">
            <w:pPr>
              <w:pStyle w:val="Standaard-Tabellen"/>
              <w:rPr>
                <w:rFonts w:eastAsia="Calibri"/>
                <w:szCs w:val="18"/>
                <w:lang w:eastAsia="en-US"/>
              </w:rPr>
            </w:pPr>
            <w:r>
              <w:rPr>
                <w:rFonts w:eastAsia="Calibri"/>
                <w:szCs w:val="18"/>
                <w:lang w:eastAsia="en-US"/>
              </w:rPr>
              <w:t>5</w:t>
            </w:r>
          </w:p>
        </w:tc>
        <w:tc>
          <w:tcPr>
            <w:tcW w:w="963" w:type="pct"/>
            <w:tcBorders>
              <w:bottom w:val="double" w:sz="4" w:space="0" w:color="auto"/>
            </w:tcBorders>
            <w:shd w:val="clear" w:color="auto" w:fill="auto"/>
            <w:vAlign w:val="center"/>
          </w:tcPr>
          <w:p w14:paraId="555BD71B" w14:textId="77777777" w:rsidR="00CC3AED" w:rsidRPr="00A92D1C" w:rsidRDefault="00CC3AED" w:rsidP="00CC3AED">
            <w:pPr>
              <w:pStyle w:val="Standaard-Tabellen"/>
              <w:rPr>
                <w:rFonts w:cs="Arial"/>
              </w:rPr>
            </w:pPr>
            <w:r w:rsidRPr="00EB1F68">
              <w:rPr>
                <w:rFonts w:cs="Arial"/>
              </w:rPr>
              <w:t xml:space="preserve">3.95 </w:t>
            </w:r>
          </w:p>
        </w:tc>
        <w:tc>
          <w:tcPr>
            <w:tcW w:w="732" w:type="pct"/>
            <w:tcBorders>
              <w:bottom w:val="double" w:sz="4" w:space="0" w:color="auto"/>
            </w:tcBorders>
            <w:shd w:val="clear" w:color="auto" w:fill="auto"/>
            <w:vAlign w:val="center"/>
          </w:tcPr>
          <w:p w14:paraId="3F57FC14" w14:textId="77777777" w:rsidR="00CC3AED" w:rsidRPr="00D84EE6" w:rsidRDefault="00CC3AED" w:rsidP="00CC3AED">
            <w:pPr>
              <w:pStyle w:val="Standaard-Tabellen"/>
              <w:rPr>
                <w:rFonts w:eastAsia="Calibri"/>
              </w:rPr>
            </w:pPr>
            <w:r>
              <w:rPr>
                <w:rFonts w:eastAsia="Calibri"/>
                <w:szCs w:val="18"/>
                <w:lang w:eastAsia="en-US"/>
              </w:rPr>
              <w:t>78.925</w:t>
            </w:r>
          </w:p>
        </w:tc>
        <w:tc>
          <w:tcPr>
            <w:tcW w:w="898" w:type="pct"/>
            <w:tcBorders>
              <w:bottom w:val="double" w:sz="4" w:space="0" w:color="auto"/>
            </w:tcBorders>
            <w:shd w:val="clear" w:color="auto" w:fill="auto"/>
            <w:vAlign w:val="center"/>
          </w:tcPr>
          <w:p w14:paraId="2D6E59DE" w14:textId="77777777" w:rsidR="00CC3AED" w:rsidRPr="0091532F" w:rsidRDefault="00CC3AED" w:rsidP="00CC3AED">
            <w:pPr>
              <w:pStyle w:val="Standaard-Tabellen"/>
              <w:rPr>
                <w:rFonts w:eastAsia="Calibri"/>
                <w:szCs w:val="18"/>
                <w:lang w:eastAsia="en-US"/>
              </w:rPr>
            </w:pPr>
            <w:r>
              <w:rPr>
                <w:rFonts w:eastAsia="Calibri"/>
                <w:szCs w:val="18"/>
                <w:lang w:eastAsia="en-US"/>
              </w:rPr>
              <w:t xml:space="preserve">Yes </w:t>
            </w:r>
          </w:p>
        </w:tc>
      </w:tr>
      <w:tr w:rsidR="00CC3AED" w:rsidRPr="00FD2055" w14:paraId="140DFBE8" w14:textId="77777777" w:rsidTr="00CC3AED">
        <w:tc>
          <w:tcPr>
            <w:tcW w:w="983" w:type="pct"/>
            <w:shd w:val="clear" w:color="auto" w:fill="auto"/>
          </w:tcPr>
          <w:p w14:paraId="5B09D279" w14:textId="77777777" w:rsidR="00CC3AED" w:rsidRPr="00FD2055" w:rsidRDefault="00CC3AED" w:rsidP="00CC3AED">
            <w:pPr>
              <w:pStyle w:val="Standaard-Tabellen"/>
              <w:rPr>
                <w:rFonts w:eastAsia="Calibri"/>
              </w:rPr>
            </w:pPr>
            <w:r w:rsidRPr="0091532F">
              <w:rPr>
                <w:rFonts w:eastAsia="Calibri"/>
                <w:szCs w:val="18"/>
                <w:lang w:eastAsia="en-US"/>
              </w:rPr>
              <w:t>Scenario 1, dermal, adult</w:t>
            </w:r>
          </w:p>
        </w:tc>
        <w:tc>
          <w:tcPr>
            <w:tcW w:w="325" w:type="pct"/>
            <w:shd w:val="clear" w:color="auto" w:fill="auto"/>
          </w:tcPr>
          <w:p w14:paraId="22DC4ECA" w14:textId="77777777" w:rsidR="00CC3AED" w:rsidRPr="00FD2055" w:rsidRDefault="00CC3AED" w:rsidP="00CC3AED">
            <w:pPr>
              <w:pStyle w:val="Standaard-Tabellen"/>
              <w:rPr>
                <w:rFonts w:eastAsia="Calibri"/>
              </w:rPr>
            </w:pPr>
            <w:r>
              <w:rPr>
                <w:rFonts w:eastAsia="Calibri"/>
                <w:szCs w:val="18"/>
                <w:lang w:eastAsia="en-US"/>
              </w:rPr>
              <w:t>3</w:t>
            </w:r>
          </w:p>
        </w:tc>
        <w:tc>
          <w:tcPr>
            <w:tcW w:w="616" w:type="pct"/>
            <w:shd w:val="clear" w:color="auto" w:fill="auto"/>
          </w:tcPr>
          <w:p w14:paraId="78C76542"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shd w:val="clear" w:color="auto" w:fill="auto"/>
          </w:tcPr>
          <w:p w14:paraId="148498EE"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shd w:val="clear" w:color="auto" w:fill="auto"/>
            <w:vAlign w:val="center"/>
          </w:tcPr>
          <w:p w14:paraId="3DEB90FE" w14:textId="77777777" w:rsidR="00CC3AED" w:rsidRPr="00FD2055" w:rsidRDefault="00CC3AED" w:rsidP="00CC3AED">
            <w:pPr>
              <w:pStyle w:val="Standaard-Tabellen"/>
              <w:rPr>
                <w:rFonts w:eastAsia="Calibri"/>
              </w:rPr>
            </w:pPr>
            <w:r w:rsidRPr="00EB1F68">
              <w:rPr>
                <w:rFonts w:cs="Arial"/>
              </w:rPr>
              <w:t xml:space="preserve">4.26 </w:t>
            </w:r>
          </w:p>
        </w:tc>
        <w:tc>
          <w:tcPr>
            <w:tcW w:w="732" w:type="pct"/>
            <w:shd w:val="clear" w:color="auto" w:fill="auto"/>
            <w:vAlign w:val="center"/>
          </w:tcPr>
          <w:p w14:paraId="11263266" w14:textId="77777777" w:rsidR="00CC3AED" w:rsidRPr="00D84EE6" w:rsidRDefault="00CC3AED" w:rsidP="00CC3AED">
            <w:pPr>
              <w:pStyle w:val="Standaard-Tabellen"/>
              <w:rPr>
                <w:rFonts w:eastAsia="Calibri"/>
              </w:rPr>
            </w:pPr>
            <w:r>
              <w:rPr>
                <w:rFonts w:eastAsia="Calibri"/>
                <w:szCs w:val="18"/>
                <w:lang w:eastAsia="en-US"/>
              </w:rPr>
              <w:t>85.21</w:t>
            </w:r>
          </w:p>
        </w:tc>
        <w:tc>
          <w:tcPr>
            <w:tcW w:w="898" w:type="pct"/>
            <w:shd w:val="clear" w:color="auto" w:fill="auto"/>
            <w:vAlign w:val="center"/>
          </w:tcPr>
          <w:p w14:paraId="01682988" w14:textId="77777777" w:rsidR="00CC3AED" w:rsidRPr="00FD2055" w:rsidRDefault="00CC3AED" w:rsidP="00CC3AED">
            <w:pPr>
              <w:pStyle w:val="Standaard-Tabellen"/>
              <w:rPr>
                <w:rFonts w:eastAsia="Calibri"/>
              </w:rPr>
            </w:pPr>
            <w:r w:rsidRPr="0091532F">
              <w:rPr>
                <w:rFonts w:eastAsia="Calibri"/>
                <w:szCs w:val="18"/>
                <w:lang w:eastAsia="en-US"/>
              </w:rPr>
              <w:t>Yes</w:t>
            </w:r>
            <w:r>
              <w:rPr>
                <w:rFonts w:eastAsia="Calibri"/>
                <w:szCs w:val="18"/>
                <w:lang w:eastAsia="en-US"/>
              </w:rPr>
              <w:t xml:space="preserve"> </w:t>
            </w:r>
          </w:p>
        </w:tc>
      </w:tr>
      <w:tr w:rsidR="00CC3AED" w:rsidRPr="00FD2055" w14:paraId="162E3144" w14:textId="77777777" w:rsidTr="00CC3AED">
        <w:tc>
          <w:tcPr>
            <w:tcW w:w="983" w:type="pct"/>
            <w:tcBorders>
              <w:bottom w:val="single" w:sz="18" w:space="0" w:color="auto"/>
            </w:tcBorders>
            <w:shd w:val="clear" w:color="auto" w:fill="auto"/>
          </w:tcPr>
          <w:p w14:paraId="7785C148"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Scenario 1, dermal, child</w:t>
            </w:r>
            <w:r>
              <w:rPr>
                <w:rFonts w:eastAsia="Calibri"/>
                <w:szCs w:val="18"/>
                <w:lang w:eastAsia="en-US"/>
              </w:rPr>
              <w:t xml:space="preserve"> (6-12)</w:t>
            </w:r>
          </w:p>
        </w:tc>
        <w:tc>
          <w:tcPr>
            <w:tcW w:w="325" w:type="pct"/>
            <w:tcBorders>
              <w:bottom w:val="single" w:sz="18" w:space="0" w:color="auto"/>
            </w:tcBorders>
            <w:shd w:val="clear" w:color="auto" w:fill="auto"/>
          </w:tcPr>
          <w:p w14:paraId="6154CFDE" w14:textId="77777777" w:rsidR="00CC3AED" w:rsidRDefault="00CC3AED" w:rsidP="00CC3AED">
            <w:pPr>
              <w:pStyle w:val="Standaard-Tabellen"/>
              <w:rPr>
                <w:rFonts w:eastAsia="Calibri"/>
                <w:szCs w:val="18"/>
                <w:lang w:eastAsia="en-US"/>
              </w:rPr>
            </w:pPr>
            <w:r>
              <w:rPr>
                <w:rFonts w:eastAsia="Calibri"/>
                <w:szCs w:val="18"/>
                <w:lang w:eastAsia="en-US"/>
              </w:rPr>
              <w:t>3</w:t>
            </w:r>
          </w:p>
        </w:tc>
        <w:tc>
          <w:tcPr>
            <w:tcW w:w="616" w:type="pct"/>
            <w:tcBorders>
              <w:bottom w:val="single" w:sz="18" w:space="0" w:color="auto"/>
            </w:tcBorders>
            <w:shd w:val="clear" w:color="auto" w:fill="auto"/>
          </w:tcPr>
          <w:p w14:paraId="0DB75EAE" w14:textId="77777777" w:rsidR="00CC3AED" w:rsidRDefault="00CC3AED" w:rsidP="00CC3AED">
            <w:pPr>
              <w:pStyle w:val="Standaard-Tabellen"/>
              <w:rPr>
                <w:rFonts w:eastAsia="Calibri"/>
                <w:szCs w:val="18"/>
                <w:lang w:eastAsia="en-US"/>
              </w:rPr>
            </w:pPr>
            <w:r>
              <w:rPr>
                <w:rFonts w:eastAsia="Calibri"/>
                <w:szCs w:val="18"/>
                <w:lang w:eastAsia="en-US"/>
              </w:rPr>
              <w:t>500</w:t>
            </w:r>
          </w:p>
        </w:tc>
        <w:tc>
          <w:tcPr>
            <w:tcW w:w="483" w:type="pct"/>
            <w:tcBorders>
              <w:bottom w:val="single" w:sz="18" w:space="0" w:color="auto"/>
            </w:tcBorders>
            <w:shd w:val="clear" w:color="auto" w:fill="auto"/>
          </w:tcPr>
          <w:p w14:paraId="4EB7E352" w14:textId="77777777" w:rsidR="00CC3AED" w:rsidRDefault="00CC3AED" w:rsidP="00CC3AED">
            <w:pPr>
              <w:pStyle w:val="Standaard-Tabellen"/>
              <w:rPr>
                <w:rFonts w:eastAsia="Calibri"/>
                <w:szCs w:val="18"/>
                <w:lang w:eastAsia="en-US"/>
              </w:rPr>
            </w:pPr>
            <w:r>
              <w:rPr>
                <w:rFonts w:eastAsia="Calibri"/>
                <w:szCs w:val="18"/>
                <w:lang w:eastAsia="en-US"/>
              </w:rPr>
              <w:t>5</w:t>
            </w:r>
          </w:p>
        </w:tc>
        <w:tc>
          <w:tcPr>
            <w:tcW w:w="963" w:type="pct"/>
            <w:tcBorders>
              <w:bottom w:val="single" w:sz="18" w:space="0" w:color="auto"/>
            </w:tcBorders>
            <w:shd w:val="clear" w:color="auto" w:fill="auto"/>
            <w:vAlign w:val="center"/>
          </w:tcPr>
          <w:p w14:paraId="7F989DC6" w14:textId="77777777" w:rsidR="00CC3AED" w:rsidRPr="000C397E" w:rsidRDefault="00CC3AED" w:rsidP="00CC3AED">
            <w:pPr>
              <w:pStyle w:val="Standaard-Tabellen"/>
            </w:pPr>
            <w:r w:rsidRPr="00EB1F68">
              <w:rPr>
                <w:rFonts w:cs="Arial"/>
              </w:rPr>
              <w:t xml:space="preserve">2.96 </w:t>
            </w:r>
          </w:p>
        </w:tc>
        <w:tc>
          <w:tcPr>
            <w:tcW w:w="732" w:type="pct"/>
            <w:tcBorders>
              <w:bottom w:val="single" w:sz="18" w:space="0" w:color="auto"/>
            </w:tcBorders>
            <w:shd w:val="clear" w:color="auto" w:fill="auto"/>
            <w:vAlign w:val="center"/>
          </w:tcPr>
          <w:p w14:paraId="1CE99EBB" w14:textId="77777777" w:rsidR="00CC3AED" w:rsidRPr="00D84EE6" w:rsidRDefault="00CC3AED" w:rsidP="00CC3AED">
            <w:pPr>
              <w:pStyle w:val="Standaard-Tabellen"/>
              <w:rPr>
                <w:rFonts w:eastAsia="Calibri"/>
                <w:szCs w:val="18"/>
                <w:lang w:eastAsia="en-US"/>
              </w:rPr>
            </w:pPr>
            <w:r>
              <w:rPr>
                <w:rFonts w:eastAsia="Calibri"/>
                <w:szCs w:val="18"/>
                <w:lang w:eastAsia="en-US"/>
              </w:rPr>
              <w:t>59.28</w:t>
            </w:r>
          </w:p>
        </w:tc>
        <w:tc>
          <w:tcPr>
            <w:tcW w:w="898" w:type="pct"/>
            <w:tcBorders>
              <w:bottom w:val="single" w:sz="18" w:space="0" w:color="auto"/>
            </w:tcBorders>
            <w:shd w:val="clear" w:color="auto" w:fill="auto"/>
            <w:vAlign w:val="center"/>
          </w:tcPr>
          <w:p w14:paraId="497B31B1" w14:textId="77777777" w:rsidR="00CC3AED" w:rsidRDefault="00CC3AED" w:rsidP="00CC3AED">
            <w:pPr>
              <w:pStyle w:val="Standaard-Tabellen"/>
              <w:rPr>
                <w:rFonts w:eastAsia="Calibri"/>
                <w:szCs w:val="18"/>
                <w:lang w:eastAsia="en-US"/>
              </w:rPr>
            </w:pPr>
            <w:r w:rsidRPr="0091532F">
              <w:rPr>
                <w:rFonts w:eastAsia="Calibri"/>
                <w:szCs w:val="18"/>
                <w:lang w:eastAsia="en-US"/>
              </w:rPr>
              <w:t>Yes</w:t>
            </w:r>
          </w:p>
        </w:tc>
      </w:tr>
      <w:tr w:rsidR="00CC3AED" w:rsidRPr="00FD2055" w14:paraId="3EE809A5" w14:textId="77777777" w:rsidTr="00CC3AED">
        <w:tc>
          <w:tcPr>
            <w:tcW w:w="983" w:type="pct"/>
            <w:tcBorders>
              <w:top w:val="single" w:sz="18" w:space="0" w:color="auto"/>
            </w:tcBorders>
            <w:shd w:val="clear" w:color="auto" w:fill="auto"/>
          </w:tcPr>
          <w:p w14:paraId="0524A8A4" w14:textId="77777777" w:rsidR="00CC3AED" w:rsidRPr="00FD2055" w:rsidRDefault="00CC3AED" w:rsidP="00CC3AED">
            <w:pPr>
              <w:pStyle w:val="Standaard-Tabellen"/>
              <w:rPr>
                <w:rFonts w:eastAsia="Calibri"/>
              </w:rPr>
            </w:pPr>
            <w:r>
              <w:rPr>
                <w:rFonts w:eastAsia="Calibri"/>
                <w:szCs w:val="18"/>
                <w:lang w:eastAsia="en-US"/>
              </w:rPr>
              <w:t>Scenario 2</w:t>
            </w:r>
            <w:r w:rsidRPr="0091532F">
              <w:rPr>
                <w:rFonts w:eastAsia="Calibri"/>
                <w:szCs w:val="18"/>
                <w:lang w:eastAsia="en-US"/>
              </w:rPr>
              <w:t>, hand-mouth transfer, adult</w:t>
            </w:r>
          </w:p>
        </w:tc>
        <w:tc>
          <w:tcPr>
            <w:tcW w:w="325" w:type="pct"/>
            <w:tcBorders>
              <w:top w:val="single" w:sz="18" w:space="0" w:color="auto"/>
            </w:tcBorders>
            <w:shd w:val="clear" w:color="auto" w:fill="auto"/>
          </w:tcPr>
          <w:p w14:paraId="6A665220" w14:textId="77777777" w:rsidR="00CC3AED" w:rsidRPr="00FD2055" w:rsidRDefault="00CC3AED" w:rsidP="00CC3AED">
            <w:pPr>
              <w:pStyle w:val="Standaard-Tabellen"/>
              <w:rPr>
                <w:rFonts w:eastAsia="Calibri"/>
              </w:rPr>
            </w:pPr>
            <w:r w:rsidRPr="0091532F">
              <w:rPr>
                <w:rFonts w:eastAsia="Calibri"/>
                <w:szCs w:val="18"/>
                <w:lang w:eastAsia="en-US"/>
              </w:rPr>
              <w:t>1</w:t>
            </w:r>
          </w:p>
        </w:tc>
        <w:tc>
          <w:tcPr>
            <w:tcW w:w="616" w:type="pct"/>
            <w:tcBorders>
              <w:top w:val="single" w:sz="18" w:space="0" w:color="auto"/>
            </w:tcBorders>
            <w:shd w:val="clear" w:color="auto" w:fill="auto"/>
          </w:tcPr>
          <w:p w14:paraId="72697874"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tcBorders>
              <w:top w:val="single" w:sz="18" w:space="0" w:color="auto"/>
            </w:tcBorders>
            <w:shd w:val="clear" w:color="auto" w:fill="auto"/>
          </w:tcPr>
          <w:p w14:paraId="533EEA62"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tcBorders>
              <w:top w:val="single" w:sz="18" w:space="0" w:color="auto"/>
            </w:tcBorders>
            <w:shd w:val="clear" w:color="auto" w:fill="auto"/>
            <w:vAlign w:val="center"/>
          </w:tcPr>
          <w:p w14:paraId="2FB28F57" w14:textId="77777777" w:rsidR="00CC3AED" w:rsidRPr="00FD2055" w:rsidRDefault="00CC3AED" w:rsidP="00CC3AED">
            <w:pPr>
              <w:pStyle w:val="Standaard-Tabellen"/>
              <w:rPr>
                <w:rFonts w:eastAsia="Calibri"/>
              </w:rPr>
            </w:pPr>
            <w:r w:rsidRPr="00EB1F68">
              <w:rPr>
                <w:rFonts w:eastAsia="Calibri"/>
              </w:rPr>
              <w:t>Up to 8.21 applications</w:t>
            </w:r>
          </w:p>
        </w:tc>
        <w:tc>
          <w:tcPr>
            <w:tcW w:w="732" w:type="pct"/>
            <w:tcBorders>
              <w:top w:val="single" w:sz="18" w:space="0" w:color="auto"/>
            </w:tcBorders>
            <w:shd w:val="clear" w:color="auto" w:fill="auto"/>
            <w:vAlign w:val="center"/>
          </w:tcPr>
          <w:p w14:paraId="7031B8FF" w14:textId="77777777" w:rsidR="00CC3AED" w:rsidRPr="00FD2055" w:rsidRDefault="00CC3AED" w:rsidP="00CC3AED">
            <w:pPr>
              <w:pStyle w:val="Standaard-Tabellen"/>
              <w:rPr>
                <w:rFonts w:eastAsia="Calibri"/>
              </w:rPr>
            </w:pPr>
            <w:proofErr w:type="spellStart"/>
            <w:r w:rsidRPr="0091532F">
              <w:rPr>
                <w:rFonts w:eastAsia="Calibri"/>
                <w:szCs w:val="18"/>
                <w:lang w:eastAsia="en-US"/>
              </w:rPr>
              <w:t>n.a.</w:t>
            </w:r>
            <w:proofErr w:type="spellEnd"/>
          </w:p>
        </w:tc>
        <w:tc>
          <w:tcPr>
            <w:tcW w:w="898" w:type="pct"/>
            <w:tcBorders>
              <w:top w:val="single" w:sz="18" w:space="0" w:color="auto"/>
            </w:tcBorders>
            <w:shd w:val="clear" w:color="auto" w:fill="auto"/>
            <w:vAlign w:val="center"/>
          </w:tcPr>
          <w:p w14:paraId="3E92F7E9" w14:textId="77777777" w:rsidR="00CC3AED" w:rsidRDefault="00CC3AED" w:rsidP="00CC3AED">
            <w:pPr>
              <w:pStyle w:val="Standaard-Tabellen"/>
              <w:rPr>
                <w:rFonts w:eastAsia="Calibri"/>
                <w:szCs w:val="18"/>
                <w:lang w:eastAsia="en-US"/>
              </w:rPr>
            </w:pPr>
            <w:r>
              <w:rPr>
                <w:rFonts w:eastAsia="Calibri"/>
                <w:szCs w:val="18"/>
                <w:lang w:eastAsia="en-US"/>
              </w:rPr>
              <w:t>Reverse</w:t>
            </w:r>
          </w:p>
          <w:p w14:paraId="273D876E" w14:textId="77777777" w:rsidR="00CC3AED" w:rsidRDefault="00CC3AED" w:rsidP="00CC3AED">
            <w:pPr>
              <w:pStyle w:val="Standaard-Tabellen"/>
              <w:rPr>
                <w:rFonts w:eastAsia="Calibri"/>
                <w:szCs w:val="18"/>
                <w:lang w:eastAsia="en-US"/>
              </w:rPr>
            </w:pPr>
            <w:r>
              <w:rPr>
                <w:rFonts w:eastAsia="Calibri"/>
                <w:szCs w:val="18"/>
                <w:lang w:eastAsia="en-US"/>
              </w:rPr>
              <w:t>reference</w:t>
            </w:r>
          </w:p>
          <w:p w14:paraId="7E813C02" w14:textId="77777777" w:rsidR="00CC3AED" w:rsidRPr="00FD2055" w:rsidRDefault="00CC3AED" w:rsidP="00CC3AED">
            <w:pPr>
              <w:pStyle w:val="Standaard-Tabellen"/>
              <w:rPr>
                <w:rFonts w:eastAsia="Calibri"/>
              </w:rPr>
            </w:pPr>
            <w:r w:rsidRPr="0091532F">
              <w:rPr>
                <w:rFonts w:eastAsia="Calibri"/>
                <w:szCs w:val="18"/>
                <w:lang w:eastAsia="en-US"/>
              </w:rPr>
              <w:t>scenario</w:t>
            </w:r>
          </w:p>
        </w:tc>
      </w:tr>
      <w:tr w:rsidR="00CC3AED" w:rsidRPr="00FD2055" w14:paraId="4AD50DD5" w14:textId="77777777" w:rsidTr="00CC3AED">
        <w:tc>
          <w:tcPr>
            <w:tcW w:w="983" w:type="pct"/>
            <w:shd w:val="clear" w:color="auto" w:fill="auto"/>
          </w:tcPr>
          <w:p w14:paraId="66C6CE97" w14:textId="77777777" w:rsidR="00CC3AED" w:rsidRPr="00FD2055" w:rsidRDefault="00CC3AED" w:rsidP="00CC3AED">
            <w:pPr>
              <w:pStyle w:val="Standaard-Tabellen"/>
              <w:rPr>
                <w:rFonts w:eastAsia="Calibri"/>
              </w:rPr>
            </w:pPr>
            <w:r>
              <w:rPr>
                <w:rFonts w:eastAsia="Calibri"/>
                <w:szCs w:val="18"/>
                <w:lang w:eastAsia="en-US"/>
              </w:rPr>
              <w:t>Scenario 2</w:t>
            </w:r>
            <w:r w:rsidRPr="0091532F">
              <w:rPr>
                <w:rFonts w:eastAsia="Calibri"/>
                <w:szCs w:val="18"/>
                <w:lang w:eastAsia="en-US"/>
              </w:rPr>
              <w:t>, hand-mouth transfer, child</w:t>
            </w:r>
            <w:r>
              <w:rPr>
                <w:rFonts w:eastAsia="Calibri"/>
                <w:szCs w:val="18"/>
                <w:lang w:eastAsia="en-US"/>
              </w:rPr>
              <w:t xml:space="preserve"> (6-12)</w:t>
            </w:r>
          </w:p>
        </w:tc>
        <w:tc>
          <w:tcPr>
            <w:tcW w:w="325" w:type="pct"/>
            <w:shd w:val="clear" w:color="auto" w:fill="auto"/>
          </w:tcPr>
          <w:p w14:paraId="73F053EA" w14:textId="77777777" w:rsidR="00CC3AED" w:rsidRPr="00FD2055" w:rsidRDefault="00CC3AED" w:rsidP="00CC3AED">
            <w:pPr>
              <w:pStyle w:val="Standaard-Tabellen"/>
              <w:rPr>
                <w:rFonts w:eastAsia="Calibri"/>
              </w:rPr>
            </w:pPr>
            <w:r w:rsidRPr="0091532F">
              <w:rPr>
                <w:rFonts w:eastAsia="Calibri"/>
                <w:szCs w:val="18"/>
                <w:lang w:eastAsia="en-US"/>
              </w:rPr>
              <w:t>1</w:t>
            </w:r>
          </w:p>
        </w:tc>
        <w:tc>
          <w:tcPr>
            <w:tcW w:w="616" w:type="pct"/>
            <w:shd w:val="clear" w:color="auto" w:fill="auto"/>
          </w:tcPr>
          <w:p w14:paraId="65D028C6"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shd w:val="clear" w:color="auto" w:fill="auto"/>
          </w:tcPr>
          <w:p w14:paraId="7DB91C00"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shd w:val="clear" w:color="auto" w:fill="auto"/>
            <w:vAlign w:val="center"/>
          </w:tcPr>
          <w:p w14:paraId="417437AB" w14:textId="77777777" w:rsidR="00CC3AED" w:rsidRPr="00FD2055" w:rsidRDefault="00CC3AED" w:rsidP="00CC3AED">
            <w:pPr>
              <w:pStyle w:val="Standaard-Tabellen"/>
              <w:rPr>
                <w:rFonts w:eastAsia="Calibri"/>
              </w:rPr>
            </w:pPr>
            <w:r w:rsidRPr="00EB1F68">
              <w:rPr>
                <w:rFonts w:eastAsia="Calibri"/>
              </w:rPr>
              <w:t>Up to 2.95 applications</w:t>
            </w:r>
          </w:p>
        </w:tc>
        <w:tc>
          <w:tcPr>
            <w:tcW w:w="732" w:type="pct"/>
            <w:shd w:val="clear" w:color="auto" w:fill="auto"/>
            <w:vAlign w:val="center"/>
          </w:tcPr>
          <w:p w14:paraId="228864C7" w14:textId="77777777" w:rsidR="00CC3AED" w:rsidRPr="00FD2055" w:rsidRDefault="00CC3AED" w:rsidP="00CC3AED">
            <w:pPr>
              <w:pStyle w:val="Standaard-Tabellen"/>
              <w:rPr>
                <w:rFonts w:eastAsia="Calibri"/>
              </w:rPr>
            </w:pPr>
            <w:proofErr w:type="spellStart"/>
            <w:r w:rsidRPr="0091532F">
              <w:rPr>
                <w:rFonts w:eastAsia="Calibri"/>
                <w:szCs w:val="18"/>
                <w:lang w:eastAsia="en-US"/>
              </w:rPr>
              <w:t>n.a.</w:t>
            </w:r>
            <w:proofErr w:type="spellEnd"/>
          </w:p>
        </w:tc>
        <w:tc>
          <w:tcPr>
            <w:tcW w:w="898" w:type="pct"/>
            <w:shd w:val="clear" w:color="auto" w:fill="auto"/>
            <w:vAlign w:val="center"/>
          </w:tcPr>
          <w:p w14:paraId="658EEEF9" w14:textId="77777777" w:rsidR="00CC3AED" w:rsidRDefault="00CC3AED" w:rsidP="00CC3AED">
            <w:pPr>
              <w:pStyle w:val="Standaard-Tabellen"/>
              <w:rPr>
                <w:rFonts w:eastAsia="Calibri"/>
                <w:szCs w:val="18"/>
                <w:lang w:eastAsia="en-US"/>
              </w:rPr>
            </w:pPr>
            <w:r>
              <w:rPr>
                <w:rFonts w:eastAsia="Calibri"/>
                <w:szCs w:val="18"/>
                <w:lang w:eastAsia="en-US"/>
              </w:rPr>
              <w:t>Reverse</w:t>
            </w:r>
          </w:p>
          <w:p w14:paraId="3772A7A4" w14:textId="77777777" w:rsidR="00CC3AED" w:rsidRDefault="00CC3AED" w:rsidP="00CC3AED">
            <w:pPr>
              <w:pStyle w:val="Standaard-Tabellen"/>
              <w:rPr>
                <w:rFonts w:eastAsia="Calibri"/>
                <w:szCs w:val="18"/>
                <w:lang w:eastAsia="en-US"/>
              </w:rPr>
            </w:pPr>
            <w:r>
              <w:rPr>
                <w:rFonts w:eastAsia="Calibri"/>
                <w:szCs w:val="18"/>
                <w:lang w:eastAsia="en-US"/>
              </w:rPr>
              <w:t>reference</w:t>
            </w:r>
          </w:p>
          <w:p w14:paraId="4496089B" w14:textId="77777777" w:rsidR="00CC3AED" w:rsidRPr="00FD2055" w:rsidRDefault="00CC3AED" w:rsidP="00CC3AED">
            <w:pPr>
              <w:pStyle w:val="Standaard-Tabellen"/>
              <w:rPr>
                <w:rFonts w:eastAsia="Calibri"/>
              </w:rPr>
            </w:pPr>
            <w:r w:rsidRPr="0091532F">
              <w:rPr>
                <w:rFonts w:eastAsia="Calibri"/>
                <w:szCs w:val="18"/>
                <w:lang w:eastAsia="en-US"/>
              </w:rPr>
              <w:t>scenario</w:t>
            </w:r>
          </w:p>
        </w:tc>
      </w:tr>
      <w:tr w:rsidR="00CC3AED" w:rsidRPr="00FD2055" w14:paraId="3D3CD606" w14:textId="77777777" w:rsidTr="00CC3AED">
        <w:tc>
          <w:tcPr>
            <w:tcW w:w="983" w:type="pct"/>
            <w:shd w:val="clear" w:color="auto" w:fill="auto"/>
          </w:tcPr>
          <w:p w14:paraId="6A8070F4" w14:textId="77777777" w:rsidR="00CC3AED" w:rsidRPr="00FD2055" w:rsidRDefault="00CC3AED" w:rsidP="00CC3AED">
            <w:pPr>
              <w:pStyle w:val="Standaard-Tabellen"/>
              <w:rPr>
                <w:rFonts w:eastAsia="Calibri"/>
              </w:rPr>
            </w:pPr>
            <w:r>
              <w:rPr>
                <w:rFonts w:eastAsia="Calibri"/>
                <w:szCs w:val="18"/>
                <w:lang w:eastAsia="en-US"/>
              </w:rPr>
              <w:t>Scenario 2</w:t>
            </w:r>
            <w:r w:rsidRPr="0091532F">
              <w:rPr>
                <w:rFonts w:eastAsia="Calibri"/>
                <w:szCs w:val="18"/>
                <w:lang w:eastAsia="en-US"/>
              </w:rPr>
              <w:t>, hand-mouth transfer, child</w:t>
            </w:r>
            <w:r>
              <w:rPr>
                <w:rFonts w:eastAsia="Calibri"/>
                <w:szCs w:val="18"/>
                <w:lang w:eastAsia="en-US"/>
              </w:rPr>
              <w:t xml:space="preserve"> (2-6)</w:t>
            </w:r>
          </w:p>
        </w:tc>
        <w:tc>
          <w:tcPr>
            <w:tcW w:w="325" w:type="pct"/>
            <w:shd w:val="clear" w:color="auto" w:fill="auto"/>
          </w:tcPr>
          <w:p w14:paraId="5C7A32E8" w14:textId="77777777" w:rsidR="00CC3AED" w:rsidRPr="00FD2055" w:rsidRDefault="00CC3AED" w:rsidP="00CC3AED">
            <w:pPr>
              <w:pStyle w:val="Standaard-Tabellen"/>
              <w:rPr>
                <w:rFonts w:eastAsia="Calibri"/>
              </w:rPr>
            </w:pPr>
            <w:r w:rsidRPr="0091532F">
              <w:rPr>
                <w:rFonts w:eastAsia="Calibri"/>
                <w:szCs w:val="18"/>
                <w:lang w:eastAsia="en-US"/>
              </w:rPr>
              <w:t>1</w:t>
            </w:r>
          </w:p>
        </w:tc>
        <w:tc>
          <w:tcPr>
            <w:tcW w:w="616" w:type="pct"/>
            <w:shd w:val="clear" w:color="auto" w:fill="auto"/>
          </w:tcPr>
          <w:p w14:paraId="56FFC832"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shd w:val="clear" w:color="auto" w:fill="auto"/>
          </w:tcPr>
          <w:p w14:paraId="2DAFFECE"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shd w:val="clear" w:color="auto" w:fill="auto"/>
            <w:vAlign w:val="center"/>
          </w:tcPr>
          <w:p w14:paraId="53CEFA1A" w14:textId="77777777" w:rsidR="00CC3AED" w:rsidRPr="00FD2055" w:rsidRDefault="00CC3AED" w:rsidP="00CC3AED">
            <w:pPr>
              <w:pStyle w:val="Standaard-Tabellen"/>
              <w:rPr>
                <w:rFonts w:eastAsia="Calibri"/>
              </w:rPr>
            </w:pPr>
            <w:r w:rsidRPr="00EB1F68">
              <w:rPr>
                <w:rFonts w:eastAsia="Calibri"/>
              </w:rPr>
              <w:t>Up to  2.61 applications</w:t>
            </w:r>
          </w:p>
        </w:tc>
        <w:tc>
          <w:tcPr>
            <w:tcW w:w="732" w:type="pct"/>
            <w:shd w:val="clear" w:color="auto" w:fill="auto"/>
            <w:vAlign w:val="center"/>
          </w:tcPr>
          <w:p w14:paraId="465DAC69" w14:textId="77777777" w:rsidR="00CC3AED" w:rsidRPr="00FD2055" w:rsidRDefault="00CC3AED" w:rsidP="00CC3AED">
            <w:pPr>
              <w:pStyle w:val="Standaard-Tabellen"/>
              <w:rPr>
                <w:rFonts w:eastAsia="Calibri"/>
              </w:rPr>
            </w:pPr>
            <w:proofErr w:type="spellStart"/>
            <w:r w:rsidRPr="0091532F">
              <w:rPr>
                <w:rFonts w:eastAsia="Calibri"/>
                <w:szCs w:val="18"/>
                <w:lang w:eastAsia="en-US"/>
              </w:rPr>
              <w:t>n.a.</w:t>
            </w:r>
            <w:proofErr w:type="spellEnd"/>
          </w:p>
        </w:tc>
        <w:tc>
          <w:tcPr>
            <w:tcW w:w="898" w:type="pct"/>
            <w:shd w:val="clear" w:color="auto" w:fill="auto"/>
            <w:vAlign w:val="center"/>
          </w:tcPr>
          <w:p w14:paraId="12AC0061" w14:textId="77777777" w:rsidR="00CC3AED" w:rsidRDefault="00CC3AED" w:rsidP="00CC3AED">
            <w:pPr>
              <w:pStyle w:val="Standaard-Tabellen"/>
              <w:rPr>
                <w:rFonts w:eastAsia="Calibri"/>
                <w:szCs w:val="18"/>
                <w:lang w:eastAsia="en-US"/>
              </w:rPr>
            </w:pPr>
            <w:r>
              <w:rPr>
                <w:rFonts w:eastAsia="Calibri"/>
                <w:szCs w:val="18"/>
                <w:lang w:eastAsia="en-US"/>
              </w:rPr>
              <w:t>Reverse</w:t>
            </w:r>
          </w:p>
          <w:p w14:paraId="6B97409C" w14:textId="77777777" w:rsidR="00CC3AED" w:rsidRDefault="00CC3AED" w:rsidP="00CC3AED">
            <w:pPr>
              <w:pStyle w:val="Standaard-Tabellen"/>
              <w:rPr>
                <w:rFonts w:eastAsia="Calibri"/>
                <w:szCs w:val="18"/>
                <w:lang w:eastAsia="en-US"/>
              </w:rPr>
            </w:pPr>
            <w:r>
              <w:rPr>
                <w:rFonts w:eastAsia="Calibri"/>
                <w:szCs w:val="18"/>
                <w:lang w:eastAsia="en-US"/>
              </w:rPr>
              <w:t>reference</w:t>
            </w:r>
          </w:p>
          <w:p w14:paraId="2496836E" w14:textId="77777777" w:rsidR="00CC3AED" w:rsidRPr="00FD2055" w:rsidRDefault="00CC3AED" w:rsidP="00CC3AED">
            <w:pPr>
              <w:pStyle w:val="Standaard-Tabellen"/>
              <w:rPr>
                <w:rFonts w:eastAsia="Calibri"/>
              </w:rPr>
            </w:pPr>
            <w:r w:rsidRPr="0091532F">
              <w:rPr>
                <w:rFonts w:eastAsia="Calibri"/>
                <w:szCs w:val="18"/>
                <w:lang w:eastAsia="en-US"/>
              </w:rPr>
              <w:t>scenario</w:t>
            </w:r>
          </w:p>
        </w:tc>
      </w:tr>
      <w:tr w:rsidR="00CC3AED" w:rsidRPr="00FD2055" w14:paraId="362C6A55" w14:textId="77777777" w:rsidTr="00CC3AED">
        <w:tc>
          <w:tcPr>
            <w:tcW w:w="983" w:type="pct"/>
            <w:shd w:val="clear" w:color="auto" w:fill="auto"/>
          </w:tcPr>
          <w:p w14:paraId="61EB6D75" w14:textId="77777777" w:rsidR="00CC3AED" w:rsidRPr="00FD2055" w:rsidRDefault="00CC3AED" w:rsidP="00CC3AED">
            <w:pPr>
              <w:pStyle w:val="Standaard-Tabellen"/>
              <w:rPr>
                <w:rFonts w:eastAsia="Calibri"/>
              </w:rPr>
            </w:pPr>
            <w:r>
              <w:rPr>
                <w:rFonts w:eastAsia="Calibri"/>
                <w:szCs w:val="18"/>
                <w:lang w:eastAsia="en-US"/>
              </w:rPr>
              <w:t>Scenario 2</w:t>
            </w:r>
            <w:r w:rsidRPr="0091532F">
              <w:rPr>
                <w:rFonts w:eastAsia="Calibri"/>
                <w:szCs w:val="18"/>
                <w:lang w:eastAsia="en-US"/>
              </w:rPr>
              <w:t>, hand-mouth transfer, toddler</w:t>
            </w:r>
          </w:p>
        </w:tc>
        <w:tc>
          <w:tcPr>
            <w:tcW w:w="325" w:type="pct"/>
            <w:shd w:val="clear" w:color="auto" w:fill="auto"/>
          </w:tcPr>
          <w:p w14:paraId="1FD31412" w14:textId="77777777" w:rsidR="00CC3AED" w:rsidRPr="00FD2055" w:rsidRDefault="00CC3AED" w:rsidP="00CC3AED">
            <w:pPr>
              <w:pStyle w:val="Standaard-Tabellen"/>
              <w:rPr>
                <w:rFonts w:eastAsia="Calibri"/>
              </w:rPr>
            </w:pPr>
            <w:r w:rsidRPr="0091532F">
              <w:rPr>
                <w:rFonts w:eastAsia="Calibri"/>
                <w:szCs w:val="18"/>
                <w:lang w:eastAsia="en-US"/>
              </w:rPr>
              <w:t>1</w:t>
            </w:r>
          </w:p>
        </w:tc>
        <w:tc>
          <w:tcPr>
            <w:tcW w:w="616" w:type="pct"/>
            <w:shd w:val="clear" w:color="auto" w:fill="auto"/>
          </w:tcPr>
          <w:p w14:paraId="7FB5C5F6"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shd w:val="clear" w:color="auto" w:fill="auto"/>
          </w:tcPr>
          <w:p w14:paraId="7B785CE2"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shd w:val="clear" w:color="auto" w:fill="auto"/>
            <w:vAlign w:val="center"/>
          </w:tcPr>
          <w:p w14:paraId="5390474E" w14:textId="77777777" w:rsidR="00CC3AED" w:rsidRPr="00FD2055" w:rsidRDefault="00CC3AED" w:rsidP="00CC3AED">
            <w:pPr>
              <w:pStyle w:val="Standaard-Tabellen"/>
              <w:rPr>
                <w:rFonts w:eastAsia="Calibri"/>
              </w:rPr>
            </w:pPr>
            <w:r w:rsidRPr="00EB1F68">
              <w:rPr>
                <w:rFonts w:eastAsia="Calibri"/>
              </w:rPr>
              <w:t>Up to 2.37 applications</w:t>
            </w:r>
          </w:p>
        </w:tc>
        <w:tc>
          <w:tcPr>
            <w:tcW w:w="732" w:type="pct"/>
            <w:shd w:val="clear" w:color="auto" w:fill="auto"/>
            <w:vAlign w:val="center"/>
          </w:tcPr>
          <w:p w14:paraId="610C6941" w14:textId="77777777" w:rsidR="00CC3AED" w:rsidRPr="00FD2055" w:rsidRDefault="00CC3AED" w:rsidP="00CC3AED">
            <w:pPr>
              <w:pStyle w:val="Standaard-Tabellen"/>
              <w:rPr>
                <w:rFonts w:eastAsia="Calibri"/>
              </w:rPr>
            </w:pPr>
            <w:proofErr w:type="spellStart"/>
            <w:r w:rsidRPr="0091532F">
              <w:rPr>
                <w:rFonts w:eastAsia="Calibri"/>
                <w:szCs w:val="18"/>
                <w:lang w:eastAsia="en-US"/>
              </w:rPr>
              <w:t>n.a.</w:t>
            </w:r>
            <w:proofErr w:type="spellEnd"/>
          </w:p>
        </w:tc>
        <w:tc>
          <w:tcPr>
            <w:tcW w:w="898" w:type="pct"/>
            <w:shd w:val="clear" w:color="auto" w:fill="auto"/>
            <w:vAlign w:val="center"/>
          </w:tcPr>
          <w:p w14:paraId="342ECE5C" w14:textId="77777777" w:rsidR="00CC3AED" w:rsidRDefault="00CC3AED" w:rsidP="00CC3AED">
            <w:pPr>
              <w:pStyle w:val="Standaard-Tabellen"/>
              <w:rPr>
                <w:rFonts w:eastAsia="Calibri"/>
                <w:szCs w:val="18"/>
                <w:lang w:eastAsia="en-US"/>
              </w:rPr>
            </w:pPr>
            <w:r>
              <w:rPr>
                <w:rFonts w:eastAsia="Calibri"/>
                <w:szCs w:val="18"/>
                <w:lang w:eastAsia="en-US"/>
              </w:rPr>
              <w:t>Reverse</w:t>
            </w:r>
          </w:p>
          <w:p w14:paraId="02AF80E8" w14:textId="77777777" w:rsidR="00CC3AED" w:rsidRDefault="00CC3AED" w:rsidP="00CC3AED">
            <w:pPr>
              <w:pStyle w:val="Standaard-Tabellen"/>
              <w:rPr>
                <w:rFonts w:eastAsia="Calibri"/>
                <w:szCs w:val="18"/>
                <w:lang w:eastAsia="en-US"/>
              </w:rPr>
            </w:pPr>
            <w:r>
              <w:rPr>
                <w:rFonts w:eastAsia="Calibri"/>
                <w:szCs w:val="18"/>
                <w:lang w:eastAsia="en-US"/>
              </w:rPr>
              <w:t>reference</w:t>
            </w:r>
          </w:p>
          <w:p w14:paraId="21F103D3" w14:textId="77777777" w:rsidR="00CC3AED" w:rsidRPr="00FD2055" w:rsidRDefault="00CC3AED" w:rsidP="00CC3AED">
            <w:pPr>
              <w:pStyle w:val="Standaard-Tabellen"/>
              <w:rPr>
                <w:rFonts w:eastAsia="Calibri"/>
              </w:rPr>
            </w:pPr>
            <w:r w:rsidRPr="0091532F">
              <w:rPr>
                <w:rFonts w:eastAsia="Calibri"/>
                <w:szCs w:val="18"/>
                <w:lang w:eastAsia="en-US"/>
              </w:rPr>
              <w:t>scenario</w:t>
            </w:r>
          </w:p>
        </w:tc>
      </w:tr>
      <w:tr w:rsidR="00CC3AED" w:rsidRPr="00FD2055" w14:paraId="214EEC50" w14:textId="77777777" w:rsidTr="00CC3AED">
        <w:tc>
          <w:tcPr>
            <w:tcW w:w="983" w:type="pct"/>
            <w:tcBorders>
              <w:bottom w:val="single" w:sz="18" w:space="0" w:color="auto"/>
            </w:tcBorders>
            <w:shd w:val="clear" w:color="auto" w:fill="auto"/>
          </w:tcPr>
          <w:p w14:paraId="60F7FD98" w14:textId="77777777" w:rsidR="00CC3AED" w:rsidRPr="00FD2055" w:rsidRDefault="00CC3AED" w:rsidP="00CC3AED">
            <w:pPr>
              <w:pStyle w:val="Standaard-Tabellen"/>
              <w:rPr>
                <w:rFonts w:eastAsia="Calibri"/>
              </w:rPr>
            </w:pPr>
            <w:r>
              <w:rPr>
                <w:rFonts w:eastAsia="Calibri"/>
                <w:szCs w:val="18"/>
                <w:lang w:eastAsia="en-US"/>
              </w:rPr>
              <w:lastRenderedPageBreak/>
              <w:t>Scenario 2</w:t>
            </w:r>
            <w:r w:rsidRPr="0091532F">
              <w:rPr>
                <w:rFonts w:eastAsia="Calibri"/>
                <w:szCs w:val="18"/>
                <w:lang w:eastAsia="en-US"/>
              </w:rPr>
              <w:t>, hand-mouth transfer, infant</w:t>
            </w:r>
          </w:p>
        </w:tc>
        <w:tc>
          <w:tcPr>
            <w:tcW w:w="325" w:type="pct"/>
            <w:tcBorders>
              <w:bottom w:val="single" w:sz="18" w:space="0" w:color="auto"/>
            </w:tcBorders>
            <w:shd w:val="clear" w:color="auto" w:fill="auto"/>
          </w:tcPr>
          <w:p w14:paraId="24C88B55" w14:textId="77777777" w:rsidR="00CC3AED" w:rsidRPr="00FD2055" w:rsidRDefault="00CC3AED" w:rsidP="00CC3AED">
            <w:pPr>
              <w:pStyle w:val="Standaard-Tabellen"/>
              <w:rPr>
                <w:rFonts w:eastAsia="Calibri"/>
              </w:rPr>
            </w:pPr>
            <w:r w:rsidRPr="0091532F">
              <w:rPr>
                <w:rFonts w:eastAsia="Calibri"/>
                <w:szCs w:val="18"/>
                <w:lang w:eastAsia="en-US"/>
              </w:rPr>
              <w:t>1</w:t>
            </w:r>
          </w:p>
        </w:tc>
        <w:tc>
          <w:tcPr>
            <w:tcW w:w="616" w:type="pct"/>
            <w:tcBorders>
              <w:bottom w:val="single" w:sz="18" w:space="0" w:color="auto"/>
            </w:tcBorders>
            <w:shd w:val="clear" w:color="auto" w:fill="auto"/>
          </w:tcPr>
          <w:p w14:paraId="3C9610EC"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tcBorders>
              <w:bottom w:val="single" w:sz="18" w:space="0" w:color="auto"/>
            </w:tcBorders>
            <w:shd w:val="clear" w:color="auto" w:fill="auto"/>
          </w:tcPr>
          <w:p w14:paraId="64140DCA"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tcBorders>
              <w:bottom w:val="single" w:sz="18" w:space="0" w:color="auto"/>
            </w:tcBorders>
            <w:shd w:val="clear" w:color="auto" w:fill="auto"/>
            <w:vAlign w:val="center"/>
          </w:tcPr>
          <w:p w14:paraId="7061F956" w14:textId="77777777" w:rsidR="00CC3AED" w:rsidRPr="00FD2055" w:rsidRDefault="00CC3AED" w:rsidP="00CC3AED">
            <w:pPr>
              <w:pStyle w:val="Standaard-Tabellen"/>
              <w:rPr>
                <w:rFonts w:eastAsia="Calibri"/>
              </w:rPr>
            </w:pPr>
            <w:r w:rsidRPr="00EB1F68">
              <w:rPr>
                <w:rFonts w:eastAsia="Calibri"/>
              </w:rPr>
              <w:t>Up to 2.22 applications</w:t>
            </w:r>
          </w:p>
        </w:tc>
        <w:tc>
          <w:tcPr>
            <w:tcW w:w="732" w:type="pct"/>
            <w:tcBorders>
              <w:bottom w:val="single" w:sz="18" w:space="0" w:color="auto"/>
            </w:tcBorders>
            <w:shd w:val="clear" w:color="auto" w:fill="auto"/>
            <w:vAlign w:val="center"/>
          </w:tcPr>
          <w:p w14:paraId="79A75B37" w14:textId="77777777" w:rsidR="00CC3AED" w:rsidRPr="00FD2055" w:rsidRDefault="00CC3AED" w:rsidP="00CC3AED">
            <w:pPr>
              <w:pStyle w:val="Standaard-Tabellen"/>
              <w:rPr>
                <w:rFonts w:eastAsia="Calibri"/>
              </w:rPr>
            </w:pPr>
            <w:proofErr w:type="spellStart"/>
            <w:r w:rsidRPr="0091532F">
              <w:rPr>
                <w:rFonts w:eastAsia="Calibri"/>
                <w:szCs w:val="18"/>
                <w:lang w:eastAsia="en-US"/>
              </w:rPr>
              <w:t>n.a.</w:t>
            </w:r>
            <w:proofErr w:type="spellEnd"/>
          </w:p>
        </w:tc>
        <w:tc>
          <w:tcPr>
            <w:tcW w:w="898" w:type="pct"/>
            <w:tcBorders>
              <w:bottom w:val="single" w:sz="18" w:space="0" w:color="auto"/>
            </w:tcBorders>
            <w:shd w:val="clear" w:color="auto" w:fill="auto"/>
            <w:vAlign w:val="center"/>
          </w:tcPr>
          <w:p w14:paraId="24633A4E" w14:textId="77777777" w:rsidR="00CC3AED" w:rsidRDefault="00CC3AED" w:rsidP="00CC3AED">
            <w:pPr>
              <w:pStyle w:val="Standaard-Tabellen"/>
              <w:rPr>
                <w:rFonts w:eastAsia="Calibri"/>
                <w:szCs w:val="18"/>
                <w:lang w:eastAsia="en-US"/>
              </w:rPr>
            </w:pPr>
            <w:r>
              <w:rPr>
                <w:rFonts w:eastAsia="Calibri"/>
                <w:szCs w:val="18"/>
                <w:lang w:eastAsia="en-US"/>
              </w:rPr>
              <w:t>Reverse</w:t>
            </w:r>
          </w:p>
          <w:p w14:paraId="0DC0766A" w14:textId="77777777" w:rsidR="00CC3AED" w:rsidRDefault="00CC3AED" w:rsidP="00CC3AED">
            <w:pPr>
              <w:pStyle w:val="Standaard-Tabellen"/>
              <w:rPr>
                <w:rFonts w:eastAsia="Calibri"/>
                <w:szCs w:val="18"/>
                <w:lang w:eastAsia="en-US"/>
              </w:rPr>
            </w:pPr>
            <w:r>
              <w:rPr>
                <w:rFonts w:eastAsia="Calibri"/>
                <w:szCs w:val="18"/>
                <w:lang w:eastAsia="en-US"/>
              </w:rPr>
              <w:t>reference</w:t>
            </w:r>
          </w:p>
          <w:p w14:paraId="2B8B7D34" w14:textId="77777777" w:rsidR="00CC3AED" w:rsidRPr="00FD2055" w:rsidRDefault="00CC3AED" w:rsidP="00CC3AED">
            <w:pPr>
              <w:pStyle w:val="Standaard-Tabellen"/>
              <w:rPr>
                <w:rFonts w:eastAsia="Calibri"/>
              </w:rPr>
            </w:pPr>
            <w:r w:rsidRPr="0091532F">
              <w:rPr>
                <w:rFonts w:eastAsia="Calibri"/>
                <w:szCs w:val="18"/>
                <w:lang w:eastAsia="en-US"/>
              </w:rPr>
              <w:t>scenario</w:t>
            </w:r>
          </w:p>
        </w:tc>
      </w:tr>
      <w:tr w:rsidR="00CC3AED" w:rsidRPr="00FD2055" w14:paraId="55E9181B" w14:textId="77777777" w:rsidTr="00CC3AED">
        <w:tc>
          <w:tcPr>
            <w:tcW w:w="983" w:type="pct"/>
            <w:tcBorders>
              <w:top w:val="single" w:sz="18" w:space="0" w:color="auto"/>
            </w:tcBorders>
            <w:shd w:val="clear" w:color="auto" w:fill="auto"/>
          </w:tcPr>
          <w:p w14:paraId="6BCC8A48" w14:textId="77777777" w:rsidR="00CC3AED" w:rsidRPr="00FD2055" w:rsidRDefault="00CC3AED" w:rsidP="00CC3AED">
            <w:pPr>
              <w:pStyle w:val="Standaard-Tabellen"/>
              <w:rPr>
                <w:rFonts w:eastAsia="Calibri"/>
              </w:rPr>
            </w:pPr>
            <w:r>
              <w:rPr>
                <w:rFonts w:eastAsia="Calibri"/>
                <w:szCs w:val="18"/>
                <w:lang w:eastAsia="en-US"/>
              </w:rPr>
              <w:t>Scenario 3</w:t>
            </w:r>
            <w:r w:rsidRPr="0091532F">
              <w:rPr>
                <w:rFonts w:eastAsia="Calibri"/>
                <w:szCs w:val="18"/>
                <w:lang w:eastAsia="en-US"/>
              </w:rPr>
              <w:t xml:space="preserve">, </w:t>
            </w:r>
            <w:proofErr w:type="spellStart"/>
            <w:r w:rsidRPr="0091532F">
              <w:rPr>
                <w:rFonts w:eastAsia="Calibri"/>
                <w:szCs w:val="18"/>
                <w:lang w:eastAsia="en-US"/>
              </w:rPr>
              <w:t>inhal</w:t>
            </w:r>
            <w:proofErr w:type="spellEnd"/>
            <w:r w:rsidRPr="0091532F">
              <w:rPr>
                <w:rFonts w:eastAsia="Calibri"/>
                <w:szCs w:val="18"/>
                <w:lang w:eastAsia="en-US"/>
              </w:rPr>
              <w:t>, adult</w:t>
            </w:r>
          </w:p>
        </w:tc>
        <w:tc>
          <w:tcPr>
            <w:tcW w:w="325" w:type="pct"/>
            <w:tcBorders>
              <w:top w:val="single" w:sz="18" w:space="0" w:color="auto"/>
            </w:tcBorders>
            <w:shd w:val="clear" w:color="auto" w:fill="auto"/>
          </w:tcPr>
          <w:p w14:paraId="20E1E877" w14:textId="77777777" w:rsidR="00CC3AED" w:rsidRPr="00FD2055" w:rsidRDefault="00CC3AED" w:rsidP="00CC3AED">
            <w:pPr>
              <w:pStyle w:val="Standaard-Tabellen"/>
              <w:rPr>
                <w:rFonts w:eastAsia="Calibri"/>
              </w:rPr>
            </w:pPr>
            <w:r w:rsidRPr="0091532F">
              <w:rPr>
                <w:rFonts w:eastAsia="Calibri"/>
                <w:szCs w:val="18"/>
                <w:lang w:eastAsia="en-US"/>
              </w:rPr>
              <w:t>1</w:t>
            </w:r>
          </w:p>
        </w:tc>
        <w:tc>
          <w:tcPr>
            <w:tcW w:w="616" w:type="pct"/>
            <w:tcBorders>
              <w:top w:val="single" w:sz="18" w:space="0" w:color="auto"/>
            </w:tcBorders>
            <w:shd w:val="clear" w:color="auto" w:fill="auto"/>
          </w:tcPr>
          <w:p w14:paraId="159FDDE6"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tcBorders>
              <w:top w:val="single" w:sz="18" w:space="0" w:color="auto"/>
            </w:tcBorders>
            <w:shd w:val="clear" w:color="auto" w:fill="auto"/>
          </w:tcPr>
          <w:p w14:paraId="31106AAA"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shd w:val="clear" w:color="auto" w:fill="auto"/>
            <w:vAlign w:val="center"/>
          </w:tcPr>
          <w:p w14:paraId="5DD8D8BE" w14:textId="77777777" w:rsidR="00CC3AED" w:rsidRPr="00B50CB0" w:rsidRDefault="00CC3AED" w:rsidP="00CC3AED">
            <w:pPr>
              <w:pStyle w:val="Standaard-Tabellen"/>
              <w:rPr>
                <w:rFonts w:eastAsia="Calibri"/>
              </w:rPr>
            </w:pPr>
            <w:r w:rsidRPr="00EB1F68">
              <w:rPr>
                <w:rFonts w:eastAsia="Calibri"/>
              </w:rPr>
              <w:t xml:space="preserve">3.17 </w:t>
            </w:r>
          </w:p>
        </w:tc>
        <w:tc>
          <w:tcPr>
            <w:tcW w:w="732" w:type="pct"/>
            <w:tcBorders>
              <w:top w:val="single" w:sz="18" w:space="0" w:color="auto"/>
            </w:tcBorders>
            <w:shd w:val="clear" w:color="auto" w:fill="auto"/>
            <w:vAlign w:val="center"/>
          </w:tcPr>
          <w:p w14:paraId="62FFDAD2" w14:textId="77777777" w:rsidR="00CC3AED" w:rsidRPr="00B50CB0" w:rsidRDefault="00CC3AED" w:rsidP="00CC3AED">
            <w:pPr>
              <w:pStyle w:val="Standaard-Tabellen"/>
              <w:rPr>
                <w:rFonts w:eastAsia="Calibri"/>
              </w:rPr>
            </w:pPr>
            <w:r>
              <w:rPr>
                <w:rFonts w:eastAsia="Calibri"/>
                <w:szCs w:val="18"/>
                <w:lang w:eastAsia="en-US"/>
              </w:rPr>
              <w:t>63.4</w:t>
            </w:r>
          </w:p>
        </w:tc>
        <w:tc>
          <w:tcPr>
            <w:tcW w:w="898" w:type="pct"/>
            <w:tcBorders>
              <w:top w:val="single" w:sz="18" w:space="0" w:color="auto"/>
            </w:tcBorders>
            <w:shd w:val="clear" w:color="auto" w:fill="auto"/>
            <w:vAlign w:val="center"/>
          </w:tcPr>
          <w:p w14:paraId="0C7A966A" w14:textId="77777777" w:rsidR="00CC3AED" w:rsidRPr="00FD2055" w:rsidRDefault="00CC3AED" w:rsidP="00CC3AED">
            <w:pPr>
              <w:pStyle w:val="Standaard-Tabellen"/>
              <w:rPr>
                <w:rFonts w:eastAsia="Calibri"/>
              </w:rPr>
            </w:pPr>
            <w:r w:rsidRPr="0091532F">
              <w:rPr>
                <w:rFonts w:eastAsia="Calibri"/>
                <w:szCs w:val="18"/>
                <w:lang w:eastAsia="en-US"/>
              </w:rPr>
              <w:t>Yes</w:t>
            </w:r>
            <w:r>
              <w:rPr>
                <w:rFonts w:eastAsia="Calibri"/>
                <w:szCs w:val="18"/>
                <w:lang w:eastAsia="en-US"/>
              </w:rPr>
              <w:t xml:space="preserve"> </w:t>
            </w:r>
          </w:p>
        </w:tc>
      </w:tr>
      <w:tr w:rsidR="00CC3AED" w:rsidRPr="00FD2055" w14:paraId="510E54CA" w14:textId="77777777" w:rsidTr="00CC3AED">
        <w:tc>
          <w:tcPr>
            <w:tcW w:w="983" w:type="pct"/>
            <w:shd w:val="clear" w:color="auto" w:fill="auto"/>
          </w:tcPr>
          <w:p w14:paraId="6A4E951B" w14:textId="77777777" w:rsidR="00CC3AED" w:rsidRPr="00FD2055" w:rsidRDefault="00CC3AED" w:rsidP="00CC3AED">
            <w:pPr>
              <w:pStyle w:val="Standaard-Tabellen"/>
              <w:rPr>
                <w:rFonts w:eastAsia="Calibri"/>
              </w:rPr>
            </w:pPr>
            <w:r>
              <w:rPr>
                <w:rFonts w:eastAsia="Calibri"/>
                <w:szCs w:val="18"/>
                <w:lang w:eastAsia="en-US"/>
              </w:rPr>
              <w:t>Scenario 3</w:t>
            </w:r>
            <w:r w:rsidRPr="0091532F">
              <w:rPr>
                <w:rFonts w:eastAsia="Calibri"/>
                <w:szCs w:val="18"/>
                <w:lang w:eastAsia="en-US"/>
              </w:rPr>
              <w:t xml:space="preserve">, </w:t>
            </w:r>
            <w:proofErr w:type="spellStart"/>
            <w:r w:rsidRPr="0091532F">
              <w:rPr>
                <w:rFonts w:eastAsia="Calibri"/>
                <w:szCs w:val="18"/>
                <w:lang w:eastAsia="en-US"/>
              </w:rPr>
              <w:t>inhal</w:t>
            </w:r>
            <w:proofErr w:type="spellEnd"/>
            <w:r w:rsidRPr="0091532F">
              <w:rPr>
                <w:rFonts w:eastAsia="Calibri"/>
                <w:szCs w:val="18"/>
                <w:lang w:eastAsia="en-US"/>
              </w:rPr>
              <w:t>, child</w:t>
            </w:r>
          </w:p>
        </w:tc>
        <w:tc>
          <w:tcPr>
            <w:tcW w:w="325" w:type="pct"/>
            <w:shd w:val="clear" w:color="auto" w:fill="auto"/>
          </w:tcPr>
          <w:p w14:paraId="63BB09B8" w14:textId="77777777" w:rsidR="00CC3AED" w:rsidRPr="00FD2055" w:rsidRDefault="00CC3AED" w:rsidP="00CC3AED">
            <w:pPr>
              <w:pStyle w:val="Standaard-Tabellen"/>
              <w:rPr>
                <w:rFonts w:eastAsia="Calibri"/>
              </w:rPr>
            </w:pPr>
            <w:r w:rsidRPr="0091532F">
              <w:rPr>
                <w:rFonts w:eastAsia="Calibri"/>
                <w:szCs w:val="18"/>
                <w:lang w:eastAsia="en-US"/>
              </w:rPr>
              <w:t>1</w:t>
            </w:r>
          </w:p>
        </w:tc>
        <w:tc>
          <w:tcPr>
            <w:tcW w:w="616" w:type="pct"/>
            <w:shd w:val="clear" w:color="auto" w:fill="auto"/>
          </w:tcPr>
          <w:p w14:paraId="1970BAAD" w14:textId="77777777" w:rsidR="00CC3AED" w:rsidRPr="00FD2055" w:rsidRDefault="00CC3AED" w:rsidP="00CC3AED">
            <w:pPr>
              <w:pStyle w:val="Standaard-Tabellen"/>
              <w:rPr>
                <w:rFonts w:eastAsia="Calibri"/>
              </w:rPr>
            </w:pPr>
            <w:r>
              <w:rPr>
                <w:rFonts w:eastAsia="Calibri"/>
                <w:szCs w:val="18"/>
                <w:lang w:eastAsia="en-US"/>
              </w:rPr>
              <w:t>500</w:t>
            </w:r>
          </w:p>
        </w:tc>
        <w:tc>
          <w:tcPr>
            <w:tcW w:w="483" w:type="pct"/>
            <w:shd w:val="clear" w:color="auto" w:fill="auto"/>
          </w:tcPr>
          <w:p w14:paraId="14B648BB" w14:textId="77777777" w:rsidR="00CC3AED" w:rsidRPr="00FD2055" w:rsidRDefault="00CC3AED" w:rsidP="00CC3AED">
            <w:pPr>
              <w:pStyle w:val="Standaard-Tabellen"/>
              <w:rPr>
                <w:rFonts w:eastAsia="Calibri"/>
              </w:rPr>
            </w:pPr>
            <w:r>
              <w:rPr>
                <w:rFonts w:eastAsia="Calibri"/>
                <w:szCs w:val="18"/>
                <w:lang w:eastAsia="en-US"/>
              </w:rPr>
              <w:t>5</w:t>
            </w:r>
          </w:p>
        </w:tc>
        <w:tc>
          <w:tcPr>
            <w:tcW w:w="963" w:type="pct"/>
            <w:shd w:val="clear" w:color="auto" w:fill="auto"/>
            <w:vAlign w:val="center"/>
          </w:tcPr>
          <w:p w14:paraId="3010E528" w14:textId="77777777" w:rsidR="00CC3AED" w:rsidRPr="00B50CB0" w:rsidRDefault="00CC3AED" w:rsidP="00CC3AED">
            <w:pPr>
              <w:pStyle w:val="Standaard-Tabellen"/>
              <w:rPr>
                <w:rFonts w:eastAsia="Calibri"/>
              </w:rPr>
            </w:pPr>
            <w:r w:rsidRPr="00EB1F68">
              <w:rPr>
                <w:rFonts w:eastAsia="Calibri"/>
              </w:rPr>
              <w:t xml:space="preserve">2.33 </w:t>
            </w:r>
          </w:p>
        </w:tc>
        <w:tc>
          <w:tcPr>
            <w:tcW w:w="732" w:type="pct"/>
            <w:shd w:val="clear" w:color="auto" w:fill="auto"/>
            <w:vAlign w:val="center"/>
          </w:tcPr>
          <w:p w14:paraId="1334045A" w14:textId="77777777" w:rsidR="00CC3AED" w:rsidRPr="00B50CB0" w:rsidRDefault="00CC3AED" w:rsidP="00CC3AED">
            <w:pPr>
              <w:pStyle w:val="Standaard-Tabellen"/>
              <w:rPr>
                <w:rFonts w:eastAsia="Calibri"/>
              </w:rPr>
            </w:pPr>
            <w:r>
              <w:rPr>
                <w:rFonts w:eastAsia="Calibri"/>
                <w:szCs w:val="18"/>
                <w:lang w:eastAsia="en-US"/>
              </w:rPr>
              <w:t>46.6</w:t>
            </w:r>
          </w:p>
        </w:tc>
        <w:tc>
          <w:tcPr>
            <w:tcW w:w="898" w:type="pct"/>
            <w:shd w:val="clear" w:color="auto" w:fill="auto"/>
            <w:vAlign w:val="center"/>
          </w:tcPr>
          <w:p w14:paraId="4D97BBD9" w14:textId="77777777" w:rsidR="00CC3AED" w:rsidRPr="00FD2055" w:rsidRDefault="00CC3AED" w:rsidP="00CC3AED">
            <w:pPr>
              <w:pStyle w:val="Standaard-Tabellen"/>
              <w:rPr>
                <w:rFonts w:eastAsia="Calibri"/>
              </w:rPr>
            </w:pPr>
            <w:r w:rsidRPr="0091532F">
              <w:rPr>
                <w:rFonts w:eastAsia="Calibri"/>
                <w:szCs w:val="18"/>
                <w:lang w:eastAsia="en-US"/>
              </w:rPr>
              <w:t>Yes</w:t>
            </w:r>
            <w:r>
              <w:rPr>
                <w:rFonts w:eastAsia="Calibri"/>
                <w:szCs w:val="18"/>
                <w:lang w:eastAsia="en-US"/>
              </w:rPr>
              <w:t xml:space="preserve"> </w:t>
            </w:r>
          </w:p>
        </w:tc>
      </w:tr>
      <w:tr w:rsidR="00CC3AED" w:rsidRPr="00FD2055" w14:paraId="58D80464" w14:textId="77777777" w:rsidTr="00CC3AED">
        <w:tc>
          <w:tcPr>
            <w:tcW w:w="983" w:type="pct"/>
            <w:shd w:val="clear" w:color="auto" w:fill="auto"/>
          </w:tcPr>
          <w:p w14:paraId="2DD7A4DF" w14:textId="77777777" w:rsidR="00CC3AED" w:rsidRDefault="00CC3AED" w:rsidP="00CC3AED">
            <w:pPr>
              <w:pStyle w:val="Standaard-Tabellen"/>
              <w:rPr>
                <w:rFonts w:eastAsia="Calibri"/>
                <w:szCs w:val="18"/>
                <w:lang w:eastAsia="en-US"/>
              </w:rPr>
            </w:pPr>
            <w:r>
              <w:rPr>
                <w:rFonts w:eastAsia="Calibri"/>
                <w:szCs w:val="18"/>
                <w:lang w:eastAsia="en-US"/>
              </w:rPr>
              <w:t>Scenario 3</w:t>
            </w:r>
            <w:r w:rsidRPr="0091532F">
              <w:rPr>
                <w:rFonts w:eastAsia="Calibri"/>
                <w:szCs w:val="18"/>
                <w:lang w:eastAsia="en-US"/>
              </w:rPr>
              <w:t xml:space="preserve">, </w:t>
            </w:r>
            <w:proofErr w:type="spellStart"/>
            <w:r w:rsidRPr="0091532F">
              <w:rPr>
                <w:rFonts w:eastAsia="Calibri"/>
                <w:szCs w:val="18"/>
                <w:lang w:eastAsia="en-US"/>
              </w:rPr>
              <w:t>inhal</w:t>
            </w:r>
            <w:proofErr w:type="spellEnd"/>
            <w:r w:rsidRPr="0091532F">
              <w:rPr>
                <w:rFonts w:eastAsia="Calibri"/>
                <w:szCs w:val="18"/>
                <w:lang w:eastAsia="en-US"/>
              </w:rPr>
              <w:t>, child</w:t>
            </w:r>
          </w:p>
        </w:tc>
        <w:tc>
          <w:tcPr>
            <w:tcW w:w="325" w:type="pct"/>
            <w:shd w:val="clear" w:color="auto" w:fill="auto"/>
          </w:tcPr>
          <w:p w14:paraId="44DCD089"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1</w:t>
            </w:r>
          </w:p>
        </w:tc>
        <w:tc>
          <w:tcPr>
            <w:tcW w:w="616" w:type="pct"/>
            <w:shd w:val="clear" w:color="auto" w:fill="auto"/>
          </w:tcPr>
          <w:p w14:paraId="6638E338" w14:textId="77777777" w:rsidR="00CC3AED" w:rsidRPr="0091532F" w:rsidRDefault="00CC3AED" w:rsidP="00CC3AED">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2F71D82D" w14:textId="77777777" w:rsidR="00CC3AED" w:rsidRPr="0091532F" w:rsidRDefault="00CC3AED" w:rsidP="00CC3AED">
            <w:pPr>
              <w:pStyle w:val="Standaard-Tabellen"/>
              <w:rPr>
                <w:rFonts w:eastAsia="Calibri"/>
                <w:szCs w:val="18"/>
                <w:lang w:eastAsia="en-US"/>
              </w:rPr>
            </w:pPr>
            <w:r>
              <w:rPr>
                <w:rFonts w:eastAsia="Calibri"/>
                <w:szCs w:val="18"/>
                <w:lang w:eastAsia="en-US"/>
              </w:rPr>
              <w:t>5</w:t>
            </w:r>
          </w:p>
        </w:tc>
        <w:tc>
          <w:tcPr>
            <w:tcW w:w="963" w:type="pct"/>
            <w:tcBorders>
              <w:bottom w:val="single" w:sz="6" w:space="0" w:color="auto"/>
            </w:tcBorders>
            <w:shd w:val="clear" w:color="auto" w:fill="auto"/>
            <w:vAlign w:val="center"/>
          </w:tcPr>
          <w:p w14:paraId="3D7F015A" w14:textId="77777777" w:rsidR="00CC3AED" w:rsidRPr="00B50CB0" w:rsidRDefault="00CC3AED" w:rsidP="00CC3AED">
            <w:pPr>
              <w:pStyle w:val="Standaard-Tabellen"/>
              <w:rPr>
                <w:rFonts w:eastAsia="Calibri"/>
                <w:szCs w:val="18"/>
              </w:rPr>
            </w:pPr>
            <w:r w:rsidRPr="00EB1F68">
              <w:rPr>
                <w:rFonts w:eastAsia="Calibri"/>
              </w:rPr>
              <w:t xml:space="preserve">2.52 </w:t>
            </w:r>
          </w:p>
        </w:tc>
        <w:tc>
          <w:tcPr>
            <w:tcW w:w="732" w:type="pct"/>
            <w:shd w:val="clear" w:color="auto" w:fill="auto"/>
            <w:vAlign w:val="center"/>
          </w:tcPr>
          <w:p w14:paraId="4C63ACB7" w14:textId="77777777" w:rsidR="00CC3AED" w:rsidRPr="00B50CB0" w:rsidRDefault="00CC3AED" w:rsidP="00CC3AED">
            <w:pPr>
              <w:pStyle w:val="Standaard-Tabellen"/>
              <w:rPr>
                <w:rFonts w:eastAsia="Calibri"/>
                <w:szCs w:val="18"/>
                <w:lang w:eastAsia="en-US"/>
              </w:rPr>
            </w:pPr>
            <w:r>
              <w:rPr>
                <w:rFonts w:eastAsia="Calibri"/>
                <w:szCs w:val="18"/>
                <w:lang w:eastAsia="en-US"/>
              </w:rPr>
              <w:t>50.4</w:t>
            </w:r>
          </w:p>
        </w:tc>
        <w:tc>
          <w:tcPr>
            <w:tcW w:w="898" w:type="pct"/>
            <w:shd w:val="clear" w:color="auto" w:fill="auto"/>
            <w:vAlign w:val="center"/>
          </w:tcPr>
          <w:p w14:paraId="26E5CC36"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Yes</w:t>
            </w:r>
            <w:r>
              <w:rPr>
                <w:rFonts w:eastAsia="Calibri"/>
                <w:szCs w:val="18"/>
                <w:lang w:eastAsia="en-US"/>
              </w:rPr>
              <w:t xml:space="preserve"> </w:t>
            </w:r>
          </w:p>
        </w:tc>
      </w:tr>
      <w:tr w:rsidR="00CC3AED" w:rsidRPr="00FD2055" w14:paraId="6E0A558B" w14:textId="77777777" w:rsidTr="00CC3AED">
        <w:tc>
          <w:tcPr>
            <w:tcW w:w="983" w:type="pct"/>
            <w:shd w:val="clear" w:color="auto" w:fill="auto"/>
          </w:tcPr>
          <w:p w14:paraId="722D42D2" w14:textId="77777777" w:rsidR="00CC3AED" w:rsidRDefault="00CC3AED" w:rsidP="00CC3AED">
            <w:pPr>
              <w:pStyle w:val="Standaard-Tabellen"/>
              <w:rPr>
                <w:rFonts w:eastAsia="Calibri"/>
                <w:szCs w:val="18"/>
                <w:lang w:eastAsia="en-US"/>
              </w:rPr>
            </w:pPr>
            <w:r>
              <w:rPr>
                <w:rFonts w:eastAsia="Calibri"/>
                <w:szCs w:val="18"/>
                <w:lang w:eastAsia="en-US"/>
              </w:rPr>
              <w:t>Scenario 3</w:t>
            </w:r>
            <w:r w:rsidRPr="0091532F">
              <w:rPr>
                <w:rFonts w:eastAsia="Calibri"/>
                <w:szCs w:val="18"/>
                <w:lang w:eastAsia="en-US"/>
              </w:rPr>
              <w:t xml:space="preserve">, </w:t>
            </w:r>
            <w:proofErr w:type="spellStart"/>
            <w:r w:rsidRPr="0091532F">
              <w:rPr>
                <w:rFonts w:eastAsia="Calibri"/>
                <w:szCs w:val="18"/>
                <w:lang w:eastAsia="en-US"/>
              </w:rPr>
              <w:t>inhal</w:t>
            </w:r>
            <w:proofErr w:type="spellEnd"/>
            <w:r w:rsidRPr="0091532F">
              <w:rPr>
                <w:rFonts w:eastAsia="Calibri"/>
                <w:szCs w:val="18"/>
                <w:lang w:eastAsia="en-US"/>
              </w:rPr>
              <w:t>, toddler</w:t>
            </w:r>
          </w:p>
        </w:tc>
        <w:tc>
          <w:tcPr>
            <w:tcW w:w="325" w:type="pct"/>
            <w:shd w:val="clear" w:color="auto" w:fill="auto"/>
          </w:tcPr>
          <w:p w14:paraId="4D6971F7"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1</w:t>
            </w:r>
          </w:p>
        </w:tc>
        <w:tc>
          <w:tcPr>
            <w:tcW w:w="616" w:type="pct"/>
            <w:shd w:val="clear" w:color="auto" w:fill="auto"/>
          </w:tcPr>
          <w:p w14:paraId="6145FE59" w14:textId="77777777" w:rsidR="00CC3AED" w:rsidRPr="0091532F" w:rsidRDefault="00CC3AED" w:rsidP="00CC3AED">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553B9291" w14:textId="77777777" w:rsidR="00CC3AED" w:rsidRPr="0091532F" w:rsidRDefault="00CC3AED" w:rsidP="00CC3AED">
            <w:pPr>
              <w:pStyle w:val="Standaard-Tabellen"/>
              <w:rPr>
                <w:rFonts w:eastAsia="Calibri"/>
                <w:szCs w:val="18"/>
                <w:lang w:eastAsia="en-US"/>
              </w:rPr>
            </w:pPr>
            <w:r>
              <w:rPr>
                <w:rFonts w:eastAsia="Calibri"/>
                <w:szCs w:val="18"/>
                <w:lang w:eastAsia="en-US"/>
              </w:rPr>
              <w:t>5</w:t>
            </w:r>
          </w:p>
        </w:tc>
        <w:tc>
          <w:tcPr>
            <w:tcW w:w="963" w:type="pct"/>
            <w:tcBorders>
              <w:bottom w:val="single" w:sz="4" w:space="0" w:color="auto"/>
            </w:tcBorders>
            <w:shd w:val="clear" w:color="auto" w:fill="auto"/>
            <w:vAlign w:val="center"/>
          </w:tcPr>
          <w:p w14:paraId="6972B6A4" w14:textId="77777777" w:rsidR="00CC3AED" w:rsidRPr="00B50CB0" w:rsidRDefault="00CC3AED" w:rsidP="00CC3AED">
            <w:pPr>
              <w:pStyle w:val="Standaard-Tabellen"/>
              <w:rPr>
                <w:rFonts w:eastAsia="Calibri"/>
                <w:szCs w:val="18"/>
              </w:rPr>
            </w:pPr>
            <w:r w:rsidRPr="00EB1F68">
              <w:rPr>
                <w:rFonts w:eastAsia="Calibri"/>
              </w:rPr>
              <w:t xml:space="preserve">2.77 </w:t>
            </w:r>
          </w:p>
        </w:tc>
        <w:tc>
          <w:tcPr>
            <w:tcW w:w="732" w:type="pct"/>
            <w:shd w:val="clear" w:color="auto" w:fill="auto"/>
            <w:vAlign w:val="center"/>
          </w:tcPr>
          <w:p w14:paraId="70D595FB" w14:textId="77777777" w:rsidR="00CC3AED" w:rsidRPr="00B50CB0" w:rsidRDefault="00CC3AED" w:rsidP="00CC3AED">
            <w:pPr>
              <w:pStyle w:val="Standaard-Tabellen"/>
              <w:rPr>
                <w:rFonts w:eastAsia="Calibri"/>
                <w:szCs w:val="18"/>
                <w:lang w:eastAsia="en-US"/>
              </w:rPr>
            </w:pPr>
            <w:r>
              <w:rPr>
                <w:rFonts w:eastAsia="Calibri"/>
                <w:szCs w:val="18"/>
                <w:lang w:eastAsia="en-US"/>
              </w:rPr>
              <w:t>55.4</w:t>
            </w:r>
          </w:p>
        </w:tc>
        <w:tc>
          <w:tcPr>
            <w:tcW w:w="898" w:type="pct"/>
            <w:shd w:val="clear" w:color="auto" w:fill="auto"/>
            <w:vAlign w:val="center"/>
          </w:tcPr>
          <w:p w14:paraId="4CE7A74F"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Yes</w:t>
            </w:r>
            <w:r>
              <w:rPr>
                <w:rFonts w:eastAsia="Calibri"/>
                <w:szCs w:val="18"/>
                <w:lang w:eastAsia="en-US"/>
              </w:rPr>
              <w:t xml:space="preserve"> </w:t>
            </w:r>
          </w:p>
        </w:tc>
      </w:tr>
      <w:tr w:rsidR="00CC3AED" w:rsidRPr="00FD2055" w14:paraId="4532D283" w14:textId="77777777" w:rsidTr="00CC3AED">
        <w:tc>
          <w:tcPr>
            <w:tcW w:w="983" w:type="pct"/>
            <w:shd w:val="clear" w:color="auto" w:fill="auto"/>
          </w:tcPr>
          <w:p w14:paraId="1D809927" w14:textId="77777777" w:rsidR="00CC3AED" w:rsidRDefault="00CC3AED" w:rsidP="00CC3AED">
            <w:pPr>
              <w:pStyle w:val="Standaard-Tabellen"/>
              <w:rPr>
                <w:rFonts w:eastAsia="Calibri"/>
                <w:szCs w:val="18"/>
                <w:lang w:eastAsia="en-US"/>
              </w:rPr>
            </w:pPr>
            <w:r>
              <w:rPr>
                <w:rFonts w:eastAsia="Calibri"/>
                <w:szCs w:val="18"/>
                <w:lang w:eastAsia="en-US"/>
              </w:rPr>
              <w:t>Scenario 3</w:t>
            </w:r>
            <w:r w:rsidRPr="0091532F">
              <w:rPr>
                <w:rFonts w:eastAsia="Calibri"/>
                <w:szCs w:val="18"/>
                <w:lang w:eastAsia="en-US"/>
              </w:rPr>
              <w:t xml:space="preserve">, </w:t>
            </w:r>
            <w:proofErr w:type="spellStart"/>
            <w:r w:rsidRPr="0091532F">
              <w:rPr>
                <w:rFonts w:eastAsia="Calibri"/>
                <w:szCs w:val="18"/>
                <w:lang w:eastAsia="en-US"/>
              </w:rPr>
              <w:t>inhal</w:t>
            </w:r>
            <w:proofErr w:type="spellEnd"/>
            <w:r w:rsidRPr="0091532F">
              <w:rPr>
                <w:rFonts w:eastAsia="Calibri"/>
                <w:szCs w:val="18"/>
                <w:lang w:eastAsia="en-US"/>
              </w:rPr>
              <w:t>, infant</w:t>
            </w:r>
          </w:p>
        </w:tc>
        <w:tc>
          <w:tcPr>
            <w:tcW w:w="325" w:type="pct"/>
            <w:shd w:val="clear" w:color="auto" w:fill="auto"/>
          </w:tcPr>
          <w:p w14:paraId="6980371F"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1</w:t>
            </w:r>
          </w:p>
        </w:tc>
        <w:tc>
          <w:tcPr>
            <w:tcW w:w="616" w:type="pct"/>
            <w:shd w:val="clear" w:color="auto" w:fill="auto"/>
          </w:tcPr>
          <w:p w14:paraId="76CF84D0" w14:textId="77777777" w:rsidR="00CC3AED" w:rsidRPr="0091532F" w:rsidRDefault="00CC3AED" w:rsidP="00CC3AED">
            <w:pPr>
              <w:pStyle w:val="Standaard-Tabellen"/>
              <w:rPr>
                <w:rFonts w:eastAsia="Calibri"/>
                <w:szCs w:val="18"/>
                <w:lang w:eastAsia="en-US"/>
              </w:rPr>
            </w:pPr>
            <w:r>
              <w:rPr>
                <w:rFonts w:eastAsia="Calibri"/>
                <w:szCs w:val="18"/>
                <w:lang w:eastAsia="en-US"/>
              </w:rPr>
              <w:t>500</w:t>
            </w:r>
          </w:p>
        </w:tc>
        <w:tc>
          <w:tcPr>
            <w:tcW w:w="483" w:type="pct"/>
            <w:shd w:val="clear" w:color="auto" w:fill="auto"/>
          </w:tcPr>
          <w:p w14:paraId="122716A0" w14:textId="77777777" w:rsidR="00CC3AED" w:rsidRPr="0091532F" w:rsidRDefault="00CC3AED" w:rsidP="00CC3AED">
            <w:pPr>
              <w:pStyle w:val="Standaard-Tabellen"/>
              <w:rPr>
                <w:rFonts w:eastAsia="Calibri"/>
                <w:szCs w:val="18"/>
                <w:lang w:eastAsia="en-US"/>
              </w:rPr>
            </w:pPr>
            <w:r>
              <w:rPr>
                <w:rFonts w:eastAsia="Calibri"/>
                <w:szCs w:val="18"/>
                <w:lang w:eastAsia="en-US"/>
              </w:rPr>
              <w:t>5</w:t>
            </w:r>
          </w:p>
        </w:tc>
        <w:tc>
          <w:tcPr>
            <w:tcW w:w="963" w:type="pct"/>
            <w:shd w:val="clear" w:color="auto" w:fill="auto"/>
            <w:vAlign w:val="center"/>
          </w:tcPr>
          <w:p w14:paraId="009BC3BB" w14:textId="77777777" w:rsidR="00CC3AED" w:rsidRPr="00B50CB0" w:rsidRDefault="00CC3AED" w:rsidP="00CC3AED">
            <w:pPr>
              <w:pStyle w:val="Standaard-Tabellen"/>
              <w:rPr>
                <w:rFonts w:eastAsia="Calibri"/>
                <w:szCs w:val="18"/>
              </w:rPr>
            </w:pPr>
            <w:r>
              <w:rPr>
                <w:rFonts w:eastAsia="Calibri"/>
                <w:szCs w:val="18"/>
              </w:rPr>
              <w:t>1.97</w:t>
            </w:r>
          </w:p>
        </w:tc>
        <w:tc>
          <w:tcPr>
            <w:tcW w:w="732" w:type="pct"/>
            <w:shd w:val="clear" w:color="auto" w:fill="auto"/>
            <w:vAlign w:val="center"/>
          </w:tcPr>
          <w:p w14:paraId="72B09AF9" w14:textId="77777777" w:rsidR="00CC3AED" w:rsidRPr="00B50CB0" w:rsidRDefault="00CC3AED" w:rsidP="00CC3AED">
            <w:pPr>
              <w:pStyle w:val="Standaard-Tabellen"/>
              <w:rPr>
                <w:rFonts w:eastAsia="Calibri"/>
                <w:szCs w:val="18"/>
                <w:lang w:eastAsia="en-US"/>
              </w:rPr>
            </w:pPr>
            <w:r>
              <w:rPr>
                <w:rFonts w:eastAsia="Calibri"/>
                <w:szCs w:val="18"/>
                <w:lang w:eastAsia="en-US"/>
              </w:rPr>
              <w:t>39.4</w:t>
            </w:r>
          </w:p>
        </w:tc>
        <w:tc>
          <w:tcPr>
            <w:tcW w:w="898" w:type="pct"/>
            <w:shd w:val="clear" w:color="auto" w:fill="auto"/>
            <w:vAlign w:val="center"/>
          </w:tcPr>
          <w:p w14:paraId="7C362B94" w14:textId="77777777" w:rsidR="00CC3AED" w:rsidRPr="0091532F" w:rsidRDefault="00CC3AED" w:rsidP="00CC3AED">
            <w:pPr>
              <w:pStyle w:val="Standaard-Tabellen"/>
              <w:rPr>
                <w:rFonts w:eastAsia="Calibri"/>
                <w:szCs w:val="18"/>
                <w:lang w:eastAsia="en-US"/>
              </w:rPr>
            </w:pPr>
            <w:r w:rsidRPr="0091532F">
              <w:rPr>
                <w:rFonts w:eastAsia="Calibri"/>
                <w:szCs w:val="18"/>
                <w:lang w:eastAsia="en-US"/>
              </w:rPr>
              <w:t>Yes</w:t>
            </w:r>
            <w:r>
              <w:rPr>
                <w:rFonts w:eastAsia="Calibri"/>
                <w:szCs w:val="18"/>
                <w:lang w:eastAsia="en-US"/>
              </w:rPr>
              <w:t xml:space="preserve"> </w:t>
            </w:r>
          </w:p>
        </w:tc>
      </w:tr>
    </w:tbl>
    <w:p w14:paraId="0CD6F933" w14:textId="77777777" w:rsidR="00CC3AED" w:rsidRDefault="00CC3AED" w:rsidP="00881426">
      <w:pPr>
        <w:rPr>
          <w:rFonts w:eastAsia="Calibri"/>
          <w:lang w:eastAsia="en-US"/>
        </w:rPr>
      </w:pPr>
    </w:p>
    <w:p w14:paraId="719BF115" w14:textId="77777777" w:rsidR="007E5F71" w:rsidRPr="00FD2055" w:rsidRDefault="007E5F71" w:rsidP="007E5F71">
      <w:pPr>
        <w:pStyle w:val="Titre6"/>
      </w:pPr>
      <w:proofErr w:type="spellStart"/>
      <w:r w:rsidRPr="00FD2055">
        <w:t>Combined</w:t>
      </w:r>
      <w:proofErr w:type="spellEnd"/>
      <w:r w:rsidRPr="00FD2055">
        <w:t xml:space="preserve"> </w:t>
      </w:r>
      <w:proofErr w:type="spellStart"/>
      <w:r w:rsidRPr="00FD2055">
        <w:t>scenarios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081"/>
        <w:gridCol w:w="1200"/>
        <w:gridCol w:w="1529"/>
        <w:gridCol w:w="1318"/>
        <w:gridCol w:w="1474"/>
        <w:gridCol w:w="1324"/>
      </w:tblGrid>
      <w:tr w:rsidR="007E5F71" w:rsidRPr="00015252" w14:paraId="5682D28E" w14:textId="77777777" w:rsidTr="002E1D83">
        <w:tc>
          <w:tcPr>
            <w:tcW w:w="785" w:type="pct"/>
            <w:shd w:val="clear" w:color="auto" w:fill="BFBFBF" w:themeFill="background1" w:themeFillShade="BF"/>
          </w:tcPr>
          <w:p w14:paraId="067CAEB7" w14:textId="77777777" w:rsidR="007E5F71" w:rsidRPr="00015252" w:rsidRDefault="007E5F71" w:rsidP="002E1D83">
            <w:pPr>
              <w:pStyle w:val="Standaard-Tabellen"/>
              <w:rPr>
                <w:rFonts w:eastAsia="Calibri"/>
                <w:b/>
              </w:rPr>
            </w:pPr>
            <w:r w:rsidRPr="00015252">
              <w:rPr>
                <w:rFonts w:eastAsia="Calibri"/>
                <w:b/>
              </w:rPr>
              <w:t>Scenarios combined</w:t>
            </w:r>
          </w:p>
        </w:tc>
        <w:tc>
          <w:tcPr>
            <w:tcW w:w="575" w:type="pct"/>
            <w:shd w:val="clear" w:color="auto" w:fill="BFBFBF" w:themeFill="background1" w:themeFillShade="BF"/>
          </w:tcPr>
          <w:p w14:paraId="78474E29" w14:textId="77777777" w:rsidR="007E5F71" w:rsidRPr="00015252" w:rsidRDefault="007E5F71" w:rsidP="002E1D83">
            <w:pPr>
              <w:pStyle w:val="Standaard-Tabellen"/>
              <w:rPr>
                <w:rFonts w:eastAsia="Calibri"/>
                <w:b/>
              </w:rPr>
            </w:pPr>
            <w:r w:rsidRPr="00015252">
              <w:rPr>
                <w:rFonts w:eastAsia="Calibri"/>
                <w:b/>
              </w:rPr>
              <w:t>Tier</w:t>
            </w:r>
          </w:p>
        </w:tc>
        <w:tc>
          <w:tcPr>
            <w:tcW w:w="638" w:type="pct"/>
            <w:shd w:val="clear" w:color="auto" w:fill="BFBFBF" w:themeFill="background1" w:themeFillShade="BF"/>
          </w:tcPr>
          <w:p w14:paraId="628E7720" w14:textId="77777777" w:rsidR="007E5F71" w:rsidRDefault="007E5F71" w:rsidP="002E1D83">
            <w:pPr>
              <w:pStyle w:val="Standaard-Tabellen"/>
              <w:rPr>
                <w:rFonts w:eastAsia="Calibri"/>
                <w:b/>
              </w:rPr>
            </w:pPr>
            <w:r w:rsidRPr="00015252">
              <w:rPr>
                <w:rFonts w:eastAsia="Calibri"/>
                <w:b/>
              </w:rPr>
              <w:t xml:space="preserve">Systemic </w:t>
            </w:r>
          </w:p>
          <w:p w14:paraId="0E7CE6C3" w14:textId="77777777" w:rsidR="007E5F71" w:rsidRPr="00495CE2" w:rsidRDefault="007E5F71" w:rsidP="002E1D83">
            <w:pPr>
              <w:pStyle w:val="Standaard-Tabellen"/>
              <w:rPr>
                <w:rFonts w:eastAsia="Calibri"/>
                <w:b/>
                <w:lang w:val="de-DE"/>
              </w:rPr>
            </w:pPr>
            <w:r w:rsidRPr="00495CE2">
              <w:rPr>
                <w:rFonts w:eastAsia="Calibri"/>
                <w:b/>
                <w:lang w:val="de-DE"/>
              </w:rPr>
              <w:t>NOAEL</w:t>
            </w:r>
          </w:p>
          <w:p w14:paraId="68AD7C09" w14:textId="77777777" w:rsidR="007E5F71" w:rsidRPr="00495CE2" w:rsidRDefault="007E5F71" w:rsidP="002E1D83">
            <w:pPr>
              <w:pStyle w:val="Standaard-Tabellen"/>
              <w:rPr>
                <w:rFonts w:eastAsia="Calibri"/>
                <w:b/>
                <w:lang w:val="de-DE"/>
              </w:rPr>
            </w:pPr>
            <w:r w:rsidRPr="00495CE2">
              <w:rPr>
                <w:rFonts w:eastAsia="Calibri"/>
                <w:b/>
                <w:lang w:val="de-DE"/>
              </w:rPr>
              <w:t xml:space="preserve">[mg/kg </w:t>
            </w:r>
            <w:proofErr w:type="spellStart"/>
            <w:r w:rsidRPr="00495CE2">
              <w:rPr>
                <w:rFonts w:eastAsia="Calibri"/>
                <w:b/>
                <w:lang w:val="de-DE"/>
              </w:rPr>
              <w:t>bw</w:t>
            </w:r>
            <w:proofErr w:type="spellEnd"/>
            <w:r w:rsidRPr="00495CE2">
              <w:rPr>
                <w:rFonts w:eastAsia="Calibri"/>
                <w:b/>
                <w:lang w:val="de-DE"/>
              </w:rPr>
              <w:t>/d]</w:t>
            </w:r>
          </w:p>
        </w:tc>
        <w:tc>
          <w:tcPr>
            <w:tcW w:w="813" w:type="pct"/>
            <w:shd w:val="clear" w:color="auto" w:fill="BFBFBF" w:themeFill="background1" w:themeFillShade="BF"/>
          </w:tcPr>
          <w:p w14:paraId="627C641F" w14:textId="77777777" w:rsidR="007E5F71" w:rsidRPr="00015252" w:rsidRDefault="007E5F71" w:rsidP="002E1D83">
            <w:pPr>
              <w:pStyle w:val="Standaard-Tabellen"/>
              <w:rPr>
                <w:rFonts w:eastAsia="Calibri"/>
                <w:b/>
                <w:lang w:val="es-ES"/>
              </w:rPr>
            </w:pPr>
            <w:r w:rsidRPr="00015252">
              <w:rPr>
                <w:rFonts w:eastAsia="Calibri"/>
                <w:b/>
                <w:lang w:val="es-ES"/>
              </w:rPr>
              <w:t>AEL</w:t>
            </w:r>
          </w:p>
          <w:p w14:paraId="5919E6F5" w14:textId="77777777" w:rsidR="007E5F71" w:rsidRPr="00015252" w:rsidRDefault="007E5F71" w:rsidP="002E1D83">
            <w:pPr>
              <w:pStyle w:val="Standaard-Tabellen"/>
              <w:rPr>
                <w:rFonts w:eastAsia="Calibri"/>
                <w:b/>
                <w:lang w:val="es-ES"/>
              </w:rPr>
            </w:pPr>
            <w:r>
              <w:rPr>
                <w:rFonts w:eastAsia="Calibri"/>
                <w:b/>
                <w:lang w:val="es-ES"/>
              </w:rPr>
              <w:t>[</w:t>
            </w:r>
            <w:r w:rsidRPr="00015252">
              <w:rPr>
                <w:rFonts w:eastAsia="Calibri"/>
                <w:b/>
                <w:lang w:val="es-ES"/>
              </w:rPr>
              <w:t xml:space="preserve">mg/kg </w:t>
            </w:r>
            <w:proofErr w:type="spellStart"/>
            <w:r w:rsidRPr="00015252">
              <w:rPr>
                <w:rFonts w:eastAsia="Calibri"/>
                <w:b/>
                <w:lang w:val="es-ES"/>
              </w:rPr>
              <w:t>bw</w:t>
            </w:r>
            <w:proofErr w:type="spellEnd"/>
            <w:r w:rsidRPr="00015252">
              <w:rPr>
                <w:rFonts w:eastAsia="Calibri"/>
                <w:b/>
                <w:lang w:val="es-ES"/>
              </w:rPr>
              <w:t>/d</w:t>
            </w:r>
            <w:r>
              <w:rPr>
                <w:rFonts w:eastAsia="Calibri"/>
                <w:b/>
                <w:lang w:val="es-ES"/>
              </w:rPr>
              <w:t>]</w:t>
            </w:r>
          </w:p>
        </w:tc>
        <w:tc>
          <w:tcPr>
            <w:tcW w:w="701" w:type="pct"/>
            <w:shd w:val="clear" w:color="auto" w:fill="BFBFBF" w:themeFill="background1" w:themeFillShade="BF"/>
          </w:tcPr>
          <w:p w14:paraId="51BE1BD8" w14:textId="77777777" w:rsidR="007E5F71" w:rsidRDefault="007E5F71" w:rsidP="002E1D83">
            <w:pPr>
              <w:pStyle w:val="Standaard-Tabellen"/>
              <w:rPr>
                <w:rFonts w:eastAsia="Calibri"/>
                <w:b/>
              </w:rPr>
            </w:pPr>
            <w:r w:rsidRPr="00015252">
              <w:rPr>
                <w:rFonts w:eastAsia="Calibri"/>
                <w:b/>
              </w:rPr>
              <w:t xml:space="preserve">Estimated </w:t>
            </w:r>
          </w:p>
          <w:p w14:paraId="053F1B51" w14:textId="77777777" w:rsidR="007E5F71" w:rsidRPr="00015252" w:rsidRDefault="007E5F71" w:rsidP="002E1D83">
            <w:pPr>
              <w:pStyle w:val="Standaard-Tabellen"/>
              <w:rPr>
                <w:rFonts w:eastAsia="Calibri"/>
                <w:b/>
              </w:rPr>
            </w:pPr>
            <w:r w:rsidRPr="00015252">
              <w:rPr>
                <w:rFonts w:eastAsia="Calibri"/>
                <w:b/>
              </w:rPr>
              <w:t>uptake</w:t>
            </w:r>
          </w:p>
          <w:p w14:paraId="6107B0D7" w14:textId="77777777" w:rsidR="007E5F71" w:rsidRPr="00015252" w:rsidRDefault="007E5F71" w:rsidP="002E1D83">
            <w:pPr>
              <w:pStyle w:val="Standaard-Tabellen"/>
              <w:rPr>
                <w:rFonts w:eastAsia="Calibri"/>
                <w:b/>
              </w:rPr>
            </w:pPr>
            <w:r>
              <w:rPr>
                <w:rFonts w:eastAsia="Calibri"/>
                <w:b/>
              </w:rPr>
              <w:t xml:space="preserve">[mg/kg </w:t>
            </w:r>
            <w:proofErr w:type="spellStart"/>
            <w:r>
              <w:rPr>
                <w:rFonts w:eastAsia="Calibri"/>
                <w:b/>
              </w:rPr>
              <w:t>bw</w:t>
            </w:r>
            <w:proofErr w:type="spellEnd"/>
            <w:r>
              <w:rPr>
                <w:rFonts w:eastAsia="Calibri"/>
                <w:b/>
              </w:rPr>
              <w:t>]</w:t>
            </w:r>
          </w:p>
        </w:tc>
        <w:tc>
          <w:tcPr>
            <w:tcW w:w="784" w:type="pct"/>
            <w:shd w:val="clear" w:color="auto" w:fill="BFBFBF" w:themeFill="background1" w:themeFillShade="BF"/>
          </w:tcPr>
          <w:p w14:paraId="7F180DB4" w14:textId="77777777" w:rsidR="007E5F71" w:rsidRDefault="007E5F71" w:rsidP="002E1D83">
            <w:pPr>
              <w:pStyle w:val="Standaard-Tabellen"/>
              <w:rPr>
                <w:rFonts w:eastAsia="Calibri"/>
                <w:b/>
              </w:rPr>
            </w:pPr>
            <w:r w:rsidRPr="00015252">
              <w:rPr>
                <w:rFonts w:eastAsia="Calibri"/>
                <w:b/>
              </w:rPr>
              <w:t xml:space="preserve">Estimated </w:t>
            </w:r>
          </w:p>
          <w:p w14:paraId="58D2BE48" w14:textId="77777777" w:rsidR="007E5F71" w:rsidRPr="00015252" w:rsidRDefault="007E5F71" w:rsidP="002E1D83">
            <w:pPr>
              <w:pStyle w:val="Standaard-Tabellen"/>
              <w:rPr>
                <w:rFonts w:eastAsia="Calibri"/>
                <w:b/>
              </w:rPr>
            </w:pPr>
            <w:r w:rsidRPr="00015252">
              <w:rPr>
                <w:rFonts w:eastAsia="Calibri"/>
                <w:b/>
              </w:rPr>
              <w:t xml:space="preserve">uptake/ AEL </w:t>
            </w:r>
          </w:p>
          <w:p w14:paraId="27DAAECB" w14:textId="77777777" w:rsidR="007E5F71" w:rsidRPr="00015252" w:rsidRDefault="007E5F71" w:rsidP="002E1D83">
            <w:pPr>
              <w:pStyle w:val="Standaard-Tabellen"/>
              <w:rPr>
                <w:rFonts w:eastAsia="Calibri"/>
                <w:b/>
              </w:rPr>
            </w:pPr>
            <w:r w:rsidRPr="00015252">
              <w:rPr>
                <w:rFonts w:eastAsia="Calibri"/>
                <w:b/>
              </w:rPr>
              <w:t>(%)</w:t>
            </w:r>
          </w:p>
        </w:tc>
        <w:tc>
          <w:tcPr>
            <w:tcW w:w="704" w:type="pct"/>
            <w:shd w:val="clear" w:color="auto" w:fill="BFBFBF" w:themeFill="background1" w:themeFillShade="BF"/>
          </w:tcPr>
          <w:p w14:paraId="0B706509" w14:textId="77777777" w:rsidR="007E5F71" w:rsidRPr="00015252" w:rsidRDefault="007E5F71" w:rsidP="002E1D83">
            <w:pPr>
              <w:pStyle w:val="Standaard-Tabellen"/>
              <w:rPr>
                <w:rFonts w:eastAsia="Calibri"/>
                <w:b/>
              </w:rPr>
            </w:pPr>
            <w:r w:rsidRPr="00015252">
              <w:rPr>
                <w:rFonts w:eastAsia="Calibri"/>
                <w:b/>
              </w:rPr>
              <w:t>Acceptable</w:t>
            </w:r>
          </w:p>
          <w:p w14:paraId="71E0C217" w14:textId="77777777" w:rsidR="007E5F71" w:rsidRPr="00015252" w:rsidRDefault="007E5F71" w:rsidP="002E1D83">
            <w:pPr>
              <w:pStyle w:val="Standaard-Tabellen"/>
              <w:rPr>
                <w:rFonts w:eastAsia="Calibri"/>
                <w:b/>
              </w:rPr>
            </w:pPr>
            <w:r w:rsidRPr="00015252">
              <w:rPr>
                <w:rFonts w:eastAsia="Calibri"/>
                <w:b/>
              </w:rPr>
              <w:t>(yes/no)</w:t>
            </w:r>
          </w:p>
        </w:tc>
      </w:tr>
      <w:tr w:rsidR="007E5F71" w:rsidRPr="00FD2055" w14:paraId="67923C52" w14:textId="77777777" w:rsidTr="002E1D83">
        <w:tc>
          <w:tcPr>
            <w:tcW w:w="785" w:type="pct"/>
            <w:shd w:val="clear" w:color="auto" w:fill="auto"/>
          </w:tcPr>
          <w:p w14:paraId="73D4887F" w14:textId="77777777" w:rsidR="007E5F71" w:rsidRPr="00FD2055" w:rsidRDefault="001B4894" w:rsidP="002E1D83">
            <w:pPr>
              <w:pStyle w:val="Standaard-Tabellen"/>
              <w:rPr>
                <w:rFonts w:eastAsia="Calibri"/>
              </w:rPr>
            </w:pPr>
            <w:proofErr w:type="spellStart"/>
            <w:r>
              <w:rPr>
                <w:rFonts w:eastAsia="Calibri"/>
              </w:rPr>
              <w:t>n.a.</w:t>
            </w:r>
            <w:proofErr w:type="spellEnd"/>
          </w:p>
        </w:tc>
        <w:tc>
          <w:tcPr>
            <w:tcW w:w="575" w:type="pct"/>
            <w:shd w:val="clear" w:color="auto" w:fill="auto"/>
          </w:tcPr>
          <w:p w14:paraId="3B855417" w14:textId="77777777" w:rsidR="007E5F71" w:rsidRPr="00FD2055" w:rsidRDefault="007E5F71" w:rsidP="002E1D83">
            <w:pPr>
              <w:pStyle w:val="Standaard-Tabellen"/>
              <w:rPr>
                <w:rFonts w:eastAsia="Calibri"/>
              </w:rPr>
            </w:pPr>
          </w:p>
        </w:tc>
        <w:tc>
          <w:tcPr>
            <w:tcW w:w="638" w:type="pct"/>
            <w:shd w:val="clear" w:color="auto" w:fill="auto"/>
          </w:tcPr>
          <w:p w14:paraId="04F7DC30" w14:textId="77777777" w:rsidR="007E5F71" w:rsidRPr="00FD2055" w:rsidRDefault="007E5F71" w:rsidP="002E1D83">
            <w:pPr>
              <w:pStyle w:val="Standaard-Tabellen"/>
              <w:rPr>
                <w:rFonts w:eastAsia="Calibri"/>
              </w:rPr>
            </w:pPr>
          </w:p>
        </w:tc>
        <w:tc>
          <w:tcPr>
            <w:tcW w:w="813" w:type="pct"/>
            <w:shd w:val="clear" w:color="auto" w:fill="auto"/>
          </w:tcPr>
          <w:p w14:paraId="33C6CB25" w14:textId="77777777" w:rsidR="007E5F71" w:rsidRPr="00FD2055" w:rsidRDefault="007E5F71" w:rsidP="002E1D83">
            <w:pPr>
              <w:pStyle w:val="Standaard-Tabellen"/>
              <w:rPr>
                <w:rFonts w:eastAsia="Calibri"/>
              </w:rPr>
            </w:pPr>
          </w:p>
        </w:tc>
        <w:tc>
          <w:tcPr>
            <w:tcW w:w="701" w:type="pct"/>
            <w:shd w:val="clear" w:color="auto" w:fill="auto"/>
          </w:tcPr>
          <w:p w14:paraId="6C6C1CA3" w14:textId="77777777" w:rsidR="007E5F71" w:rsidRPr="00FD2055" w:rsidRDefault="007E5F71" w:rsidP="002E1D83">
            <w:pPr>
              <w:pStyle w:val="Standaard-Tabellen"/>
              <w:rPr>
                <w:rFonts w:eastAsia="Calibri"/>
              </w:rPr>
            </w:pPr>
          </w:p>
        </w:tc>
        <w:tc>
          <w:tcPr>
            <w:tcW w:w="784" w:type="pct"/>
            <w:shd w:val="clear" w:color="auto" w:fill="auto"/>
          </w:tcPr>
          <w:p w14:paraId="0A937D06" w14:textId="77777777" w:rsidR="007E5F71" w:rsidRPr="00FD2055" w:rsidRDefault="007E5F71" w:rsidP="002E1D83">
            <w:pPr>
              <w:pStyle w:val="Standaard-Tabellen"/>
              <w:rPr>
                <w:rFonts w:eastAsia="Calibri"/>
              </w:rPr>
            </w:pPr>
          </w:p>
        </w:tc>
        <w:tc>
          <w:tcPr>
            <w:tcW w:w="704" w:type="pct"/>
            <w:shd w:val="clear" w:color="auto" w:fill="auto"/>
          </w:tcPr>
          <w:p w14:paraId="5730008E" w14:textId="77777777" w:rsidR="007E5F71" w:rsidRPr="00FD2055" w:rsidRDefault="007E5F71" w:rsidP="002E1D83">
            <w:pPr>
              <w:pStyle w:val="Standaard-Tabellen"/>
              <w:rPr>
                <w:rFonts w:eastAsia="Calibri"/>
              </w:rPr>
            </w:pPr>
          </w:p>
        </w:tc>
      </w:tr>
    </w:tbl>
    <w:p w14:paraId="702115D7" w14:textId="77777777" w:rsidR="007E5F71" w:rsidRPr="00FD2055" w:rsidRDefault="007E5F71" w:rsidP="00881426">
      <w:pPr>
        <w:rPr>
          <w:rFonts w:eastAsia="Calibri"/>
          <w:lang w:eastAsia="en-US"/>
        </w:rPr>
      </w:pPr>
    </w:p>
    <w:p w14:paraId="404FC334" w14:textId="77777777" w:rsidR="00881426" w:rsidRPr="001B4894" w:rsidRDefault="00881426" w:rsidP="000A7856">
      <w:pPr>
        <w:pStyle w:val="Titre6"/>
        <w:rPr>
          <w:lang w:val="en-US"/>
        </w:rPr>
      </w:pPr>
      <w:r w:rsidRPr="001B4894">
        <w:rPr>
          <w:lang w:val="en-US"/>
        </w:rPr>
        <w:t xml:space="preserve">Local effects </w:t>
      </w:r>
    </w:p>
    <w:p w14:paraId="4F008386" w14:textId="77777777" w:rsidR="00881426" w:rsidRDefault="00881426" w:rsidP="00881426">
      <w:pPr>
        <w:rPr>
          <w:rFonts w:eastAsia="Calibri"/>
          <w:szCs w:val="18"/>
          <w:lang w:eastAsia="en-US"/>
        </w:rPr>
      </w:pPr>
      <w:r w:rsidRPr="00B51E01">
        <w:rPr>
          <w:rFonts w:eastAsia="Calibri"/>
          <w:szCs w:val="18"/>
          <w:lang w:eastAsia="en-US"/>
        </w:rPr>
        <w:t>The biocidal product is not classified for any local effect. Consequently, there is no need to consider local effects separately.</w:t>
      </w:r>
    </w:p>
    <w:p w14:paraId="61C27927" w14:textId="77777777" w:rsidR="000A7856" w:rsidRPr="001C4769" w:rsidRDefault="000A7856" w:rsidP="00881426">
      <w:pPr>
        <w:rPr>
          <w:rFonts w:eastAsia="Calibri"/>
          <w:highlight w:val="green"/>
          <w:lang w:eastAsia="en-US"/>
        </w:rPr>
      </w:pPr>
    </w:p>
    <w:p w14:paraId="7CAEC653" w14:textId="77777777" w:rsidR="00881426" w:rsidRPr="002E1D83" w:rsidRDefault="00881426" w:rsidP="000A7856">
      <w:pPr>
        <w:pStyle w:val="Titre6"/>
        <w:rPr>
          <w:lang w:val="en-US"/>
        </w:rPr>
      </w:pPr>
      <w:r w:rsidRPr="002E1D83">
        <w:rPr>
          <w:lang w:val="en-US"/>
        </w:rPr>
        <w:t>Conclusion</w:t>
      </w:r>
    </w:p>
    <w:p w14:paraId="2F63798F" w14:textId="77777777" w:rsidR="00CB0677" w:rsidRPr="00C8715D" w:rsidRDefault="00CB0677" w:rsidP="00CB0677">
      <w:pPr>
        <w:rPr>
          <w:lang w:val="en-US" w:eastAsia="en-US"/>
        </w:rPr>
      </w:pPr>
      <w:r>
        <w:rPr>
          <w:lang w:val="en-US" w:eastAsia="en-US"/>
        </w:rPr>
        <w:t>S</w:t>
      </w:r>
      <w:r w:rsidRPr="00C8715D">
        <w:rPr>
          <w:lang w:val="en-US" w:eastAsia="en-US"/>
        </w:rPr>
        <w:t>afe uses</w:t>
      </w:r>
      <w:r>
        <w:rPr>
          <w:lang w:val="en-US" w:eastAsia="en-US"/>
        </w:rPr>
        <w:t xml:space="preserve"> are identified for</w:t>
      </w:r>
      <w:r w:rsidRPr="00C8715D">
        <w:rPr>
          <w:lang w:val="en-US" w:eastAsia="en-US"/>
        </w:rPr>
        <w:t xml:space="preserve"> this product</w:t>
      </w:r>
      <w:r>
        <w:rPr>
          <w:lang w:val="en-US" w:eastAsia="en-US"/>
        </w:rPr>
        <w:t xml:space="preserve">, </w:t>
      </w:r>
      <w:bookmarkStart w:id="200" w:name="_Hlk6480704"/>
      <w:r>
        <w:rPr>
          <w:lang w:val="en-US" w:eastAsia="en-US"/>
        </w:rPr>
        <w:t>Insect Repellent Lotion IR3535</w:t>
      </w:r>
      <w:r w:rsidRPr="00C8715D">
        <w:rPr>
          <w:vertAlign w:val="superscript"/>
          <w:lang w:val="en-US" w:eastAsia="en-US"/>
        </w:rPr>
        <w:t>®</w:t>
      </w:r>
      <w:r>
        <w:rPr>
          <w:lang w:val="en-US" w:eastAsia="en-US"/>
        </w:rPr>
        <w:t xml:space="preserve"> 1</w:t>
      </w:r>
      <w:r w:rsidRPr="00C903B8">
        <w:rPr>
          <w:lang w:val="en-US" w:eastAsia="en-US"/>
        </w:rPr>
        <w:t>0%</w:t>
      </w:r>
      <w:r>
        <w:rPr>
          <w:lang w:val="en-US" w:eastAsia="en-US"/>
        </w:rPr>
        <w:t xml:space="preserve"> </w:t>
      </w:r>
      <w:bookmarkEnd w:id="200"/>
      <w:r w:rsidRPr="00C8715D">
        <w:rPr>
          <w:lang w:val="en-US" w:eastAsia="en-US"/>
        </w:rPr>
        <w:t xml:space="preserve">: </w:t>
      </w:r>
    </w:p>
    <w:p w14:paraId="163B3380" w14:textId="66A4B6E8" w:rsidR="00CB0677" w:rsidRDefault="00CB0677" w:rsidP="00CB0677">
      <w:pPr>
        <w:pStyle w:val="Paragraphedeliste"/>
        <w:numPr>
          <w:ilvl w:val="0"/>
          <w:numId w:val="27"/>
        </w:numPr>
        <w:rPr>
          <w:lang w:val="en-US" w:eastAsia="en-US"/>
        </w:rPr>
      </w:pPr>
      <w:r>
        <w:rPr>
          <w:lang w:val="en-US" w:eastAsia="en-US"/>
        </w:rPr>
        <w:t xml:space="preserve">For </w:t>
      </w:r>
      <w:r w:rsidRPr="00892C32">
        <w:rPr>
          <w:b/>
          <w:lang w:val="en-US" w:eastAsia="en-US"/>
        </w:rPr>
        <w:t>adult and child above 12 years</w:t>
      </w:r>
      <w:r>
        <w:rPr>
          <w:lang w:val="en-US" w:eastAsia="en-US"/>
        </w:rPr>
        <w:t xml:space="preserve"> when t</w:t>
      </w:r>
      <w:r w:rsidRPr="00C8715D">
        <w:rPr>
          <w:lang w:val="en-US" w:eastAsia="en-US"/>
        </w:rPr>
        <w:t xml:space="preserve">he product is applied </w:t>
      </w:r>
      <w:r>
        <w:rPr>
          <w:b/>
          <w:u w:val="single"/>
          <w:lang w:val="en-US" w:eastAsia="en-US"/>
        </w:rPr>
        <w:t>twice</w:t>
      </w:r>
      <w:r w:rsidRPr="00C8715D">
        <w:rPr>
          <w:b/>
          <w:u w:val="single"/>
          <w:lang w:val="en-US" w:eastAsia="en-US"/>
        </w:rPr>
        <w:t xml:space="preserve"> per day</w:t>
      </w:r>
      <w:r w:rsidRPr="00260D95">
        <w:rPr>
          <w:lang w:val="en-US" w:eastAsia="en-US"/>
        </w:rPr>
        <w:t xml:space="preserve"> </w:t>
      </w:r>
      <w:r>
        <w:rPr>
          <w:lang w:val="en-US" w:eastAsia="en-US"/>
        </w:rPr>
        <w:t xml:space="preserve">on uncovered body parts: head, neck, lower arms, lower legs, feet and 70% of upper arms and thighs. </w:t>
      </w:r>
      <w:r w:rsidRPr="00C8715D">
        <w:rPr>
          <w:lang w:val="en-US" w:eastAsia="en-US"/>
        </w:rPr>
        <w:t xml:space="preserve"> </w:t>
      </w:r>
    </w:p>
    <w:p w14:paraId="78337317" w14:textId="720FA28A" w:rsidR="00CB0677" w:rsidRDefault="00CB0677" w:rsidP="00CB0677">
      <w:pPr>
        <w:pStyle w:val="Paragraphedeliste"/>
        <w:numPr>
          <w:ilvl w:val="0"/>
          <w:numId w:val="27"/>
        </w:numPr>
        <w:rPr>
          <w:lang w:val="en-US" w:eastAsia="en-US"/>
        </w:rPr>
      </w:pPr>
      <w:r>
        <w:rPr>
          <w:lang w:val="en-US" w:eastAsia="en-US"/>
        </w:rPr>
        <w:t xml:space="preserve">For </w:t>
      </w:r>
      <w:r w:rsidRPr="00892C32">
        <w:rPr>
          <w:b/>
          <w:lang w:val="en-US" w:eastAsia="en-US"/>
        </w:rPr>
        <w:t xml:space="preserve">child </w:t>
      </w:r>
      <w:r w:rsidR="00DC5E41">
        <w:rPr>
          <w:b/>
          <w:lang w:val="en-US" w:eastAsia="en-US"/>
        </w:rPr>
        <w:t xml:space="preserve">under </w:t>
      </w:r>
      <w:r w:rsidRPr="00892C32">
        <w:rPr>
          <w:b/>
          <w:lang w:val="en-US" w:eastAsia="en-US"/>
        </w:rPr>
        <w:t xml:space="preserve">12 years (including infant) </w:t>
      </w:r>
      <w:r>
        <w:rPr>
          <w:lang w:val="en-US" w:eastAsia="en-US"/>
        </w:rPr>
        <w:t xml:space="preserve">when the product is applied </w:t>
      </w:r>
      <w:r w:rsidRPr="00892C32">
        <w:rPr>
          <w:b/>
          <w:u w:val="single"/>
          <w:lang w:val="en-US" w:eastAsia="en-US"/>
        </w:rPr>
        <w:t>once per day</w:t>
      </w:r>
      <w:r>
        <w:rPr>
          <w:lang w:val="en-US" w:eastAsia="en-US"/>
        </w:rPr>
        <w:t xml:space="preserve"> on uncovered body parts: head, neck, lower arms, lower legs, feet and 70% of upper arms and thighs. </w:t>
      </w:r>
    </w:p>
    <w:p w14:paraId="68D31F08" w14:textId="77777777" w:rsidR="00CB0677" w:rsidRPr="00C8715D" w:rsidRDefault="00CB0677" w:rsidP="00CB0677">
      <w:pPr>
        <w:rPr>
          <w:highlight w:val="yellow"/>
          <w:lang w:val="en-US" w:eastAsia="en-US"/>
        </w:rPr>
      </w:pPr>
    </w:p>
    <w:p w14:paraId="065A627B" w14:textId="77777777" w:rsidR="00CB0677" w:rsidRPr="00311002" w:rsidRDefault="00CB0677" w:rsidP="00CB0677">
      <w:pPr>
        <w:rPr>
          <w:lang w:val="en-US" w:eastAsia="en-US"/>
        </w:rPr>
      </w:pPr>
      <w:r w:rsidRPr="00412894">
        <w:rPr>
          <w:lang w:val="en-US" w:eastAsia="en-US"/>
        </w:rPr>
        <w:t xml:space="preserve">There is no concern for indirect </w:t>
      </w:r>
      <w:r w:rsidRPr="00973BCE">
        <w:rPr>
          <w:lang w:val="en-US" w:eastAsia="en-US"/>
        </w:rPr>
        <w:t>secondary exposure for adults, children and infants from</w:t>
      </w:r>
      <w:r w:rsidRPr="00311002">
        <w:rPr>
          <w:lang w:val="en-US" w:eastAsia="en-US"/>
        </w:rPr>
        <w:t xml:space="preserve"> the use of the biocidal product as a Repellent Subtype PT19.01.</w:t>
      </w:r>
      <w:r>
        <w:rPr>
          <w:lang w:val="en-US" w:eastAsia="en-US"/>
        </w:rPr>
        <w:t xml:space="preserve"> as this is expected to be lower and covered by the assessment of primary </w:t>
      </w:r>
      <w:r w:rsidRPr="006D6EE9">
        <w:rPr>
          <w:lang w:val="en-US" w:eastAsia="en-US"/>
        </w:rPr>
        <w:t>exposure. Exposure via hand-to-mouth transfer is of minor concern when the product is used as intended (not to be applied to children’s hands), and inhalation of volatilized residues after application is limited.</w:t>
      </w:r>
      <w:r w:rsidRPr="00311002">
        <w:rPr>
          <w:lang w:val="en-US" w:eastAsia="en-US"/>
        </w:rPr>
        <w:t xml:space="preserve"> </w:t>
      </w:r>
    </w:p>
    <w:p w14:paraId="5480C3BA" w14:textId="77777777" w:rsidR="00CB0677" w:rsidRPr="00892C32" w:rsidRDefault="00CB0677" w:rsidP="00CB0677">
      <w:pPr>
        <w:rPr>
          <w:rFonts w:cs="Times-Roman"/>
          <w:highlight w:val="yellow"/>
          <w:lang w:val="en-US" w:eastAsia="en-US"/>
        </w:rPr>
      </w:pPr>
    </w:p>
    <w:p w14:paraId="6AE19581" w14:textId="77777777" w:rsidR="00CB0677" w:rsidRPr="006D6EE9" w:rsidRDefault="00CB0677" w:rsidP="00CB0677">
      <w:pPr>
        <w:autoSpaceDE w:val="0"/>
        <w:autoSpaceDN w:val="0"/>
        <w:adjustRightInd w:val="0"/>
        <w:rPr>
          <w:rFonts w:cs="Times-Roman"/>
          <w:lang w:val="en-US" w:eastAsia="en-US"/>
        </w:rPr>
      </w:pPr>
      <w:r w:rsidRPr="006D6EE9">
        <w:rPr>
          <w:rFonts w:cs="Times-Roman"/>
          <w:lang w:val="en-US" w:eastAsia="en-US"/>
        </w:rPr>
        <w:t>Proper use, i.e. use in compliance with correct and complete conditions on the label, of Insect Repellent Lotion IR3535</w:t>
      </w:r>
      <w:r w:rsidRPr="006D6EE9">
        <w:rPr>
          <w:rFonts w:cs="Times-Roman"/>
          <w:vertAlign w:val="superscript"/>
          <w:lang w:val="en-US" w:eastAsia="en-US"/>
        </w:rPr>
        <w:t>®</w:t>
      </w:r>
      <w:r w:rsidRPr="006D6EE9">
        <w:rPr>
          <w:rFonts w:cs="Times-Roman"/>
          <w:lang w:val="en-US" w:eastAsia="en-US"/>
        </w:rPr>
        <w:t xml:space="preserve"> 10% is considered safe for adults and children. </w:t>
      </w:r>
    </w:p>
    <w:p w14:paraId="6B315505" w14:textId="77777777" w:rsidR="00CB0677" w:rsidRPr="00892C32" w:rsidRDefault="00CB0677" w:rsidP="00CB0677">
      <w:pPr>
        <w:spacing w:line="260" w:lineRule="atLeast"/>
        <w:rPr>
          <w:rFonts w:cs="Times-Roman"/>
          <w:highlight w:val="yellow"/>
          <w:lang w:val="en-US" w:eastAsia="en-US"/>
        </w:rPr>
      </w:pPr>
    </w:p>
    <w:p w14:paraId="5E979507" w14:textId="77777777" w:rsidR="00CB0677" w:rsidRPr="006D6EE9" w:rsidRDefault="00CB0677" w:rsidP="00CB0677">
      <w:pPr>
        <w:autoSpaceDE w:val="0"/>
        <w:autoSpaceDN w:val="0"/>
        <w:adjustRightInd w:val="0"/>
        <w:rPr>
          <w:rFonts w:cs="Times-Roman"/>
          <w:lang w:val="en-US" w:eastAsia="en-US"/>
        </w:rPr>
      </w:pPr>
      <w:r w:rsidRPr="006D6EE9">
        <w:rPr>
          <w:rFonts w:cs="Times-Roman"/>
          <w:lang w:val="en-US" w:eastAsia="en-US"/>
        </w:rPr>
        <w:t>The following RMM are required:</w:t>
      </w:r>
    </w:p>
    <w:p w14:paraId="4E2306B7" w14:textId="6E0B5F6B" w:rsidR="00DC5E41" w:rsidRDefault="00DC5E41" w:rsidP="00DC5E41">
      <w:pPr>
        <w:pStyle w:val="Paragraphedeliste"/>
        <w:numPr>
          <w:ilvl w:val="0"/>
          <w:numId w:val="18"/>
        </w:numPr>
        <w:autoSpaceDE w:val="0"/>
        <w:autoSpaceDN w:val="0"/>
        <w:adjustRightInd w:val="0"/>
        <w:rPr>
          <w:lang w:eastAsia="fi-FI"/>
        </w:rPr>
      </w:pPr>
      <w:r>
        <w:rPr>
          <w:lang w:eastAsia="fi-FI"/>
        </w:rPr>
        <w:t xml:space="preserve">ONLY apply to uncovered parts of the body, limited to the face, arms, legs and feet. </w:t>
      </w:r>
    </w:p>
    <w:p w14:paraId="7A89E264" w14:textId="77777777" w:rsidR="004E0003" w:rsidRDefault="004E0003" w:rsidP="00DC5E41">
      <w:pPr>
        <w:pStyle w:val="Paragraphedeliste"/>
        <w:numPr>
          <w:ilvl w:val="0"/>
          <w:numId w:val="18"/>
        </w:numPr>
        <w:autoSpaceDE w:val="0"/>
        <w:autoSpaceDN w:val="0"/>
        <w:adjustRightInd w:val="0"/>
        <w:rPr>
          <w:lang w:eastAsia="fi-FI"/>
        </w:rPr>
      </w:pPr>
      <w:r w:rsidRPr="004E0003">
        <w:rPr>
          <w:lang w:eastAsia="fi-FI"/>
        </w:rPr>
        <w:t xml:space="preserve">Do not use on children’s hands. An adult should apply the product to children below 12 years of age and wash his hands after application.  </w:t>
      </w:r>
    </w:p>
    <w:p w14:paraId="24E37EBE" w14:textId="5F8EF692" w:rsidR="00DC5E41" w:rsidRPr="0069586E" w:rsidRDefault="00DC5E41" w:rsidP="00DC5E41">
      <w:pPr>
        <w:pStyle w:val="Paragraphedeliste"/>
        <w:numPr>
          <w:ilvl w:val="0"/>
          <w:numId w:val="18"/>
        </w:numPr>
        <w:autoSpaceDE w:val="0"/>
        <w:autoSpaceDN w:val="0"/>
        <w:adjustRightInd w:val="0"/>
        <w:rPr>
          <w:lang w:eastAsia="fi-FI"/>
        </w:rPr>
      </w:pPr>
      <w:r>
        <w:rPr>
          <w:lang w:eastAsia="fi-FI"/>
        </w:rPr>
        <w:t xml:space="preserve">Wash hands before handling food. Do </w:t>
      </w:r>
      <w:r w:rsidRPr="0069586E">
        <w:rPr>
          <w:lang w:eastAsia="fi-FI"/>
        </w:rPr>
        <w:t>not apply directly on or near food, feed or drinks, or on surfaces or utensils likely to</w:t>
      </w:r>
      <w:r w:rsidR="002D43CA">
        <w:rPr>
          <w:color w:val="000000" w:themeColor="text1"/>
          <w:lang w:eastAsia="fi-FI"/>
        </w:rPr>
        <w:t xml:space="preserve"> be</w:t>
      </w:r>
      <w:r w:rsidRPr="002D43CA">
        <w:rPr>
          <w:color w:val="000000" w:themeColor="text1"/>
          <w:lang w:eastAsia="fi-FI"/>
        </w:rPr>
        <w:t xml:space="preserve"> </w:t>
      </w:r>
      <w:r w:rsidRPr="0069586E">
        <w:rPr>
          <w:lang w:eastAsia="fi-FI"/>
        </w:rPr>
        <w:t>in direct contact with food, feed, drinks. To prevent contamination of food, avoid contact of treated skin with food.</w:t>
      </w:r>
    </w:p>
    <w:p w14:paraId="31A81CCB" w14:textId="0711E51A" w:rsidR="00CB0677" w:rsidRPr="006D6EE9" w:rsidRDefault="00DC5E41">
      <w:pPr>
        <w:pStyle w:val="Paragraphedeliste"/>
        <w:numPr>
          <w:ilvl w:val="0"/>
          <w:numId w:val="18"/>
        </w:numPr>
        <w:rPr>
          <w:rFonts w:cs="Times-Roman"/>
          <w:lang w:val="en-US" w:eastAsia="en-US"/>
        </w:rPr>
      </w:pPr>
      <w:r w:rsidRPr="0069586E">
        <w:rPr>
          <w:lang w:eastAsia="fi-FI"/>
        </w:rPr>
        <w:t>Only apply outdoor or in well ventilated area</w:t>
      </w:r>
      <w:r w:rsidR="004E0003">
        <w:rPr>
          <w:lang w:eastAsia="fi-FI"/>
        </w:rPr>
        <w:t>.</w:t>
      </w:r>
    </w:p>
    <w:p w14:paraId="450E49AF" w14:textId="77777777" w:rsidR="00CB0677" w:rsidRDefault="00CB0677">
      <w:pPr>
        <w:spacing w:before="0" w:after="160" w:line="259" w:lineRule="auto"/>
        <w:rPr>
          <w:rFonts w:eastAsia="Calibri"/>
          <w:highlight w:val="green"/>
          <w:lang w:val="en-US" w:eastAsia="en-US"/>
        </w:rPr>
      </w:pPr>
    </w:p>
    <w:p w14:paraId="448D25AA" w14:textId="77777777" w:rsidR="00881426" w:rsidRPr="00FD2055" w:rsidRDefault="00881426" w:rsidP="007E5F71">
      <w:pPr>
        <w:pStyle w:val="Titre5"/>
      </w:pPr>
      <w:bookmarkStart w:id="201" w:name="_Toc389729092"/>
      <w:bookmarkStart w:id="202" w:name="_Toc403472778"/>
      <w:bookmarkStart w:id="203" w:name="_Toc12967178"/>
      <w:r w:rsidRPr="00FD2055">
        <w:lastRenderedPageBreak/>
        <w:t>Risk for the general public</w:t>
      </w:r>
      <w:bookmarkEnd w:id="201"/>
      <w:bookmarkEnd w:id="202"/>
      <w:bookmarkEnd w:id="203"/>
      <w:r w:rsidRPr="00FD2055">
        <w:t xml:space="preserve"> </w:t>
      </w:r>
    </w:p>
    <w:p w14:paraId="11CB732D" w14:textId="77777777" w:rsidR="00CB0677" w:rsidRPr="00FD2055" w:rsidRDefault="00CB0677" w:rsidP="00CB0677">
      <w:pPr>
        <w:rPr>
          <w:rFonts w:eastAsia="Calibri"/>
          <w:lang w:eastAsia="en-US"/>
        </w:rPr>
      </w:pPr>
      <w:bookmarkStart w:id="204" w:name="_Toc389729093"/>
      <w:bookmarkStart w:id="205" w:name="_Toc403472779"/>
      <w:r>
        <w:rPr>
          <w:lang w:eastAsia="en-US"/>
        </w:rPr>
        <w:t>Risk for</w:t>
      </w:r>
      <w:r w:rsidRPr="00AD4546">
        <w:rPr>
          <w:lang w:val="en-US" w:eastAsia="en-US"/>
        </w:rPr>
        <w:t xml:space="preserve"> the general public is covered by the secondary exposure of non-professional.</w:t>
      </w:r>
      <w:r>
        <w:rPr>
          <w:lang w:val="en-US" w:eastAsia="en-US"/>
        </w:rPr>
        <w:t xml:space="preserve"> </w:t>
      </w:r>
    </w:p>
    <w:p w14:paraId="71254A2F" w14:textId="77777777" w:rsidR="00881426" w:rsidRPr="00FD2055" w:rsidRDefault="00881426" w:rsidP="007E5F71">
      <w:pPr>
        <w:pStyle w:val="Titre5"/>
      </w:pPr>
      <w:bookmarkStart w:id="206" w:name="_Toc12967179"/>
      <w:r w:rsidRPr="00FD2055">
        <w:t>Risk for consumers via residues in food</w:t>
      </w:r>
      <w:bookmarkEnd w:id="204"/>
      <w:bookmarkEnd w:id="205"/>
      <w:bookmarkEnd w:id="206"/>
    </w:p>
    <w:p w14:paraId="3E9BE1AA" w14:textId="77777777" w:rsidR="00881426" w:rsidRPr="008F2D9F" w:rsidRDefault="00881426" w:rsidP="00881426">
      <w:pPr>
        <w:spacing w:line="260" w:lineRule="atLeast"/>
        <w:rPr>
          <w:rFonts w:cs="Times-Roman"/>
          <w:lang w:val="en-US" w:eastAsia="en-US"/>
        </w:rPr>
      </w:pPr>
      <w:r w:rsidRPr="008F2D9F">
        <w:rPr>
          <w:rFonts w:cs="Times-Roman"/>
          <w:lang w:val="en-US" w:eastAsia="en-US"/>
        </w:rPr>
        <w:t>Not applicable</w:t>
      </w:r>
    </w:p>
    <w:p w14:paraId="7D2D0282" w14:textId="77777777" w:rsidR="00881426" w:rsidRPr="00FD2055" w:rsidRDefault="00881426" w:rsidP="007E5F71">
      <w:pPr>
        <w:pStyle w:val="Titre5"/>
      </w:pPr>
      <w:bookmarkStart w:id="207" w:name="_Toc389729094"/>
      <w:bookmarkStart w:id="208" w:name="_Toc403472780"/>
      <w:bookmarkStart w:id="209" w:name="_Toc12967180"/>
      <w:r w:rsidRPr="00FD2055">
        <w:t xml:space="preserve">Risk </w:t>
      </w:r>
      <w:proofErr w:type="spellStart"/>
      <w:r w:rsidRPr="00FD2055">
        <w:t>characterisation</w:t>
      </w:r>
      <w:proofErr w:type="spellEnd"/>
      <w:r w:rsidRPr="00FD2055">
        <w:t xml:space="preserve"> from combined exposure to several active substances or substances of concern within a biocidal product</w:t>
      </w:r>
      <w:bookmarkEnd w:id="207"/>
      <w:bookmarkEnd w:id="208"/>
      <w:bookmarkEnd w:id="209"/>
      <w:r w:rsidRPr="00FD2055">
        <w:t xml:space="preserve"> </w:t>
      </w:r>
    </w:p>
    <w:p w14:paraId="42C62791" w14:textId="77777777" w:rsidR="00881426" w:rsidRDefault="00881426" w:rsidP="00881426">
      <w:pPr>
        <w:spacing w:line="260" w:lineRule="atLeast"/>
        <w:rPr>
          <w:rFonts w:cs="Times-Roman"/>
          <w:lang w:val="en-US" w:eastAsia="en-US"/>
        </w:rPr>
      </w:pPr>
      <w:r w:rsidRPr="008F2D9F">
        <w:rPr>
          <w:rFonts w:cs="Times-Roman"/>
          <w:lang w:val="en-US" w:eastAsia="en-US"/>
        </w:rPr>
        <w:t>Not applicable</w:t>
      </w:r>
    </w:p>
    <w:p w14:paraId="46E8C6B5" w14:textId="77777777" w:rsidR="000A7856" w:rsidRDefault="000A7856" w:rsidP="00881426">
      <w:pPr>
        <w:spacing w:line="260" w:lineRule="atLeast"/>
        <w:rPr>
          <w:rFonts w:cs="Times-Roman"/>
          <w:lang w:val="en-US" w:eastAsia="en-US"/>
        </w:rPr>
      </w:pPr>
    </w:p>
    <w:p w14:paraId="6B1BF035" w14:textId="1ECAA850" w:rsidR="00015252" w:rsidRDefault="00CB0677" w:rsidP="00F345FA">
      <w:pPr>
        <w:pStyle w:val="Titre3"/>
        <w:rPr>
          <w:rFonts w:eastAsia="Calibri"/>
          <w:lang w:eastAsia="en-US"/>
        </w:rPr>
      </w:pPr>
      <w:bookmarkStart w:id="210" w:name="_Toc12967181"/>
      <w:r>
        <w:rPr>
          <w:rFonts w:eastAsia="Calibri"/>
          <w:lang w:eastAsia="en-US"/>
        </w:rPr>
        <w:t>Risk assessment for animal health</w:t>
      </w:r>
      <w:bookmarkEnd w:id="210"/>
    </w:p>
    <w:p w14:paraId="6BD4AD57" w14:textId="77777777" w:rsidR="00CB0677" w:rsidRDefault="00CB0677" w:rsidP="00CB0677">
      <w:pPr>
        <w:rPr>
          <w:rFonts w:eastAsia="Calibri"/>
          <w:lang w:eastAsia="en-US"/>
        </w:rPr>
      </w:pPr>
      <w:r>
        <w:rPr>
          <w:rFonts w:eastAsia="Calibri"/>
          <w:lang w:eastAsia="en-US"/>
        </w:rPr>
        <w:t xml:space="preserve">Not applicable. The product is not intended to be used on animal. </w:t>
      </w:r>
    </w:p>
    <w:p w14:paraId="54C22CB8" w14:textId="55D3E8C0" w:rsidR="00F345FA" w:rsidRDefault="00F345FA">
      <w:pPr>
        <w:spacing w:before="0" w:after="160" w:line="259" w:lineRule="auto"/>
        <w:rPr>
          <w:rFonts w:eastAsia="Calibri"/>
          <w:lang w:eastAsia="en-US"/>
        </w:rPr>
      </w:pPr>
    </w:p>
    <w:p w14:paraId="3D94E08C" w14:textId="2F0B7E1C" w:rsidR="00804DEE" w:rsidRDefault="00804DEE">
      <w:pPr>
        <w:spacing w:before="0" w:after="160" w:line="259" w:lineRule="auto"/>
        <w:rPr>
          <w:rFonts w:eastAsia="Calibri"/>
          <w:lang w:eastAsia="en-US"/>
        </w:rPr>
      </w:pPr>
    </w:p>
    <w:p w14:paraId="66F1B277" w14:textId="6D0CA377" w:rsidR="00804DEE" w:rsidRDefault="00804DEE">
      <w:pPr>
        <w:spacing w:before="0" w:after="160" w:line="259" w:lineRule="auto"/>
        <w:rPr>
          <w:rFonts w:eastAsia="Calibri"/>
          <w:lang w:eastAsia="en-US"/>
        </w:rPr>
      </w:pPr>
    </w:p>
    <w:p w14:paraId="18E7F103" w14:textId="13FC8B03" w:rsidR="00804DEE" w:rsidRDefault="00804DEE">
      <w:pPr>
        <w:spacing w:before="0" w:after="160" w:line="259" w:lineRule="auto"/>
        <w:rPr>
          <w:rFonts w:eastAsia="Calibri"/>
          <w:lang w:eastAsia="en-US"/>
        </w:rPr>
      </w:pPr>
    </w:p>
    <w:p w14:paraId="5A6DA1E5" w14:textId="771124AF" w:rsidR="00804DEE" w:rsidRDefault="00804DEE">
      <w:pPr>
        <w:spacing w:before="0" w:after="160" w:line="259" w:lineRule="auto"/>
        <w:rPr>
          <w:rFonts w:eastAsia="Calibri"/>
          <w:lang w:eastAsia="en-US"/>
        </w:rPr>
      </w:pPr>
    </w:p>
    <w:p w14:paraId="67B93B58" w14:textId="13FE0966" w:rsidR="00804DEE" w:rsidRDefault="00804DEE">
      <w:pPr>
        <w:spacing w:before="0" w:after="160" w:line="259" w:lineRule="auto"/>
        <w:rPr>
          <w:rFonts w:eastAsia="Calibri"/>
          <w:lang w:eastAsia="en-US"/>
        </w:rPr>
      </w:pPr>
    </w:p>
    <w:p w14:paraId="13BB541E" w14:textId="2632450B" w:rsidR="00804DEE" w:rsidRDefault="00804DEE">
      <w:pPr>
        <w:spacing w:before="0" w:after="160" w:line="259" w:lineRule="auto"/>
        <w:rPr>
          <w:rFonts w:eastAsia="Calibri"/>
          <w:lang w:eastAsia="en-US"/>
        </w:rPr>
      </w:pPr>
    </w:p>
    <w:p w14:paraId="718F860B" w14:textId="4A62DF15" w:rsidR="00804DEE" w:rsidRDefault="00804DEE">
      <w:pPr>
        <w:spacing w:before="0" w:after="160" w:line="259" w:lineRule="auto"/>
        <w:rPr>
          <w:rFonts w:eastAsia="Calibri"/>
          <w:lang w:eastAsia="en-US"/>
        </w:rPr>
      </w:pPr>
    </w:p>
    <w:p w14:paraId="4E1502EB" w14:textId="754929F1" w:rsidR="00804DEE" w:rsidRDefault="00804DEE">
      <w:pPr>
        <w:spacing w:before="0" w:after="160" w:line="259" w:lineRule="auto"/>
        <w:rPr>
          <w:rFonts w:eastAsia="Calibri"/>
          <w:lang w:eastAsia="en-US"/>
        </w:rPr>
      </w:pPr>
    </w:p>
    <w:p w14:paraId="12DAEAEE" w14:textId="35AE6BD5" w:rsidR="00804DEE" w:rsidRDefault="00804DEE">
      <w:pPr>
        <w:spacing w:before="0" w:after="160" w:line="259" w:lineRule="auto"/>
        <w:rPr>
          <w:rFonts w:eastAsia="Calibri"/>
          <w:lang w:eastAsia="en-US"/>
        </w:rPr>
      </w:pPr>
    </w:p>
    <w:p w14:paraId="7F6B97B4" w14:textId="43A260C5" w:rsidR="00804DEE" w:rsidRDefault="00804DEE">
      <w:pPr>
        <w:spacing w:before="0" w:after="160" w:line="259" w:lineRule="auto"/>
        <w:rPr>
          <w:rFonts w:eastAsia="Calibri"/>
          <w:lang w:eastAsia="en-US"/>
        </w:rPr>
      </w:pPr>
    </w:p>
    <w:p w14:paraId="47673C1C" w14:textId="381E7ED0" w:rsidR="00804DEE" w:rsidRDefault="00804DEE">
      <w:pPr>
        <w:spacing w:before="0" w:after="160" w:line="259" w:lineRule="auto"/>
        <w:rPr>
          <w:rFonts w:eastAsia="Calibri"/>
          <w:lang w:eastAsia="en-US"/>
        </w:rPr>
      </w:pPr>
    </w:p>
    <w:p w14:paraId="04F3C20A" w14:textId="5EBC7685" w:rsidR="00804DEE" w:rsidRDefault="00804DEE">
      <w:pPr>
        <w:spacing w:before="0" w:after="160" w:line="259" w:lineRule="auto"/>
        <w:rPr>
          <w:rFonts w:eastAsia="Calibri"/>
          <w:lang w:eastAsia="en-US"/>
        </w:rPr>
      </w:pPr>
    </w:p>
    <w:p w14:paraId="7F1BBF8D" w14:textId="7F7F6DC4" w:rsidR="00804DEE" w:rsidRDefault="00804DEE">
      <w:pPr>
        <w:spacing w:before="0" w:after="160" w:line="259" w:lineRule="auto"/>
        <w:rPr>
          <w:rFonts w:eastAsia="Calibri"/>
          <w:lang w:eastAsia="en-US"/>
        </w:rPr>
      </w:pPr>
    </w:p>
    <w:p w14:paraId="56A2E200" w14:textId="45E8ACCD" w:rsidR="002D43CA" w:rsidRDefault="002D43CA">
      <w:pPr>
        <w:spacing w:before="0" w:after="160" w:line="259" w:lineRule="auto"/>
        <w:rPr>
          <w:rFonts w:eastAsia="Calibri"/>
          <w:lang w:eastAsia="en-US"/>
        </w:rPr>
      </w:pPr>
    </w:p>
    <w:p w14:paraId="0A3A1AFA" w14:textId="2FAE88B3" w:rsidR="002D43CA" w:rsidRDefault="002D43CA">
      <w:pPr>
        <w:spacing w:before="0" w:after="160" w:line="259" w:lineRule="auto"/>
        <w:rPr>
          <w:rFonts w:eastAsia="Calibri"/>
          <w:lang w:eastAsia="en-US"/>
        </w:rPr>
      </w:pPr>
    </w:p>
    <w:p w14:paraId="55BF0BA6" w14:textId="59C123D5" w:rsidR="002D43CA" w:rsidRDefault="002D43CA">
      <w:pPr>
        <w:spacing w:before="0" w:after="160" w:line="259" w:lineRule="auto"/>
        <w:rPr>
          <w:rFonts w:eastAsia="Calibri"/>
          <w:lang w:eastAsia="en-US"/>
        </w:rPr>
      </w:pPr>
    </w:p>
    <w:p w14:paraId="61887686" w14:textId="1BAF0825" w:rsidR="002D43CA" w:rsidRDefault="002D43CA">
      <w:pPr>
        <w:spacing w:before="0" w:after="160" w:line="259" w:lineRule="auto"/>
        <w:rPr>
          <w:rFonts w:eastAsia="Calibri"/>
          <w:lang w:eastAsia="en-US"/>
        </w:rPr>
      </w:pPr>
    </w:p>
    <w:p w14:paraId="24D83BD3" w14:textId="55AD6F0A" w:rsidR="002D43CA" w:rsidRDefault="002D43CA">
      <w:pPr>
        <w:spacing w:before="0" w:after="160" w:line="259" w:lineRule="auto"/>
        <w:rPr>
          <w:rFonts w:eastAsia="Calibri"/>
          <w:lang w:eastAsia="en-US"/>
        </w:rPr>
      </w:pPr>
    </w:p>
    <w:p w14:paraId="7989B263" w14:textId="77777777" w:rsidR="002D43CA" w:rsidRDefault="002D43CA">
      <w:pPr>
        <w:spacing w:before="0" w:after="160" w:line="259" w:lineRule="auto"/>
        <w:rPr>
          <w:rFonts w:eastAsia="Calibri"/>
          <w:lang w:eastAsia="en-US"/>
        </w:rPr>
      </w:pPr>
    </w:p>
    <w:p w14:paraId="4B7FC912" w14:textId="3DABE104" w:rsidR="00804DEE" w:rsidRDefault="00804DEE">
      <w:pPr>
        <w:spacing w:before="0" w:after="160" w:line="259" w:lineRule="auto"/>
        <w:rPr>
          <w:rFonts w:eastAsia="Calibri"/>
          <w:lang w:eastAsia="en-US"/>
        </w:rPr>
      </w:pPr>
    </w:p>
    <w:p w14:paraId="087679BC" w14:textId="77777777" w:rsidR="00804DEE" w:rsidRDefault="00804DEE">
      <w:pPr>
        <w:spacing w:before="0" w:after="160" w:line="259" w:lineRule="auto"/>
        <w:rPr>
          <w:rFonts w:eastAsia="Calibri"/>
          <w:lang w:eastAsia="en-US"/>
        </w:rPr>
      </w:pPr>
    </w:p>
    <w:p w14:paraId="01DC3C8E" w14:textId="1172EE9E" w:rsidR="00830954" w:rsidRDefault="00830954" w:rsidP="00F345FA">
      <w:pPr>
        <w:pStyle w:val="Titre3"/>
        <w:rPr>
          <w:rFonts w:eastAsia="Calibri"/>
          <w:lang w:eastAsia="en-US"/>
        </w:rPr>
      </w:pPr>
      <w:bookmarkStart w:id="211" w:name="_Toc12967182"/>
      <w:r>
        <w:rPr>
          <w:rFonts w:eastAsia="Calibri"/>
          <w:lang w:eastAsia="en-US"/>
        </w:rPr>
        <w:lastRenderedPageBreak/>
        <w:t>Assessment of ED properties</w:t>
      </w:r>
      <w:bookmarkEnd w:id="211"/>
    </w:p>
    <w:p w14:paraId="5762D841" w14:textId="79314574" w:rsidR="00830954" w:rsidRPr="00830954" w:rsidRDefault="00830954" w:rsidP="00830954">
      <w:pPr>
        <w:rPr>
          <w:rFonts w:eastAsia="Calibri"/>
          <w:lang w:eastAsia="en-US"/>
        </w:rPr>
      </w:pPr>
      <w:r w:rsidRPr="00830954">
        <w:rPr>
          <w:rFonts w:eastAsia="Calibri"/>
          <w:lang w:eastAsia="en-US"/>
        </w:rPr>
        <w:t>A stepwise approach based on CA-March18.Doc.7.b-final was followed to assess the ED properties of the substances in Insect Repellent Lotion IR3535</w:t>
      </w:r>
      <w:r w:rsidRPr="00830954">
        <w:rPr>
          <w:rFonts w:eastAsia="Calibri"/>
          <w:vertAlign w:val="superscript"/>
          <w:lang w:eastAsia="en-US"/>
        </w:rPr>
        <w:t xml:space="preserve">® </w:t>
      </w:r>
      <w:r w:rsidRPr="00830954">
        <w:rPr>
          <w:rFonts w:eastAsia="Calibri"/>
          <w:lang w:eastAsia="en-US"/>
        </w:rPr>
        <w:t xml:space="preserve">10%: </w:t>
      </w:r>
    </w:p>
    <w:p w14:paraId="060F2629" w14:textId="77777777" w:rsidR="00830954" w:rsidRPr="00830954" w:rsidRDefault="00830954" w:rsidP="00830954">
      <w:pPr>
        <w:rPr>
          <w:rFonts w:eastAsia="Calibri"/>
          <w:lang w:eastAsia="en-US"/>
        </w:rPr>
      </w:pPr>
    </w:p>
    <w:p w14:paraId="0E379FA1" w14:textId="364EB70F" w:rsidR="00830954" w:rsidRPr="00830954" w:rsidRDefault="00830954" w:rsidP="00830954">
      <w:pPr>
        <w:rPr>
          <w:rFonts w:eastAsia="Calibri"/>
          <w:lang w:eastAsia="en-US"/>
        </w:rPr>
      </w:pPr>
      <w:r>
        <w:rPr>
          <w:rFonts w:eastAsia="Calibri"/>
          <w:lang w:eastAsia="en-US"/>
        </w:rPr>
        <w:t>2.2.9.1</w:t>
      </w:r>
      <w:r w:rsidRPr="00830954">
        <w:rPr>
          <w:rFonts w:eastAsia="Calibri"/>
          <w:lang w:eastAsia="en-US"/>
        </w:rPr>
        <w:tab/>
        <w:t xml:space="preserve">Assessment of the ED properties of the active substances in </w:t>
      </w:r>
      <w:r>
        <w:rPr>
          <w:lang w:val="en-US" w:eastAsia="en-US"/>
        </w:rPr>
        <w:t>Insect Repellent Lotion IR3535</w:t>
      </w:r>
      <w:r w:rsidRPr="00C8715D">
        <w:rPr>
          <w:vertAlign w:val="superscript"/>
          <w:lang w:val="en-US" w:eastAsia="en-US"/>
        </w:rPr>
        <w:t>®</w:t>
      </w:r>
      <w:r>
        <w:rPr>
          <w:lang w:val="en-US" w:eastAsia="en-US"/>
        </w:rPr>
        <w:t xml:space="preserve"> 1</w:t>
      </w:r>
      <w:r w:rsidRPr="00C903B8">
        <w:rPr>
          <w:lang w:val="en-US" w:eastAsia="en-US"/>
        </w:rPr>
        <w:t>0%</w:t>
      </w:r>
      <w:r w:rsidRPr="00830954">
        <w:rPr>
          <w:rFonts w:eastAsia="Calibri"/>
          <w:lang w:eastAsia="en-US"/>
        </w:rPr>
        <w:t xml:space="preserve">: </w:t>
      </w:r>
    </w:p>
    <w:p w14:paraId="07A3EE46" w14:textId="77777777" w:rsidR="00DC5E41" w:rsidRPr="009955AD" w:rsidRDefault="00830954" w:rsidP="00DC5E41">
      <w:pPr>
        <w:rPr>
          <w:rFonts w:eastAsia="Calibri"/>
          <w:lang w:eastAsia="en-US"/>
        </w:rPr>
      </w:pPr>
      <w:r w:rsidRPr="00830954">
        <w:rPr>
          <w:rFonts w:eastAsia="Calibri"/>
          <w:lang w:eastAsia="en-US"/>
        </w:rPr>
        <w:t>-</w:t>
      </w:r>
      <w:r w:rsidRPr="00830954">
        <w:rPr>
          <w:rFonts w:eastAsia="Calibri"/>
          <w:lang w:eastAsia="en-US"/>
        </w:rPr>
        <w:tab/>
      </w:r>
      <w:r w:rsidR="00DC5E41" w:rsidRPr="009955AD">
        <w:rPr>
          <w:rFonts w:eastAsia="Calibri"/>
          <w:lang w:eastAsia="en-US"/>
        </w:rPr>
        <w:t xml:space="preserve">According to section 2.1.1 of the final CA document, the assessment of ED properties of the active substances that have already been evaluated and approved will be coordinated at EU level. Hence, the </w:t>
      </w:r>
      <w:proofErr w:type="spellStart"/>
      <w:r w:rsidR="00DC5E41" w:rsidRPr="009955AD">
        <w:rPr>
          <w:rFonts w:eastAsia="Calibri"/>
          <w:lang w:eastAsia="en-US"/>
        </w:rPr>
        <w:t>rMS</w:t>
      </w:r>
      <w:proofErr w:type="spellEnd"/>
      <w:r w:rsidR="00DC5E41" w:rsidRPr="009955AD">
        <w:rPr>
          <w:rFonts w:eastAsia="Calibri"/>
          <w:lang w:eastAsia="en-US"/>
        </w:rPr>
        <w:t xml:space="preserve"> should not evaluate the ED properties of these substances nor request additional data on the ED properties in the context of product authorisation procedures. As ethyl 3-[N-acetyl-N-butyl] </w:t>
      </w:r>
      <w:proofErr w:type="spellStart"/>
      <w:r w:rsidR="00DC5E41" w:rsidRPr="009955AD">
        <w:rPr>
          <w:rFonts w:eastAsia="Calibri"/>
          <w:lang w:eastAsia="en-US"/>
        </w:rPr>
        <w:t>aminopropionate</w:t>
      </w:r>
      <w:proofErr w:type="spellEnd"/>
      <w:r w:rsidR="00DC5E41" w:rsidRPr="009955AD">
        <w:rPr>
          <w:rFonts w:eastAsia="Calibri"/>
          <w:lang w:eastAsia="en-US"/>
        </w:rPr>
        <w:t xml:space="preserve"> (IR3535) is not part of the list  of approved active substances identified as having potential ED properties, it is for the moment not triggered for an early review. </w:t>
      </w:r>
    </w:p>
    <w:p w14:paraId="36F8AC73" w14:textId="77777777" w:rsidR="00DC5E41" w:rsidRDefault="00DC5E41" w:rsidP="00DC5E41">
      <w:pPr>
        <w:rPr>
          <w:rFonts w:eastAsia="Calibri"/>
          <w:lang w:eastAsia="en-US"/>
        </w:rPr>
      </w:pPr>
      <w:r w:rsidRPr="009955AD">
        <w:rPr>
          <w:rFonts w:eastAsia="Calibri"/>
          <w:lang w:eastAsia="en-US"/>
        </w:rPr>
        <w:t>-</w:t>
      </w:r>
      <w:r w:rsidRPr="009955AD">
        <w:rPr>
          <w:rFonts w:eastAsia="Calibri"/>
          <w:lang w:eastAsia="en-US"/>
        </w:rPr>
        <w:tab/>
        <w:t xml:space="preserve">Therefore, BE </w:t>
      </w:r>
      <w:proofErr w:type="spellStart"/>
      <w:r w:rsidRPr="009955AD">
        <w:rPr>
          <w:rFonts w:eastAsia="Calibri"/>
          <w:lang w:eastAsia="en-US"/>
        </w:rPr>
        <w:t>eCA</w:t>
      </w:r>
      <w:proofErr w:type="spellEnd"/>
      <w:r w:rsidRPr="009955AD">
        <w:rPr>
          <w:rFonts w:eastAsia="Calibri"/>
          <w:lang w:eastAsia="en-US"/>
        </w:rPr>
        <w:t xml:space="preserve"> considers that there are no concerns regarding ED properties of ethyl 3-[N-acetyl-N-butyl] </w:t>
      </w:r>
      <w:proofErr w:type="spellStart"/>
      <w:r w:rsidRPr="009955AD">
        <w:rPr>
          <w:rFonts w:eastAsia="Calibri"/>
          <w:lang w:eastAsia="en-US"/>
        </w:rPr>
        <w:t>aminopropionate</w:t>
      </w:r>
      <w:proofErr w:type="spellEnd"/>
      <w:r w:rsidRPr="009955AD">
        <w:rPr>
          <w:rFonts w:eastAsia="Calibri"/>
          <w:lang w:eastAsia="en-US"/>
        </w:rPr>
        <w:t xml:space="preserve"> (IR3535). </w:t>
      </w:r>
    </w:p>
    <w:p w14:paraId="4C7A164E" w14:textId="7F016AD5" w:rsidR="00830954" w:rsidRPr="00830954" w:rsidRDefault="00830954" w:rsidP="004A02EA">
      <w:pPr>
        <w:rPr>
          <w:rFonts w:eastAsia="Calibri"/>
          <w:lang w:eastAsia="en-US"/>
        </w:rPr>
      </w:pPr>
      <w:r w:rsidRPr="00830954">
        <w:rPr>
          <w:rFonts w:eastAsia="Calibri"/>
          <w:lang w:eastAsia="en-US"/>
        </w:rPr>
        <w:t xml:space="preserve"> </w:t>
      </w:r>
    </w:p>
    <w:p w14:paraId="02B68136" w14:textId="77777777" w:rsidR="00830954" w:rsidRPr="00830954" w:rsidRDefault="00830954" w:rsidP="00830954">
      <w:pPr>
        <w:rPr>
          <w:rFonts w:eastAsia="Calibri"/>
          <w:lang w:eastAsia="en-US"/>
        </w:rPr>
      </w:pPr>
    </w:p>
    <w:p w14:paraId="2E87A40C" w14:textId="0EE2B4C6" w:rsidR="00830954" w:rsidRPr="00830954" w:rsidRDefault="00830954" w:rsidP="00830954">
      <w:pPr>
        <w:rPr>
          <w:rFonts w:eastAsia="Calibri"/>
          <w:lang w:eastAsia="en-US"/>
        </w:rPr>
      </w:pPr>
      <w:r w:rsidRPr="00830954">
        <w:rPr>
          <w:rFonts w:eastAsia="Calibri"/>
          <w:lang w:eastAsia="en-US"/>
        </w:rPr>
        <w:t>2.</w:t>
      </w:r>
      <w:r>
        <w:rPr>
          <w:rFonts w:eastAsia="Calibri"/>
          <w:lang w:eastAsia="en-US"/>
        </w:rPr>
        <w:t>2.9.2</w:t>
      </w:r>
      <w:r w:rsidRPr="00830954">
        <w:rPr>
          <w:rFonts w:eastAsia="Calibri"/>
          <w:lang w:eastAsia="en-US"/>
        </w:rPr>
        <w:tab/>
        <w:t xml:space="preserve">Assessment of the ED properties of non-active substances (co-formulants) in </w:t>
      </w:r>
      <w:r>
        <w:rPr>
          <w:lang w:val="en-US" w:eastAsia="en-US"/>
        </w:rPr>
        <w:t>Insect Repellent Lotion IR3535</w:t>
      </w:r>
      <w:r w:rsidRPr="00C8715D">
        <w:rPr>
          <w:vertAlign w:val="superscript"/>
          <w:lang w:val="en-US" w:eastAsia="en-US"/>
        </w:rPr>
        <w:t>®</w:t>
      </w:r>
      <w:r>
        <w:rPr>
          <w:lang w:val="en-US" w:eastAsia="en-US"/>
        </w:rPr>
        <w:t xml:space="preserve"> 1</w:t>
      </w:r>
      <w:r w:rsidRPr="00C903B8">
        <w:rPr>
          <w:lang w:val="en-US" w:eastAsia="en-US"/>
        </w:rPr>
        <w:t>0%</w:t>
      </w:r>
      <w:r w:rsidRPr="00830954">
        <w:rPr>
          <w:rFonts w:eastAsia="Calibri"/>
          <w:lang w:eastAsia="en-US"/>
        </w:rPr>
        <w:t xml:space="preserve">: </w:t>
      </w:r>
    </w:p>
    <w:p w14:paraId="0138DDFF" w14:textId="0F682043" w:rsidR="00830954" w:rsidRDefault="00830954" w:rsidP="003F405A">
      <w:pPr>
        <w:rPr>
          <w:rFonts w:eastAsia="Calibri"/>
          <w:lang w:eastAsia="en-US"/>
        </w:rPr>
      </w:pPr>
      <w:r w:rsidRPr="00830954">
        <w:rPr>
          <w:rFonts w:eastAsia="Calibri"/>
          <w:lang w:eastAsia="en-US"/>
        </w:rPr>
        <w:t>-</w:t>
      </w:r>
      <w:r w:rsidRPr="00830954">
        <w:rPr>
          <w:rFonts w:eastAsia="Calibri"/>
          <w:lang w:eastAsia="en-US"/>
        </w:rPr>
        <w:tab/>
        <w:t xml:space="preserve">After reviewing the potential ED properties of co-formulants (please refer to the Confidential Annex - ED assessment), none of the co-formulants has been identified as having ED properties or are subject to an on-going evaluation or a decision regarding their ED properties. Based on the available information, BE </w:t>
      </w:r>
      <w:proofErr w:type="spellStart"/>
      <w:r w:rsidRPr="00830954">
        <w:rPr>
          <w:rFonts w:eastAsia="Calibri"/>
          <w:lang w:eastAsia="en-US"/>
        </w:rPr>
        <w:t>eCA</w:t>
      </w:r>
      <w:proofErr w:type="spellEnd"/>
      <w:r w:rsidRPr="00830954">
        <w:rPr>
          <w:rFonts w:eastAsia="Calibri"/>
          <w:lang w:eastAsia="en-US"/>
        </w:rPr>
        <w:t xml:space="preserve"> considers that there is no concern regarding the ED properties of these co-formulants.</w:t>
      </w:r>
    </w:p>
    <w:p w14:paraId="28AA605D" w14:textId="70747C6E" w:rsidR="002A1426" w:rsidRDefault="002A1426" w:rsidP="003F405A">
      <w:pPr>
        <w:rPr>
          <w:rFonts w:eastAsia="Calibri"/>
          <w:lang w:eastAsia="en-US"/>
        </w:rPr>
      </w:pPr>
    </w:p>
    <w:p w14:paraId="3FD66D44" w14:textId="0473A48C" w:rsidR="002A1426" w:rsidRPr="003F405A" w:rsidRDefault="002A1426" w:rsidP="003F405A">
      <w:pPr>
        <w:rPr>
          <w:rFonts w:eastAsia="Calibri"/>
          <w:lang w:eastAsia="en-US"/>
        </w:rPr>
      </w:pPr>
    </w:p>
    <w:p w14:paraId="0F28352E" w14:textId="6AED6C37" w:rsidR="002A1426" w:rsidRPr="003F405A" w:rsidRDefault="002A1426" w:rsidP="002A1426">
      <w:pPr>
        <w:jc w:val="both"/>
        <w:rPr>
          <w:rFonts w:cstheme="minorHAnsi"/>
        </w:rPr>
      </w:pPr>
      <w:r w:rsidRPr="003F405A">
        <w:rPr>
          <w:rFonts w:cstheme="minorHAnsi"/>
        </w:rPr>
        <w:t>2.2.9.3</w:t>
      </w:r>
      <w:r w:rsidR="003F405A">
        <w:rPr>
          <w:rFonts w:cstheme="minorHAnsi"/>
        </w:rPr>
        <w:t xml:space="preserve">      </w:t>
      </w:r>
      <w:r w:rsidRPr="003F405A">
        <w:rPr>
          <w:rFonts w:cstheme="minorHAnsi"/>
        </w:rPr>
        <w:t xml:space="preserve"> Overall conclusion on the biocidal product/family regarding ED properties: </w:t>
      </w:r>
    </w:p>
    <w:p w14:paraId="148CEB06" w14:textId="71B181DA" w:rsidR="002A1426" w:rsidRPr="003F405A" w:rsidRDefault="002A1426" w:rsidP="002A1426">
      <w:pPr>
        <w:jc w:val="both"/>
        <w:rPr>
          <w:rFonts w:cstheme="minorHAnsi"/>
        </w:rPr>
      </w:pPr>
      <w:r w:rsidRPr="003F405A">
        <w:rPr>
          <w:rFonts w:cstheme="minorHAnsi"/>
        </w:rPr>
        <w:t xml:space="preserve">Based on the existing knowledge and the data provided by the applicant, there is no indication of concern regarding the ED properties of the substances used in the biocidal product </w:t>
      </w:r>
      <w:r w:rsidRPr="003F405A">
        <w:rPr>
          <w:lang w:val="en-US" w:eastAsia="en-US"/>
        </w:rPr>
        <w:t>Insect Repellent Lotion IR3535</w:t>
      </w:r>
      <w:r w:rsidRPr="003F405A">
        <w:rPr>
          <w:vertAlign w:val="superscript"/>
          <w:lang w:val="en-US" w:eastAsia="en-US"/>
        </w:rPr>
        <w:t>®</w:t>
      </w:r>
      <w:r w:rsidRPr="003F405A">
        <w:rPr>
          <w:lang w:val="en-US" w:eastAsia="en-US"/>
        </w:rPr>
        <w:t xml:space="preserve"> 10%</w:t>
      </w:r>
      <w:r w:rsidRPr="003F405A">
        <w:rPr>
          <w:rFonts w:cstheme="minorHAnsi"/>
        </w:rPr>
        <w:t xml:space="preserve">. </w:t>
      </w:r>
    </w:p>
    <w:p w14:paraId="7D20F954" w14:textId="4E192BCB" w:rsidR="002A1426" w:rsidRPr="003F405A" w:rsidRDefault="002A1426" w:rsidP="002A1426">
      <w:pPr>
        <w:jc w:val="both"/>
        <w:rPr>
          <w:rFonts w:cstheme="minorHAnsi"/>
        </w:rPr>
      </w:pPr>
      <w:r w:rsidRPr="003F405A">
        <w:rPr>
          <w:rFonts w:cstheme="minorHAnsi"/>
        </w:rPr>
        <w:t xml:space="preserve">If one or several components are identified as having ED properties in the future, the conditions for granting the biocidal product authorisation will be revised according to </w:t>
      </w:r>
      <w:r w:rsidRPr="003F405A">
        <w:rPr>
          <w:rFonts w:cstheme="minorHAnsi"/>
          <w:u w:val="single"/>
        </w:rPr>
        <w:t>CA-March18.Doc.7.b-final, section 2.3 (47)</w:t>
      </w:r>
      <w:r w:rsidRPr="003F405A">
        <w:rPr>
          <w:rFonts w:cstheme="minorHAnsi"/>
        </w:rPr>
        <w:t xml:space="preserve">. </w:t>
      </w:r>
    </w:p>
    <w:p w14:paraId="637C33DF" w14:textId="77777777" w:rsidR="002A1426" w:rsidRDefault="002A1426" w:rsidP="003F405A">
      <w:pPr>
        <w:rPr>
          <w:rFonts w:eastAsia="Calibri"/>
          <w:lang w:eastAsia="en-US"/>
        </w:rPr>
      </w:pPr>
    </w:p>
    <w:p w14:paraId="58C4E99F" w14:textId="60F3DAB0" w:rsidR="00830954" w:rsidRDefault="00830954" w:rsidP="003F405A">
      <w:pPr>
        <w:rPr>
          <w:rFonts w:eastAsia="Calibri"/>
          <w:lang w:eastAsia="en-US"/>
        </w:rPr>
      </w:pPr>
    </w:p>
    <w:p w14:paraId="061984E2" w14:textId="68DCEDD3" w:rsidR="00830954" w:rsidRDefault="00830954" w:rsidP="003F405A">
      <w:pPr>
        <w:rPr>
          <w:rFonts w:eastAsia="Calibri"/>
          <w:lang w:eastAsia="en-US"/>
        </w:rPr>
      </w:pPr>
    </w:p>
    <w:p w14:paraId="7E9CB754" w14:textId="1DA4D92B" w:rsidR="00830954" w:rsidRDefault="00830954" w:rsidP="003F405A">
      <w:pPr>
        <w:rPr>
          <w:rFonts w:eastAsia="Calibri"/>
          <w:lang w:eastAsia="en-US"/>
        </w:rPr>
      </w:pPr>
    </w:p>
    <w:p w14:paraId="582BFC0B" w14:textId="4D827922" w:rsidR="00830954" w:rsidRDefault="00830954" w:rsidP="003F405A">
      <w:pPr>
        <w:rPr>
          <w:rFonts w:eastAsia="Calibri"/>
          <w:lang w:eastAsia="en-US"/>
        </w:rPr>
      </w:pPr>
    </w:p>
    <w:p w14:paraId="216DF488" w14:textId="5CB01955" w:rsidR="00830954" w:rsidRDefault="00830954" w:rsidP="003F405A">
      <w:pPr>
        <w:rPr>
          <w:rFonts w:eastAsia="Calibri"/>
          <w:lang w:eastAsia="en-US"/>
        </w:rPr>
      </w:pPr>
    </w:p>
    <w:p w14:paraId="6AC8B2E9" w14:textId="3FBBC2DF" w:rsidR="002D43CA" w:rsidRDefault="002D43CA" w:rsidP="003F405A">
      <w:pPr>
        <w:rPr>
          <w:rFonts w:eastAsia="Calibri"/>
          <w:lang w:eastAsia="en-US"/>
        </w:rPr>
      </w:pPr>
    </w:p>
    <w:p w14:paraId="212FAEAB" w14:textId="0D340E0F" w:rsidR="002D43CA" w:rsidRDefault="002D43CA" w:rsidP="003F405A">
      <w:pPr>
        <w:rPr>
          <w:rFonts w:eastAsia="Calibri"/>
          <w:lang w:eastAsia="en-US"/>
        </w:rPr>
      </w:pPr>
    </w:p>
    <w:p w14:paraId="29B32069" w14:textId="3AC1A8F4" w:rsidR="002D43CA" w:rsidRDefault="002D43CA" w:rsidP="003F405A">
      <w:pPr>
        <w:rPr>
          <w:rFonts w:eastAsia="Calibri"/>
          <w:lang w:eastAsia="en-US"/>
        </w:rPr>
      </w:pPr>
    </w:p>
    <w:p w14:paraId="56432031" w14:textId="66932334" w:rsidR="00830954" w:rsidRDefault="00830954" w:rsidP="003F405A">
      <w:pPr>
        <w:rPr>
          <w:rFonts w:eastAsia="Calibri"/>
          <w:lang w:eastAsia="en-US"/>
        </w:rPr>
      </w:pPr>
    </w:p>
    <w:p w14:paraId="35BA6506" w14:textId="55F5094E" w:rsidR="00830954" w:rsidRDefault="00830954" w:rsidP="003F405A">
      <w:pPr>
        <w:rPr>
          <w:rFonts w:eastAsia="Calibri"/>
          <w:lang w:eastAsia="en-US"/>
        </w:rPr>
      </w:pPr>
    </w:p>
    <w:p w14:paraId="3472CB34" w14:textId="7BD08D56" w:rsidR="00830954" w:rsidRDefault="00830954" w:rsidP="003F405A">
      <w:pPr>
        <w:rPr>
          <w:rFonts w:eastAsia="Calibri"/>
          <w:lang w:eastAsia="en-US"/>
        </w:rPr>
      </w:pPr>
    </w:p>
    <w:p w14:paraId="38DACC94" w14:textId="77777777" w:rsidR="00830954" w:rsidRPr="00830954" w:rsidRDefault="00830954" w:rsidP="003F405A">
      <w:pPr>
        <w:rPr>
          <w:rFonts w:eastAsia="Calibri"/>
          <w:lang w:eastAsia="en-US"/>
        </w:rPr>
      </w:pPr>
    </w:p>
    <w:p w14:paraId="383A68C2" w14:textId="038AE0BC" w:rsidR="00F345FA" w:rsidRDefault="00F345FA" w:rsidP="00F345FA">
      <w:pPr>
        <w:pStyle w:val="Titre3"/>
        <w:rPr>
          <w:rFonts w:eastAsia="Calibri"/>
          <w:lang w:eastAsia="en-US"/>
        </w:rPr>
      </w:pPr>
      <w:bookmarkStart w:id="212" w:name="_Toc12967183"/>
      <w:r>
        <w:rPr>
          <w:rFonts w:eastAsia="Calibri"/>
          <w:lang w:eastAsia="en-US"/>
        </w:rPr>
        <w:t>Risk assessment for the environment</w:t>
      </w:r>
      <w:bookmarkEnd w:id="212"/>
    </w:p>
    <w:p w14:paraId="33D1B31E" w14:textId="77777777" w:rsidR="006A680F" w:rsidRDefault="006A680F" w:rsidP="006A680F">
      <w:pPr>
        <w:rPr>
          <w:rFonts w:eastAsia="Calibri"/>
          <w:lang w:eastAsia="en-US"/>
        </w:rPr>
      </w:pPr>
      <w:r>
        <w:rPr>
          <w:rFonts w:eastAsia="Calibri"/>
          <w:lang w:eastAsia="en-US"/>
        </w:rPr>
        <w:t xml:space="preserve">For the product Insect Repellent </w:t>
      </w:r>
      <w:r w:rsidR="00D73DBA">
        <w:rPr>
          <w:rFonts w:eastAsia="Calibri"/>
          <w:lang w:eastAsia="en-US"/>
        </w:rPr>
        <w:t>Lotion</w:t>
      </w:r>
      <w:r>
        <w:rPr>
          <w:rFonts w:eastAsia="Calibri"/>
          <w:lang w:eastAsia="en-US"/>
        </w:rPr>
        <w:t xml:space="preserve"> IR3535</w:t>
      </w:r>
      <w:r>
        <w:rPr>
          <w:rFonts w:eastAsia="Calibri"/>
          <w:vertAlign w:val="superscript"/>
          <w:lang w:eastAsia="en-US"/>
        </w:rPr>
        <w:t>®</w:t>
      </w:r>
      <w:r>
        <w:rPr>
          <w:rFonts w:eastAsia="Calibri"/>
          <w:lang w:eastAsia="en-US"/>
        </w:rPr>
        <w:t xml:space="preserve"> </w:t>
      </w:r>
      <w:r w:rsidR="00D73DBA">
        <w:rPr>
          <w:rFonts w:eastAsia="Calibri"/>
          <w:lang w:eastAsia="en-US"/>
        </w:rPr>
        <w:t>1</w:t>
      </w:r>
      <w:r>
        <w:rPr>
          <w:rFonts w:eastAsia="Calibri"/>
          <w:lang w:eastAsia="en-US"/>
        </w:rPr>
        <w:t xml:space="preserve">0 % no new studies or additional information for the environment have been provided. The active substance contained in this </w:t>
      </w:r>
      <w:r>
        <w:rPr>
          <w:rFonts w:eastAsia="Calibri"/>
          <w:lang w:eastAsia="en-US"/>
        </w:rPr>
        <w:lastRenderedPageBreak/>
        <w:t>product is the same as evaluated in the CAR for IR3535</w:t>
      </w:r>
      <w:r w:rsidR="00C45200">
        <w:rPr>
          <w:rFonts w:eastAsia="Calibri"/>
          <w:vertAlign w:val="superscript"/>
          <w:lang w:eastAsia="en-US"/>
        </w:rPr>
        <w:t>®</w:t>
      </w:r>
      <w:r>
        <w:rPr>
          <w:rFonts w:eastAsia="Calibri"/>
          <w:lang w:eastAsia="en-US"/>
        </w:rPr>
        <w:t xml:space="preserve"> and therefore no new data/information on the active substance is required.</w:t>
      </w:r>
    </w:p>
    <w:p w14:paraId="0ED15B2C" w14:textId="77777777" w:rsidR="00F345FA" w:rsidRDefault="008B55EC" w:rsidP="008B55EC">
      <w:pPr>
        <w:pStyle w:val="Titre4"/>
      </w:pPr>
      <w:bookmarkStart w:id="213" w:name="_Toc12967184"/>
      <w:r>
        <w:t>Effects assessment on the environment</w:t>
      </w:r>
      <w:bookmarkEnd w:id="213"/>
    </w:p>
    <w:p w14:paraId="10A34F39" w14:textId="77777777" w:rsidR="006A680F" w:rsidRDefault="006A680F" w:rsidP="006A680F">
      <w:pPr>
        <w:rPr>
          <w:rFonts w:eastAsia="Calibri"/>
          <w:lang w:eastAsia="en-US"/>
        </w:rPr>
      </w:pPr>
      <w:r>
        <w:rPr>
          <w:rFonts w:eastAsia="Calibri"/>
          <w:lang w:eastAsia="en-US"/>
        </w:rPr>
        <w:t xml:space="preserve">All data used for the effect assessment of Insect Repellent </w:t>
      </w:r>
      <w:r w:rsidR="00D73DBA">
        <w:rPr>
          <w:rFonts w:eastAsia="Calibri"/>
          <w:lang w:eastAsia="en-US"/>
        </w:rPr>
        <w:t>Lotion</w:t>
      </w:r>
      <w:r>
        <w:rPr>
          <w:rFonts w:eastAsia="Calibri"/>
          <w:lang w:eastAsia="en-US"/>
        </w:rPr>
        <w:t xml:space="preserve"> IR3535</w:t>
      </w:r>
      <w:r>
        <w:rPr>
          <w:rFonts w:eastAsia="Calibri"/>
          <w:vertAlign w:val="superscript"/>
          <w:lang w:eastAsia="en-US"/>
        </w:rPr>
        <w:t>®</w:t>
      </w:r>
      <w:r>
        <w:rPr>
          <w:rFonts w:eastAsia="Calibri"/>
          <w:lang w:eastAsia="en-US"/>
        </w:rPr>
        <w:t xml:space="preserve"> </w:t>
      </w:r>
      <w:r w:rsidR="00D73DBA">
        <w:rPr>
          <w:rFonts w:eastAsia="Calibri"/>
          <w:lang w:eastAsia="en-US"/>
        </w:rPr>
        <w:t>1</w:t>
      </w:r>
      <w:r>
        <w:rPr>
          <w:rFonts w:eastAsia="Calibri"/>
          <w:lang w:eastAsia="en-US"/>
        </w:rPr>
        <w:t>0% is based on the available information on the active substance IR3535</w:t>
      </w:r>
      <w:r w:rsidR="00C45200">
        <w:rPr>
          <w:rFonts w:eastAsia="Calibri"/>
          <w:vertAlign w:val="superscript"/>
          <w:lang w:eastAsia="en-US"/>
        </w:rPr>
        <w:t>®</w:t>
      </w:r>
      <w:r>
        <w:rPr>
          <w:rFonts w:eastAsia="Calibri"/>
          <w:lang w:eastAsia="en-US"/>
        </w:rPr>
        <w:t xml:space="preserve">, such as it is presented in its respective CAR. </w:t>
      </w:r>
    </w:p>
    <w:p w14:paraId="642305F0" w14:textId="77777777" w:rsidR="008B55EC" w:rsidRDefault="006A680F" w:rsidP="008B55EC">
      <w:pPr>
        <w:rPr>
          <w:rFonts w:eastAsia="Calibri"/>
          <w:lang w:eastAsia="en-US"/>
        </w:rPr>
      </w:pPr>
      <w:r>
        <w:rPr>
          <w:rFonts w:eastAsia="Calibri"/>
          <w:lang w:eastAsia="en-US"/>
        </w:rPr>
        <w:t xml:space="preserve">No new data relevant for the environmental evaluation, nor on the product, nor on the active substance, have been submitted. Apart from the active substance, the product does not contain any formulants that are of ecotoxicological concern. </w:t>
      </w:r>
      <w:r>
        <w:rPr>
          <w:rFonts w:eastAsia="Calibri"/>
          <w:lang w:eastAsia="en-US"/>
        </w:rPr>
        <w:br/>
        <w:t>An overview of the environmental fate and behaviour for the active substance, taken from the EU CAR, is presented in the first two titles below.</w:t>
      </w:r>
    </w:p>
    <w:p w14:paraId="2EA7A5ED" w14:textId="77777777" w:rsidR="008E7541" w:rsidRPr="008A3D8E" w:rsidRDefault="008E7541" w:rsidP="008E7541">
      <w:pPr>
        <w:pStyle w:val="Titre5"/>
        <w:numPr>
          <w:ilvl w:val="0"/>
          <w:numId w:val="0"/>
        </w:numPr>
        <w:rPr>
          <w:color w:val="538135" w:themeColor="accent6" w:themeShade="BF"/>
        </w:rPr>
      </w:pPr>
      <w:bookmarkStart w:id="214" w:name="_Toc462646744"/>
      <w:bookmarkStart w:id="215" w:name="_Toc12967185"/>
      <w:r w:rsidRPr="008A3D8E">
        <w:rPr>
          <w:color w:val="538135" w:themeColor="accent6" w:themeShade="BF"/>
        </w:rPr>
        <w:t>Environmental fate and behavior of the active substance</w:t>
      </w:r>
      <w:bookmarkEnd w:id="214"/>
      <w:bookmarkEnd w:id="215"/>
    </w:p>
    <w:p w14:paraId="7095317D" w14:textId="77777777" w:rsidR="006A680F" w:rsidRDefault="006A680F" w:rsidP="006A680F">
      <w:r>
        <w:t>IR3535</w:t>
      </w:r>
      <w:r>
        <w:rPr>
          <w:vertAlign w:val="superscript"/>
        </w:rPr>
        <w:t>®</w:t>
      </w:r>
      <w:r>
        <w:t xml:space="preserve"> is used in insect repellents (PT19) that are applied on uncovered human skin.  Products containing IR3535</w:t>
      </w:r>
      <w:r>
        <w:rPr>
          <w:vertAlign w:val="superscript"/>
        </w:rPr>
        <w:t>®</w:t>
      </w:r>
      <w:r>
        <w:t xml:space="preserve"> will be used indoors and outdoors.  However the main emission pathway to the environment is assumed to be indirect due to bathing and showering of treated people.  Based on the </w:t>
      </w:r>
      <w:proofErr w:type="spellStart"/>
      <w:r>
        <w:t>physico</w:t>
      </w:r>
      <w:proofErr w:type="spellEnd"/>
      <w:r>
        <w:t xml:space="preserve">-chemical properties it is expected that the emissions primarily will affect the aquatic compartment.  </w:t>
      </w:r>
    </w:p>
    <w:p w14:paraId="269871B0" w14:textId="77777777" w:rsidR="006A680F" w:rsidRDefault="006A680F" w:rsidP="006A680F"/>
    <w:p w14:paraId="414E285B" w14:textId="77777777" w:rsidR="006A680F" w:rsidRDefault="006A680F" w:rsidP="006A680F">
      <w:r>
        <w:t>IR3535</w:t>
      </w:r>
      <w:r>
        <w:rPr>
          <w:vertAlign w:val="superscript"/>
        </w:rPr>
        <w:t>®</w:t>
      </w:r>
      <w:r>
        <w:t xml:space="preserve"> is not ready biodegradable according to two screening tests, but in a Sewage Treatment Plant (STP) simulation test 99 % elimination was measured. In an aerobic water/sediment degradation study, IR3535</w:t>
      </w:r>
      <w:r>
        <w:rPr>
          <w:vertAlign w:val="superscript"/>
        </w:rPr>
        <w:sym w:font="Symbol" w:char="F0D2"/>
      </w:r>
      <w:r>
        <w:t xml:space="preserve"> was shown to remain mainly in the water phase. There it was first rapidly degraded to its free acid, after which this metabolite ultimately degraded after a lag phase. </w:t>
      </w:r>
    </w:p>
    <w:p w14:paraId="6E6F0678" w14:textId="77777777" w:rsidR="006A680F" w:rsidRDefault="006A680F" w:rsidP="006A680F"/>
    <w:p w14:paraId="34581A83" w14:textId="77777777" w:rsidR="006A680F" w:rsidRDefault="006A680F" w:rsidP="006A680F">
      <w:r>
        <w:t>No photolysis was observed in water and hydrolysis only occurred slowly under alkaline conditions (DT</w:t>
      </w:r>
      <w:r>
        <w:rPr>
          <w:vertAlign w:val="subscript"/>
        </w:rPr>
        <w:t>50</w:t>
      </w:r>
      <w:r>
        <w:t xml:space="preserve"> = 176.5 h at 25 °C and pH 9 or 866.13 h at 12 °C).  Under acidic and neutral conditions IR3535</w:t>
      </w:r>
      <w:r>
        <w:rPr>
          <w:vertAlign w:val="superscript"/>
        </w:rPr>
        <w:t>®</w:t>
      </w:r>
      <w:r>
        <w:t xml:space="preserve"> is hydrolytically stable.</w:t>
      </w:r>
    </w:p>
    <w:p w14:paraId="32FDE33D" w14:textId="77777777" w:rsidR="006A680F" w:rsidRDefault="006A680F" w:rsidP="006A680F"/>
    <w:p w14:paraId="51037838" w14:textId="77777777" w:rsidR="006A680F" w:rsidRDefault="006A680F" w:rsidP="006A680F">
      <w:r>
        <w:t>The vapour pressure of IR3535</w:t>
      </w:r>
      <w:r>
        <w:rPr>
          <w:vertAlign w:val="superscript"/>
        </w:rPr>
        <w:t>®</w:t>
      </w:r>
      <w:r>
        <w:t xml:space="preserve"> is low (0.15 Pa at 20 °C) which results in low exposure to the atmosphere. The half-life of IR3535</w:t>
      </w:r>
      <w:r>
        <w:rPr>
          <w:vertAlign w:val="superscript"/>
        </w:rPr>
        <w:t>®</w:t>
      </w:r>
      <w:r>
        <w:t xml:space="preserve"> in air was calculated to be about 0.5482 days or 13.16 hours due to reaction with OH-radicals (24-hr day).  Thus, accumulation of IR3535</w:t>
      </w:r>
      <w:r>
        <w:rPr>
          <w:vertAlign w:val="superscript"/>
        </w:rPr>
        <w:t>®</w:t>
      </w:r>
      <w:r>
        <w:t xml:space="preserve"> in air and long range transport is unlikely. </w:t>
      </w:r>
    </w:p>
    <w:p w14:paraId="0D27ED1D" w14:textId="77777777" w:rsidR="006A680F" w:rsidRDefault="006A680F" w:rsidP="006A680F">
      <w:r>
        <w:t xml:space="preserve"> </w:t>
      </w:r>
    </w:p>
    <w:p w14:paraId="4FC0332C" w14:textId="77777777" w:rsidR="006A680F" w:rsidRDefault="006A680F" w:rsidP="006A680F">
      <w:r>
        <w:t>IR3535</w:t>
      </w:r>
      <w:r>
        <w:rPr>
          <w:vertAlign w:val="superscript"/>
        </w:rPr>
        <w:t>®</w:t>
      </w:r>
      <w:r>
        <w:t xml:space="preserve"> is a liquid at room temperature and the solubility in water is 70 g/L (at 20 °C).  The log P</w:t>
      </w:r>
      <w:r>
        <w:rPr>
          <w:vertAlign w:val="subscript"/>
        </w:rPr>
        <w:t>ow</w:t>
      </w:r>
      <w:r>
        <w:t xml:space="preserve"> is 1.7 (at 23-24 °C) indicating that IR3535</w:t>
      </w:r>
      <w:r>
        <w:rPr>
          <w:vertAlign w:val="superscript"/>
        </w:rPr>
        <w:t>®</w:t>
      </w:r>
      <w:r>
        <w:t xml:space="preserve"> has a low potential for bioaccumulation. </w:t>
      </w:r>
    </w:p>
    <w:p w14:paraId="1B77FD52" w14:textId="77777777" w:rsidR="006A680F" w:rsidRDefault="006A680F" w:rsidP="006A680F"/>
    <w:p w14:paraId="653E0090" w14:textId="77777777" w:rsidR="008B55EC" w:rsidRDefault="006A680F" w:rsidP="008B55EC">
      <w:r>
        <w:t xml:space="preserve">Based on the adsorption/desorption test a mean (arithmetic) </w:t>
      </w:r>
      <w:proofErr w:type="spellStart"/>
      <w:r>
        <w:t>K</w:t>
      </w:r>
      <w:r>
        <w:rPr>
          <w:vertAlign w:val="subscript"/>
        </w:rPr>
        <w:t>oc</w:t>
      </w:r>
      <w:proofErr w:type="spellEnd"/>
      <w:r>
        <w:t xml:space="preserve"> form 475.25 L/kg was registered.</w:t>
      </w:r>
    </w:p>
    <w:p w14:paraId="16A882FC" w14:textId="77777777" w:rsidR="006A680F" w:rsidRPr="006A680F" w:rsidRDefault="006A680F" w:rsidP="008B55EC">
      <w:pPr>
        <w:rPr>
          <w:rFonts w:eastAsia="Calibri"/>
          <w:lang w:eastAsia="en-US"/>
        </w:rPr>
      </w:pPr>
    </w:p>
    <w:p w14:paraId="59B5BBE3" w14:textId="77777777" w:rsidR="008E7541" w:rsidRPr="008A3D8E" w:rsidRDefault="008E7541" w:rsidP="008E7541">
      <w:pPr>
        <w:pStyle w:val="Titre5"/>
        <w:numPr>
          <w:ilvl w:val="0"/>
          <w:numId w:val="0"/>
        </w:numPr>
        <w:rPr>
          <w:color w:val="538135" w:themeColor="accent6" w:themeShade="BF"/>
        </w:rPr>
      </w:pPr>
      <w:bookmarkStart w:id="216" w:name="_Toc462646745"/>
      <w:bookmarkStart w:id="217" w:name="_Toc12967186"/>
      <w:r w:rsidRPr="008A3D8E">
        <w:rPr>
          <w:color w:val="538135" w:themeColor="accent6" w:themeShade="BF"/>
        </w:rPr>
        <w:t>Effect assessment of the active substance</w:t>
      </w:r>
      <w:bookmarkEnd w:id="216"/>
      <w:bookmarkEnd w:id="217"/>
    </w:p>
    <w:p w14:paraId="2BF5D21A" w14:textId="77777777" w:rsidR="006A680F" w:rsidRDefault="006A680F" w:rsidP="001C0966">
      <w:r>
        <w:t>No toxic effects where observed during the acute toxicity studies on fish (</w:t>
      </w:r>
      <w:proofErr w:type="spellStart"/>
      <w:r>
        <w:rPr>
          <w:i/>
        </w:rPr>
        <w:t>Brachydanio</w:t>
      </w:r>
      <w:proofErr w:type="spellEnd"/>
      <w:r>
        <w:rPr>
          <w:i/>
        </w:rPr>
        <w:t xml:space="preserve"> rerio</w:t>
      </w:r>
      <w:r>
        <w:t xml:space="preserve">), </w:t>
      </w:r>
      <w:r>
        <w:rPr>
          <w:i/>
        </w:rPr>
        <w:t>Daphnia magna</w:t>
      </w:r>
      <w:r>
        <w:t xml:space="preserve"> and algae (</w:t>
      </w:r>
      <w:proofErr w:type="spellStart"/>
      <w:r>
        <w:rPr>
          <w:i/>
        </w:rPr>
        <w:t>Desmodesmus</w:t>
      </w:r>
      <w:proofErr w:type="spellEnd"/>
      <w:r>
        <w:rPr>
          <w:i/>
        </w:rPr>
        <w:t xml:space="preserve"> </w:t>
      </w:r>
      <w:proofErr w:type="spellStart"/>
      <w:r>
        <w:rPr>
          <w:i/>
        </w:rPr>
        <w:t>subspicatus</w:t>
      </w:r>
      <w:proofErr w:type="spellEnd"/>
      <w:r>
        <w:t>) (LC</w:t>
      </w:r>
      <w:r>
        <w:rPr>
          <w:vertAlign w:val="subscript"/>
        </w:rPr>
        <w:t>50</w:t>
      </w:r>
      <w:r>
        <w:t xml:space="preserve"> &gt;100 mg/L).  Therefore IR3535</w:t>
      </w:r>
      <w:r>
        <w:rPr>
          <w:vertAlign w:val="superscript"/>
        </w:rPr>
        <w:t>®</w:t>
      </w:r>
      <w:r>
        <w:t xml:space="preserve"> is considered as not toxic for the aquatic environment. </w:t>
      </w:r>
    </w:p>
    <w:p w14:paraId="1089F2BC" w14:textId="77777777" w:rsidR="006A680F" w:rsidRDefault="006A680F" w:rsidP="001C0966"/>
    <w:p w14:paraId="1731CE1F" w14:textId="77777777" w:rsidR="006A680F" w:rsidRDefault="006A680F" w:rsidP="001C0966">
      <w:r>
        <w:t>The effect on aerobic biological sewage treatment processes was assessed by determining inhibition of respiration of the micro-organisms present in activated sludge following 3 hours contact.  No inhibitory effect on aquatic microbial activity was registered for IR3535</w:t>
      </w:r>
      <w:r>
        <w:rPr>
          <w:vertAlign w:val="superscript"/>
        </w:rPr>
        <w:t>®</w:t>
      </w:r>
      <w:r>
        <w:t xml:space="preserve"> (EC</w:t>
      </w:r>
      <w:r>
        <w:rPr>
          <w:vertAlign w:val="subscript"/>
        </w:rPr>
        <w:t>50</w:t>
      </w:r>
      <w:r>
        <w:t xml:space="preserve"> &gt; 1000 mg/L).</w:t>
      </w:r>
    </w:p>
    <w:p w14:paraId="6CBD3B19" w14:textId="77777777" w:rsidR="006A680F" w:rsidRDefault="006A680F" w:rsidP="001C0966"/>
    <w:p w14:paraId="329124FF" w14:textId="77777777" w:rsidR="006A680F" w:rsidRDefault="006A680F" w:rsidP="001C0966">
      <w:r>
        <w:lastRenderedPageBreak/>
        <w:t xml:space="preserve">Long term aquatic tests were not required because no acute toxicity was observed for the aquatic environment and the substance is primarily emitted to the STP before reaching the aquatic environment.  Besides the Sewage Treatment Plant (STP) simulation test showed an elimination of 99 % in the STP.  </w:t>
      </w:r>
    </w:p>
    <w:p w14:paraId="0545084E" w14:textId="77777777" w:rsidR="006A680F" w:rsidRDefault="006A680F" w:rsidP="001C0966"/>
    <w:p w14:paraId="445C5E9E" w14:textId="77777777" w:rsidR="006A680F" w:rsidRDefault="006A680F" w:rsidP="001C0966">
      <w:r>
        <w:t xml:space="preserve">No marine species were tested based on the presence of studies performed on freshwater species, all suggesting low toxicity and because no major emissions to the marine environment are expected.  </w:t>
      </w:r>
    </w:p>
    <w:p w14:paraId="26A6BBC7" w14:textId="77777777" w:rsidR="006A680F" w:rsidRDefault="006A680F" w:rsidP="001C0966"/>
    <w:p w14:paraId="657E75BE" w14:textId="77777777" w:rsidR="006A680F" w:rsidRDefault="006A680F" w:rsidP="001C0966">
      <w:r>
        <w:t xml:space="preserve">In the absence of any long-term toxicity endpoints and marine data, the TGD on Risk Assessment prescribes an assessment factor of 1000 for the freshwater environment and 10000 for the marine environment.  </w:t>
      </w:r>
    </w:p>
    <w:p w14:paraId="3F77D98F" w14:textId="77777777" w:rsidR="006A680F" w:rsidRDefault="006A680F" w:rsidP="001C0966"/>
    <w:p w14:paraId="73E20D20" w14:textId="77777777" w:rsidR="006A680F" w:rsidRDefault="006A680F" w:rsidP="001C0966">
      <w:r>
        <w:t xml:space="preserve">For the sediment compartment, there are also no toxicity data available.  The </w:t>
      </w:r>
      <w:proofErr w:type="spellStart"/>
      <w:r>
        <w:t>PNEC</w:t>
      </w:r>
      <w:r>
        <w:rPr>
          <w:vertAlign w:val="subscript"/>
        </w:rPr>
        <w:t>sediment</w:t>
      </w:r>
      <w:proofErr w:type="spellEnd"/>
      <w:r>
        <w:t xml:space="preserve"> was calculated based on equilibrium partitioning method and </w:t>
      </w:r>
      <w:proofErr w:type="spellStart"/>
      <w:r>
        <w:t>PNEC</w:t>
      </w:r>
      <w:r>
        <w:rPr>
          <w:vertAlign w:val="subscript"/>
        </w:rPr>
        <w:t>water</w:t>
      </w:r>
      <w:proofErr w:type="spellEnd"/>
      <w:r>
        <w:t xml:space="preserve">.  </w:t>
      </w:r>
    </w:p>
    <w:p w14:paraId="421E7E15" w14:textId="77777777" w:rsidR="006A680F" w:rsidRDefault="006A680F" w:rsidP="001C0966"/>
    <w:p w14:paraId="26D7D667" w14:textId="77777777" w:rsidR="006A680F" w:rsidRDefault="006A680F" w:rsidP="001C0966">
      <w:r>
        <w:t>No terrestrial toxicity tests were performed for IR3535</w:t>
      </w:r>
      <w:r>
        <w:rPr>
          <w:vertAlign w:val="superscript"/>
        </w:rPr>
        <w:t>®</w:t>
      </w:r>
      <w:r>
        <w:t>.  Due to the method of application directly on the skin only limited and very local emissions to the soil are expected.  IR3535</w:t>
      </w:r>
      <w:r>
        <w:rPr>
          <w:vertAlign w:val="superscript"/>
        </w:rPr>
        <w:t>®</w:t>
      </w:r>
      <w:r>
        <w:t xml:space="preserve"> is not likely to become accumulated in the soil in large amounts.  </w:t>
      </w:r>
      <w:proofErr w:type="spellStart"/>
      <w:r>
        <w:t>PNEC</w:t>
      </w:r>
      <w:r>
        <w:rPr>
          <w:vertAlign w:val="subscript"/>
        </w:rPr>
        <w:t>soil</w:t>
      </w:r>
      <w:proofErr w:type="spellEnd"/>
      <w:r>
        <w:t xml:space="preserve"> has been calculated based on the equilibrium partitioning method.  </w:t>
      </w:r>
    </w:p>
    <w:p w14:paraId="4149010A" w14:textId="77777777" w:rsidR="006A680F" w:rsidRDefault="006A680F" w:rsidP="001C0966"/>
    <w:p w14:paraId="28B9AB62" w14:textId="77777777" w:rsidR="006A680F" w:rsidRDefault="006A680F" w:rsidP="001C0966">
      <w:r>
        <w:t>The physicochemical properties of IR3535</w:t>
      </w:r>
      <w:r>
        <w:rPr>
          <w:vertAlign w:val="superscript"/>
        </w:rPr>
        <w:t>®</w:t>
      </w:r>
      <w:r>
        <w:t xml:space="preserve"> do not suggest that this substance will pose a risk to the atmospheric environment.  Therefore no PNECs where calculated for this compartment. </w:t>
      </w:r>
    </w:p>
    <w:p w14:paraId="75F0A4C4" w14:textId="77777777" w:rsidR="006A680F" w:rsidRDefault="006A680F" w:rsidP="001C0966"/>
    <w:p w14:paraId="2BEDEF10" w14:textId="77777777" w:rsidR="006A680F" w:rsidRDefault="006A680F" w:rsidP="001C0966">
      <w:r>
        <w:t>The low BCF values suggest that IR3535</w:t>
      </w:r>
      <w:r>
        <w:rPr>
          <w:vertAlign w:val="superscript"/>
        </w:rPr>
        <w:t>®</w:t>
      </w:r>
      <w:r>
        <w:t xml:space="preserve"> has a low bioaccumulation potential. Therefore the risk of secondary poisoning via ingestion of contaminated food (</w:t>
      </w:r>
      <w:proofErr w:type="spellStart"/>
      <w:r>
        <w:t>eg.</w:t>
      </w:r>
      <w:proofErr w:type="spellEnd"/>
      <w:r>
        <w:t xml:space="preserve"> earthworms or fish) by birds or mammals is also low and no avi</w:t>
      </w:r>
      <w:r w:rsidR="001C0966">
        <w:t>an dietary tests were required.</w:t>
      </w:r>
    </w:p>
    <w:p w14:paraId="61F8F607" w14:textId="77777777" w:rsidR="006A680F" w:rsidRDefault="006A680F" w:rsidP="006A680F"/>
    <w:tbl>
      <w:tblPr>
        <w:tblW w:w="0" w:type="auto"/>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790"/>
        <w:gridCol w:w="4540"/>
      </w:tblGrid>
      <w:tr w:rsidR="006A680F" w:rsidRPr="004947C2" w14:paraId="45B07AC3" w14:textId="77777777" w:rsidTr="006A680F">
        <w:tc>
          <w:tcPr>
            <w:tcW w:w="9330" w:type="dxa"/>
            <w:gridSpan w:val="2"/>
            <w:tcBorders>
              <w:top w:val="single" w:sz="4" w:space="0" w:color="auto"/>
              <w:left w:val="single" w:sz="4" w:space="0" w:color="auto"/>
              <w:bottom w:val="single" w:sz="4" w:space="0" w:color="auto"/>
              <w:right w:val="single" w:sz="6" w:space="0" w:color="auto"/>
            </w:tcBorders>
            <w:shd w:val="clear" w:color="auto" w:fill="FFFFCC"/>
            <w:hideMark/>
          </w:tcPr>
          <w:p w14:paraId="270353BE" w14:textId="77777777" w:rsidR="006A680F" w:rsidRPr="004947C2" w:rsidRDefault="006A680F" w:rsidP="004947C2">
            <w:pPr>
              <w:pStyle w:val="Standaard-Tabellen"/>
              <w:rPr>
                <w:rFonts w:eastAsia="Calibri"/>
                <w:b/>
                <w:lang w:val="en-US"/>
              </w:rPr>
            </w:pPr>
            <w:r w:rsidRPr="004947C2">
              <w:rPr>
                <w:rFonts w:eastAsia="Calibri"/>
                <w:b/>
                <w:lang w:val="en-US"/>
              </w:rPr>
              <w:t>Summary of PNEC values for the active substance</w:t>
            </w:r>
          </w:p>
        </w:tc>
      </w:tr>
      <w:tr w:rsidR="006A680F" w:rsidRPr="004947C2" w14:paraId="068F075B" w14:textId="77777777" w:rsidTr="004947C2">
        <w:tc>
          <w:tcPr>
            <w:tcW w:w="4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626368" w14:textId="77777777" w:rsidR="006A680F" w:rsidRPr="004947C2" w:rsidRDefault="006A680F" w:rsidP="004947C2">
            <w:pPr>
              <w:pStyle w:val="Standaard-Tabellen"/>
              <w:rPr>
                <w:rFonts w:eastAsia="Calibri"/>
                <w:b/>
                <w:lang w:val="en-US" w:eastAsia="en-US"/>
              </w:rPr>
            </w:pPr>
            <w:r w:rsidRPr="004947C2">
              <w:rPr>
                <w:rFonts w:eastAsia="Calibri"/>
                <w:b/>
                <w:lang w:val="en-US" w:eastAsia="en-US"/>
              </w:rPr>
              <w:t>Compartment</w:t>
            </w:r>
          </w:p>
        </w:tc>
        <w:tc>
          <w:tcPr>
            <w:tcW w:w="4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8C5B15" w14:textId="77777777" w:rsidR="006A680F" w:rsidRPr="004947C2" w:rsidRDefault="006A680F" w:rsidP="004947C2">
            <w:pPr>
              <w:pStyle w:val="Standaard-Tabellen"/>
              <w:rPr>
                <w:rFonts w:eastAsia="Calibri"/>
                <w:b/>
                <w:lang w:eastAsia="en-US"/>
              </w:rPr>
            </w:pPr>
            <w:r w:rsidRPr="004947C2">
              <w:rPr>
                <w:rFonts w:eastAsia="Calibri"/>
                <w:b/>
                <w:lang w:eastAsia="en-US"/>
              </w:rPr>
              <w:t>PNEC value</w:t>
            </w:r>
          </w:p>
        </w:tc>
      </w:tr>
      <w:tr w:rsidR="006A680F" w14:paraId="0DDC80AF" w14:textId="77777777" w:rsidTr="006A680F">
        <w:tc>
          <w:tcPr>
            <w:tcW w:w="4790" w:type="dxa"/>
            <w:tcBorders>
              <w:top w:val="single" w:sz="4" w:space="0" w:color="auto"/>
              <w:left w:val="single" w:sz="4" w:space="0" w:color="auto"/>
              <w:bottom w:val="single" w:sz="4" w:space="0" w:color="auto"/>
              <w:right w:val="single" w:sz="4" w:space="0" w:color="auto"/>
            </w:tcBorders>
            <w:vAlign w:val="center"/>
            <w:hideMark/>
          </w:tcPr>
          <w:p w14:paraId="3819CF8D" w14:textId="77777777" w:rsidR="006A680F" w:rsidRDefault="006A680F" w:rsidP="004947C2">
            <w:pPr>
              <w:pStyle w:val="Standaard-Tabellen"/>
              <w:rPr>
                <w:rFonts w:eastAsia="Calibri"/>
                <w:lang w:val="en-US" w:eastAsia="en-US"/>
              </w:rPr>
            </w:pPr>
            <w:proofErr w:type="spellStart"/>
            <w:r>
              <w:t>PNEC</w:t>
            </w:r>
            <w:r>
              <w:rPr>
                <w:vertAlign w:val="subscript"/>
              </w:rPr>
              <w:t>aquatic</w:t>
            </w:r>
            <w:proofErr w:type="spellEnd"/>
          </w:p>
        </w:tc>
        <w:tc>
          <w:tcPr>
            <w:tcW w:w="4540" w:type="dxa"/>
            <w:tcBorders>
              <w:top w:val="single" w:sz="4" w:space="0" w:color="auto"/>
              <w:left w:val="single" w:sz="4" w:space="0" w:color="auto"/>
              <w:bottom w:val="single" w:sz="4" w:space="0" w:color="auto"/>
              <w:right w:val="single" w:sz="4" w:space="0" w:color="auto"/>
            </w:tcBorders>
            <w:vAlign w:val="center"/>
            <w:hideMark/>
          </w:tcPr>
          <w:p w14:paraId="513C357B" w14:textId="77777777" w:rsidR="006A680F" w:rsidRDefault="006A680F" w:rsidP="004947C2">
            <w:pPr>
              <w:pStyle w:val="Standaard-Tabellen"/>
              <w:rPr>
                <w:rFonts w:eastAsia="Calibri"/>
                <w:lang w:eastAsia="en-US"/>
              </w:rPr>
            </w:pPr>
            <w:r>
              <w:t>&gt; 0.1 mg/l</w:t>
            </w:r>
          </w:p>
        </w:tc>
      </w:tr>
      <w:tr w:rsidR="006A680F" w14:paraId="0331A34C" w14:textId="77777777" w:rsidTr="006A680F">
        <w:tc>
          <w:tcPr>
            <w:tcW w:w="4790" w:type="dxa"/>
            <w:tcBorders>
              <w:top w:val="single" w:sz="4" w:space="0" w:color="auto"/>
              <w:left w:val="single" w:sz="4" w:space="0" w:color="auto"/>
              <w:bottom w:val="single" w:sz="4" w:space="0" w:color="auto"/>
              <w:right w:val="single" w:sz="4" w:space="0" w:color="auto"/>
            </w:tcBorders>
            <w:vAlign w:val="center"/>
            <w:hideMark/>
          </w:tcPr>
          <w:p w14:paraId="5F417A9C" w14:textId="77777777" w:rsidR="006A680F" w:rsidRDefault="006A680F" w:rsidP="004947C2">
            <w:pPr>
              <w:pStyle w:val="Standaard-Tabellen"/>
              <w:rPr>
                <w:rFonts w:eastAsia="Calibri"/>
                <w:lang w:val="en-US" w:eastAsia="en-US"/>
              </w:rPr>
            </w:pPr>
            <w:proofErr w:type="spellStart"/>
            <w:r>
              <w:t>PNEC</w:t>
            </w:r>
            <w:r>
              <w:rPr>
                <w:vertAlign w:val="subscript"/>
              </w:rPr>
              <w:t>sediment</w:t>
            </w:r>
            <w:proofErr w:type="spellEnd"/>
          </w:p>
        </w:tc>
        <w:tc>
          <w:tcPr>
            <w:tcW w:w="4540" w:type="dxa"/>
            <w:tcBorders>
              <w:top w:val="single" w:sz="4" w:space="0" w:color="auto"/>
              <w:left w:val="single" w:sz="4" w:space="0" w:color="auto"/>
              <w:bottom w:val="single" w:sz="4" w:space="0" w:color="auto"/>
              <w:right w:val="single" w:sz="4" w:space="0" w:color="auto"/>
            </w:tcBorders>
            <w:vAlign w:val="center"/>
            <w:hideMark/>
          </w:tcPr>
          <w:p w14:paraId="6E09A5FC" w14:textId="77777777" w:rsidR="006A680F" w:rsidRDefault="006A680F" w:rsidP="004947C2">
            <w:pPr>
              <w:pStyle w:val="Standaard-Tabellen"/>
              <w:rPr>
                <w:rFonts w:eastAsia="Calibri"/>
                <w:lang w:eastAsia="en-US"/>
              </w:rPr>
            </w:pPr>
            <w:r>
              <w:t xml:space="preserve">&gt; 1.11 mg/kg </w:t>
            </w:r>
            <w:proofErr w:type="spellStart"/>
            <w:r>
              <w:t>wwt</w:t>
            </w:r>
            <w:proofErr w:type="spellEnd"/>
          </w:p>
        </w:tc>
      </w:tr>
      <w:tr w:rsidR="006A680F" w14:paraId="11B3AEE5" w14:textId="77777777" w:rsidTr="006A680F">
        <w:tc>
          <w:tcPr>
            <w:tcW w:w="4790" w:type="dxa"/>
            <w:tcBorders>
              <w:top w:val="single" w:sz="4" w:space="0" w:color="auto"/>
              <w:left w:val="single" w:sz="4" w:space="0" w:color="auto"/>
              <w:bottom w:val="single" w:sz="4" w:space="0" w:color="auto"/>
              <w:right w:val="single" w:sz="4" w:space="0" w:color="auto"/>
            </w:tcBorders>
            <w:vAlign w:val="center"/>
            <w:hideMark/>
          </w:tcPr>
          <w:p w14:paraId="225239B5" w14:textId="77777777" w:rsidR="006A680F" w:rsidRDefault="006A680F" w:rsidP="004947C2">
            <w:pPr>
              <w:pStyle w:val="Standaard-Tabellen"/>
              <w:rPr>
                <w:rFonts w:eastAsia="Calibri"/>
                <w:lang w:val="en-US" w:eastAsia="en-US"/>
              </w:rPr>
            </w:pPr>
            <w:proofErr w:type="spellStart"/>
            <w:r>
              <w:t>PNEC</w:t>
            </w:r>
            <w:r>
              <w:rPr>
                <w:vertAlign w:val="subscript"/>
              </w:rPr>
              <w:t>micro</w:t>
            </w:r>
            <w:proofErr w:type="spellEnd"/>
            <w:r>
              <w:rPr>
                <w:vertAlign w:val="subscript"/>
              </w:rPr>
              <w:t>-organisms (STP)</w:t>
            </w:r>
          </w:p>
        </w:tc>
        <w:tc>
          <w:tcPr>
            <w:tcW w:w="4540" w:type="dxa"/>
            <w:tcBorders>
              <w:top w:val="single" w:sz="4" w:space="0" w:color="auto"/>
              <w:left w:val="single" w:sz="4" w:space="0" w:color="auto"/>
              <w:bottom w:val="single" w:sz="4" w:space="0" w:color="auto"/>
              <w:right w:val="single" w:sz="4" w:space="0" w:color="auto"/>
            </w:tcBorders>
            <w:vAlign w:val="center"/>
            <w:hideMark/>
          </w:tcPr>
          <w:p w14:paraId="477C96D8" w14:textId="77777777" w:rsidR="006A680F" w:rsidRDefault="006A680F" w:rsidP="004947C2">
            <w:pPr>
              <w:pStyle w:val="Standaard-Tabellen"/>
              <w:rPr>
                <w:rFonts w:eastAsia="Calibri"/>
                <w:lang w:eastAsia="en-US"/>
              </w:rPr>
            </w:pPr>
            <w:r>
              <w:t>100 mg/l</w:t>
            </w:r>
          </w:p>
        </w:tc>
      </w:tr>
      <w:tr w:rsidR="006A680F" w14:paraId="45B77F12" w14:textId="77777777" w:rsidTr="006A680F">
        <w:tc>
          <w:tcPr>
            <w:tcW w:w="4790" w:type="dxa"/>
            <w:tcBorders>
              <w:top w:val="single" w:sz="4" w:space="0" w:color="auto"/>
              <w:left w:val="single" w:sz="4" w:space="0" w:color="auto"/>
              <w:bottom w:val="single" w:sz="4" w:space="0" w:color="auto"/>
              <w:right w:val="single" w:sz="4" w:space="0" w:color="auto"/>
            </w:tcBorders>
            <w:vAlign w:val="center"/>
            <w:hideMark/>
          </w:tcPr>
          <w:p w14:paraId="3549332D" w14:textId="77777777" w:rsidR="006A680F" w:rsidRDefault="006A680F" w:rsidP="004947C2">
            <w:pPr>
              <w:pStyle w:val="Standaard-Tabellen"/>
              <w:rPr>
                <w:rFonts w:eastAsia="Calibri"/>
                <w:lang w:val="en-US" w:eastAsia="en-US"/>
              </w:rPr>
            </w:pPr>
            <w:proofErr w:type="spellStart"/>
            <w:r>
              <w:t>PNEC</w:t>
            </w:r>
            <w:r>
              <w:rPr>
                <w:vertAlign w:val="subscript"/>
              </w:rPr>
              <w:t>soil</w:t>
            </w:r>
            <w:proofErr w:type="spellEnd"/>
          </w:p>
        </w:tc>
        <w:tc>
          <w:tcPr>
            <w:tcW w:w="4540" w:type="dxa"/>
            <w:tcBorders>
              <w:top w:val="single" w:sz="4" w:space="0" w:color="auto"/>
              <w:left w:val="single" w:sz="4" w:space="0" w:color="auto"/>
              <w:bottom w:val="single" w:sz="4" w:space="0" w:color="auto"/>
              <w:right w:val="single" w:sz="4" w:space="0" w:color="auto"/>
            </w:tcBorders>
            <w:vAlign w:val="center"/>
            <w:hideMark/>
          </w:tcPr>
          <w:p w14:paraId="543D10BA" w14:textId="77777777" w:rsidR="006A680F" w:rsidRDefault="006A680F" w:rsidP="004947C2">
            <w:pPr>
              <w:pStyle w:val="Standaard-Tabellen"/>
              <w:rPr>
                <w:rFonts w:eastAsia="Calibri"/>
                <w:lang w:eastAsia="en-US"/>
              </w:rPr>
            </w:pPr>
            <w:r>
              <w:t xml:space="preserve">&gt; 0.85 mg/kg </w:t>
            </w:r>
            <w:proofErr w:type="spellStart"/>
            <w:r>
              <w:t>wwt</w:t>
            </w:r>
            <w:proofErr w:type="spellEnd"/>
          </w:p>
        </w:tc>
      </w:tr>
      <w:tr w:rsidR="006A680F" w14:paraId="7C84B6AA" w14:textId="77777777" w:rsidTr="006A680F">
        <w:tc>
          <w:tcPr>
            <w:tcW w:w="4790" w:type="dxa"/>
            <w:tcBorders>
              <w:top w:val="single" w:sz="4" w:space="0" w:color="auto"/>
              <w:left w:val="single" w:sz="4" w:space="0" w:color="auto"/>
              <w:bottom w:val="single" w:sz="4" w:space="0" w:color="auto"/>
              <w:right w:val="single" w:sz="4" w:space="0" w:color="auto"/>
            </w:tcBorders>
            <w:vAlign w:val="center"/>
            <w:hideMark/>
          </w:tcPr>
          <w:p w14:paraId="2B92A4AA" w14:textId="77777777" w:rsidR="006A680F" w:rsidRDefault="006A680F" w:rsidP="004947C2">
            <w:pPr>
              <w:pStyle w:val="Standaard-Tabellen"/>
              <w:rPr>
                <w:rFonts w:eastAsia="Calibri"/>
                <w:vertAlign w:val="subscript"/>
                <w:lang w:val="en-US" w:eastAsia="en-US"/>
              </w:rPr>
            </w:pPr>
            <w:proofErr w:type="spellStart"/>
            <w:r>
              <w:t>PNEC</w:t>
            </w:r>
            <w:r>
              <w:rPr>
                <w:vertAlign w:val="subscript"/>
              </w:rPr>
              <w:t>saltwater</w:t>
            </w:r>
            <w:proofErr w:type="spellEnd"/>
          </w:p>
        </w:tc>
        <w:tc>
          <w:tcPr>
            <w:tcW w:w="4540" w:type="dxa"/>
            <w:tcBorders>
              <w:top w:val="single" w:sz="4" w:space="0" w:color="auto"/>
              <w:left w:val="single" w:sz="4" w:space="0" w:color="auto"/>
              <w:bottom w:val="single" w:sz="4" w:space="0" w:color="auto"/>
              <w:right w:val="single" w:sz="4" w:space="0" w:color="auto"/>
            </w:tcBorders>
            <w:vAlign w:val="center"/>
            <w:hideMark/>
          </w:tcPr>
          <w:p w14:paraId="33C3E068" w14:textId="77777777" w:rsidR="006A680F" w:rsidRDefault="006A680F" w:rsidP="004947C2">
            <w:pPr>
              <w:pStyle w:val="Standaard-Tabellen"/>
              <w:rPr>
                <w:rFonts w:eastAsia="Calibri"/>
                <w:lang w:eastAsia="en-US"/>
              </w:rPr>
            </w:pPr>
            <w:r>
              <w:t>&gt; 0.01 mg/l</w:t>
            </w:r>
          </w:p>
        </w:tc>
      </w:tr>
      <w:tr w:rsidR="006A680F" w14:paraId="50C50E0E" w14:textId="77777777" w:rsidTr="006A680F">
        <w:tc>
          <w:tcPr>
            <w:tcW w:w="4790" w:type="dxa"/>
            <w:tcBorders>
              <w:top w:val="single" w:sz="4" w:space="0" w:color="auto"/>
              <w:left w:val="single" w:sz="4" w:space="0" w:color="auto"/>
              <w:bottom w:val="single" w:sz="4" w:space="0" w:color="auto"/>
              <w:right w:val="single" w:sz="4" w:space="0" w:color="auto"/>
            </w:tcBorders>
            <w:vAlign w:val="center"/>
            <w:hideMark/>
          </w:tcPr>
          <w:p w14:paraId="0A60A381" w14:textId="77777777" w:rsidR="006A680F" w:rsidRDefault="006A680F" w:rsidP="004947C2">
            <w:pPr>
              <w:pStyle w:val="Standaard-Tabellen"/>
              <w:rPr>
                <w:rFonts w:eastAsia="Calibri"/>
                <w:lang w:val="en-US" w:eastAsia="en-US"/>
              </w:rPr>
            </w:pPr>
            <w:proofErr w:type="spellStart"/>
            <w:r>
              <w:t>PNEC</w:t>
            </w:r>
            <w:r>
              <w:rPr>
                <w:vertAlign w:val="subscript"/>
              </w:rPr>
              <w:t>marine</w:t>
            </w:r>
            <w:proofErr w:type="spellEnd"/>
            <w:r>
              <w:rPr>
                <w:vertAlign w:val="subscript"/>
              </w:rPr>
              <w:t>-sediment</w:t>
            </w:r>
          </w:p>
        </w:tc>
        <w:tc>
          <w:tcPr>
            <w:tcW w:w="4540" w:type="dxa"/>
            <w:tcBorders>
              <w:top w:val="single" w:sz="4" w:space="0" w:color="auto"/>
              <w:left w:val="single" w:sz="4" w:space="0" w:color="auto"/>
              <w:bottom w:val="single" w:sz="4" w:space="0" w:color="auto"/>
              <w:right w:val="single" w:sz="4" w:space="0" w:color="auto"/>
            </w:tcBorders>
            <w:vAlign w:val="center"/>
            <w:hideMark/>
          </w:tcPr>
          <w:p w14:paraId="386D3633" w14:textId="77777777" w:rsidR="006A680F" w:rsidRDefault="006A680F" w:rsidP="004947C2">
            <w:pPr>
              <w:pStyle w:val="Standaard-Tabellen"/>
              <w:rPr>
                <w:rFonts w:eastAsia="Calibri"/>
                <w:lang w:eastAsia="en-US"/>
              </w:rPr>
            </w:pPr>
            <w:r>
              <w:t xml:space="preserve">&gt; 0.111 mg/kg </w:t>
            </w:r>
            <w:proofErr w:type="spellStart"/>
            <w:r>
              <w:t>wwt</w:t>
            </w:r>
            <w:proofErr w:type="spellEnd"/>
          </w:p>
        </w:tc>
      </w:tr>
    </w:tbl>
    <w:p w14:paraId="32B90C86" w14:textId="77777777" w:rsidR="004947C2" w:rsidRDefault="004947C2" w:rsidP="004947C2">
      <w:bookmarkStart w:id="218" w:name="_Toc389729099"/>
      <w:bookmarkStart w:id="219" w:name="_Toc403472784"/>
    </w:p>
    <w:p w14:paraId="00223791" w14:textId="77777777" w:rsidR="00DF2E29" w:rsidRPr="00FD2055" w:rsidRDefault="00DF2E29" w:rsidP="007E5F71">
      <w:pPr>
        <w:pStyle w:val="Titre5"/>
        <w:numPr>
          <w:ilvl w:val="0"/>
          <w:numId w:val="4"/>
        </w:numPr>
      </w:pPr>
      <w:bookmarkStart w:id="220" w:name="_Toc12967187"/>
      <w:r w:rsidRPr="00FD2055">
        <w:t>Information relating to the ecotoxicity of the biocidal product which is sufficient to enable a decision to be made concerning the classification of the product is required</w:t>
      </w:r>
      <w:bookmarkEnd w:id="218"/>
      <w:bookmarkEnd w:id="219"/>
      <w:bookmarkEnd w:id="220"/>
    </w:p>
    <w:p w14:paraId="3BBA62B5" w14:textId="77777777" w:rsidR="001C0966" w:rsidRDefault="001C0966" w:rsidP="001C0966">
      <w:pPr>
        <w:rPr>
          <w:rFonts w:eastAsia="Calibri"/>
          <w:lang w:eastAsia="en-US"/>
        </w:rPr>
      </w:pPr>
      <w:r>
        <w:rPr>
          <w:rFonts w:eastAsia="Calibri"/>
          <w:lang w:eastAsia="en-US"/>
        </w:rPr>
        <w:t>The product does not contain any substance at such a concentration that it has an effect on the environmental classification of the product. No additional information on the biocidal product is required.</w:t>
      </w:r>
    </w:p>
    <w:p w14:paraId="4235A920" w14:textId="77777777" w:rsidR="00E56D9B" w:rsidRDefault="00E56D9B" w:rsidP="001C0966">
      <w:pPr>
        <w:rPr>
          <w:rFonts w:eastAsia="Calibri"/>
          <w:lang w:eastAsia="en-US"/>
        </w:rPr>
      </w:pPr>
    </w:p>
    <w:p w14:paraId="02156116" w14:textId="77777777" w:rsidR="00E56D9B" w:rsidRDefault="00E56D9B" w:rsidP="001C0966">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99"/>
      </w:tblGrid>
      <w:tr w:rsidR="00E56D9B" w:rsidRPr="00BD2EF1" w14:paraId="6198DED8" w14:textId="77777777" w:rsidTr="006B7D13">
        <w:tc>
          <w:tcPr>
            <w:tcW w:w="5000" w:type="pct"/>
            <w:tcBorders>
              <w:top w:val="single" w:sz="4" w:space="0" w:color="auto"/>
              <w:left w:val="single" w:sz="4" w:space="0" w:color="auto"/>
              <w:bottom w:val="single" w:sz="6" w:space="0" w:color="auto"/>
              <w:right w:val="single" w:sz="6" w:space="0" w:color="auto"/>
            </w:tcBorders>
            <w:shd w:val="clear" w:color="auto" w:fill="CCFFCC"/>
          </w:tcPr>
          <w:p w14:paraId="18AA8ABB" w14:textId="77777777" w:rsidR="00E56D9B" w:rsidRPr="00DA0346" w:rsidRDefault="00E56D9B" w:rsidP="006B7D13">
            <w:pPr>
              <w:rPr>
                <w:rFonts w:eastAsia="Calibri"/>
                <w:b/>
              </w:rPr>
            </w:pPr>
            <w:r w:rsidRPr="00DA0346">
              <w:rPr>
                <w:rFonts w:eastAsia="Calibri"/>
                <w:b/>
              </w:rPr>
              <w:t xml:space="preserve">Conclusion on the </w:t>
            </w:r>
            <w:r>
              <w:rPr>
                <w:rFonts w:eastAsia="Calibri"/>
                <w:b/>
              </w:rPr>
              <w:t>environmental classification and labelling</w:t>
            </w:r>
            <w:r w:rsidRPr="00DA0346">
              <w:rPr>
                <w:rFonts w:eastAsia="Calibri"/>
                <w:b/>
              </w:rPr>
              <w:t xml:space="preserve"> of the product</w:t>
            </w:r>
          </w:p>
        </w:tc>
      </w:tr>
      <w:tr w:rsidR="00E56D9B" w:rsidRPr="00BD2EF1" w14:paraId="540AED12" w14:textId="77777777" w:rsidTr="006B7D13">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0A9FAE5" w14:textId="77777777" w:rsidR="00E56D9B" w:rsidRPr="00BD2EF1" w:rsidRDefault="00E56D9B" w:rsidP="006B7D13">
            <w:pPr>
              <w:rPr>
                <w:rFonts w:eastAsia="Calibri"/>
              </w:rPr>
            </w:pPr>
            <w:r>
              <w:rPr>
                <w:rFonts w:eastAsia="Calibri"/>
                <w:lang w:eastAsia="en-US"/>
              </w:rPr>
              <w:t>Insect Repellent Lotion IR3535</w:t>
            </w:r>
            <w:r w:rsidRPr="0092067B">
              <w:rPr>
                <w:rFonts w:eastAsia="Calibri"/>
                <w:vertAlign w:val="superscript"/>
                <w:lang w:eastAsia="en-US"/>
              </w:rPr>
              <w:t>®</w:t>
            </w:r>
            <w:r>
              <w:rPr>
                <w:rFonts w:eastAsia="Calibri"/>
                <w:lang w:eastAsia="en-US"/>
              </w:rPr>
              <w:t xml:space="preserve"> 10% does not require any environmental classification or labelling. </w:t>
            </w:r>
          </w:p>
        </w:tc>
      </w:tr>
    </w:tbl>
    <w:p w14:paraId="093A325B" w14:textId="77777777" w:rsidR="00E56D9B" w:rsidRDefault="00E56D9B" w:rsidP="001C0966">
      <w:pPr>
        <w:rPr>
          <w:rFonts w:eastAsia="Calibri"/>
          <w:lang w:eastAsia="en-US"/>
        </w:rPr>
      </w:pPr>
    </w:p>
    <w:p w14:paraId="786999F6" w14:textId="77777777" w:rsidR="008A3D8E" w:rsidRPr="00FD2055" w:rsidRDefault="008A3D8E" w:rsidP="007E5F71">
      <w:pPr>
        <w:pStyle w:val="Titre5"/>
      </w:pPr>
      <w:bookmarkStart w:id="221" w:name="_Toc389729100"/>
      <w:bookmarkStart w:id="222" w:name="_Toc403472785"/>
      <w:bookmarkStart w:id="223" w:name="_Toc12967188"/>
      <w:r w:rsidRPr="00FD2055">
        <w:lastRenderedPageBreak/>
        <w:t>Further Ecotoxicological studies</w:t>
      </w:r>
      <w:bookmarkEnd w:id="221"/>
      <w:bookmarkEnd w:id="222"/>
      <w:bookmarkEnd w:id="223"/>
    </w:p>
    <w:p w14:paraId="0644634A" w14:textId="77777777" w:rsidR="001C0966" w:rsidRDefault="001C0966" w:rsidP="001C0966">
      <w:pPr>
        <w:rPr>
          <w:rFonts w:eastAsia="Calibri"/>
          <w:lang w:eastAsia="en-US"/>
        </w:rPr>
      </w:pPr>
      <w:r>
        <w:rPr>
          <w:rFonts w:eastAsia="Calibri"/>
          <w:lang w:eastAsia="en-US"/>
        </w:rPr>
        <w:t>The assessment of the active substance in the CAR showed that there is no concern for the aquatic and terrestrial environment and thus no further ecotoxicological studies are required according to the CAR.</w:t>
      </w:r>
    </w:p>
    <w:p w14:paraId="08A1B72C" w14:textId="77777777" w:rsidR="001C0966" w:rsidRDefault="001C0966" w:rsidP="001C0966">
      <w:pPr>
        <w:rPr>
          <w:rFonts w:eastAsia="Calibri"/>
          <w:lang w:eastAsia="en-US"/>
        </w:rPr>
      </w:pPr>
    </w:p>
    <w:p w14:paraId="3EFCC9AF" w14:textId="77777777" w:rsidR="001C0966" w:rsidRDefault="001C0966" w:rsidP="001C0966">
      <w:pPr>
        <w:rPr>
          <w:rFonts w:eastAsia="Calibri"/>
          <w:lang w:eastAsia="en-US"/>
        </w:rPr>
      </w:pPr>
      <w:r>
        <w:rPr>
          <w:rFonts w:eastAsia="Calibri"/>
          <w:lang w:eastAsia="en-US"/>
        </w:rPr>
        <w:t>For this particular product, there is no direct exposure to the environment and the product does not contain formulants other than the active substance that could be of ecotoxicological concern, thus the data on the active substance are sufficient for the evaluation of the ecotoxicological effects of the biocidal product.</w:t>
      </w:r>
    </w:p>
    <w:p w14:paraId="02D208FB" w14:textId="77777777" w:rsidR="008A3D8E" w:rsidRPr="008E7541" w:rsidRDefault="008A3D8E" w:rsidP="007E5F71">
      <w:pPr>
        <w:pStyle w:val="Titre5"/>
        <w:rPr>
          <w:color w:val="595959" w:themeColor="text1" w:themeTint="A6"/>
        </w:rPr>
      </w:pPr>
      <w:bookmarkStart w:id="224" w:name="_Toc389729101"/>
      <w:bookmarkStart w:id="225" w:name="_Toc403472786"/>
      <w:bookmarkStart w:id="226" w:name="_Toc12967189"/>
      <w:r w:rsidRPr="008E7541">
        <w:rPr>
          <w:color w:val="595959" w:themeColor="text1" w:themeTint="A6"/>
        </w:rPr>
        <w:t>Effects on any other specific, non-target organisms (flora and fauna) believed to be at risk (ADS)</w:t>
      </w:r>
      <w:bookmarkEnd w:id="224"/>
      <w:bookmarkEnd w:id="225"/>
      <w:bookmarkEnd w:id="226"/>
    </w:p>
    <w:p w14:paraId="4EAF46D2" w14:textId="77777777" w:rsidR="008A3D8E" w:rsidRPr="00FD2055" w:rsidRDefault="001C0966" w:rsidP="00F86B42">
      <w:pPr>
        <w:rPr>
          <w:rFonts w:eastAsia="Calibri"/>
          <w:lang w:eastAsia="en-US"/>
        </w:rPr>
      </w:pPr>
      <w:r>
        <w:rPr>
          <w:rFonts w:eastAsia="Calibri"/>
          <w:lang w:eastAsia="en-US"/>
        </w:rPr>
        <w:t>No further data is available.</w:t>
      </w:r>
    </w:p>
    <w:p w14:paraId="353CC4A1" w14:textId="77777777" w:rsidR="008A3D8E" w:rsidRPr="00FD2055" w:rsidRDefault="008A3D8E" w:rsidP="007E5F71">
      <w:pPr>
        <w:pStyle w:val="Titre5"/>
      </w:pPr>
      <w:bookmarkStart w:id="227" w:name="_Toc389729102"/>
      <w:bookmarkStart w:id="228" w:name="_Toc403472787"/>
      <w:bookmarkStart w:id="229" w:name="_Toc12967190"/>
      <w:r w:rsidRPr="00FD2055">
        <w:t>Supervised trials to assess risks to non-target organisms under field conditions</w:t>
      </w:r>
      <w:bookmarkEnd w:id="227"/>
      <w:bookmarkEnd w:id="228"/>
      <w:bookmarkEnd w:id="229"/>
    </w:p>
    <w:p w14:paraId="775012E7" w14:textId="77777777" w:rsidR="001C0966" w:rsidRDefault="001C0966" w:rsidP="001C0966">
      <w:pPr>
        <w:rPr>
          <w:rFonts w:eastAsia="Calibri"/>
          <w:lang w:eastAsia="en-US"/>
        </w:rPr>
      </w:pPr>
      <w:bookmarkStart w:id="230" w:name="_Toc389729103"/>
      <w:bookmarkStart w:id="231" w:name="_Toc403472788"/>
      <w:r>
        <w:rPr>
          <w:rFonts w:eastAsia="Calibri"/>
          <w:lang w:eastAsia="en-US"/>
        </w:rPr>
        <w:t>The product is not in the form of bait or granules, so nonesuch data is required.</w:t>
      </w:r>
    </w:p>
    <w:p w14:paraId="55F20D85" w14:textId="77777777" w:rsidR="008A3D8E" w:rsidRPr="00FD2055" w:rsidRDefault="008A3D8E" w:rsidP="007E5F71">
      <w:pPr>
        <w:pStyle w:val="Titre5"/>
      </w:pPr>
      <w:bookmarkStart w:id="232" w:name="_Toc12967191"/>
      <w:r w:rsidRPr="00FD2055">
        <w:t>Studies on acceptance by ingestion of the biocidal product by any non-target organisms thought to be at risk</w:t>
      </w:r>
      <w:bookmarkEnd w:id="230"/>
      <w:bookmarkEnd w:id="231"/>
      <w:bookmarkEnd w:id="232"/>
    </w:p>
    <w:p w14:paraId="41FD8CD8" w14:textId="77777777" w:rsidR="001C0966" w:rsidRDefault="001C0966" w:rsidP="001C0966">
      <w:pPr>
        <w:rPr>
          <w:rFonts w:eastAsia="Calibri"/>
          <w:lang w:eastAsia="en-US"/>
        </w:rPr>
      </w:pPr>
      <w:bookmarkStart w:id="233" w:name="_Toc389729104"/>
      <w:bookmarkStart w:id="234" w:name="_Toc403472789"/>
      <w:r>
        <w:rPr>
          <w:rFonts w:eastAsia="Calibri"/>
          <w:lang w:eastAsia="en-US"/>
        </w:rPr>
        <w:t>The product is not in the form of bait or granules, so nonesuch data is required.</w:t>
      </w:r>
    </w:p>
    <w:p w14:paraId="37111907" w14:textId="77777777" w:rsidR="008A3D8E" w:rsidRPr="008E7541" w:rsidRDefault="008A3D8E" w:rsidP="007E5F71">
      <w:pPr>
        <w:pStyle w:val="Titre5"/>
        <w:rPr>
          <w:color w:val="595959" w:themeColor="text1" w:themeTint="A6"/>
        </w:rPr>
      </w:pPr>
      <w:bookmarkStart w:id="235" w:name="_Toc12967192"/>
      <w:r w:rsidRPr="008E7541">
        <w:rPr>
          <w:color w:val="595959" w:themeColor="text1" w:themeTint="A6"/>
        </w:rPr>
        <w:t>Secondary ecological effect e.g. when a large proportion of a specific habitat type is treated (ADS)</w:t>
      </w:r>
      <w:bookmarkEnd w:id="233"/>
      <w:bookmarkEnd w:id="234"/>
      <w:bookmarkEnd w:id="235"/>
    </w:p>
    <w:p w14:paraId="25FA043A" w14:textId="77777777" w:rsidR="008A3D8E" w:rsidRPr="00FD2055" w:rsidRDefault="001C0966" w:rsidP="0074364C">
      <w:pPr>
        <w:rPr>
          <w:rFonts w:eastAsia="Calibri"/>
          <w:lang w:eastAsia="en-US"/>
        </w:rPr>
      </w:pPr>
      <w:r>
        <w:rPr>
          <w:rFonts w:eastAsia="Calibri"/>
          <w:lang w:eastAsia="en-US"/>
        </w:rPr>
        <w:t>Not relevant.</w:t>
      </w:r>
    </w:p>
    <w:p w14:paraId="0380E104" w14:textId="77777777" w:rsidR="008A3D8E" w:rsidRPr="00FD2055" w:rsidRDefault="008A3D8E" w:rsidP="007E5F71">
      <w:pPr>
        <w:pStyle w:val="Titre5"/>
      </w:pPr>
      <w:bookmarkStart w:id="236" w:name="_Toc389729105"/>
      <w:bookmarkStart w:id="237" w:name="_Toc403472790"/>
      <w:bookmarkStart w:id="238" w:name="_Toc12967193"/>
      <w:r w:rsidRPr="00FD2055">
        <w:t>Foreseeable routes of entry into the environment on the basis of the use envisaged</w:t>
      </w:r>
      <w:bookmarkEnd w:id="236"/>
      <w:bookmarkEnd w:id="237"/>
      <w:bookmarkEnd w:id="238"/>
    </w:p>
    <w:p w14:paraId="024515EC" w14:textId="77777777" w:rsidR="001C0966" w:rsidRDefault="001C0966" w:rsidP="001C0966">
      <w:pPr>
        <w:rPr>
          <w:rFonts w:eastAsia="Calibri"/>
          <w:lang w:eastAsia="en-US"/>
        </w:rPr>
      </w:pPr>
      <w:bookmarkStart w:id="239" w:name="_Toc389729106"/>
      <w:bookmarkStart w:id="240" w:name="_Toc403472791"/>
      <w:r>
        <w:rPr>
          <w:rFonts w:eastAsia="Calibri"/>
          <w:lang w:eastAsia="en-US"/>
        </w:rPr>
        <w:t>The foreseeable routes of entry into the environment have been described in the CAR for the active substance and are also valid for this product.</w:t>
      </w:r>
    </w:p>
    <w:p w14:paraId="2F66AC71" w14:textId="3ED23579" w:rsidR="001C0966" w:rsidRDefault="001C0966" w:rsidP="001C0966">
      <w:pPr>
        <w:rPr>
          <w:rFonts w:eastAsia="Calibri"/>
          <w:lang w:eastAsia="en-US"/>
        </w:rPr>
      </w:pPr>
      <w:r>
        <w:rPr>
          <w:rFonts w:eastAsia="Calibri"/>
          <w:lang w:eastAsia="en-US"/>
        </w:rPr>
        <w:t>Direct release to soil is not considered relevant, whereas direct release to surface water (swimming lake scenario) is considered relevant</w:t>
      </w:r>
      <w:r w:rsidR="00414873">
        <w:rPr>
          <w:rFonts w:eastAsia="Calibri"/>
          <w:lang w:eastAsia="en-US"/>
        </w:rPr>
        <w:t xml:space="preserve"> and is assessed in this PAR</w:t>
      </w:r>
      <w:r>
        <w:rPr>
          <w:rFonts w:eastAsia="Calibri"/>
          <w:lang w:eastAsia="en-US"/>
        </w:rPr>
        <w:t>, but was not yet assessed in the CAR due to the lack of an endor</w:t>
      </w:r>
      <w:r w:rsidR="001B62F3">
        <w:rPr>
          <w:rFonts w:eastAsia="Calibri"/>
          <w:lang w:eastAsia="en-US"/>
        </w:rPr>
        <w:t>s</w:t>
      </w:r>
      <w:r>
        <w:rPr>
          <w:rFonts w:eastAsia="Calibri"/>
          <w:lang w:eastAsia="en-US"/>
        </w:rPr>
        <w:t xml:space="preserve">ed scenario. </w:t>
      </w:r>
      <w:r w:rsidR="00B97B9E">
        <w:rPr>
          <w:rFonts w:eastAsia="Calibri"/>
          <w:lang w:eastAsia="en-US"/>
        </w:rPr>
        <w:t xml:space="preserve">The </w:t>
      </w:r>
      <w:r w:rsidR="00B97B9E" w:rsidRPr="00F7680E">
        <w:rPr>
          <w:rFonts w:eastAsia="Calibri"/>
          <w:lang w:eastAsia="en-US"/>
        </w:rPr>
        <w:t>em</w:t>
      </w:r>
      <w:r w:rsidR="00B97B9E">
        <w:rPr>
          <w:rFonts w:eastAsia="Calibri"/>
          <w:lang w:eastAsia="en-US"/>
        </w:rPr>
        <w:t>ission to swimming water is</w:t>
      </w:r>
      <w:r w:rsidR="00B97B9E" w:rsidRPr="00F7680E">
        <w:rPr>
          <w:rFonts w:eastAsia="Calibri"/>
          <w:lang w:eastAsia="en-US"/>
        </w:rPr>
        <w:t xml:space="preserve"> an important emission route</w:t>
      </w:r>
      <w:r w:rsidR="00B97B9E">
        <w:rPr>
          <w:rFonts w:eastAsia="Calibri"/>
          <w:lang w:eastAsia="en-US"/>
        </w:rPr>
        <w:t>.</w:t>
      </w:r>
    </w:p>
    <w:p w14:paraId="10F23D41" w14:textId="77777777" w:rsidR="001C0966" w:rsidRDefault="001C0966" w:rsidP="001C0966">
      <w:pPr>
        <w:rPr>
          <w:rFonts w:eastAsia="Calibri"/>
          <w:lang w:eastAsia="en-US"/>
        </w:rPr>
      </w:pPr>
      <w:r>
        <w:rPr>
          <w:rFonts w:eastAsia="Calibri"/>
          <w:lang w:eastAsia="en-US"/>
        </w:rPr>
        <w:t>Secondary release via wastewater and STP through showering and bathing is also a relevant route of emission.</w:t>
      </w:r>
    </w:p>
    <w:p w14:paraId="382494B2" w14:textId="77777777" w:rsidR="008A3D8E" w:rsidRPr="008E7541" w:rsidRDefault="008A3D8E" w:rsidP="007E5F71">
      <w:pPr>
        <w:pStyle w:val="Titre5"/>
        <w:rPr>
          <w:color w:val="595959" w:themeColor="text1" w:themeTint="A6"/>
        </w:rPr>
      </w:pPr>
      <w:bookmarkStart w:id="241" w:name="_Toc12967194"/>
      <w:r w:rsidRPr="008E7541">
        <w:rPr>
          <w:color w:val="595959" w:themeColor="text1" w:themeTint="A6"/>
        </w:rPr>
        <w:t xml:space="preserve">Further studies on fate and </w:t>
      </w:r>
      <w:proofErr w:type="spellStart"/>
      <w:r w:rsidRPr="008E7541">
        <w:rPr>
          <w:color w:val="595959" w:themeColor="text1" w:themeTint="A6"/>
        </w:rPr>
        <w:t>behaviour</w:t>
      </w:r>
      <w:proofErr w:type="spellEnd"/>
      <w:r w:rsidRPr="008E7541">
        <w:rPr>
          <w:color w:val="595959" w:themeColor="text1" w:themeTint="A6"/>
        </w:rPr>
        <w:t xml:space="preserve"> in the environment (ADS)</w:t>
      </w:r>
      <w:bookmarkEnd w:id="239"/>
      <w:bookmarkEnd w:id="240"/>
      <w:bookmarkEnd w:id="241"/>
    </w:p>
    <w:p w14:paraId="6E693F56" w14:textId="77777777" w:rsidR="001C0966" w:rsidRDefault="001C0966" w:rsidP="001C0966">
      <w:pPr>
        <w:rPr>
          <w:rFonts w:eastAsia="Calibri"/>
          <w:lang w:eastAsia="en-US"/>
        </w:rPr>
      </w:pPr>
      <w:bookmarkStart w:id="242" w:name="_Toc388285334"/>
      <w:bookmarkStart w:id="243" w:name="_Toc388374383"/>
      <w:bookmarkStart w:id="244" w:name="_Toc388285335"/>
      <w:bookmarkStart w:id="245" w:name="_Toc388374384"/>
      <w:bookmarkStart w:id="246" w:name="_Toc389729107"/>
      <w:bookmarkStart w:id="247" w:name="_Toc403472792"/>
      <w:bookmarkEnd w:id="242"/>
      <w:bookmarkEnd w:id="243"/>
      <w:bookmarkEnd w:id="244"/>
      <w:bookmarkEnd w:id="245"/>
      <w:r>
        <w:rPr>
          <w:rFonts w:eastAsia="Calibri"/>
          <w:lang w:eastAsia="en-US"/>
        </w:rPr>
        <w:t>No new data was submitted or is required. Information on the active substance suffices for the environmental risk assessment of the product. Moreover, the product does not contain any other substances relevant for the environment apart from the active substance.</w:t>
      </w:r>
    </w:p>
    <w:p w14:paraId="56AFBBCE" w14:textId="77777777" w:rsidR="008A3D8E" w:rsidRPr="008E7541" w:rsidRDefault="008A3D8E" w:rsidP="007E5F71">
      <w:pPr>
        <w:pStyle w:val="Titre5"/>
        <w:rPr>
          <w:color w:val="595959" w:themeColor="text1" w:themeTint="A6"/>
        </w:rPr>
      </w:pPr>
      <w:bookmarkStart w:id="248" w:name="_Toc12967195"/>
      <w:r w:rsidRPr="008E7541">
        <w:rPr>
          <w:color w:val="595959" w:themeColor="text1" w:themeTint="A6"/>
        </w:rPr>
        <w:t xml:space="preserve">Leaching </w:t>
      </w:r>
      <w:proofErr w:type="spellStart"/>
      <w:r w:rsidRPr="008E7541">
        <w:rPr>
          <w:color w:val="595959" w:themeColor="text1" w:themeTint="A6"/>
        </w:rPr>
        <w:t>behaviour</w:t>
      </w:r>
      <w:proofErr w:type="spellEnd"/>
      <w:r w:rsidRPr="008E7541">
        <w:rPr>
          <w:color w:val="595959" w:themeColor="text1" w:themeTint="A6"/>
        </w:rPr>
        <w:t xml:space="preserve"> (ADS)</w:t>
      </w:r>
      <w:bookmarkEnd w:id="246"/>
      <w:bookmarkEnd w:id="247"/>
      <w:bookmarkEnd w:id="248"/>
    </w:p>
    <w:p w14:paraId="2EC4A787" w14:textId="77777777" w:rsidR="001C0966" w:rsidRDefault="001C0966" w:rsidP="001C0966">
      <w:pPr>
        <w:rPr>
          <w:rFonts w:eastAsia="Calibri"/>
          <w:lang w:eastAsia="en-US"/>
        </w:rPr>
      </w:pPr>
      <w:bookmarkStart w:id="249" w:name="_Toc389729108"/>
      <w:bookmarkStart w:id="250" w:name="_Toc403472793"/>
      <w:r>
        <w:rPr>
          <w:rFonts w:eastAsia="Calibri"/>
          <w:lang w:eastAsia="en-US"/>
        </w:rPr>
        <w:t>Not relevant.</w:t>
      </w:r>
    </w:p>
    <w:p w14:paraId="495BA9C7" w14:textId="77777777" w:rsidR="008A3D8E" w:rsidRPr="008E7541" w:rsidRDefault="008A3D8E" w:rsidP="007E5F71">
      <w:pPr>
        <w:pStyle w:val="Titre5"/>
        <w:rPr>
          <w:color w:val="595959" w:themeColor="text1" w:themeTint="A6"/>
        </w:rPr>
      </w:pPr>
      <w:bookmarkStart w:id="251" w:name="_Toc12967196"/>
      <w:r w:rsidRPr="008E7541">
        <w:rPr>
          <w:color w:val="595959" w:themeColor="text1" w:themeTint="A6"/>
        </w:rPr>
        <w:lastRenderedPageBreak/>
        <w:t>Testing for distribution and dissipation in soil (ADS)</w:t>
      </w:r>
      <w:bookmarkEnd w:id="249"/>
      <w:bookmarkEnd w:id="250"/>
      <w:bookmarkEnd w:id="251"/>
    </w:p>
    <w:p w14:paraId="5C8D18EC" w14:textId="77777777" w:rsidR="001C0966" w:rsidRDefault="001C0966" w:rsidP="001C0966">
      <w:bookmarkStart w:id="252" w:name="_Toc389729109"/>
      <w:bookmarkStart w:id="253" w:name="_Toc403472794"/>
      <w:r>
        <w:t>Since there is no direct release to soil and the soil compartment is not envisioned as a compartment of interest in the evaluation of this product, none such additional data is submitted or required.</w:t>
      </w:r>
    </w:p>
    <w:p w14:paraId="2C020993" w14:textId="77777777" w:rsidR="008A3D8E" w:rsidRPr="008E7541" w:rsidRDefault="008A3D8E" w:rsidP="007E5F71">
      <w:pPr>
        <w:pStyle w:val="Titre5"/>
        <w:rPr>
          <w:color w:val="595959" w:themeColor="text1" w:themeTint="A6"/>
        </w:rPr>
      </w:pPr>
      <w:bookmarkStart w:id="254" w:name="_Toc12967197"/>
      <w:r w:rsidRPr="008E7541">
        <w:rPr>
          <w:color w:val="595959" w:themeColor="text1" w:themeTint="A6"/>
        </w:rPr>
        <w:t>Testing for distribution and dissipation in water and sediment (ADS)</w:t>
      </w:r>
      <w:bookmarkEnd w:id="252"/>
      <w:bookmarkEnd w:id="253"/>
      <w:bookmarkEnd w:id="254"/>
    </w:p>
    <w:p w14:paraId="65361F32" w14:textId="77777777" w:rsidR="001C0966" w:rsidRDefault="001C0966" w:rsidP="001C0966">
      <w:pPr>
        <w:rPr>
          <w:rFonts w:eastAsia="Calibri"/>
          <w:lang w:eastAsia="en-US"/>
        </w:rPr>
      </w:pPr>
      <w:r>
        <w:rPr>
          <w:rFonts w:eastAsia="Calibri"/>
          <w:lang w:eastAsia="en-US"/>
        </w:rPr>
        <w:t>No new data was submitted or is required.</w:t>
      </w:r>
      <w:bookmarkStart w:id="255" w:name="_Toc389729110"/>
      <w:bookmarkStart w:id="256" w:name="_Toc403472795"/>
    </w:p>
    <w:p w14:paraId="6857B65A" w14:textId="77777777" w:rsidR="008A3D8E" w:rsidRPr="008E7541" w:rsidRDefault="001C0966" w:rsidP="007E5F71">
      <w:pPr>
        <w:pStyle w:val="Titre5"/>
        <w:rPr>
          <w:color w:val="595959" w:themeColor="text1" w:themeTint="A6"/>
        </w:rPr>
      </w:pPr>
      <w:r w:rsidRPr="008E7541">
        <w:rPr>
          <w:color w:val="595959" w:themeColor="text1" w:themeTint="A6"/>
        </w:rPr>
        <w:t xml:space="preserve"> </w:t>
      </w:r>
      <w:bookmarkStart w:id="257" w:name="_Toc12967198"/>
      <w:r w:rsidR="008A3D8E" w:rsidRPr="008E7541">
        <w:rPr>
          <w:color w:val="595959" w:themeColor="text1" w:themeTint="A6"/>
        </w:rPr>
        <w:t>Testing for distribution and dissipation in air (ADS)</w:t>
      </w:r>
      <w:bookmarkEnd w:id="255"/>
      <w:bookmarkEnd w:id="256"/>
      <w:bookmarkEnd w:id="257"/>
    </w:p>
    <w:p w14:paraId="07FB77D6" w14:textId="77777777" w:rsidR="001C0966" w:rsidRDefault="001C0966" w:rsidP="001C0966">
      <w:pPr>
        <w:rPr>
          <w:rFonts w:eastAsia="Calibri"/>
          <w:lang w:eastAsia="en-US"/>
        </w:rPr>
      </w:pPr>
      <w:r>
        <w:rPr>
          <w:rFonts w:eastAsia="Calibri"/>
          <w:lang w:eastAsia="en-US"/>
        </w:rPr>
        <w:t>No new data was submitted or is required.</w:t>
      </w:r>
    </w:p>
    <w:p w14:paraId="5530F7C0" w14:textId="77777777" w:rsidR="007747FA" w:rsidRPr="008E7541" w:rsidRDefault="007747FA" w:rsidP="007E5F71">
      <w:pPr>
        <w:pStyle w:val="Titre5"/>
        <w:rPr>
          <w:color w:val="595959" w:themeColor="text1" w:themeTint="A6"/>
        </w:rPr>
      </w:pPr>
      <w:bookmarkStart w:id="258" w:name="_Toc387250869"/>
      <w:bookmarkStart w:id="259" w:name="_Toc388374389"/>
      <w:bookmarkStart w:id="260" w:name="_Toc388610091"/>
      <w:bookmarkStart w:id="261" w:name="_Toc388625125"/>
      <w:bookmarkStart w:id="262" w:name="_Toc388625379"/>
      <w:bookmarkStart w:id="263" w:name="_Toc388633780"/>
      <w:bookmarkStart w:id="264" w:name="_Toc389725272"/>
      <w:bookmarkStart w:id="265" w:name="_Toc12967199"/>
      <w:bookmarkEnd w:id="258"/>
      <w:bookmarkEnd w:id="259"/>
      <w:bookmarkEnd w:id="260"/>
      <w:bookmarkEnd w:id="261"/>
      <w:bookmarkEnd w:id="262"/>
      <w:bookmarkEnd w:id="263"/>
      <w:bookmarkEnd w:id="264"/>
      <w:r w:rsidRPr="008E7541">
        <w:rPr>
          <w:color w:val="595959" w:themeColor="text1" w:themeTint="A6"/>
        </w:rPr>
        <w:t>If the biocidal product is to be sprayed near to surface waters then an overspray study may be required to assess risks to aquatic organisms or plants under field conditions (ADS)</w:t>
      </w:r>
      <w:bookmarkEnd w:id="265"/>
    </w:p>
    <w:p w14:paraId="529D64A1" w14:textId="77777777" w:rsidR="001C0966" w:rsidRDefault="001C0966" w:rsidP="001C0966">
      <w:pPr>
        <w:rPr>
          <w:rFonts w:eastAsia="Calibri"/>
          <w:lang w:eastAsia="en-US"/>
        </w:rPr>
      </w:pPr>
      <w:r>
        <w:rPr>
          <w:rFonts w:eastAsia="Calibri"/>
          <w:lang w:eastAsia="en-US"/>
        </w:rPr>
        <w:t>No new data was submitted or is required.</w:t>
      </w:r>
    </w:p>
    <w:p w14:paraId="7B2A5332" w14:textId="77777777" w:rsidR="007747FA" w:rsidRPr="008E7541" w:rsidRDefault="007747FA" w:rsidP="007E5F71">
      <w:pPr>
        <w:pStyle w:val="Titre5"/>
        <w:rPr>
          <w:color w:val="595959" w:themeColor="text1" w:themeTint="A6"/>
        </w:rPr>
      </w:pPr>
      <w:bookmarkStart w:id="266" w:name="_Toc388285341"/>
      <w:bookmarkStart w:id="267" w:name="_Toc388374391"/>
      <w:bookmarkStart w:id="268" w:name="_Toc388285342"/>
      <w:bookmarkStart w:id="269" w:name="_Toc388374392"/>
      <w:bookmarkStart w:id="270" w:name="_Toc389729112"/>
      <w:bookmarkStart w:id="271" w:name="_Toc403472797"/>
      <w:bookmarkStart w:id="272" w:name="_Toc12967200"/>
      <w:bookmarkEnd w:id="266"/>
      <w:bookmarkEnd w:id="267"/>
      <w:bookmarkEnd w:id="268"/>
      <w:bookmarkEnd w:id="269"/>
      <w:r w:rsidRPr="008E7541">
        <w:rPr>
          <w:color w:val="595959" w:themeColor="text1" w:themeTint="A6"/>
        </w:rPr>
        <w:t xml:space="preserve">If the biocidal product is to be sprayed outside or if potential for large scale formation of dust is given then data on overspray </w:t>
      </w:r>
      <w:proofErr w:type="spellStart"/>
      <w:r w:rsidRPr="008E7541">
        <w:rPr>
          <w:color w:val="595959" w:themeColor="text1" w:themeTint="A6"/>
        </w:rPr>
        <w:t>behaviour</w:t>
      </w:r>
      <w:proofErr w:type="spellEnd"/>
      <w:r w:rsidRPr="008E7541">
        <w:rPr>
          <w:color w:val="595959" w:themeColor="text1" w:themeTint="A6"/>
        </w:rPr>
        <w:t xml:space="preserve"> may be required to assess risks to bees and non-target arthropods under field conditions (ADS)</w:t>
      </w:r>
      <w:bookmarkEnd w:id="270"/>
      <w:bookmarkEnd w:id="271"/>
      <w:bookmarkEnd w:id="272"/>
    </w:p>
    <w:p w14:paraId="21C695C9" w14:textId="77777777" w:rsidR="001C0966" w:rsidRDefault="001C0966" w:rsidP="001C0966">
      <w:pPr>
        <w:rPr>
          <w:rFonts w:eastAsia="Calibri"/>
          <w:lang w:eastAsia="en-US"/>
        </w:rPr>
      </w:pPr>
      <w:bookmarkStart w:id="273" w:name="_Toc388374394"/>
      <w:bookmarkEnd w:id="273"/>
      <w:r>
        <w:rPr>
          <w:rFonts w:eastAsia="Calibri"/>
          <w:lang w:eastAsia="en-US"/>
        </w:rPr>
        <w:t>No new data was submitted or is required.</w:t>
      </w:r>
    </w:p>
    <w:p w14:paraId="5A6CF3CB" w14:textId="77777777" w:rsidR="001C0966" w:rsidRDefault="001C0966" w:rsidP="001C0966">
      <w:pPr>
        <w:rPr>
          <w:rFonts w:eastAsia="Calibri"/>
          <w:lang w:eastAsia="en-US"/>
        </w:rPr>
      </w:pPr>
    </w:p>
    <w:p w14:paraId="20D1A04B" w14:textId="77777777" w:rsidR="00D230A9" w:rsidRDefault="00D230A9">
      <w:pPr>
        <w:spacing w:before="0" w:after="160" w:line="259" w:lineRule="auto"/>
        <w:rPr>
          <w:rFonts w:eastAsia="Calibri"/>
          <w:lang w:eastAsia="en-US"/>
        </w:rPr>
      </w:pPr>
      <w:r>
        <w:rPr>
          <w:rFonts w:eastAsia="Calibri"/>
          <w:lang w:eastAsia="en-US"/>
        </w:rPr>
        <w:br w:type="page"/>
      </w:r>
    </w:p>
    <w:p w14:paraId="24FF2627" w14:textId="77777777" w:rsidR="007A7C32" w:rsidRDefault="007A7C32" w:rsidP="007A7C32">
      <w:pPr>
        <w:pStyle w:val="Titre4"/>
      </w:pPr>
      <w:bookmarkStart w:id="274" w:name="_Toc12967201"/>
      <w:r>
        <w:lastRenderedPageBreak/>
        <w:t>Exposure assessment</w:t>
      </w:r>
      <w:bookmarkEnd w:id="274"/>
    </w:p>
    <w:p w14:paraId="6B6775E4" w14:textId="77777777" w:rsidR="007A7C32" w:rsidRPr="00FD2055" w:rsidRDefault="007A7C32" w:rsidP="007E5F71">
      <w:pPr>
        <w:pStyle w:val="Titre5"/>
        <w:numPr>
          <w:ilvl w:val="0"/>
          <w:numId w:val="5"/>
        </w:numPr>
      </w:pPr>
      <w:bookmarkStart w:id="275" w:name="_Toc12967202"/>
      <w:r w:rsidRPr="00FD2055">
        <w:t>General information</w:t>
      </w:r>
      <w:bookmarkEnd w:id="27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13"/>
      </w:tblGrid>
      <w:tr w:rsidR="00425EF7" w14:paraId="279EE037" w14:textId="77777777" w:rsidTr="00425EF7">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7B228FDB" w14:textId="77777777" w:rsidR="00425EF7" w:rsidRDefault="00425EF7" w:rsidP="00425EF7">
            <w:pPr>
              <w:rPr>
                <w:rFonts w:eastAsia="Calibri"/>
                <w:lang w:eastAsia="en-US"/>
              </w:rPr>
            </w:pPr>
            <w:r>
              <w:rPr>
                <w:rFonts w:eastAsia="Calibri"/>
                <w:lang w:eastAsia="en-US"/>
              </w:rPr>
              <w:t>Assessed PT</w:t>
            </w:r>
          </w:p>
        </w:tc>
        <w:tc>
          <w:tcPr>
            <w:tcW w:w="6413" w:type="dxa"/>
            <w:tcBorders>
              <w:top w:val="single" w:sz="4" w:space="0" w:color="auto"/>
              <w:left w:val="single" w:sz="4" w:space="0" w:color="auto"/>
              <w:bottom w:val="single" w:sz="4" w:space="0" w:color="auto"/>
              <w:right w:val="single" w:sz="4" w:space="0" w:color="auto"/>
            </w:tcBorders>
            <w:hideMark/>
          </w:tcPr>
          <w:p w14:paraId="77F5B147" w14:textId="77777777" w:rsidR="00425EF7" w:rsidRDefault="00425EF7" w:rsidP="00425EF7">
            <w:pPr>
              <w:rPr>
                <w:rFonts w:eastAsia="Calibri"/>
                <w:lang w:eastAsia="en-US"/>
              </w:rPr>
            </w:pPr>
            <w:r>
              <w:rPr>
                <w:rFonts w:eastAsia="Calibri"/>
                <w:lang w:eastAsia="en-US"/>
              </w:rPr>
              <w:t>PT 19</w:t>
            </w:r>
          </w:p>
        </w:tc>
      </w:tr>
      <w:tr w:rsidR="00425EF7" w:rsidRPr="00425EF7" w14:paraId="29FD856E" w14:textId="77777777" w:rsidTr="00425EF7">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150C555B" w14:textId="77777777" w:rsidR="00425EF7" w:rsidRDefault="00425EF7" w:rsidP="00425EF7">
            <w:pPr>
              <w:rPr>
                <w:rFonts w:eastAsia="Calibri"/>
                <w:lang w:eastAsia="en-US"/>
              </w:rPr>
            </w:pPr>
            <w:r>
              <w:rPr>
                <w:rFonts w:eastAsia="Calibri"/>
                <w:lang w:eastAsia="en-US"/>
              </w:rPr>
              <w:t>Assessed scenarios</w:t>
            </w:r>
          </w:p>
        </w:tc>
        <w:tc>
          <w:tcPr>
            <w:tcW w:w="6413" w:type="dxa"/>
            <w:tcBorders>
              <w:top w:val="single" w:sz="4" w:space="0" w:color="auto"/>
              <w:left w:val="single" w:sz="4" w:space="0" w:color="auto"/>
              <w:bottom w:val="single" w:sz="4" w:space="0" w:color="auto"/>
              <w:right w:val="single" w:sz="4" w:space="0" w:color="auto"/>
            </w:tcBorders>
            <w:hideMark/>
          </w:tcPr>
          <w:p w14:paraId="15334074" w14:textId="77777777" w:rsidR="00425EF7" w:rsidRDefault="00425EF7" w:rsidP="00425EF7">
            <w:pPr>
              <w:rPr>
                <w:rFonts w:eastAsia="Calibri"/>
                <w:lang w:eastAsia="en-US"/>
              </w:rPr>
            </w:pPr>
            <w:r>
              <w:rPr>
                <w:rFonts w:eastAsia="Calibri"/>
                <w:lang w:eastAsia="en-US"/>
              </w:rPr>
              <w:t>Scenario 1:</w:t>
            </w:r>
            <w:r>
              <w:rPr>
                <w:rFonts w:eastAsia="Calibri"/>
                <w:lang w:eastAsia="en-US"/>
              </w:rPr>
              <w:tab/>
              <w:t xml:space="preserve">Removal via showering and bathing of </w:t>
            </w:r>
            <w:r>
              <w:rPr>
                <w:rFonts w:eastAsia="Calibri"/>
                <w:lang w:eastAsia="en-US"/>
              </w:rPr>
              <w:tab/>
            </w:r>
            <w:r>
              <w:rPr>
                <w:rFonts w:eastAsia="Calibri"/>
                <w:lang w:eastAsia="en-US"/>
              </w:rPr>
              <w:tab/>
            </w:r>
            <w:r>
              <w:rPr>
                <w:rFonts w:eastAsia="Calibri"/>
                <w:lang w:eastAsia="en-US"/>
              </w:rPr>
              <w:tab/>
              <w:t xml:space="preserve">humans </w:t>
            </w:r>
            <w:r>
              <w:rPr>
                <w:rFonts w:eastAsia="Calibri"/>
                <w:sz w:val="16"/>
                <w:lang w:eastAsia="en-US"/>
              </w:rPr>
              <w:t>(ESD PT19, May 2015, §3.1.4.1)</w:t>
            </w:r>
          </w:p>
          <w:p w14:paraId="6A3C650D" w14:textId="77777777" w:rsidR="00425EF7" w:rsidRDefault="00425EF7" w:rsidP="00425EF7">
            <w:pPr>
              <w:rPr>
                <w:rFonts w:eastAsia="Calibri"/>
                <w:lang w:eastAsia="en-US"/>
              </w:rPr>
            </w:pPr>
            <w:r>
              <w:rPr>
                <w:rFonts w:eastAsia="Calibri"/>
                <w:lang w:eastAsia="en-US"/>
              </w:rPr>
              <w:t>Scenario 2:</w:t>
            </w:r>
            <w:r>
              <w:rPr>
                <w:rFonts w:eastAsia="Calibri"/>
                <w:lang w:eastAsia="en-US"/>
              </w:rPr>
              <w:tab/>
              <w:t xml:space="preserve">Release to surface water bodies via </w:t>
            </w:r>
            <w:r>
              <w:rPr>
                <w:rFonts w:eastAsia="Calibri"/>
                <w:lang w:eastAsia="en-US"/>
              </w:rPr>
              <w:tab/>
            </w:r>
            <w:r>
              <w:rPr>
                <w:rFonts w:eastAsia="Calibri"/>
                <w:lang w:eastAsia="en-US"/>
              </w:rPr>
              <w:tab/>
            </w:r>
            <w:r>
              <w:rPr>
                <w:rFonts w:eastAsia="Calibri"/>
                <w:lang w:eastAsia="en-US"/>
              </w:rPr>
              <w:tab/>
              <w:t xml:space="preserve">swimming </w:t>
            </w:r>
            <w:r>
              <w:rPr>
                <w:rFonts w:eastAsia="Calibri"/>
                <w:sz w:val="16"/>
                <w:lang w:eastAsia="en-US"/>
              </w:rPr>
              <w:t>(ESD PT19, May 2015, §3.1.4.2)</w:t>
            </w:r>
          </w:p>
        </w:tc>
      </w:tr>
      <w:tr w:rsidR="00425EF7" w:rsidRPr="00425EF7" w14:paraId="4A3614DA" w14:textId="77777777" w:rsidTr="00425EF7">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7DF4A167" w14:textId="77777777" w:rsidR="00425EF7" w:rsidRDefault="00425EF7" w:rsidP="00425EF7">
            <w:pPr>
              <w:rPr>
                <w:rFonts w:eastAsia="Calibri"/>
                <w:lang w:eastAsia="en-US"/>
              </w:rPr>
            </w:pPr>
            <w:r>
              <w:rPr>
                <w:rFonts w:eastAsia="Calibri"/>
                <w:lang w:eastAsia="en-US"/>
              </w:rPr>
              <w:t>ESD(s) used</w:t>
            </w:r>
          </w:p>
        </w:tc>
        <w:tc>
          <w:tcPr>
            <w:tcW w:w="6413" w:type="dxa"/>
            <w:tcBorders>
              <w:top w:val="single" w:sz="4" w:space="0" w:color="auto"/>
              <w:left w:val="single" w:sz="4" w:space="0" w:color="auto"/>
              <w:bottom w:val="single" w:sz="4" w:space="0" w:color="auto"/>
              <w:right w:val="single" w:sz="4" w:space="0" w:color="auto"/>
            </w:tcBorders>
            <w:hideMark/>
          </w:tcPr>
          <w:p w14:paraId="2CE0E175" w14:textId="77777777" w:rsidR="00425EF7" w:rsidRDefault="00425EF7" w:rsidP="00425EF7">
            <w:pPr>
              <w:rPr>
                <w:rFonts w:eastAsia="Calibri"/>
                <w:lang w:eastAsia="en-US"/>
              </w:rPr>
            </w:pPr>
            <w:r>
              <w:rPr>
                <w:rFonts w:eastAsia="Calibri"/>
                <w:lang w:eastAsia="en-US"/>
              </w:rPr>
              <w:t>Emission Scenario Document for Product Type 19: Repellents and attractants, May 2015 (ECHA-15-B-10-EN)</w:t>
            </w:r>
          </w:p>
        </w:tc>
      </w:tr>
      <w:tr w:rsidR="00425EF7" w14:paraId="3984BBEF" w14:textId="77777777" w:rsidTr="00425EF7">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17CAD6C0" w14:textId="77777777" w:rsidR="00425EF7" w:rsidRDefault="00425EF7" w:rsidP="00425EF7">
            <w:pPr>
              <w:rPr>
                <w:rFonts w:eastAsia="Calibri"/>
                <w:lang w:eastAsia="en-US"/>
              </w:rPr>
            </w:pPr>
            <w:r>
              <w:rPr>
                <w:rFonts w:eastAsia="Calibri"/>
                <w:lang w:eastAsia="en-US"/>
              </w:rPr>
              <w:t>Approach</w:t>
            </w:r>
          </w:p>
        </w:tc>
        <w:tc>
          <w:tcPr>
            <w:tcW w:w="6413" w:type="dxa"/>
            <w:tcBorders>
              <w:top w:val="single" w:sz="4" w:space="0" w:color="auto"/>
              <w:left w:val="single" w:sz="4" w:space="0" w:color="auto"/>
              <w:bottom w:val="single" w:sz="4" w:space="0" w:color="auto"/>
              <w:right w:val="single" w:sz="4" w:space="0" w:color="auto"/>
            </w:tcBorders>
            <w:hideMark/>
          </w:tcPr>
          <w:p w14:paraId="5B9D3846" w14:textId="77777777" w:rsidR="00425EF7" w:rsidRDefault="00425EF7" w:rsidP="00425EF7">
            <w:pPr>
              <w:rPr>
                <w:rFonts w:eastAsia="Calibri"/>
                <w:b/>
                <w:lang w:eastAsia="en-US"/>
              </w:rPr>
            </w:pPr>
            <w:r>
              <w:rPr>
                <w:rFonts w:eastAsia="Calibri"/>
                <w:lang w:eastAsia="en-US"/>
              </w:rPr>
              <w:t>Scenario 1:</w:t>
            </w:r>
            <w:r>
              <w:rPr>
                <w:rFonts w:eastAsia="Calibri"/>
                <w:lang w:eastAsia="en-US"/>
              </w:rPr>
              <w:tab/>
              <w:t>Average consumption</w:t>
            </w:r>
            <w:r>
              <w:rPr>
                <w:rFonts w:eastAsia="Calibri"/>
                <w:lang w:eastAsia="en-US"/>
              </w:rPr>
              <w:br/>
              <w:t>Scenario 2:</w:t>
            </w:r>
            <w:r>
              <w:rPr>
                <w:rFonts w:eastAsia="Calibri"/>
                <w:lang w:eastAsia="en-US"/>
              </w:rPr>
              <w:tab/>
              <w:t>Average consumption</w:t>
            </w:r>
          </w:p>
        </w:tc>
      </w:tr>
      <w:tr w:rsidR="00E56D9B" w14:paraId="7DF28236" w14:textId="77777777" w:rsidTr="00425EF7">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342A85E2" w14:textId="77777777" w:rsidR="00E56D9B" w:rsidRDefault="00E56D9B" w:rsidP="00E56D9B">
            <w:pPr>
              <w:rPr>
                <w:rFonts w:eastAsia="Calibri"/>
                <w:lang w:eastAsia="en-US"/>
              </w:rPr>
            </w:pPr>
            <w:r>
              <w:rPr>
                <w:rFonts w:eastAsia="Calibri"/>
                <w:lang w:eastAsia="en-US"/>
              </w:rPr>
              <w:t>Distribution in the environment</w:t>
            </w:r>
          </w:p>
        </w:tc>
        <w:tc>
          <w:tcPr>
            <w:tcW w:w="6413" w:type="dxa"/>
            <w:tcBorders>
              <w:top w:val="single" w:sz="4" w:space="0" w:color="auto"/>
              <w:left w:val="single" w:sz="4" w:space="0" w:color="auto"/>
              <w:bottom w:val="single" w:sz="4" w:space="0" w:color="auto"/>
              <w:right w:val="single" w:sz="4" w:space="0" w:color="auto"/>
            </w:tcBorders>
            <w:hideMark/>
          </w:tcPr>
          <w:p w14:paraId="5E5F0292" w14:textId="6D24C13B" w:rsidR="00E56D9B" w:rsidRDefault="00E56D9B" w:rsidP="00E56D9B">
            <w:pPr>
              <w:rPr>
                <w:rFonts w:eastAsia="Calibri"/>
                <w:lang w:eastAsia="en-US"/>
              </w:rPr>
            </w:pPr>
            <w:r>
              <w:rPr>
                <w:rFonts w:eastAsia="Calibri"/>
                <w:lang w:eastAsia="en-US"/>
              </w:rPr>
              <w:t xml:space="preserve">Calculated based on Guidance on BPR </w:t>
            </w:r>
            <w:proofErr w:type="spellStart"/>
            <w:r>
              <w:rPr>
                <w:rFonts w:eastAsia="Calibri"/>
                <w:lang w:eastAsia="en-US"/>
              </w:rPr>
              <w:t>Vol.IV</w:t>
            </w:r>
            <w:proofErr w:type="spellEnd"/>
            <w:r>
              <w:rPr>
                <w:rFonts w:eastAsia="Calibri"/>
                <w:lang w:eastAsia="en-US"/>
              </w:rPr>
              <w:t xml:space="preserve"> B+C</w:t>
            </w:r>
          </w:p>
        </w:tc>
      </w:tr>
      <w:tr w:rsidR="00425EF7" w14:paraId="63BC1016" w14:textId="77777777" w:rsidTr="00425EF7">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5B7A5664" w14:textId="77777777" w:rsidR="00425EF7" w:rsidRDefault="00425EF7" w:rsidP="00425EF7">
            <w:pPr>
              <w:rPr>
                <w:rFonts w:eastAsia="Calibri"/>
                <w:lang w:eastAsia="en-US"/>
              </w:rPr>
            </w:pPr>
            <w:r>
              <w:rPr>
                <w:rFonts w:eastAsia="Calibri"/>
                <w:lang w:eastAsia="en-US"/>
              </w:rPr>
              <w:t>Groundwater simulation</w:t>
            </w:r>
          </w:p>
        </w:tc>
        <w:tc>
          <w:tcPr>
            <w:tcW w:w="6413" w:type="dxa"/>
            <w:tcBorders>
              <w:top w:val="single" w:sz="4" w:space="0" w:color="auto"/>
              <w:left w:val="single" w:sz="4" w:space="0" w:color="auto"/>
              <w:bottom w:val="single" w:sz="4" w:space="0" w:color="auto"/>
              <w:right w:val="single" w:sz="4" w:space="0" w:color="auto"/>
            </w:tcBorders>
            <w:hideMark/>
          </w:tcPr>
          <w:p w14:paraId="7F510F12" w14:textId="77777777" w:rsidR="00425EF7" w:rsidRDefault="00425EF7" w:rsidP="00425EF7">
            <w:pPr>
              <w:rPr>
                <w:rFonts w:eastAsia="Calibri"/>
                <w:color w:val="000000"/>
                <w:lang w:eastAsia="en-US"/>
              </w:rPr>
            </w:pPr>
            <w:r>
              <w:rPr>
                <w:rFonts w:eastAsia="Calibri"/>
                <w:lang w:eastAsia="en-US"/>
              </w:rPr>
              <w:t>Not applicable</w:t>
            </w:r>
          </w:p>
        </w:tc>
      </w:tr>
      <w:tr w:rsidR="00425EF7" w14:paraId="6D56B17E" w14:textId="77777777" w:rsidTr="00425EF7">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40C20138" w14:textId="77777777" w:rsidR="00425EF7" w:rsidRDefault="00425EF7" w:rsidP="00425EF7">
            <w:pPr>
              <w:rPr>
                <w:rFonts w:eastAsia="Calibri"/>
                <w:lang w:eastAsia="en-US"/>
              </w:rPr>
            </w:pPr>
            <w:r>
              <w:rPr>
                <w:rFonts w:eastAsia="Calibri"/>
                <w:lang w:eastAsia="en-US"/>
              </w:rPr>
              <w:t>Confidential Annexes</w:t>
            </w:r>
          </w:p>
        </w:tc>
        <w:tc>
          <w:tcPr>
            <w:tcW w:w="6413" w:type="dxa"/>
            <w:tcBorders>
              <w:top w:val="single" w:sz="4" w:space="0" w:color="auto"/>
              <w:left w:val="single" w:sz="4" w:space="0" w:color="auto"/>
              <w:bottom w:val="single" w:sz="4" w:space="0" w:color="auto"/>
              <w:right w:val="single" w:sz="4" w:space="0" w:color="auto"/>
            </w:tcBorders>
            <w:hideMark/>
          </w:tcPr>
          <w:p w14:paraId="6DB5AA64" w14:textId="77777777" w:rsidR="00425EF7" w:rsidRDefault="00425EF7" w:rsidP="00425EF7">
            <w:pPr>
              <w:rPr>
                <w:rFonts w:eastAsia="Calibri"/>
                <w:b/>
                <w:lang w:eastAsia="en-US"/>
              </w:rPr>
            </w:pPr>
            <w:r>
              <w:rPr>
                <w:rFonts w:eastAsia="Calibri"/>
                <w:lang w:eastAsia="en-US"/>
              </w:rPr>
              <w:t>None</w:t>
            </w:r>
          </w:p>
        </w:tc>
      </w:tr>
      <w:tr w:rsidR="00425EF7" w14:paraId="2D457DD2" w14:textId="77777777" w:rsidTr="00425EF7">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31E40FA8" w14:textId="77777777" w:rsidR="00425EF7" w:rsidRDefault="00425EF7" w:rsidP="00425EF7">
            <w:pPr>
              <w:rPr>
                <w:rFonts w:eastAsia="Calibri"/>
                <w:lang w:eastAsia="en-US"/>
              </w:rPr>
            </w:pPr>
            <w:r>
              <w:rPr>
                <w:rFonts w:eastAsia="Calibri"/>
                <w:lang w:eastAsia="en-US"/>
              </w:rPr>
              <w:t>Life cycle steps assessed</w:t>
            </w:r>
          </w:p>
        </w:tc>
        <w:tc>
          <w:tcPr>
            <w:tcW w:w="6413" w:type="dxa"/>
            <w:tcBorders>
              <w:top w:val="single" w:sz="4" w:space="0" w:color="auto"/>
              <w:left w:val="single" w:sz="4" w:space="0" w:color="auto"/>
              <w:bottom w:val="single" w:sz="4" w:space="0" w:color="auto"/>
              <w:right w:val="single" w:sz="4" w:space="0" w:color="auto"/>
            </w:tcBorders>
            <w:hideMark/>
          </w:tcPr>
          <w:p w14:paraId="153974A1" w14:textId="77777777" w:rsidR="00425EF7" w:rsidRDefault="00425EF7" w:rsidP="00425EF7">
            <w:pPr>
              <w:rPr>
                <w:rFonts w:eastAsia="Calibri"/>
                <w:lang w:eastAsia="en-US"/>
              </w:rPr>
            </w:pPr>
            <w:r>
              <w:rPr>
                <w:rFonts w:eastAsia="Calibri"/>
                <w:lang w:eastAsia="en-US"/>
              </w:rPr>
              <w:t>Scenario 1: Showering &amp; bathing</w:t>
            </w:r>
          </w:p>
          <w:p w14:paraId="583BFABC" w14:textId="77777777" w:rsidR="00425EF7" w:rsidRPr="00425EF7" w:rsidRDefault="00425EF7" w:rsidP="00D63FA7">
            <w:pPr>
              <w:pStyle w:val="Paragraphedeliste"/>
              <w:numPr>
                <w:ilvl w:val="0"/>
                <w:numId w:val="8"/>
              </w:numPr>
              <w:rPr>
                <w:rFonts w:eastAsia="Calibri"/>
                <w:lang w:eastAsia="en-US"/>
              </w:rPr>
            </w:pPr>
            <w:r w:rsidRPr="00425EF7">
              <w:rPr>
                <w:rFonts w:eastAsia="Calibri"/>
                <w:lang w:eastAsia="en-US"/>
              </w:rPr>
              <w:t>Production: No</w:t>
            </w:r>
          </w:p>
          <w:p w14:paraId="100EEB9F" w14:textId="77777777" w:rsidR="00425EF7" w:rsidRPr="00425EF7" w:rsidRDefault="00425EF7" w:rsidP="00D63FA7">
            <w:pPr>
              <w:pStyle w:val="Paragraphedeliste"/>
              <w:numPr>
                <w:ilvl w:val="0"/>
                <w:numId w:val="8"/>
              </w:numPr>
              <w:rPr>
                <w:rFonts w:eastAsia="Calibri"/>
                <w:lang w:eastAsia="en-US"/>
              </w:rPr>
            </w:pPr>
            <w:r w:rsidRPr="00425EF7">
              <w:rPr>
                <w:rFonts w:eastAsia="Calibri"/>
                <w:lang w:eastAsia="en-US"/>
              </w:rPr>
              <w:t>Formulation: No</w:t>
            </w:r>
          </w:p>
          <w:p w14:paraId="2771E6C4" w14:textId="77777777" w:rsidR="00425EF7" w:rsidRPr="00425EF7" w:rsidRDefault="00425EF7" w:rsidP="00D63FA7">
            <w:pPr>
              <w:pStyle w:val="Paragraphedeliste"/>
              <w:numPr>
                <w:ilvl w:val="0"/>
                <w:numId w:val="8"/>
              </w:numPr>
              <w:rPr>
                <w:rFonts w:eastAsia="Calibri"/>
                <w:lang w:eastAsia="en-US"/>
              </w:rPr>
            </w:pPr>
            <w:r w:rsidRPr="00425EF7">
              <w:rPr>
                <w:rFonts w:eastAsia="Calibri"/>
                <w:lang w:eastAsia="en-US"/>
              </w:rPr>
              <w:t>Use: Yes</w:t>
            </w:r>
          </w:p>
          <w:p w14:paraId="57AEA2ED" w14:textId="77777777" w:rsidR="00425EF7" w:rsidRPr="00425EF7" w:rsidRDefault="00425EF7" w:rsidP="00D63FA7">
            <w:pPr>
              <w:pStyle w:val="Paragraphedeliste"/>
              <w:numPr>
                <w:ilvl w:val="0"/>
                <w:numId w:val="8"/>
              </w:numPr>
              <w:rPr>
                <w:rFonts w:eastAsia="Calibri"/>
                <w:lang w:eastAsia="en-US"/>
              </w:rPr>
            </w:pPr>
            <w:r w:rsidRPr="00425EF7">
              <w:rPr>
                <w:rFonts w:eastAsia="Calibri"/>
                <w:lang w:eastAsia="en-US"/>
              </w:rPr>
              <w:t>Service life: No</w:t>
            </w:r>
          </w:p>
          <w:p w14:paraId="61AD4100" w14:textId="77777777" w:rsidR="00425EF7" w:rsidRDefault="00425EF7" w:rsidP="00425EF7">
            <w:pPr>
              <w:rPr>
                <w:rFonts w:eastAsia="Calibri"/>
                <w:lang w:eastAsia="en-US"/>
              </w:rPr>
            </w:pPr>
            <w:r>
              <w:rPr>
                <w:rFonts w:eastAsia="Calibri"/>
                <w:lang w:eastAsia="en-US"/>
              </w:rPr>
              <w:t>Scenario 2: Swimming</w:t>
            </w:r>
          </w:p>
          <w:p w14:paraId="4EA39436" w14:textId="77777777" w:rsidR="00425EF7" w:rsidRPr="00425EF7" w:rsidRDefault="00425EF7" w:rsidP="00D63FA7">
            <w:pPr>
              <w:pStyle w:val="Paragraphedeliste"/>
              <w:numPr>
                <w:ilvl w:val="0"/>
                <w:numId w:val="9"/>
              </w:numPr>
              <w:rPr>
                <w:rFonts w:eastAsia="Calibri"/>
                <w:lang w:eastAsia="en-US"/>
              </w:rPr>
            </w:pPr>
            <w:r w:rsidRPr="00425EF7">
              <w:rPr>
                <w:rFonts w:eastAsia="Calibri"/>
                <w:lang w:eastAsia="en-US"/>
              </w:rPr>
              <w:t>Production: No</w:t>
            </w:r>
          </w:p>
          <w:p w14:paraId="7479B514" w14:textId="77777777" w:rsidR="00425EF7" w:rsidRPr="00425EF7" w:rsidRDefault="00425EF7" w:rsidP="00D63FA7">
            <w:pPr>
              <w:pStyle w:val="Paragraphedeliste"/>
              <w:numPr>
                <w:ilvl w:val="0"/>
                <w:numId w:val="9"/>
              </w:numPr>
              <w:rPr>
                <w:rFonts w:eastAsia="Calibri"/>
                <w:lang w:eastAsia="en-US"/>
              </w:rPr>
            </w:pPr>
            <w:r w:rsidRPr="00425EF7">
              <w:rPr>
                <w:rFonts w:eastAsia="Calibri"/>
                <w:lang w:eastAsia="en-US"/>
              </w:rPr>
              <w:t>Formulation: No</w:t>
            </w:r>
          </w:p>
          <w:p w14:paraId="7C24BBD2" w14:textId="77777777" w:rsidR="00425EF7" w:rsidRPr="00425EF7" w:rsidRDefault="00425EF7" w:rsidP="00D63FA7">
            <w:pPr>
              <w:pStyle w:val="Paragraphedeliste"/>
              <w:numPr>
                <w:ilvl w:val="0"/>
                <w:numId w:val="9"/>
              </w:numPr>
              <w:rPr>
                <w:rFonts w:eastAsia="Calibri"/>
                <w:lang w:eastAsia="en-US"/>
              </w:rPr>
            </w:pPr>
            <w:r w:rsidRPr="00425EF7">
              <w:rPr>
                <w:rFonts w:eastAsia="Calibri"/>
                <w:lang w:eastAsia="en-US"/>
              </w:rPr>
              <w:t>Use: Yes</w:t>
            </w:r>
          </w:p>
          <w:p w14:paraId="2846555C" w14:textId="77777777" w:rsidR="00425EF7" w:rsidRPr="00425EF7" w:rsidRDefault="00425EF7" w:rsidP="00D63FA7">
            <w:pPr>
              <w:pStyle w:val="Paragraphedeliste"/>
              <w:numPr>
                <w:ilvl w:val="0"/>
                <w:numId w:val="9"/>
              </w:numPr>
              <w:rPr>
                <w:rFonts w:eastAsia="Calibri"/>
                <w:lang w:eastAsia="en-US"/>
              </w:rPr>
            </w:pPr>
            <w:r w:rsidRPr="00425EF7">
              <w:rPr>
                <w:rFonts w:eastAsia="Calibri"/>
                <w:lang w:eastAsia="en-US"/>
              </w:rPr>
              <w:t>Service life: No</w:t>
            </w:r>
          </w:p>
        </w:tc>
      </w:tr>
      <w:tr w:rsidR="00E56D9B" w14:paraId="13733779" w14:textId="77777777" w:rsidTr="00425EF7">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5DF89B22" w14:textId="77777777" w:rsidR="00E56D9B" w:rsidRDefault="00E56D9B" w:rsidP="00E56D9B">
            <w:pPr>
              <w:rPr>
                <w:rFonts w:eastAsia="Calibri"/>
                <w:lang w:eastAsia="en-US"/>
              </w:rPr>
            </w:pPr>
            <w:r>
              <w:rPr>
                <w:rFonts w:eastAsia="Calibri"/>
                <w:lang w:eastAsia="en-US"/>
              </w:rPr>
              <w:t>Remarks</w:t>
            </w:r>
          </w:p>
        </w:tc>
        <w:tc>
          <w:tcPr>
            <w:tcW w:w="6413" w:type="dxa"/>
            <w:tcBorders>
              <w:top w:val="single" w:sz="4" w:space="0" w:color="auto"/>
              <w:left w:val="single" w:sz="4" w:space="0" w:color="auto"/>
              <w:bottom w:val="single" w:sz="4" w:space="0" w:color="auto"/>
              <w:right w:val="single" w:sz="4" w:space="0" w:color="auto"/>
            </w:tcBorders>
          </w:tcPr>
          <w:p w14:paraId="261FD777" w14:textId="77777777" w:rsidR="00E56D9B" w:rsidRDefault="00E56D9B" w:rsidP="00E56D9B">
            <w:pPr>
              <w:rPr>
                <w:rFonts w:eastAsia="Calibri"/>
                <w:color w:val="000000"/>
              </w:rPr>
            </w:pPr>
            <w:r>
              <w:rPr>
                <w:rFonts w:eastAsia="Calibri"/>
                <w:color w:val="000000"/>
              </w:rPr>
              <w:t>Evaluation done taking into account WGV2018 agreement on treated skin surface:</w:t>
            </w:r>
          </w:p>
          <w:p w14:paraId="2E99B025" w14:textId="77777777" w:rsidR="00E56D9B" w:rsidRPr="00CF3662" w:rsidRDefault="00E56D9B" w:rsidP="00E56D9B">
            <w:pPr>
              <w:pStyle w:val="Corpsdetexte"/>
              <w:spacing w:after="0"/>
              <w:rPr>
                <w:rFonts w:ascii="Verdana" w:hAnsi="Verdana"/>
                <w:sz w:val="20"/>
                <w:szCs w:val="20"/>
                <w:u w:val="single"/>
              </w:rPr>
            </w:pPr>
            <w:r w:rsidRPr="00CF3662">
              <w:rPr>
                <w:rFonts w:ascii="Verdana" w:hAnsi="Verdana"/>
                <w:sz w:val="20"/>
                <w:szCs w:val="20"/>
                <w:u w:val="single"/>
              </w:rPr>
              <w:t xml:space="preserve">TAB ENV v2.0 entry </w:t>
            </w:r>
            <w:r w:rsidRPr="00CF3662">
              <w:rPr>
                <w:rFonts w:ascii="Verdana" w:hAnsi="Verdana"/>
                <w:b/>
                <w:sz w:val="20"/>
                <w:szCs w:val="20"/>
                <w:u w:val="single"/>
              </w:rPr>
              <w:t>ENV 172</w:t>
            </w:r>
            <w:r w:rsidRPr="00CF3662">
              <w:rPr>
                <w:rFonts w:ascii="Verdana" w:hAnsi="Verdana"/>
                <w:sz w:val="20"/>
                <w:szCs w:val="20"/>
                <w:u w:val="single"/>
              </w:rPr>
              <w:t xml:space="preserve"> - Refinement of risk assessment PT19: reduction of treated skin surface area and taking into account dermal adsorption </w:t>
            </w:r>
          </w:p>
          <w:p w14:paraId="256449E2" w14:textId="590752F5" w:rsidR="00E56D9B" w:rsidRDefault="00E56D9B" w:rsidP="00E56D9B">
            <w:pPr>
              <w:rPr>
                <w:rFonts w:eastAsia="Calibri"/>
                <w:color w:val="000000"/>
                <w:lang w:eastAsia="en-US"/>
              </w:rPr>
            </w:pPr>
            <w:r w:rsidRPr="00CF3662">
              <w:t xml:space="preserve">The WG agreed to apply the new value of the </w:t>
            </w:r>
            <w:proofErr w:type="spellStart"/>
            <w:r w:rsidRPr="00CF3662">
              <w:t>HEAdoc</w:t>
            </w:r>
            <w:proofErr w:type="spellEnd"/>
            <w:r w:rsidRPr="00CF3662">
              <w:t xml:space="preserve"> recommendation of January 2018 for the treated skin area, i.e. 55% of 16600 cm</w:t>
            </w:r>
            <w:r w:rsidRPr="00CF3662">
              <w:rPr>
                <w:vertAlign w:val="superscript"/>
              </w:rPr>
              <w:t xml:space="preserve">2 </w:t>
            </w:r>
            <w:r w:rsidRPr="00CF3662">
              <w:rPr>
                <w:rFonts w:cs="Arial"/>
                <w:color w:val="000000" w:themeColor="text1"/>
              </w:rPr>
              <w:t>(= 9130 cm²)</w:t>
            </w:r>
            <w:r w:rsidRPr="00CF3662">
              <w:t>, since this could be considered as a mean value taking into account the different skin areas for women, men and children.</w:t>
            </w:r>
          </w:p>
        </w:tc>
      </w:tr>
    </w:tbl>
    <w:p w14:paraId="4623E4AA" w14:textId="77777777" w:rsidR="00425EF7" w:rsidRDefault="00425EF7" w:rsidP="007A7C32">
      <w:pPr>
        <w:rPr>
          <w:rFonts w:eastAsia="Calibri"/>
          <w:lang w:eastAsia="en-US"/>
        </w:rPr>
      </w:pPr>
    </w:p>
    <w:p w14:paraId="6A082113" w14:textId="77777777" w:rsidR="007A7C32" w:rsidRDefault="007A7C32">
      <w:pPr>
        <w:spacing w:before="0" w:after="160" w:line="259" w:lineRule="auto"/>
        <w:rPr>
          <w:rFonts w:eastAsia="Calibri"/>
          <w:lang w:eastAsia="en-US"/>
        </w:rPr>
      </w:pPr>
      <w:r>
        <w:rPr>
          <w:rFonts w:eastAsia="Calibri"/>
          <w:lang w:eastAsia="en-US"/>
        </w:rPr>
        <w:br w:type="page"/>
      </w:r>
    </w:p>
    <w:p w14:paraId="54E9D581" w14:textId="77777777" w:rsidR="007747FA" w:rsidRDefault="007A7C32" w:rsidP="007E5F71">
      <w:pPr>
        <w:pStyle w:val="Titre5"/>
      </w:pPr>
      <w:bookmarkStart w:id="276" w:name="_Toc12967203"/>
      <w:r>
        <w:lastRenderedPageBreak/>
        <w:t>Emission estimation</w:t>
      </w:r>
      <w:bookmarkEnd w:id="276"/>
    </w:p>
    <w:p w14:paraId="29B09C84" w14:textId="77777777" w:rsidR="007A7C32" w:rsidRPr="003720C3" w:rsidRDefault="007A7C32" w:rsidP="007A7C32">
      <w:pPr>
        <w:pStyle w:val="Titre6"/>
        <w:rPr>
          <w:lang w:val="en-US"/>
        </w:rPr>
      </w:pPr>
      <w:r w:rsidRPr="003720C3">
        <w:rPr>
          <w:lang w:val="en-US"/>
        </w:rPr>
        <w:t xml:space="preserve">Scenario </w:t>
      </w:r>
      <w:r w:rsidR="003720C3" w:rsidRPr="003720C3">
        <w:rPr>
          <w:lang w:val="en-US"/>
        </w:rPr>
        <w:t>1: Removal via showering and bathing</w:t>
      </w:r>
    </w:p>
    <w:p w14:paraId="653A6775" w14:textId="77777777" w:rsidR="00E56D9B" w:rsidRPr="00DA2EA7" w:rsidRDefault="00E56D9B" w:rsidP="00E56D9B">
      <w:pPr>
        <w:pStyle w:val="Titre7"/>
        <w:rPr>
          <w:lang w:val="en-US"/>
        </w:rPr>
      </w:pPr>
      <w:r w:rsidRPr="00DA2EA7">
        <w:rPr>
          <w:lang w:val="en-US"/>
        </w:rPr>
        <w:t>Consumption based scenario</w:t>
      </w:r>
    </w:p>
    <w:p w14:paraId="0C9FD750" w14:textId="77777777" w:rsidR="00E56D9B" w:rsidRDefault="00E56D9B" w:rsidP="00E56D9B">
      <w:pPr>
        <w:rPr>
          <w:rFonts w:eastAsia="Calibri"/>
          <w:lang w:eastAsia="en-US"/>
        </w:rPr>
      </w:pPr>
      <w:r>
        <w:rPr>
          <w:rFonts w:eastAsia="Calibri"/>
          <w:lang w:eastAsia="en-US"/>
        </w:rPr>
        <w:t>For estimating the emission for products applied on human skin following showering or bathing one could either use a tonnage based scenario or a consumption based scenario.</w:t>
      </w:r>
    </w:p>
    <w:p w14:paraId="6B13C970" w14:textId="77777777" w:rsidR="00E56D9B" w:rsidRDefault="00E56D9B" w:rsidP="00E56D9B">
      <w:pPr>
        <w:rPr>
          <w:rFonts w:eastAsia="Calibri"/>
          <w:lang w:eastAsia="en-US"/>
        </w:rPr>
      </w:pPr>
      <w:r>
        <w:rPr>
          <w:rFonts w:eastAsia="Calibri"/>
          <w:lang w:eastAsia="en-US"/>
        </w:rPr>
        <w:t>Tonnage based approaches are mostly only appropriate for assessing an active substance for approval and not so much for the authorisation of biocidal products. Therefore only the consumption based approach is assessed here.</w:t>
      </w:r>
    </w:p>
    <w:p w14:paraId="7123C26C" w14:textId="77777777" w:rsidR="00E56D9B" w:rsidRDefault="00E56D9B" w:rsidP="00E56D9B">
      <w:pPr>
        <w:rPr>
          <w:rFonts w:eastAsia="Calibri"/>
          <w:lang w:eastAsia="en-US"/>
        </w:rPr>
      </w:pPr>
      <w:r>
        <w:rPr>
          <w:rFonts w:eastAsia="Calibri"/>
          <w:lang w:eastAsia="en-US"/>
        </w:rPr>
        <w:t>However, the tonnage based approach was calculated in the IR3535 CAR and can be consulted in the confidential annex of said CAR. Anyway when considering the break-even tonnage, the consumption based scenario is deemed to be the most appropriate scenario.</w:t>
      </w:r>
    </w:p>
    <w:p w14:paraId="03E6A971" w14:textId="77777777" w:rsidR="00E56D9B" w:rsidRPr="00DA2EA7" w:rsidRDefault="00E56D9B" w:rsidP="00E56D9B">
      <w:pPr>
        <w:pStyle w:val="Titre7"/>
        <w:rPr>
          <w:lang w:val="en-US"/>
        </w:rPr>
      </w:pPr>
      <w:r w:rsidRPr="00DA2EA7">
        <w:rPr>
          <w:lang w:val="en-US"/>
        </w:rPr>
        <w:t>Amount of product per application (</w:t>
      </w:r>
      <w:proofErr w:type="spellStart"/>
      <w:r w:rsidRPr="00DA2EA7">
        <w:rPr>
          <w:lang w:val="en-US"/>
        </w:rPr>
        <w:t>Qform</w:t>
      </w:r>
      <w:r w:rsidRPr="00DA2EA7">
        <w:rPr>
          <w:vertAlign w:val="subscript"/>
          <w:lang w:val="en-US"/>
        </w:rPr>
        <w:t>appl</w:t>
      </w:r>
      <w:proofErr w:type="spellEnd"/>
      <w:r w:rsidRPr="00DA2EA7">
        <w:rPr>
          <w:lang w:val="en-US"/>
        </w:rPr>
        <w:t>)</w:t>
      </w:r>
    </w:p>
    <w:p w14:paraId="42FEFF6F" w14:textId="77777777" w:rsidR="00E56D9B" w:rsidRDefault="00E56D9B" w:rsidP="00E56D9B">
      <w:pPr>
        <w:rPr>
          <w:rFonts w:eastAsia="Calibri"/>
          <w:lang w:eastAsia="en-US"/>
        </w:rPr>
      </w:pPr>
      <w:r>
        <w:rPr>
          <w:rFonts w:eastAsia="Calibri"/>
          <w:lang w:eastAsia="en-US"/>
        </w:rPr>
        <w:t>The most important input parameter for the consumption based scenario is the amount of product that will be used per application (</w:t>
      </w:r>
      <w:proofErr w:type="spellStart"/>
      <w:r>
        <w:rPr>
          <w:rFonts w:eastAsia="Calibri"/>
          <w:lang w:eastAsia="en-US"/>
        </w:rPr>
        <w:t>Qform</w:t>
      </w:r>
      <w:r>
        <w:rPr>
          <w:rFonts w:eastAsia="Calibri"/>
          <w:vertAlign w:val="subscript"/>
          <w:lang w:eastAsia="en-US"/>
        </w:rPr>
        <w:t>appl</w:t>
      </w:r>
      <w:proofErr w:type="spellEnd"/>
      <w:r>
        <w:rPr>
          <w:rFonts w:eastAsia="Calibri"/>
          <w:lang w:eastAsia="en-US"/>
        </w:rPr>
        <w:t xml:space="preserve">). As a default value in the ESD </w:t>
      </w:r>
      <w:r w:rsidRPr="008408A0">
        <w:rPr>
          <w:rFonts w:eastAsia="Calibri"/>
        </w:rPr>
        <w:t>0.6 mg product/cm² skin</w:t>
      </w:r>
      <w:r>
        <w:rPr>
          <w:rFonts w:eastAsia="Calibri"/>
          <w:lang w:eastAsia="en-US"/>
        </w:rPr>
        <w:t xml:space="preserve"> is proposed. </w:t>
      </w:r>
    </w:p>
    <w:p w14:paraId="4B9A25AE" w14:textId="77777777" w:rsidR="00E56D9B" w:rsidRDefault="00E56D9B" w:rsidP="00E56D9B">
      <w:pPr>
        <w:jc w:val="both"/>
        <w:rPr>
          <w:rFonts w:eastAsia="Calibri"/>
          <w:lang w:eastAsia="en-US"/>
        </w:rPr>
      </w:pPr>
      <w:r>
        <w:rPr>
          <w:rFonts w:eastAsia="Calibri"/>
          <w:lang w:eastAsia="en-US"/>
        </w:rPr>
        <w:t xml:space="preserve">However, the ESD also mentions that the value for </w:t>
      </w:r>
      <w:proofErr w:type="spellStart"/>
      <w:r>
        <w:rPr>
          <w:rFonts w:eastAsia="Calibri"/>
          <w:lang w:eastAsia="en-US"/>
        </w:rPr>
        <w:t>Qform</w:t>
      </w:r>
      <w:r>
        <w:rPr>
          <w:rFonts w:eastAsia="Calibri"/>
          <w:vertAlign w:val="subscript"/>
          <w:lang w:eastAsia="en-US"/>
        </w:rPr>
        <w:t>appl</w:t>
      </w:r>
      <w:proofErr w:type="spellEnd"/>
      <w:r>
        <w:rPr>
          <w:rFonts w:eastAsia="Calibri"/>
          <w:lang w:eastAsia="en-US"/>
        </w:rPr>
        <w:t xml:space="preserve"> must coincide with the efficacy of the product and must be adapted accordingly. </w:t>
      </w:r>
    </w:p>
    <w:p w14:paraId="73A474AD" w14:textId="77777777" w:rsidR="00E56D9B" w:rsidRDefault="00E56D9B" w:rsidP="00E56D9B">
      <w:pPr>
        <w:jc w:val="both"/>
        <w:rPr>
          <w:rFonts w:eastAsia="Calibri"/>
          <w:lang w:eastAsia="en-US"/>
        </w:rPr>
      </w:pPr>
      <w:r>
        <w:rPr>
          <w:rFonts w:eastAsia="Calibri"/>
          <w:lang w:eastAsia="en-US"/>
        </w:rPr>
        <w:t>The validated efficacious dose for the product ‘Insect Repellent Lotion IR3535 10%’ is 1.15 mg product per cm² of skin. This value will be considered in the environmental risk assessment instead of the default value from the ESD.</w:t>
      </w:r>
    </w:p>
    <w:p w14:paraId="071D0358" w14:textId="77777777" w:rsidR="00E56D9B" w:rsidRDefault="00E56D9B" w:rsidP="00E56D9B">
      <w:pPr>
        <w:jc w:val="center"/>
        <w:rPr>
          <w:rFonts w:eastAsia="Calibri"/>
          <w:b/>
          <w:lang w:eastAsia="en-US"/>
        </w:rPr>
      </w:pPr>
      <w:proofErr w:type="spellStart"/>
      <w:r>
        <w:rPr>
          <w:rFonts w:eastAsia="Calibri"/>
          <w:b/>
          <w:lang w:eastAsia="en-US"/>
        </w:rPr>
        <w:t>Qform</w:t>
      </w:r>
      <w:r>
        <w:rPr>
          <w:rFonts w:eastAsia="Calibri"/>
          <w:b/>
          <w:vertAlign w:val="subscript"/>
          <w:lang w:eastAsia="en-US"/>
        </w:rPr>
        <w:t>appl</w:t>
      </w:r>
      <w:proofErr w:type="spellEnd"/>
      <w:r>
        <w:rPr>
          <w:rFonts w:eastAsia="Calibri"/>
          <w:b/>
          <w:lang w:eastAsia="en-US"/>
        </w:rPr>
        <w:t xml:space="preserve"> = 1.15</w:t>
      </w:r>
      <w:r w:rsidRPr="00E21291">
        <w:rPr>
          <w:rFonts w:eastAsia="Calibri"/>
          <w:b/>
          <w:lang w:eastAsia="en-US"/>
        </w:rPr>
        <w:t> mg</w:t>
      </w:r>
      <w:r>
        <w:rPr>
          <w:rFonts w:eastAsia="Calibri"/>
          <w:b/>
          <w:lang w:eastAsia="en-US"/>
        </w:rPr>
        <w:t xml:space="preserve"> product/cm² skin</w:t>
      </w:r>
    </w:p>
    <w:p w14:paraId="069AD718" w14:textId="77777777" w:rsidR="00E56D9B" w:rsidRPr="00AE09AD" w:rsidRDefault="00E56D9B" w:rsidP="00E56D9B">
      <w:pPr>
        <w:rPr>
          <w:rFonts w:eastAsia="Calibri"/>
          <w:lang w:val="en-US" w:eastAsia="en-US"/>
        </w:rPr>
      </w:pPr>
    </w:p>
    <w:p w14:paraId="7D3A63E5" w14:textId="77777777" w:rsidR="00E56D9B" w:rsidRPr="00EC6035" w:rsidRDefault="00E56D9B" w:rsidP="00E56D9B">
      <w:pPr>
        <w:pStyle w:val="Titre7"/>
        <w:rPr>
          <w:lang w:val="en-US"/>
        </w:rPr>
      </w:pPr>
      <w:r w:rsidRPr="00DA2EA7">
        <w:rPr>
          <w:lang w:val="en-US"/>
        </w:rPr>
        <w:t>Number of applications per day</w:t>
      </w:r>
      <w:r>
        <w:rPr>
          <w:lang w:val="en-US"/>
        </w:rPr>
        <w:t xml:space="preserve"> (</w:t>
      </w:r>
      <w:proofErr w:type="spellStart"/>
      <w:r>
        <w:rPr>
          <w:lang w:val="en-US"/>
        </w:rPr>
        <w:t>N</w:t>
      </w:r>
      <w:r>
        <w:rPr>
          <w:vertAlign w:val="subscript"/>
          <w:lang w:val="en-US"/>
        </w:rPr>
        <w:t>appl</w:t>
      </w:r>
      <w:proofErr w:type="spellEnd"/>
      <w:r>
        <w:rPr>
          <w:lang w:val="en-US"/>
        </w:rPr>
        <w:t>)</w:t>
      </w:r>
    </w:p>
    <w:p w14:paraId="44174087" w14:textId="77777777" w:rsidR="00E56D9B" w:rsidRDefault="00E56D9B" w:rsidP="00E56D9B">
      <w:pPr>
        <w:rPr>
          <w:rFonts w:eastAsia="Calibri"/>
          <w:lang w:val="en-US" w:eastAsia="en-US"/>
        </w:rPr>
      </w:pPr>
      <w:r>
        <w:rPr>
          <w:rFonts w:eastAsia="Calibri"/>
          <w:lang w:val="en-US" w:eastAsia="en-US"/>
        </w:rPr>
        <w:t>Another important parameter is the number of applications per day (</w:t>
      </w:r>
      <w:proofErr w:type="spellStart"/>
      <w:r>
        <w:rPr>
          <w:rFonts w:eastAsia="Calibri"/>
          <w:lang w:val="en-US" w:eastAsia="en-US"/>
        </w:rPr>
        <w:t>N</w:t>
      </w:r>
      <w:r>
        <w:rPr>
          <w:rFonts w:eastAsia="Calibri"/>
          <w:vertAlign w:val="subscript"/>
          <w:lang w:val="en-US" w:eastAsia="en-US"/>
        </w:rPr>
        <w:t>appl</w:t>
      </w:r>
      <w:proofErr w:type="spellEnd"/>
      <w:r>
        <w:rPr>
          <w:rFonts w:eastAsia="Calibri"/>
          <w:lang w:val="en-US" w:eastAsia="en-US"/>
        </w:rPr>
        <w:t xml:space="preserve">), which the ESD also links to the efficacy of the product. </w:t>
      </w:r>
    </w:p>
    <w:p w14:paraId="4B134A18" w14:textId="1B880691" w:rsidR="00E56D9B" w:rsidRDefault="00E56D9B" w:rsidP="00E56D9B">
      <w:pPr>
        <w:rPr>
          <w:rFonts w:eastAsia="Calibri"/>
          <w:lang w:val="en-US" w:eastAsia="en-US"/>
        </w:rPr>
      </w:pPr>
      <w:r>
        <w:rPr>
          <w:rFonts w:eastAsia="Calibri"/>
          <w:lang w:val="en-US" w:eastAsia="en-US"/>
        </w:rPr>
        <w:t>T</w:t>
      </w:r>
      <w:r w:rsidRPr="00CF393B">
        <w:rPr>
          <w:rFonts w:eastAsia="Calibri"/>
          <w:lang w:val="en-US" w:eastAsia="en-US"/>
        </w:rPr>
        <w:t xml:space="preserve">he </w:t>
      </w:r>
      <w:r>
        <w:rPr>
          <w:rFonts w:eastAsia="Calibri"/>
          <w:lang w:val="en-US" w:eastAsia="en-US"/>
        </w:rPr>
        <w:t xml:space="preserve">conclusion for </w:t>
      </w:r>
      <w:r w:rsidRPr="00CF393B">
        <w:rPr>
          <w:rFonts w:eastAsia="Calibri"/>
          <w:lang w:val="en-US" w:eastAsia="en-US"/>
        </w:rPr>
        <w:t xml:space="preserve">efficacy </w:t>
      </w:r>
      <w:r>
        <w:rPr>
          <w:rFonts w:eastAsia="Calibri"/>
          <w:lang w:val="en-US" w:eastAsia="en-US"/>
        </w:rPr>
        <w:t xml:space="preserve">of </w:t>
      </w:r>
      <w:r>
        <w:rPr>
          <w:rFonts w:eastAsia="Calibri"/>
          <w:lang w:eastAsia="en-US"/>
        </w:rPr>
        <w:t>‘Insect Repellent Lotion IR3535 10%’</w:t>
      </w:r>
      <w:r>
        <w:rPr>
          <w:rFonts w:eastAsia="Calibri"/>
          <w:lang w:val="en-US" w:eastAsia="en-US"/>
        </w:rPr>
        <w:t xml:space="preserve"> is that the product will remain </w:t>
      </w:r>
      <w:r w:rsidRPr="00CF393B">
        <w:rPr>
          <w:rFonts w:eastAsia="Calibri"/>
          <w:lang w:val="en-US" w:eastAsia="en-US"/>
        </w:rPr>
        <w:t xml:space="preserve">efficacious </w:t>
      </w:r>
      <w:r>
        <w:rPr>
          <w:rFonts w:eastAsia="Calibri"/>
          <w:lang w:val="en-US" w:eastAsia="en-US"/>
        </w:rPr>
        <w:t xml:space="preserve">for </w:t>
      </w:r>
      <w:r w:rsidR="004F3EC2">
        <w:rPr>
          <w:rFonts w:eastAsia="Calibri"/>
          <w:lang w:val="en-US" w:eastAsia="en-US"/>
        </w:rPr>
        <w:t xml:space="preserve">8 </w:t>
      </w:r>
      <w:r>
        <w:rPr>
          <w:rFonts w:eastAsia="Calibri"/>
          <w:lang w:val="en-US" w:eastAsia="en-US"/>
        </w:rPr>
        <w:t xml:space="preserve">hours against mosquitoes, </w:t>
      </w:r>
      <w:r w:rsidRPr="00CF393B">
        <w:rPr>
          <w:rFonts w:eastAsia="Calibri"/>
          <w:lang w:val="en-US" w:eastAsia="en-US"/>
        </w:rPr>
        <w:t xml:space="preserve">when </w:t>
      </w:r>
      <w:r>
        <w:rPr>
          <w:rFonts w:eastAsia="Calibri"/>
          <w:lang w:val="en-US" w:eastAsia="en-US"/>
        </w:rPr>
        <w:t>used</w:t>
      </w:r>
      <w:r w:rsidRPr="00CF393B">
        <w:rPr>
          <w:rFonts w:eastAsia="Calibri"/>
          <w:lang w:val="en-US" w:eastAsia="en-US"/>
        </w:rPr>
        <w:t xml:space="preserve"> at the application rate of </w:t>
      </w:r>
      <w:r>
        <w:rPr>
          <w:rFonts w:eastAsia="Calibri"/>
          <w:lang w:val="en-US" w:eastAsia="en-US"/>
        </w:rPr>
        <w:t>1.15</w:t>
      </w:r>
      <w:r w:rsidRPr="00CF393B">
        <w:rPr>
          <w:rFonts w:eastAsia="Calibri"/>
          <w:lang w:val="en-US" w:eastAsia="en-US"/>
        </w:rPr>
        <w:t xml:space="preserve"> mg/cm². </w:t>
      </w:r>
      <w:r>
        <w:rPr>
          <w:rFonts w:eastAsia="Calibri"/>
          <w:lang w:val="en-US" w:eastAsia="en-US"/>
        </w:rPr>
        <w:t>Following the ESD Table 3-2, 2 applications per day will be used in the further assessment.</w:t>
      </w:r>
    </w:p>
    <w:p w14:paraId="3E0E4666" w14:textId="77777777" w:rsidR="00E56D9B" w:rsidRDefault="00E56D9B" w:rsidP="00E56D9B">
      <w:pPr>
        <w:jc w:val="center"/>
        <w:rPr>
          <w:rFonts w:eastAsia="Calibri"/>
          <w:b/>
          <w:vertAlign w:val="superscript"/>
          <w:lang w:val="en-US" w:eastAsia="en-US"/>
        </w:rPr>
      </w:pPr>
      <w:proofErr w:type="spellStart"/>
      <w:r>
        <w:rPr>
          <w:rFonts w:eastAsia="Calibri"/>
          <w:b/>
          <w:lang w:val="en-US" w:eastAsia="en-US"/>
        </w:rPr>
        <w:t>N</w:t>
      </w:r>
      <w:r>
        <w:rPr>
          <w:rFonts w:eastAsia="Calibri"/>
          <w:b/>
          <w:vertAlign w:val="subscript"/>
          <w:lang w:val="en-US" w:eastAsia="en-US"/>
        </w:rPr>
        <w:t>appl</w:t>
      </w:r>
      <w:proofErr w:type="spellEnd"/>
      <w:r>
        <w:rPr>
          <w:rFonts w:eastAsia="Calibri"/>
          <w:b/>
          <w:lang w:val="en-US" w:eastAsia="en-US"/>
        </w:rPr>
        <w:t xml:space="preserve"> = 2 d</w:t>
      </w:r>
      <w:r>
        <w:rPr>
          <w:rFonts w:eastAsia="Calibri"/>
          <w:b/>
          <w:vertAlign w:val="superscript"/>
          <w:lang w:val="en-US" w:eastAsia="en-US"/>
        </w:rPr>
        <w:t>-1</w:t>
      </w:r>
    </w:p>
    <w:p w14:paraId="44AF7C10" w14:textId="77777777" w:rsidR="00E56D9B" w:rsidRDefault="00E56D9B" w:rsidP="00E56D9B">
      <w:pPr>
        <w:rPr>
          <w:rFonts w:eastAsia="Calibri"/>
          <w:lang w:eastAsia="en-US"/>
        </w:rPr>
      </w:pPr>
    </w:p>
    <w:p w14:paraId="1B3756D2" w14:textId="77777777" w:rsidR="00E56D9B" w:rsidRPr="00EC6035" w:rsidRDefault="00E56D9B" w:rsidP="00E56D9B">
      <w:pPr>
        <w:pStyle w:val="Titre7"/>
        <w:rPr>
          <w:lang w:val="en-US"/>
        </w:rPr>
      </w:pPr>
      <w:r>
        <w:rPr>
          <w:lang w:val="en-US"/>
        </w:rPr>
        <w:t>Treated area of human skin (</w:t>
      </w:r>
      <w:proofErr w:type="spellStart"/>
      <w:r>
        <w:rPr>
          <w:lang w:val="en-US"/>
        </w:rPr>
        <w:t>AREA</w:t>
      </w:r>
      <w:r w:rsidRPr="002952A0">
        <w:rPr>
          <w:vertAlign w:val="subscript"/>
          <w:lang w:val="en-US"/>
        </w:rPr>
        <w:t>skin</w:t>
      </w:r>
      <w:proofErr w:type="spellEnd"/>
      <w:r>
        <w:rPr>
          <w:lang w:val="en-US"/>
        </w:rPr>
        <w:t>)</w:t>
      </w:r>
    </w:p>
    <w:p w14:paraId="350A6412" w14:textId="77777777" w:rsidR="00E56D9B" w:rsidRDefault="00E56D9B" w:rsidP="00E56D9B">
      <w:pPr>
        <w:jc w:val="both"/>
        <w:rPr>
          <w:rFonts w:eastAsia="Calibri"/>
          <w:lang w:val="en-US" w:eastAsia="en-US"/>
        </w:rPr>
      </w:pPr>
      <w:r>
        <w:rPr>
          <w:rFonts w:eastAsia="Calibri"/>
          <w:lang w:val="en-US" w:eastAsia="en-US"/>
        </w:rPr>
        <w:t xml:space="preserve">Following the agreement of the ENV WG-V-2018 to </w:t>
      </w:r>
      <w:proofErr w:type="spellStart"/>
      <w:r>
        <w:rPr>
          <w:rFonts w:eastAsia="Calibri"/>
          <w:lang w:val="en-US" w:eastAsia="en-US"/>
        </w:rPr>
        <w:t>harmonise</w:t>
      </w:r>
      <w:proofErr w:type="spellEnd"/>
      <w:r>
        <w:rPr>
          <w:rFonts w:eastAsia="Calibri"/>
          <w:lang w:val="en-US" w:eastAsia="en-US"/>
        </w:rPr>
        <w:t xml:space="preserve"> the value for the treated skin area with that of the Human Health assessment, a value of 55% of the total body surface area will be applied. </w:t>
      </w:r>
    </w:p>
    <w:p w14:paraId="6AADDFB4" w14:textId="77777777" w:rsidR="00E56D9B" w:rsidRPr="00EC6035" w:rsidRDefault="00E56D9B" w:rsidP="00E56D9B">
      <w:pPr>
        <w:jc w:val="center"/>
        <w:rPr>
          <w:rFonts w:eastAsia="Calibri"/>
          <w:b/>
          <w:lang w:val="en-US" w:eastAsia="en-US"/>
        </w:rPr>
      </w:pPr>
      <w:proofErr w:type="spellStart"/>
      <w:r>
        <w:rPr>
          <w:rFonts w:eastAsia="Calibri"/>
          <w:b/>
          <w:lang w:val="en-US" w:eastAsia="en-US"/>
        </w:rPr>
        <w:t>AREA</w:t>
      </w:r>
      <w:r w:rsidRPr="002952A0">
        <w:rPr>
          <w:rFonts w:eastAsia="Calibri"/>
          <w:b/>
          <w:vertAlign w:val="subscript"/>
          <w:lang w:val="en-US" w:eastAsia="en-US"/>
        </w:rPr>
        <w:t>skin</w:t>
      </w:r>
      <w:proofErr w:type="spellEnd"/>
      <w:r>
        <w:rPr>
          <w:rFonts w:eastAsia="Calibri"/>
          <w:b/>
          <w:lang w:val="en-US" w:eastAsia="en-US"/>
        </w:rPr>
        <w:t> = </w:t>
      </w:r>
      <w:r w:rsidRPr="007D6BCE">
        <w:rPr>
          <w:rFonts w:eastAsia="Calibri"/>
          <w:b/>
          <w:lang w:val="en-US" w:eastAsia="en-US"/>
        </w:rPr>
        <w:t>9130</w:t>
      </w:r>
      <w:r>
        <w:rPr>
          <w:rFonts w:eastAsia="Calibri"/>
          <w:b/>
          <w:lang w:val="en-US" w:eastAsia="en-US"/>
        </w:rPr>
        <w:t> cm²</w:t>
      </w:r>
    </w:p>
    <w:p w14:paraId="0101B938" w14:textId="77777777" w:rsidR="00EC6035" w:rsidRDefault="00EC6035" w:rsidP="003720C3">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1649"/>
        <w:gridCol w:w="2503"/>
        <w:gridCol w:w="952"/>
        <w:gridCol w:w="1105"/>
      </w:tblGrid>
      <w:tr w:rsidR="008375F5" w:rsidRPr="007A7C32" w14:paraId="2C28CF34" w14:textId="77777777" w:rsidTr="008375F5">
        <w:trPr>
          <w:trHeight w:val="346"/>
        </w:trPr>
        <w:tc>
          <w:tcPr>
            <w:tcW w:w="5000" w:type="pct"/>
            <w:gridSpan w:val="5"/>
            <w:shd w:val="clear" w:color="auto" w:fill="FFFFCC"/>
            <w:vAlign w:val="center"/>
          </w:tcPr>
          <w:p w14:paraId="3A2B5A02" w14:textId="77777777" w:rsidR="008375F5" w:rsidRPr="007A7C32" w:rsidRDefault="008375F5" w:rsidP="007A7C32">
            <w:pPr>
              <w:pStyle w:val="Standaard-Tabellen"/>
              <w:jc w:val="center"/>
              <w:rPr>
                <w:rFonts w:eastAsia="Calibri"/>
                <w:b/>
              </w:rPr>
            </w:pPr>
            <w:r w:rsidRPr="007A7C32">
              <w:rPr>
                <w:rFonts w:eastAsia="Calibri"/>
                <w:b/>
              </w:rPr>
              <w:t>Input parameters for calculating the local emission</w:t>
            </w:r>
          </w:p>
        </w:tc>
      </w:tr>
      <w:tr w:rsidR="008375F5" w:rsidRPr="007A7C32" w14:paraId="671727C8" w14:textId="77777777" w:rsidTr="008375F5">
        <w:trPr>
          <w:trHeight w:val="75"/>
        </w:trPr>
        <w:tc>
          <w:tcPr>
            <w:tcW w:w="1717" w:type="pct"/>
            <w:shd w:val="clear" w:color="auto" w:fill="BFBFBF" w:themeFill="background1" w:themeFillShade="BF"/>
            <w:vAlign w:val="center"/>
          </w:tcPr>
          <w:p w14:paraId="34A1BFFA" w14:textId="77777777" w:rsidR="008375F5" w:rsidRPr="007A7C32" w:rsidRDefault="008375F5" w:rsidP="007A7C32">
            <w:pPr>
              <w:pStyle w:val="Standaard-Tabellen"/>
              <w:rPr>
                <w:rFonts w:eastAsia="Calibri" w:cs="Arial"/>
                <w:b/>
                <w:color w:val="000000"/>
              </w:rPr>
            </w:pPr>
            <w:r w:rsidRPr="007A7C32">
              <w:rPr>
                <w:rFonts w:eastAsia="Calibri" w:cs="Arial"/>
                <w:b/>
                <w:color w:val="000000"/>
              </w:rPr>
              <w:t xml:space="preserve">Input </w:t>
            </w:r>
          </w:p>
        </w:tc>
        <w:tc>
          <w:tcPr>
            <w:tcW w:w="896" w:type="pct"/>
            <w:shd w:val="clear" w:color="auto" w:fill="BFBFBF" w:themeFill="background1" w:themeFillShade="BF"/>
            <w:vAlign w:val="center"/>
          </w:tcPr>
          <w:p w14:paraId="3C4EBB9A" w14:textId="77777777" w:rsidR="008375F5" w:rsidRPr="007A7C32" w:rsidRDefault="008375F5" w:rsidP="007A7C32">
            <w:pPr>
              <w:pStyle w:val="Standaard-Tabellen"/>
              <w:rPr>
                <w:rFonts w:eastAsia="Calibri" w:cs="Arial"/>
                <w:b/>
                <w:color w:val="000000"/>
              </w:rPr>
            </w:pPr>
            <w:r>
              <w:rPr>
                <w:rFonts w:eastAsia="Calibri" w:cs="Arial"/>
                <w:b/>
                <w:color w:val="000000"/>
              </w:rPr>
              <w:t>Nomenclature</w:t>
            </w:r>
          </w:p>
        </w:tc>
        <w:tc>
          <w:tcPr>
            <w:tcW w:w="1350" w:type="pct"/>
            <w:shd w:val="clear" w:color="auto" w:fill="BFBFBF" w:themeFill="background1" w:themeFillShade="BF"/>
            <w:vAlign w:val="center"/>
          </w:tcPr>
          <w:p w14:paraId="337FDE5C" w14:textId="77777777" w:rsidR="008375F5" w:rsidRPr="007A7C32" w:rsidRDefault="008375F5" w:rsidP="007A7C32">
            <w:pPr>
              <w:pStyle w:val="Standaard-Tabellen"/>
              <w:rPr>
                <w:rFonts w:eastAsia="Calibri" w:cs="Arial"/>
                <w:b/>
                <w:color w:val="000000"/>
              </w:rPr>
            </w:pPr>
            <w:r>
              <w:rPr>
                <w:rFonts w:eastAsia="Calibri" w:cs="Arial"/>
                <w:b/>
                <w:color w:val="000000"/>
              </w:rPr>
              <w:t>Value</w:t>
            </w:r>
          </w:p>
        </w:tc>
        <w:tc>
          <w:tcPr>
            <w:tcW w:w="506" w:type="pct"/>
            <w:shd w:val="clear" w:color="auto" w:fill="BFBFBF" w:themeFill="background1" w:themeFillShade="BF"/>
            <w:vAlign w:val="center"/>
          </w:tcPr>
          <w:p w14:paraId="4B8239FA" w14:textId="77777777" w:rsidR="008375F5" w:rsidRPr="007A7C32" w:rsidRDefault="008375F5" w:rsidP="007A7C32">
            <w:pPr>
              <w:pStyle w:val="Standaard-Tabellen"/>
              <w:rPr>
                <w:rFonts w:eastAsia="Calibri" w:cs="Arial"/>
                <w:b/>
                <w:color w:val="000000"/>
              </w:rPr>
            </w:pPr>
            <w:r>
              <w:rPr>
                <w:rFonts w:eastAsia="Calibri" w:cs="Arial"/>
                <w:b/>
                <w:color w:val="000000"/>
              </w:rPr>
              <w:t>Unit</w:t>
            </w:r>
          </w:p>
        </w:tc>
        <w:tc>
          <w:tcPr>
            <w:tcW w:w="531" w:type="pct"/>
            <w:shd w:val="clear" w:color="auto" w:fill="BFBFBF" w:themeFill="background1" w:themeFillShade="BF"/>
          </w:tcPr>
          <w:p w14:paraId="5DF6FB65" w14:textId="77777777" w:rsidR="008375F5" w:rsidRDefault="008375F5" w:rsidP="007A7C32">
            <w:pPr>
              <w:pStyle w:val="Standaard-Tabellen"/>
              <w:rPr>
                <w:rFonts w:eastAsia="Calibri" w:cs="Arial"/>
                <w:b/>
                <w:color w:val="000000"/>
              </w:rPr>
            </w:pPr>
            <w:r>
              <w:rPr>
                <w:rFonts w:eastAsia="Calibri" w:cs="Arial"/>
                <w:b/>
                <w:color w:val="000000"/>
              </w:rPr>
              <w:t>Remarks</w:t>
            </w:r>
          </w:p>
        </w:tc>
      </w:tr>
      <w:tr w:rsidR="008375F5" w:rsidRPr="007A7C32" w14:paraId="7AE0741E" w14:textId="77777777" w:rsidTr="008375F5">
        <w:trPr>
          <w:trHeight w:val="75"/>
        </w:trPr>
        <w:tc>
          <w:tcPr>
            <w:tcW w:w="5000" w:type="pct"/>
            <w:gridSpan w:val="5"/>
            <w:shd w:val="clear" w:color="auto" w:fill="E2EFD9" w:themeFill="accent6" w:themeFillTint="33"/>
            <w:vAlign w:val="center"/>
          </w:tcPr>
          <w:p w14:paraId="7E5E188A" w14:textId="77777777" w:rsidR="008375F5" w:rsidRDefault="008375F5" w:rsidP="007A7C32">
            <w:pPr>
              <w:pStyle w:val="Standaard-Tabellen"/>
              <w:rPr>
                <w:rFonts w:eastAsia="Calibri"/>
                <w:i/>
                <w:color w:val="000000"/>
                <w:szCs w:val="18"/>
              </w:rPr>
            </w:pPr>
            <w:r>
              <w:rPr>
                <w:rFonts w:eastAsia="Calibri"/>
                <w:i/>
                <w:color w:val="000000"/>
                <w:szCs w:val="18"/>
              </w:rPr>
              <w:t>Scenario</w:t>
            </w:r>
            <w:r>
              <w:rPr>
                <w:rFonts w:eastAsia="Calibri"/>
                <w:i/>
              </w:rPr>
              <w:t>: Release of repellents used on human skin based on the average consumption</w:t>
            </w:r>
          </w:p>
        </w:tc>
      </w:tr>
      <w:tr w:rsidR="008375F5" w:rsidRPr="00FD2055" w14:paraId="77821D56" w14:textId="77777777" w:rsidTr="008375F5">
        <w:trPr>
          <w:trHeight w:val="75"/>
        </w:trPr>
        <w:tc>
          <w:tcPr>
            <w:tcW w:w="1717" w:type="pct"/>
            <w:shd w:val="clear" w:color="auto" w:fill="auto"/>
            <w:vAlign w:val="center"/>
          </w:tcPr>
          <w:p w14:paraId="0FD3AB32" w14:textId="77777777" w:rsidR="008375F5" w:rsidRPr="003D5898" w:rsidRDefault="008375F5" w:rsidP="003D5898">
            <w:pPr>
              <w:pStyle w:val="Standaard-Tabellen"/>
              <w:rPr>
                <w:rFonts w:eastAsia="Calibri"/>
              </w:rPr>
            </w:pPr>
            <w:r w:rsidRPr="003D5898">
              <w:rPr>
                <w:rFonts w:eastAsia="Calibri"/>
              </w:rPr>
              <w:t>Number of inhabitants feeding one STP</w:t>
            </w:r>
          </w:p>
        </w:tc>
        <w:tc>
          <w:tcPr>
            <w:tcW w:w="896" w:type="pct"/>
            <w:shd w:val="clear" w:color="auto" w:fill="auto"/>
            <w:vAlign w:val="center"/>
          </w:tcPr>
          <w:p w14:paraId="465B603A" w14:textId="77777777" w:rsidR="008375F5" w:rsidRPr="003D5898" w:rsidRDefault="008375F5" w:rsidP="003D5898">
            <w:pPr>
              <w:pStyle w:val="Standaard-Tabellen"/>
              <w:rPr>
                <w:rFonts w:eastAsia="Calibri"/>
              </w:rPr>
            </w:pPr>
            <w:proofErr w:type="spellStart"/>
            <w:r w:rsidRPr="003D5898">
              <w:rPr>
                <w:rFonts w:eastAsia="Calibri"/>
              </w:rPr>
              <w:t>Nlocal</w:t>
            </w:r>
            <w:proofErr w:type="spellEnd"/>
          </w:p>
        </w:tc>
        <w:tc>
          <w:tcPr>
            <w:tcW w:w="1350" w:type="pct"/>
            <w:shd w:val="clear" w:color="auto" w:fill="auto"/>
            <w:vAlign w:val="center"/>
          </w:tcPr>
          <w:p w14:paraId="3A875A5A" w14:textId="77777777" w:rsidR="008375F5" w:rsidRPr="003D5898" w:rsidRDefault="008375F5" w:rsidP="003D5898">
            <w:pPr>
              <w:pStyle w:val="Standaard-Tabellen"/>
              <w:rPr>
                <w:rFonts w:eastAsia="Calibri"/>
              </w:rPr>
            </w:pPr>
            <w:r w:rsidRPr="003D5898">
              <w:rPr>
                <w:rFonts w:eastAsia="Calibri"/>
              </w:rPr>
              <w:t>10 000</w:t>
            </w:r>
          </w:p>
        </w:tc>
        <w:tc>
          <w:tcPr>
            <w:tcW w:w="506" w:type="pct"/>
            <w:shd w:val="clear" w:color="auto" w:fill="auto"/>
            <w:vAlign w:val="center"/>
          </w:tcPr>
          <w:p w14:paraId="75A1FAE5" w14:textId="77777777" w:rsidR="008375F5" w:rsidRPr="003D5898" w:rsidRDefault="008375F5" w:rsidP="003D5898">
            <w:pPr>
              <w:pStyle w:val="Standaard-Tabellen"/>
              <w:rPr>
                <w:rFonts w:eastAsia="Calibri"/>
              </w:rPr>
            </w:pPr>
            <w:r w:rsidRPr="003D5898">
              <w:rPr>
                <w:rFonts w:eastAsia="Calibri"/>
              </w:rPr>
              <w:t>cap</w:t>
            </w:r>
          </w:p>
        </w:tc>
        <w:tc>
          <w:tcPr>
            <w:tcW w:w="531" w:type="pct"/>
          </w:tcPr>
          <w:p w14:paraId="622318FA" w14:textId="77777777" w:rsidR="008375F5" w:rsidRPr="003D5898" w:rsidRDefault="008375F5" w:rsidP="003D5898">
            <w:pPr>
              <w:pStyle w:val="Standaard-Tabellen"/>
              <w:rPr>
                <w:rFonts w:eastAsia="Calibri"/>
              </w:rPr>
            </w:pPr>
            <w:r>
              <w:rPr>
                <w:rFonts w:eastAsia="Calibri"/>
              </w:rPr>
              <w:t>D</w:t>
            </w:r>
          </w:p>
        </w:tc>
      </w:tr>
      <w:tr w:rsidR="008375F5" w:rsidRPr="00FD2055" w14:paraId="69FD0A1E" w14:textId="77777777" w:rsidTr="008375F5">
        <w:trPr>
          <w:trHeight w:val="93"/>
        </w:trPr>
        <w:tc>
          <w:tcPr>
            <w:tcW w:w="1717" w:type="pct"/>
            <w:shd w:val="clear" w:color="auto" w:fill="auto"/>
            <w:vAlign w:val="center"/>
          </w:tcPr>
          <w:p w14:paraId="55AC695F" w14:textId="77777777" w:rsidR="008375F5" w:rsidRPr="003D5898" w:rsidRDefault="008375F5" w:rsidP="003D5898">
            <w:pPr>
              <w:pStyle w:val="Standaard-Tabellen"/>
              <w:rPr>
                <w:rFonts w:eastAsia="Calibri"/>
              </w:rPr>
            </w:pPr>
            <w:r w:rsidRPr="003D5898">
              <w:rPr>
                <w:rFonts w:eastAsia="Calibri"/>
              </w:rPr>
              <w:t>Active substance in product</w:t>
            </w:r>
          </w:p>
        </w:tc>
        <w:tc>
          <w:tcPr>
            <w:tcW w:w="896" w:type="pct"/>
            <w:shd w:val="clear" w:color="auto" w:fill="auto"/>
            <w:vAlign w:val="center"/>
          </w:tcPr>
          <w:p w14:paraId="5253488A" w14:textId="77777777" w:rsidR="008375F5" w:rsidRPr="003D5898" w:rsidRDefault="008375F5" w:rsidP="003D5898">
            <w:pPr>
              <w:pStyle w:val="Standaard-Tabellen"/>
              <w:rPr>
                <w:rFonts w:eastAsia="Calibri"/>
              </w:rPr>
            </w:pPr>
            <w:r w:rsidRPr="003D5898">
              <w:rPr>
                <w:rFonts w:eastAsia="Calibri"/>
              </w:rPr>
              <w:t xml:space="preserve">(B) </w:t>
            </w:r>
            <w:proofErr w:type="spellStart"/>
            <w:r w:rsidRPr="003D5898">
              <w:rPr>
                <w:rFonts w:eastAsia="Calibri"/>
              </w:rPr>
              <w:t>Cformweight</w:t>
            </w:r>
            <w:proofErr w:type="spellEnd"/>
          </w:p>
        </w:tc>
        <w:tc>
          <w:tcPr>
            <w:tcW w:w="1350" w:type="pct"/>
            <w:shd w:val="clear" w:color="auto" w:fill="auto"/>
            <w:vAlign w:val="center"/>
          </w:tcPr>
          <w:p w14:paraId="6012A69B" w14:textId="77777777" w:rsidR="008375F5" w:rsidRPr="003D5898" w:rsidRDefault="00700E0E" w:rsidP="003D5898">
            <w:pPr>
              <w:pStyle w:val="Standaard-Tabellen"/>
              <w:rPr>
                <w:rFonts w:eastAsia="Calibri"/>
              </w:rPr>
            </w:pPr>
            <w:r>
              <w:rPr>
                <w:rFonts w:eastAsia="Calibri"/>
              </w:rPr>
              <w:t>1</w:t>
            </w:r>
            <w:r w:rsidR="008375F5" w:rsidRPr="003D5898">
              <w:rPr>
                <w:rFonts w:eastAsia="Calibri"/>
              </w:rPr>
              <w:t>00</w:t>
            </w:r>
          </w:p>
        </w:tc>
        <w:tc>
          <w:tcPr>
            <w:tcW w:w="506" w:type="pct"/>
            <w:shd w:val="clear" w:color="auto" w:fill="auto"/>
            <w:vAlign w:val="center"/>
          </w:tcPr>
          <w:p w14:paraId="468E654B" w14:textId="77777777" w:rsidR="008375F5" w:rsidRPr="003D5898" w:rsidRDefault="008375F5" w:rsidP="003D5898">
            <w:pPr>
              <w:pStyle w:val="Standaard-Tabellen"/>
              <w:rPr>
                <w:rFonts w:eastAsia="Calibri"/>
              </w:rPr>
            </w:pPr>
            <w:r w:rsidRPr="003D5898">
              <w:rPr>
                <w:rFonts w:eastAsia="Calibri"/>
              </w:rPr>
              <w:t>g/kg</w:t>
            </w:r>
          </w:p>
        </w:tc>
        <w:tc>
          <w:tcPr>
            <w:tcW w:w="531" w:type="pct"/>
          </w:tcPr>
          <w:p w14:paraId="5FD0D80B" w14:textId="77777777" w:rsidR="008375F5" w:rsidRPr="003D5898" w:rsidRDefault="00700E0E" w:rsidP="003D5898">
            <w:pPr>
              <w:pStyle w:val="Standaard-Tabellen"/>
              <w:rPr>
                <w:rFonts w:eastAsia="Calibri"/>
              </w:rPr>
            </w:pPr>
            <w:r>
              <w:rPr>
                <w:rFonts w:eastAsia="Calibri"/>
              </w:rPr>
              <w:t>(1</w:t>
            </w:r>
            <w:r w:rsidR="008375F5">
              <w:rPr>
                <w:rFonts w:eastAsia="Calibri"/>
              </w:rPr>
              <w:t>0 %)</w:t>
            </w:r>
          </w:p>
        </w:tc>
      </w:tr>
      <w:tr w:rsidR="008375F5" w:rsidRPr="00FD2055" w14:paraId="2C4CBA21" w14:textId="77777777" w:rsidTr="008375F5">
        <w:trPr>
          <w:trHeight w:val="93"/>
        </w:trPr>
        <w:tc>
          <w:tcPr>
            <w:tcW w:w="1717" w:type="pct"/>
            <w:shd w:val="clear" w:color="auto" w:fill="auto"/>
          </w:tcPr>
          <w:p w14:paraId="2B79FEDC" w14:textId="77777777" w:rsidR="008375F5" w:rsidRPr="003D5898" w:rsidRDefault="008375F5" w:rsidP="003D5898">
            <w:pPr>
              <w:pStyle w:val="Standaard-Tabellen"/>
              <w:rPr>
                <w:rFonts w:eastAsia="Calibri"/>
              </w:rPr>
            </w:pPr>
            <w:r w:rsidRPr="003D5898">
              <w:rPr>
                <w:rFonts w:eastAsia="Calibri"/>
              </w:rPr>
              <w:t>Consumption per application</w:t>
            </w:r>
          </w:p>
        </w:tc>
        <w:tc>
          <w:tcPr>
            <w:tcW w:w="896" w:type="pct"/>
            <w:shd w:val="clear" w:color="auto" w:fill="auto"/>
          </w:tcPr>
          <w:p w14:paraId="02330F39" w14:textId="77777777" w:rsidR="008375F5" w:rsidRPr="003D5898" w:rsidRDefault="008375F5" w:rsidP="003D5898">
            <w:pPr>
              <w:pStyle w:val="Standaard-Tabellen"/>
              <w:rPr>
                <w:rFonts w:eastAsia="Calibri"/>
              </w:rPr>
            </w:pPr>
            <w:r w:rsidRPr="003D5898">
              <w:rPr>
                <w:rFonts w:eastAsia="Calibri"/>
              </w:rPr>
              <w:t xml:space="preserve">(D2) </w:t>
            </w:r>
            <w:proofErr w:type="spellStart"/>
            <w:r w:rsidRPr="003D5898">
              <w:rPr>
                <w:rFonts w:eastAsia="Calibri"/>
              </w:rPr>
              <w:t>Qformappl</w:t>
            </w:r>
            <w:proofErr w:type="spellEnd"/>
          </w:p>
        </w:tc>
        <w:tc>
          <w:tcPr>
            <w:tcW w:w="1350" w:type="pct"/>
            <w:shd w:val="clear" w:color="auto" w:fill="auto"/>
          </w:tcPr>
          <w:p w14:paraId="7BDBB440" w14:textId="63E69D04" w:rsidR="008375F5" w:rsidRPr="00E7111C" w:rsidRDefault="00E56D9B" w:rsidP="00E7111C">
            <w:pPr>
              <w:pStyle w:val="Standaard-Tabellen"/>
              <w:rPr>
                <w:rFonts w:eastAsia="Calibri"/>
              </w:rPr>
            </w:pPr>
            <w:r>
              <w:rPr>
                <w:rFonts w:eastAsia="Calibri"/>
              </w:rPr>
              <w:t>1.15</w:t>
            </w:r>
          </w:p>
        </w:tc>
        <w:tc>
          <w:tcPr>
            <w:tcW w:w="506" w:type="pct"/>
            <w:shd w:val="clear" w:color="auto" w:fill="auto"/>
          </w:tcPr>
          <w:p w14:paraId="369F0472" w14:textId="77777777" w:rsidR="008375F5" w:rsidRPr="003D5898" w:rsidRDefault="008375F5" w:rsidP="003D5898">
            <w:pPr>
              <w:pStyle w:val="Standaard-Tabellen"/>
              <w:rPr>
                <w:rFonts w:eastAsia="Calibri"/>
              </w:rPr>
            </w:pPr>
            <w:r w:rsidRPr="003D5898">
              <w:rPr>
                <w:rFonts w:eastAsia="Calibri"/>
              </w:rPr>
              <w:t>mg/cm²</w:t>
            </w:r>
          </w:p>
        </w:tc>
        <w:tc>
          <w:tcPr>
            <w:tcW w:w="531" w:type="pct"/>
          </w:tcPr>
          <w:p w14:paraId="0D7A6A4D" w14:textId="77777777" w:rsidR="008375F5" w:rsidRPr="003D5898" w:rsidRDefault="008375F5" w:rsidP="003D5898">
            <w:pPr>
              <w:pStyle w:val="Standaard-Tabellen"/>
              <w:rPr>
                <w:rFonts w:eastAsia="Calibri"/>
              </w:rPr>
            </w:pPr>
            <w:r>
              <w:rPr>
                <w:rFonts w:eastAsia="Calibri"/>
              </w:rPr>
              <w:t>(see above)</w:t>
            </w:r>
          </w:p>
        </w:tc>
      </w:tr>
      <w:tr w:rsidR="008375F5" w:rsidRPr="00FD2055" w14:paraId="52DCDF82" w14:textId="77777777" w:rsidTr="008375F5">
        <w:trPr>
          <w:trHeight w:val="93"/>
        </w:trPr>
        <w:tc>
          <w:tcPr>
            <w:tcW w:w="1717" w:type="pct"/>
            <w:shd w:val="clear" w:color="auto" w:fill="auto"/>
            <w:vAlign w:val="center"/>
          </w:tcPr>
          <w:p w14:paraId="168D59A2" w14:textId="77777777" w:rsidR="008375F5" w:rsidRPr="003D5898" w:rsidRDefault="008375F5" w:rsidP="003D5898">
            <w:pPr>
              <w:pStyle w:val="Standaard-Tabellen"/>
              <w:rPr>
                <w:rFonts w:eastAsia="Calibri"/>
              </w:rPr>
            </w:pPr>
            <w:r w:rsidRPr="003D5898">
              <w:rPr>
                <w:rFonts w:eastAsia="Calibri"/>
              </w:rPr>
              <w:t>Number of applications per day</w:t>
            </w:r>
          </w:p>
        </w:tc>
        <w:tc>
          <w:tcPr>
            <w:tcW w:w="896" w:type="pct"/>
            <w:shd w:val="clear" w:color="auto" w:fill="auto"/>
            <w:vAlign w:val="center"/>
          </w:tcPr>
          <w:p w14:paraId="47B466EE" w14:textId="77777777" w:rsidR="008375F5" w:rsidRPr="003D5898" w:rsidRDefault="008375F5" w:rsidP="003D5898">
            <w:pPr>
              <w:pStyle w:val="Standaard-Tabellen"/>
              <w:rPr>
                <w:rFonts w:eastAsia="Calibri"/>
              </w:rPr>
            </w:pPr>
            <w:proofErr w:type="spellStart"/>
            <w:r w:rsidRPr="003D5898">
              <w:rPr>
                <w:rFonts w:eastAsia="Calibri"/>
              </w:rPr>
              <w:t>Nappl</w:t>
            </w:r>
            <w:proofErr w:type="spellEnd"/>
          </w:p>
        </w:tc>
        <w:tc>
          <w:tcPr>
            <w:tcW w:w="1350" w:type="pct"/>
            <w:shd w:val="clear" w:color="auto" w:fill="auto"/>
            <w:vAlign w:val="center"/>
          </w:tcPr>
          <w:p w14:paraId="6EDD9273" w14:textId="4687F291" w:rsidR="008375F5" w:rsidRPr="00E7111C" w:rsidRDefault="00E56D9B" w:rsidP="003D5898">
            <w:pPr>
              <w:pStyle w:val="Standaard-Tabellen"/>
              <w:rPr>
                <w:rFonts w:eastAsia="Calibri"/>
              </w:rPr>
            </w:pPr>
            <w:r>
              <w:rPr>
                <w:rFonts w:eastAsia="Calibri"/>
              </w:rPr>
              <w:t>2</w:t>
            </w:r>
          </w:p>
        </w:tc>
        <w:tc>
          <w:tcPr>
            <w:tcW w:w="506" w:type="pct"/>
            <w:shd w:val="clear" w:color="auto" w:fill="auto"/>
            <w:vAlign w:val="center"/>
          </w:tcPr>
          <w:p w14:paraId="45482563" w14:textId="77777777" w:rsidR="008375F5" w:rsidRPr="003D5898" w:rsidRDefault="008375F5" w:rsidP="003D5898">
            <w:pPr>
              <w:pStyle w:val="Standaard-Tabellen"/>
              <w:rPr>
                <w:rFonts w:eastAsia="Calibri"/>
              </w:rPr>
            </w:pPr>
            <w:r w:rsidRPr="003D5898">
              <w:rPr>
                <w:rFonts w:eastAsia="Calibri"/>
              </w:rPr>
              <w:t>d</w:t>
            </w:r>
            <w:r w:rsidRPr="00E7111C">
              <w:rPr>
                <w:rFonts w:eastAsia="Calibri"/>
                <w:vertAlign w:val="superscript"/>
              </w:rPr>
              <w:t>-1</w:t>
            </w:r>
          </w:p>
        </w:tc>
        <w:tc>
          <w:tcPr>
            <w:tcW w:w="531" w:type="pct"/>
          </w:tcPr>
          <w:p w14:paraId="7BCF181C" w14:textId="77777777" w:rsidR="008375F5" w:rsidRPr="003D5898" w:rsidRDefault="008375F5" w:rsidP="003D5898">
            <w:pPr>
              <w:pStyle w:val="Standaard-Tabellen"/>
              <w:rPr>
                <w:rFonts w:eastAsia="Calibri"/>
              </w:rPr>
            </w:pPr>
            <w:r>
              <w:rPr>
                <w:rFonts w:eastAsia="Calibri"/>
              </w:rPr>
              <w:t>(see above)</w:t>
            </w:r>
          </w:p>
        </w:tc>
      </w:tr>
      <w:tr w:rsidR="008375F5" w:rsidRPr="00FD2055" w14:paraId="66583B71" w14:textId="77777777" w:rsidTr="008375F5">
        <w:trPr>
          <w:trHeight w:val="93"/>
        </w:trPr>
        <w:tc>
          <w:tcPr>
            <w:tcW w:w="1717" w:type="pct"/>
            <w:shd w:val="clear" w:color="auto" w:fill="auto"/>
          </w:tcPr>
          <w:p w14:paraId="7E776972" w14:textId="77777777" w:rsidR="008375F5" w:rsidRPr="003D5898" w:rsidRDefault="008375F5" w:rsidP="003D5898">
            <w:pPr>
              <w:pStyle w:val="Standaard-Tabellen"/>
              <w:rPr>
                <w:rFonts w:eastAsia="Calibri"/>
              </w:rPr>
            </w:pPr>
            <w:r w:rsidRPr="003D5898">
              <w:rPr>
                <w:rFonts w:eastAsia="Calibri"/>
              </w:rPr>
              <w:t>Treated area of human skin</w:t>
            </w:r>
          </w:p>
        </w:tc>
        <w:tc>
          <w:tcPr>
            <w:tcW w:w="896" w:type="pct"/>
            <w:shd w:val="clear" w:color="auto" w:fill="auto"/>
          </w:tcPr>
          <w:p w14:paraId="461537D8" w14:textId="77777777" w:rsidR="008375F5" w:rsidRPr="003D5898" w:rsidRDefault="008375F5" w:rsidP="003D5898">
            <w:pPr>
              <w:pStyle w:val="Standaard-Tabellen"/>
              <w:rPr>
                <w:rFonts w:eastAsia="Calibri"/>
              </w:rPr>
            </w:pPr>
            <w:proofErr w:type="spellStart"/>
            <w:r w:rsidRPr="003D5898">
              <w:rPr>
                <w:rFonts w:eastAsia="Calibri"/>
              </w:rPr>
              <w:t>AREA</w:t>
            </w:r>
            <w:r w:rsidRPr="002952A0">
              <w:rPr>
                <w:rFonts w:eastAsia="Calibri"/>
                <w:vertAlign w:val="subscript"/>
              </w:rPr>
              <w:t>skin</w:t>
            </w:r>
            <w:proofErr w:type="spellEnd"/>
          </w:p>
        </w:tc>
        <w:tc>
          <w:tcPr>
            <w:tcW w:w="1350" w:type="pct"/>
            <w:shd w:val="clear" w:color="auto" w:fill="auto"/>
          </w:tcPr>
          <w:p w14:paraId="370C3602" w14:textId="67C70053" w:rsidR="008375F5" w:rsidRPr="00E7111C" w:rsidRDefault="008375F5" w:rsidP="00E56D9B">
            <w:pPr>
              <w:pStyle w:val="Standaard-Tabellen"/>
              <w:rPr>
                <w:rFonts w:eastAsia="Calibri"/>
              </w:rPr>
            </w:pPr>
            <w:r w:rsidRPr="00E7111C">
              <w:rPr>
                <w:rFonts w:eastAsia="Calibri"/>
              </w:rPr>
              <w:t>9</w:t>
            </w:r>
            <w:r w:rsidR="00E56D9B">
              <w:rPr>
                <w:rFonts w:eastAsia="Calibri"/>
              </w:rPr>
              <w:t>1</w:t>
            </w:r>
            <w:r w:rsidRPr="00E7111C">
              <w:rPr>
                <w:rFonts w:eastAsia="Calibri"/>
              </w:rPr>
              <w:t>30</w:t>
            </w:r>
          </w:p>
        </w:tc>
        <w:tc>
          <w:tcPr>
            <w:tcW w:w="506" w:type="pct"/>
            <w:shd w:val="clear" w:color="auto" w:fill="auto"/>
          </w:tcPr>
          <w:p w14:paraId="6A80AAB7" w14:textId="77777777" w:rsidR="008375F5" w:rsidRPr="003D5898" w:rsidRDefault="008375F5" w:rsidP="003D5898">
            <w:pPr>
              <w:pStyle w:val="Standaard-Tabellen"/>
              <w:rPr>
                <w:rFonts w:eastAsia="Calibri"/>
              </w:rPr>
            </w:pPr>
            <w:r w:rsidRPr="003D5898">
              <w:rPr>
                <w:rFonts w:eastAsia="Calibri"/>
              </w:rPr>
              <w:t>cm²</w:t>
            </w:r>
          </w:p>
        </w:tc>
        <w:tc>
          <w:tcPr>
            <w:tcW w:w="531" w:type="pct"/>
          </w:tcPr>
          <w:p w14:paraId="65220CF7" w14:textId="77777777" w:rsidR="008375F5" w:rsidRPr="003D5898" w:rsidRDefault="008375F5" w:rsidP="003F1510">
            <w:pPr>
              <w:pStyle w:val="Standaard-Tabellen"/>
              <w:rPr>
                <w:rFonts w:eastAsia="Calibri"/>
              </w:rPr>
            </w:pPr>
            <w:r>
              <w:rPr>
                <w:rFonts w:eastAsia="Calibri"/>
              </w:rPr>
              <w:t>(</w:t>
            </w:r>
            <w:r w:rsidR="003F1510">
              <w:rPr>
                <w:rFonts w:eastAsia="Calibri"/>
              </w:rPr>
              <w:t>see above)</w:t>
            </w:r>
          </w:p>
        </w:tc>
      </w:tr>
      <w:tr w:rsidR="008375F5" w:rsidRPr="00FD2055" w14:paraId="1F180B71" w14:textId="77777777" w:rsidTr="008375F5">
        <w:trPr>
          <w:trHeight w:val="93"/>
        </w:trPr>
        <w:tc>
          <w:tcPr>
            <w:tcW w:w="1717" w:type="pct"/>
            <w:shd w:val="clear" w:color="auto" w:fill="auto"/>
          </w:tcPr>
          <w:p w14:paraId="61ED447A" w14:textId="77777777" w:rsidR="008375F5" w:rsidRPr="003D5898" w:rsidRDefault="008375F5" w:rsidP="003D5898">
            <w:pPr>
              <w:pStyle w:val="Standaard-Tabellen"/>
              <w:rPr>
                <w:rFonts w:eastAsia="Calibri"/>
              </w:rPr>
            </w:pPr>
            <w:r w:rsidRPr="003D5898">
              <w:rPr>
                <w:rFonts w:eastAsia="Calibri"/>
              </w:rPr>
              <w:t xml:space="preserve">Fraction </w:t>
            </w:r>
            <w:proofErr w:type="spellStart"/>
            <w:r w:rsidRPr="003D5898">
              <w:rPr>
                <w:rFonts w:eastAsia="Calibri"/>
              </w:rPr>
              <w:t>realeased</w:t>
            </w:r>
            <w:proofErr w:type="spellEnd"/>
            <w:r w:rsidRPr="003D5898">
              <w:rPr>
                <w:rFonts w:eastAsia="Calibri"/>
              </w:rPr>
              <w:t xml:space="preserve"> to air</w:t>
            </w:r>
          </w:p>
        </w:tc>
        <w:tc>
          <w:tcPr>
            <w:tcW w:w="896" w:type="pct"/>
            <w:shd w:val="clear" w:color="auto" w:fill="auto"/>
          </w:tcPr>
          <w:p w14:paraId="6668E1C5" w14:textId="77777777" w:rsidR="008375F5" w:rsidRPr="003D5898" w:rsidRDefault="008375F5" w:rsidP="003D5898">
            <w:pPr>
              <w:pStyle w:val="Standaard-Tabellen"/>
              <w:rPr>
                <w:rFonts w:eastAsia="Calibri"/>
              </w:rPr>
            </w:pPr>
            <w:r w:rsidRPr="003D5898">
              <w:rPr>
                <w:rFonts w:eastAsia="Calibri"/>
              </w:rPr>
              <w:t>Fair</w:t>
            </w:r>
          </w:p>
        </w:tc>
        <w:tc>
          <w:tcPr>
            <w:tcW w:w="1350" w:type="pct"/>
            <w:shd w:val="clear" w:color="auto" w:fill="auto"/>
          </w:tcPr>
          <w:p w14:paraId="60AA4085" w14:textId="77777777" w:rsidR="008375F5" w:rsidRPr="003D5898" w:rsidRDefault="008375F5" w:rsidP="003D5898">
            <w:pPr>
              <w:pStyle w:val="Standaard-Tabellen"/>
              <w:rPr>
                <w:rFonts w:eastAsia="Calibri"/>
              </w:rPr>
            </w:pPr>
            <w:r w:rsidRPr="003D5898">
              <w:rPr>
                <w:rFonts w:eastAsia="Calibri"/>
              </w:rPr>
              <w:t>0</w:t>
            </w:r>
          </w:p>
        </w:tc>
        <w:tc>
          <w:tcPr>
            <w:tcW w:w="506" w:type="pct"/>
            <w:shd w:val="clear" w:color="auto" w:fill="auto"/>
          </w:tcPr>
          <w:p w14:paraId="7E7A151D" w14:textId="77777777" w:rsidR="008375F5" w:rsidRPr="003D5898" w:rsidRDefault="008375F5" w:rsidP="003D5898">
            <w:pPr>
              <w:pStyle w:val="Standaard-Tabellen"/>
              <w:rPr>
                <w:rFonts w:eastAsia="Calibri"/>
              </w:rPr>
            </w:pPr>
            <w:r w:rsidRPr="003D5898">
              <w:rPr>
                <w:rFonts w:eastAsia="Calibri"/>
              </w:rPr>
              <w:t>[-]</w:t>
            </w:r>
          </w:p>
        </w:tc>
        <w:tc>
          <w:tcPr>
            <w:tcW w:w="531" w:type="pct"/>
          </w:tcPr>
          <w:p w14:paraId="2C8901D5" w14:textId="77777777" w:rsidR="008375F5" w:rsidRPr="003D5898" w:rsidRDefault="008E5634" w:rsidP="003D5898">
            <w:pPr>
              <w:pStyle w:val="Standaard-Tabellen"/>
              <w:rPr>
                <w:rFonts w:eastAsia="Calibri"/>
              </w:rPr>
            </w:pPr>
            <w:r>
              <w:rPr>
                <w:rFonts w:eastAsia="Calibri"/>
              </w:rPr>
              <w:t>D</w:t>
            </w:r>
          </w:p>
        </w:tc>
      </w:tr>
      <w:tr w:rsidR="008375F5" w:rsidRPr="00FD2055" w14:paraId="12BC010A" w14:textId="77777777" w:rsidTr="008375F5">
        <w:trPr>
          <w:trHeight w:val="93"/>
        </w:trPr>
        <w:tc>
          <w:tcPr>
            <w:tcW w:w="1717" w:type="pct"/>
            <w:shd w:val="clear" w:color="auto" w:fill="auto"/>
          </w:tcPr>
          <w:p w14:paraId="787BB754" w14:textId="77777777" w:rsidR="008375F5" w:rsidRPr="003D5898" w:rsidRDefault="008375F5" w:rsidP="003D5898">
            <w:pPr>
              <w:pStyle w:val="Standaard-Tabellen"/>
              <w:rPr>
                <w:rFonts w:eastAsia="Calibri"/>
              </w:rPr>
            </w:pPr>
            <w:r w:rsidRPr="003D5898">
              <w:rPr>
                <w:rFonts w:eastAsia="Calibri"/>
              </w:rPr>
              <w:t>Fraction dermally absorbed</w:t>
            </w:r>
          </w:p>
        </w:tc>
        <w:tc>
          <w:tcPr>
            <w:tcW w:w="896" w:type="pct"/>
            <w:shd w:val="clear" w:color="auto" w:fill="auto"/>
          </w:tcPr>
          <w:p w14:paraId="3D350415" w14:textId="77777777" w:rsidR="008375F5" w:rsidRPr="003D5898" w:rsidRDefault="008375F5" w:rsidP="003D5898">
            <w:pPr>
              <w:pStyle w:val="Standaard-Tabellen"/>
              <w:rPr>
                <w:rFonts w:eastAsia="Calibri"/>
              </w:rPr>
            </w:pPr>
            <w:proofErr w:type="spellStart"/>
            <w:r w:rsidRPr="003D5898">
              <w:rPr>
                <w:rFonts w:eastAsia="Calibri"/>
              </w:rPr>
              <w:t>Fskin</w:t>
            </w:r>
            <w:proofErr w:type="spellEnd"/>
          </w:p>
        </w:tc>
        <w:tc>
          <w:tcPr>
            <w:tcW w:w="1350" w:type="pct"/>
            <w:shd w:val="clear" w:color="auto" w:fill="auto"/>
          </w:tcPr>
          <w:p w14:paraId="35EA6921" w14:textId="77777777" w:rsidR="008375F5" w:rsidRPr="003D5898" w:rsidRDefault="008375F5" w:rsidP="003D5898">
            <w:pPr>
              <w:pStyle w:val="Standaard-Tabellen"/>
              <w:rPr>
                <w:rFonts w:eastAsia="Calibri"/>
              </w:rPr>
            </w:pPr>
            <w:r w:rsidRPr="003D5898">
              <w:rPr>
                <w:rFonts w:eastAsia="Calibri"/>
              </w:rPr>
              <w:t>0</w:t>
            </w:r>
          </w:p>
        </w:tc>
        <w:tc>
          <w:tcPr>
            <w:tcW w:w="506" w:type="pct"/>
            <w:shd w:val="clear" w:color="auto" w:fill="auto"/>
          </w:tcPr>
          <w:p w14:paraId="7CCFE61C" w14:textId="77777777" w:rsidR="008375F5" w:rsidRPr="003D5898" w:rsidRDefault="008375F5" w:rsidP="003D5898">
            <w:pPr>
              <w:pStyle w:val="Standaard-Tabellen"/>
              <w:rPr>
                <w:rFonts w:eastAsia="Calibri"/>
              </w:rPr>
            </w:pPr>
            <w:r w:rsidRPr="003D5898">
              <w:rPr>
                <w:rFonts w:eastAsia="Calibri"/>
              </w:rPr>
              <w:t>[-]</w:t>
            </w:r>
          </w:p>
        </w:tc>
        <w:tc>
          <w:tcPr>
            <w:tcW w:w="531" w:type="pct"/>
          </w:tcPr>
          <w:p w14:paraId="4EBBB92E" w14:textId="77777777" w:rsidR="008375F5" w:rsidRPr="003D5898" w:rsidRDefault="008E5634" w:rsidP="003D5898">
            <w:pPr>
              <w:pStyle w:val="Standaard-Tabellen"/>
              <w:rPr>
                <w:rFonts w:eastAsia="Calibri"/>
              </w:rPr>
            </w:pPr>
            <w:r>
              <w:rPr>
                <w:rFonts w:eastAsia="Calibri"/>
              </w:rPr>
              <w:t>D</w:t>
            </w:r>
          </w:p>
        </w:tc>
      </w:tr>
      <w:tr w:rsidR="008375F5" w:rsidRPr="00FD2055" w14:paraId="24E87CD2" w14:textId="77777777" w:rsidTr="008375F5">
        <w:trPr>
          <w:trHeight w:val="93"/>
        </w:trPr>
        <w:tc>
          <w:tcPr>
            <w:tcW w:w="1717" w:type="pct"/>
            <w:shd w:val="clear" w:color="auto" w:fill="auto"/>
          </w:tcPr>
          <w:p w14:paraId="5180A29D" w14:textId="77777777" w:rsidR="008375F5" w:rsidRPr="003D5898" w:rsidRDefault="008375F5" w:rsidP="003D5898">
            <w:pPr>
              <w:pStyle w:val="Standaard-Tabellen"/>
              <w:rPr>
                <w:rFonts w:eastAsia="Calibri"/>
              </w:rPr>
            </w:pPr>
            <w:r w:rsidRPr="003D5898">
              <w:rPr>
                <w:rFonts w:eastAsia="Calibri"/>
              </w:rPr>
              <w:lastRenderedPageBreak/>
              <w:t>Fraction released to wastewater</w:t>
            </w:r>
          </w:p>
        </w:tc>
        <w:tc>
          <w:tcPr>
            <w:tcW w:w="896" w:type="pct"/>
            <w:shd w:val="clear" w:color="auto" w:fill="auto"/>
          </w:tcPr>
          <w:p w14:paraId="4EEB53E6" w14:textId="77777777" w:rsidR="008375F5" w:rsidRPr="003D5898" w:rsidRDefault="008375F5" w:rsidP="003D5898">
            <w:pPr>
              <w:pStyle w:val="Standaard-Tabellen"/>
              <w:rPr>
                <w:rFonts w:eastAsia="Calibri"/>
              </w:rPr>
            </w:pPr>
            <w:proofErr w:type="spellStart"/>
            <w:r w:rsidRPr="003D5898">
              <w:rPr>
                <w:rFonts w:eastAsia="Calibri"/>
              </w:rPr>
              <w:t>Fwater</w:t>
            </w:r>
            <w:proofErr w:type="spellEnd"/>
          </w:p>
        </w:tc>
        <w:tc>
          <w:tcPr>
            <w:tcW w:w="1350" w:type="pct"/>
            <w:shd w:val="clear" w:color="auto" w:fill="auto"/>
          </w:tcPr>
          <w:p w14:paraId="34FE89DA" w14:textId="77777777" w:rsidR="008375F5" w:rsidRPr="003D5898" w:rsidRDefault="008375F5" w:rsidP="003D5898">
            <w:pPr>
              <w:pStyle w:val="Standaard-Tabellen"/>
              <w:rPr>
                <w:rFonts w:eastAsia="Calibri"/>
              </w:rPr>
            </w:pPr>
            <w:r w:rsidRPr="003D5898">
              <w:rPr>
                <w:rFonts w:eastAsia="Calibri"/>
              </w:rPr>
              <w:t>1</w:t>
            </w:r>
          </w:p>
        </w:tc>
        <w:tc>
          <w:tcPr>
            <w:tcW w:w="506" w:type="pct"/>
            <w:shd w:val="clear" w:color="auto" w:fill="auto"/>
          </w:tcPr>
          <w:p w14:paraId="23FB4E3B" w14:textId="77777777" w:rsidR="008375F5" w:rsidRPr="003D5898" w:rsidRDefault="008375F5" w:rsidP="003D5898">
            <w:pPr>
              <w:pStyle w:val="Standaard-Tabellen"/>
              <w:rPr>
                <w:rFonts w:eastAsia="Calibri"/>
              </w:rPr>
            </w:pPr>
            <w:r w:rsidRPr="003D5898">
              <w:rPr>
                <w:rFonts w:eastAsia="Calibri"/>
              </w:rPr>
              <w:t>[-]</w:t>
            </w:r>
          </w:p>
        </w:tc>
        <w:tc>
          <w:tcPr>
            <w:tcW w:w="531" w:type="pct"/>
          </w:tcPr>
          <w:p w14:paraId="7AF505B2" w14:textId="77777777" w:rsidR="008375F5" w:rsidRPr="003D5898" w:rsidRDefault="008E5634" w:rsidP="003D5898">
            <w:pPr>
              <w:pStyle w:val="Standaard-Tabellen"/>
              <w:rPr>
                <w:rFonts w:eastAsia="Calibri"/>
              </w:rPr>
            </w:pPr>
            <w:r>
              <w:rPr>
                <w:rFonts w:eastAsia="Calibri"/>
              </w:rPr>
              <w:t>D</w:t>
            </w:r>
          </w:p>
        </w:tc>
      </w:tr>
      <w:tr w:rsidR="008375F5" w:rsidRPr="00FD2055" w14:paraId="066573C0" w14:textId="77777777" w:rsidTr="008375F5">
        <w:trPr>
          <w:trHeight w:val="93"/>
        </w:trPr>
        <w:tc>
          <w:tcPr>
            <w:tcW w:w="1717" w:type="pct"/>
            <w:shd w:val="clear" w:color="auto" w:fill="auto"/>
          </w:tcPr>
          <w:p w14:paraId="06094136" w14:textId="77777777" w:rsidR="008375F5" w:rsidRPr="003D5898" w:rsidRDefault="008375F5" w:rsidP="003D5898">
            <w:pPr>
              <w:pStyle w:val="Standaard-Tabellen"/>
              <w:rPr>
                <w:rFonts w:eastAsia="Calibri"/>
              </w:rPr>
            </w:pPr>
            <w:r w:rsidRPr="003D5898">
              <w:rPr>
                <w:rFonts w:eastAsia="Calibri"/>
              </w:rPr>
              <w:t>Fraction of inhabitants using a repellent product</w:t>
            </w:r>
          </w:p>
        </w:tc>
        <w:tc>
          <w:tcPr>
            <w:tcW w:w="896" w:type="pct"/>
            <w:shd w:val="clear" w:color="auto" w:fill="auto"/>
          </w:tcPr>
          <w:p w14:paraId="2C175B95" w14:textId="77777777" w:rsidR="008375F5" w:rsidRPr="003D5898" w:rsidRDefault="008375F5" w:rsidP="003D5898">
            <w:pPr>
              <w:pStyle w:val="Standaard-Tabellen"/>
              <w:rPr>
                <w:rFonts w:eastAsia="Calibri"/>
              </w:rPr>
            </w:pPr>
            <w:proofErr w:type="spellStart"/>
            <w:r w:rsidRPr="003D5898">
              <w:rPr>
                <w:rFonts w:eastAsia="Calibri"/>
              </w:rPr>
              <w:t>Finh</w:t>
            </w:r>
            <w:proofErr w:type="spellEnd"/>
          </w:p>
        </w:tc>
        <w:tc>
          <w:tcPr>
            <w:tcW w:w="1350" w:type="pct"/>
            <w:shd w:val="clear" w:color="auto" w:fill="auto"/>
          </w:tcPr>
          <w:p w14:paraId="172127FE" w14:textId="77777777" w:rsidR="008375F5" w:rsidRPr="003D5898" w:rsidRDefault="008375F5" w:rsidP="003D5898">
            <w:pPr>
              <w:pStyle w:val="Standaard-Tabellen"/>
              <w:rPr>
                <w:rFonts w:eastAsia="Calibri"/>
              </w:rPr>
            </w:pPr>
            <w:r w:rsidRPr="003D5898">
              <w:rPr>
                <w:rFonts w:eastAsia="Calibri"/>
              </w:rPr>
              <w:t>0.2</w:t>
            </w:r>
          </w:p>
        </w:tc>
        <w:tc>
          <w:tcPr>
            <w:tcW w:w="506" w:type="pct"/>
            <w:shd w:val="clear" w:color="auto" w:fill="auto"/>
          </w:tcPr>
          <w:p w14:paraId="6E07EBF9" w14:textId="77777777" w:rsidR="008375F5" w:rsidRPr="003D5898" w:rsidRDefault="008375F5" w:rsidP="003D5898">
            <w:pPr>
              <w:pStyle w:val="Standaard-Tabellen"/>
              <w:rPr>
                <w:rFonts w:eastAsia="Calibri"/>
              </w:rPr>
            </w:pPr>
            <w:r w:rsidRPr="003D5898">
              <w:rPr>
                <w:rFonts w:eastAsia="Calibri"/>
              </w:rPr>
              <w:t>[-]</w:t>
            </w:r>
          </w:p>
        </w:tc>
        <w:tc>
          <w:tcPr>
            <w:tcW w:w="531" w:type="pct"/>
          </w:tcPr>
          <w:p w14:paraId="40F4B235" w14:textId="77777777" w:rsidR="008375F5" w:rsidRPr="003D5898" w:rsidRDefault="008E5634" w:rsidP="003D5898">
            <w:pPr>
              <w:pStyle w:val="Standaard-Tabellen"/>
              <w:rPr>
                <w:rFonts w:eastAsia="Calibri"/>
              </w:rPr>
            </w:pPr>
            <w:r>
              <w:rPr>
                <w:rFonts w:eastAsia="Calibri"/>
              </w:rPr>
              <w:t>D</w:t>
            </w:r>
          </w:p>
        </w:tc>
      </w:tr>
      <w:tr w:rsidR="008375F5" w:rsidRPr="00FD2055" w14:paraId="0C2DC504" w14:textId="77777777" w:rsidTr="008375F5">
        <w:trPr>
          <w:trHeight w:val="93"/>
        </w:trPr>
        <w:tc>
          <w:tcPr>
            <w:tcW w:w="1717" w:type="pct"/>
            <w:shd w:val="clear" w:color="auto" w:fill="auto"/>
          </w:tcPr>
          <w:p w14:paraId="7D162DB7" w14:textId="77777777" w:rsidR="008375F5" w:rsidRPr="003D5898" w:rsidRDefault="008375F5" w:rsidP="003D5898">
            <w:pPr>
              <w:pStyle w:val="Standaard-Tabellen"/>
              <w:rPr>
                <w:rFonts w:eastAsia="Calibri"/>
              </w:rPr>
            </w:pPr>
            <w:r w:rsidRPr="003D5898">
              <w:rPr>
                <w:rFonts w:eastAsia="Calibri"/>
              </w:rPr>
              <w:t>Market share of repellent</w:t>
            </w:r>
          </w:p>
        </w:tc>
        <w:tc>
          <w:tcPr>
            <w:tcW w:w="896" w:type="pct"/>
            <w:shd w:val="clear" w:color="auto" w:fill="auto"/>
          </w:tcPr>
          <w:p w14:paraId="56E4C2AF" w14:textId="77777777" w:rsidR="008375F5" w:rsidRPr="003D5898" w:rsidRDefault="008375F5" w:rsidP="003D5898">
            <w:pPr>
              <w:pStyle w:val="Standaard-Tabellen"/>
              <w:rPr>
                <w:rFonts w:eastAsia="Calibri"/>
              </w:rPr>
            </w:pPr>
            <w:proofErr w:type="spellStart"/>
            <w:r w:rsidRPr="003D5898">
              <w:rPr>
                <w:rFonts w:eastAsia="Calibri"/>
              </w:rPr>
              <w:t>Fpenetr</w:t>
            </w:r>
            <w:proofErr w:type="spellEnd"/>
          </w:p>
        </w:tc>
        <w:tc>
          <w:tcPr>
            <w:tcW w:w="1350" w:type="pct"/>
            <w:shd w:val="clear" w:color="auto" w:fill="auto"/>
          </w:tcPr>
          <w:p w14:paraId="210DA17F" w14:textId="77777777" w:rsidR="008375F5" w:rsidRPr="003D5898" w:rsidRDefault="008375F5" w:rsidP="003D5898">
            <w:pPr>
              <w:pStyle w:val="Standaard-Tabellen"/>
              <w:rPr>
                <w:rFonts w:eastAsia="Calibri"/>
              </w:rPr>
            </w:pPr>
            <w:r w:rsidRPr="003D5898">
              <w:rPr>
                <w:rFonts w:eastAsia="Calibri"/>
              </w:rPr>
              <w:t>0.5</w:t>
            </w:r>
          </w:p>
        </w:tc>
        <w:tc>
          <w:tcPr>
            <w:tcW w:w="506" w:type="pct"/>
            <w:shd w:val="clear" w:color="auto" w:fill="auto"/>
          </w:tcPr>
          <w:p w14:paraId="22F94A86" w14:textId="77777777" w:rsidR="008375F5" w:rsidRPr="003D5898" w:rsidRDefault="008375F5" w:rsidP="003D5898">
            <w:pPr>
              <w:pStyle w:val="Standaard-Tabellen"/>
              <w:rPr>
                <w:rFonts w:eastAsia="Calibri"/>
              </w:rPr>
            </w:pPr>
            <w:r w:rsidRPr="003D5898">
              <w:rPr>
                <w:rFonts w:eastAsia="Calibri"/>
              </w:rPr>
              <w:t>[-]</w:t>
            </w:r>
          </w:p>
        </w:tc>
        <w:tc>
          <w:tcPr>
            <w:tcW w:w="531" w:type="pct"/>
          </w:tcPr>
          <w:p w14:paraId="50ACB1CC" w14:textId="77777777" w:rsidR="008375F5" w:rsidRPr="003D5898" w:rsidRDefault="008E5634" w:rsidP="003D5898">
            <w:pPr>
              <w:pStyle w:val="Standaard-Tabellen"/>
              <w:rPr>
                <w:rFonts w:eastAsia="Calibri"/>
              </w:rPr>
            </w:pPr>
            <w:r>
              <w:rPr>
                <w:rFonts w:eastAsia="Calibri"/>
              </w:rPr>
              <w:t>D</w:t>
            </w:r>
          </w:p>
        </w:tc>
      </w:tr>
      <w:tr w:rsidR="008375F5" w:rsidRPr="00FD2055" w14:paraId="24DB60D9" w14:textId="77777777" w:rsidTr="008375F5">
        <w:trPr>
          <w:trHeight w:val="93"/>
        </w:trPr>
        <w:tc>
          <w:tcPr>
            <w:tcW w:w="1717" w:type="pct"/>
            <w:shd w:val="clear" w:color="auto" w:fill="auto"/>
          </w:tcPr>
          <w:p w14:paraId="52EBDF20" w14:textId="77777777" w:rsidR="008375F5" w:rsidRPr="003D5898" w:rsidRDefault="008375F5" w:rsidP="003D5898">
            <w:pPr>
              <w:pStyle w:val="Standaard-Tabellen"/>
              <w:rPr>
                <w:rFonts w:eastAsia="Calibri"/>
              </w:rPr>
            </w:pPr>
            <w:r w:rsidRPr="003D5898">
              <w:rPr>
                <w:rFonts w:eastAsia="Calibri"/>
              </w:rPr>
              <w:t>Specific density of the product</w:t>
            </w:r>
          </w:p>
        </w:tc>
        <w:tc>
          <w:tcPr>
            <w:tcW w:w="896" w:type="pct"/>
            <w:shd w:val="clear" w:color="auto" w:fill="auto"/>
          </w:tcPr>
          <w:p w14:paraId="3DDBC310" w14:textId="77777777" w:rsidR="008375F5" w:rsidRPr="003D5898" w:rsidRDefault="008375F5" w:rsidP="003D5898">
            <w:pPr>
              <w:pStyle w:val="Standaard-Tabellen"/>
              <w:rPr>
                <w:rFonts w:eastAsia="Calibri"/>
              </w:rPr>
            </w:pPr>
            <w:proofErr w:type="spellStart"/>
            <w:r w:rsidRPr="003D5898">
              <w:rPr>
                <w:rFonts w:eastAsia="Calibri"/>
              </w:rPr>
              <w:t>RHOform</w:t>
            </w:r>
            <w:proofErr w:type="spellEnd"/>
          </w:p>
        </w:tc>
        <w:tc>
          <w:tcPr>
            <w:tcW w:w="1350" w:type="pct"/>
            <w:shd w:val="clear" w:color="auto" w:fill="auto"/>
          </w:tcPr>
          <w:p w14:paraId="32D720FE" w14:textId="77777777" w:rsidR="008375F5" w:rsidRPr="003D5898" w:rsidRDefault="008375F5" w:rsidP="003D5898">
            <w:pPr>
              <w:pStyle w:val="Standaard-Tabellen"/>
              <w:rPr>
                <w:rFonts w:eastAsia="Calibri"/>
              </w:rPr>
            </w:pPr>
            <w:r w:rsidRPr="003D5898">
              <w:rPr>
                <w:rFonts w:eastAsia="Calibri"/>
              </w:rPr>
              <w:t>1000</w:t>
            </w:r>
          </w:p>
        </w:tc>
        <w:tc>
          <w:tcPr>
            <w:tcW w:w="506" w:type="pct"/>
            <w:shd w:val="clear" w:color="auto" w:fill="auto"/>
          </w:tcPr>
          <w:p w14:paraId="0219847F" w14:textId="77777777" w:rsidR="008375F5" w:rsidRPr="003D5898" w:rsidRDefault="008375F5" w:rsidP="003D5898">
            <w:pPr>
              <w:pStyle w:val="Standaard-Tabellen"/>
              <w:rPr>
                <w:rFonts w:eastAsia="Calibri"/>
              </w:rPr>
            </w:pPr>
            <w:r w:rsidRPr="003D5898">
              <w:rPr>
                <w:rFonts w:eastAsia="Calibri"/>
              </w:rPr>
              <w:t>kg/m³</w:t>
            </w:r>
          </w:p>
        </w:tc>
        <w:tc>
          <w:tcPr>
            <w:tcW w:w="531" w:type="pct"/>
          </w:tcPr>
          <w:p w14:paraId="27FCB5E9" w14:textId="77777777" w:rsidR="008375F5" w:rsidRPr="003D5898" w:rsidRDefault="008E5634" w:rsidP="003D5898">
            <w:pPr>
              <w:pStyle w:val="Standaard-Tabellen"/>
              <w:rPr>
                <w:rFonts w:eastAsia="Calibri"/>
              </w:rPr>
            </w:pPr>
            <w:r>
              <w:rPr>
                <w:rFonts w:eastAsia="Calibri"/>
              </w:rPr>
              <w:t>D</w:t>
            </w:r>
          </w:p>
        </w:tc>
      </w:tr>
    </w:tbl>
    <w:p w14:paraId="0F1F2DF7" w14:textId="77777777" w:rsidR="007A7C32" w:rsidRPr="00FD2055" w:rsidRDefault="007A7C32" w:rsidP="007A7C32">
      <w:pPr>
        <w:rPr>
          <w:rFonts w:eastAsia="Calibri"/>
          <w:lang w:eastAsia="en-US"/>
        </w:rPr>
      </w:pPr>
    </w:p>
    <w:p w14:paraId="3A331AFF" w14:textId="77777777" w:rsidR="007A7C32" w:rsidRDefault="007A7C32" w:rsidP="002C4887">
      <w:pPr>
        <w:pStyle w:val="Titre7"/>
        <w:rPr>
          <w:lang w:val="en-US"/>
        </w:rPr>
      </w:pPr>
      <w:r w:rsidRPr="00A14D85">
        <w:rPr>
          <w:lang w:val="en-US"/>
        </w:rPr>
        <w:t xml:space="preserve">Calculations for Scenario </w:t>
      </w:r>
      <w:r w:rsidR="003D5898">
        <w:rPr>
          <w:lang w:val="en-US"/>
        </w:rPr>
        <w:t>1</w:t>
      </w:r>
    </w:p>
    <w:p w14:paraId="559F804D" w14:textId="77777777" w:rsidR="003D5898" w:rsidRDefault="003D5898" w:rsidP="003D5898">
      <w:pPr>
        <w:rPr>
          <w:b/>
          <w:lang w:val="en-US" w:eastAsia="en-US"/>
        </w:rPr>
      </w:pPr>
      <w:r w:rsidRPr="003D5898">
        <w:rPr>
          <w:b/>
          <w:lang w:val="en-US" w:eastAsia="en-US"/>
        </w:rPr>
        <w:sym w:font="Wingdings" w:char="F0E0"/>
      </w:r>
      <w:r>
        <w:rPr>
          <w:b/>
          <w:lang w:val="en-US" w:eastAsia="en-US"/>
        </w:rPr>
        <w:t xml:space="preserve"> B and D2</w:t>
      </w:r>
    </w:p>
    <w:p w14:paraId="6309F7BE" w14:textId="77777777" w:rsidR="003D5898" w:rsidRPr="003D5898" w:rsidRDefault="00C85279" w:rsidP="003D5898">
      <w:pPr>
        <w:pBdr>
          <w:top w:val="single" w:sz="4" w:space="1" w:color="auto"/>
          <w:left w:val="single" w:sz="4" w:space="4" w:color="auto"/>
          <w:bottom w:val="single" w:sz="4" w:space="1" w:color="auto"/>
          <w:right w:val="single" w:sz="4" w:space="4" w:color="auto"/>
        </w:pBdr>
        <w:rPr>
          <w:lang w:val="en-US" w:eastAsia="en-US"/>
        </w:rPr>
      </w:pPr>
      <m:oMathPara>
        <m:oMath>
          <m:sSub>
            <m:sSubPr>
              <m:ctrlPr>
                <w:rPr>
                  <w:rFonts w:ascii="Cambria Math" w:hAnsi="Cambria Math"/>
                  <w:i/>
                  <w:lang w:val="en-US" w:eastAsia="en-US"/>
                </w:rPr>
              </m:ctrlPr>
            </m:sSubPr>
            <m:e>
              <m:r>
                <w:rPr>
                  <w:rFonts w:ascii="Cambria Math" w:hAnsi="Cambria Math"/>
                  <w:lang w:val="en-US" w:eastAsia="en-US"/>
                </w:rPr>
                <m:t>Elocal</m:t>
              </m:r>
            </m:e>
            <m:sub>
              <m:r>
                <w:rPr>
                  <w:rFonts w:ascii="Cambria Math" w:hAnsi="Cambria Math"/>
                  <w:lang w:val="en-US" w:eastAsia="en-US"/>
                </w:rPr>
                <m:t>wastewater</m:t>
              </m:r>
            </m:sub>
          </m:sSub>
          <m:r>
            <w:rPr>
              <w:rFonts w:ascii="Cambria Math" w:hAnsi="Cambria Math"/>
              <w:lang w:val="en-US" w:eastAsia="en-US"/>
            </w:rPr>
            <m:t>=Nlocal×</m:t>
          </m:r>
          <m:sSub>
            <m:sSubPr>
              <m:ctrlPr>
                <w:rPr>
                  <w:rFonts w:ascii="Cambria Math" w:hAnsi="Cambria Math"/>
                  <w:i/>
                  <w:lang w:val="en-US" w:eastAsia="en-US"/>
                </w:rPr>
              </m:ctrlPr>
            </m:sSubPr>
            <m:e>
              <m:r>
                <w:rPr>
                  <w:rFonts w:ascii="Cambria Math" w:hAnsi="Cambria Math"/>
                  <w:lang w:val="en-US" w:eastAsia="en-US"/>
                </w:rPr>
                <m:t>N</m:t>
              </m:r>
            </m:e>
            <m:sub>
              <m:r>
                <w:rPr>
                  <w:rFonts w:ascii="Cambria Math" w:hAnsi="Cambria Math"/>
                  <w:lang w:val="en-US" w:eastAsia="en-US"/>
                </w:rPr>
                <m:t>appl</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Qform</m:t>
              </m:r>
            </m:e>
            <m:sub>
              <m:r>
                <w:rPr>
                  <w:rFonts w:ascii="Cambria Math" w:hAnsi="Cambria Math"/>
                  <w:lang w:val="en-US" w:eastAsia="en-US"/>
                </w:rPr>
                <m:t>appl</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AREA</m:t>
              </m:r>
            </m:e>
            <m:sub>
              <m:r>
                <w:rPr>
                  <w:rFonts w:ascii="Cambria Math" w:hAnsi="Cambria Math"/>
                  <w:lang w:val="en-US" w:eastAsia="en-US"/>
                </w:rPr>
                <m:t>skin</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Cform</m:t>
              </m:r>
            </m:e>
            <m:sub>
              <m:r>
                <w:rPr>
                  <w:rFonts w:ascii="Cambria Math" w:hAnsi="Cambria Math"/>
                  <w:lang w:val="en-US" w:eastAsia="en-US"/>
                </w:rPr>
                <m:t>weight</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F</m:t>
              </m:r>
            </m:e>
            <m:sub>
              <m:r>
                <w:rPr>
                  <w:rFonts w:ascii="Cambria Math" w:hAnsi="Cambria Math"/>
                  <w:lang w:val="en-US" w:eastAsia="en-US"/>
                </w:rPr>
                <m:t>inh</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F</m:t>
              </m:r>
            </m:e>
            <m:sub>
              <m:r>
                <w:rPr>
                  <w:rFonts w:ascii="Cambria Math" w:hAnsi="Cambria Math"/>
                  <w:lang w:val="en-US" w:eastAsia="en-US"/>
                </w:rPr>
                <m:t>water</m:t>
              </m:r>
            </m:sub>
          </m:sSub>
          <m:r>
            <w:rPr>
              <w:rFonts w:ascii="Cambria Math" w:hAnsi="Cambria Math"/>
              <w:lang w:val="en-US" w:eastAsia="en-US"/>
            </w:rPr>
            <m:t>×Fpenetr×</m:t>
          </m:r>
          <m:sSup>
            <m:sSupPr>
              <m:ctrlPr>
                <w:rPr>
                  <w:rFonts w:ascii="Cambria Math" w:hAnsi="Cambria Math"/>
                  <w:i/>
                  <w:lang w:val="en-US" w:eastAsia="en-US"/>
                </w:rPr>
              </m:ctrlPr>
            </m:sSupPr>
            <m:e>
              <m:r>
                <w:rPr>
                  <w:rFonts w:ascii="Cambria Math" w:hAnsi="Cambria Math"/>
                  <w:lang w:val="en-US" w:eastAsia="en-US"/>
                </w:rPr>
                <m:t>10</m:t>
              </m:r>
            </m:e>
            <m:sup>
              <m:r>
                <w:rPr>
                  <w:rFonts w:ascii="Cambria Math" w:hAnsi="Cambria Math"/>
                  <w:lang w:val="en-US" w:eastAsia="en-US"/>
                </w:rPr>
                <m:t>-9</m:t>
              </m:r>
            </m:sup>
          </m:sSup>
        </m:oMath>
      </m:oMathPara>
    </w:p>
    <w:p w14:paraId="107211D6" w14:textId="77777777" w:rsidR="007A7C32" w:rsidRPr="00FD2055" w:rsidRDefault="007A7C32" w:rsidP="002C4887">
      <w:pPr>
        <w:rPr>
          <w:rFonts w:eastAsia="Calibri"/>
          <w:lang w:eastAsia="en-US"/>
        </w:rPr>
      </w:pPr>
    </w:p>
    <w:tbl>
      <w:tblPr>
        <w:tblW w:w="0" w:type="auto"/>
        <w:tblInd w:w="45" w:type="dxa"/>
        <w:tblLayout w:type="fixed"/>
        <w:tblCellMar>
          <w:left w:w="0" w:type="dxa"/>
          <w:right w:w="0" w:type="dxa"/>
        </w:tblCellMar>
        <w:tblLook w:val="0000" w:firstRow="0" w:lastRow="0" w:firstColumn="0" w:lastColumn="0" w:noHBand="0" w:noVBand="0"/>
      </w:tblPr>
      <w:tblGrid>
        <w:gridCol w:w="2256"/>
        <w:gridCol w:w="3610"/>
        <w:gridCol w:w="3159"/>
      </w:tblGrid>
      <w:tr w:rsidR="007A7C32" w:rsidRPr="00092E70" w14:paraId="71148499" w14:textId="77777777" w:rsidTr="00EF32BF">
        <w:trPr>
          <w:tblHeader/>
        </w:trPr>
        <w:tc>
          <w:tcPr>
            <w:tcW w:w="9025"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0323021B" w14:textId="77777777" w:rsidR="007A7C32" w:rsidRPr="00092E70" w:rsidRDefault="007A7C32" w:rsidP="00092E70">
            <w:pPr>
              <w:pStyle w:val="Standaard-Tabellen"/>
              <w:rPr>
                <w:rFonts w:eastAsia="Calibri"/>
                <w:b/>
              </w:rPr>
            </w:pPr>
            <w:r w:rsidRPr="00092E70">
              <w:rPr>
                <w:rFonts w:eastAsia="Calibri"/>
                <w:b/>
              </w:rPr>
              <w:t>Resulting local emission to relevant environmental compartments</w:t>
            </w:r>
          </w:p>
        </w:tc>
      </w:tr>
      <w:tr w:rsidR="007A7C32" w:rsidRPr="00092E70" w14:paraId="7BC7B772" w14:textId="77777777" w:rsidTr="002C4887">
        <w:trPr>
          <w:tblHeader/>
        </w:trPr>
        <w:tc>
          <w:tcPr>
            <w:tcW w:w="22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3B2FC3AB" w14:textId="77777777" w:rsidR="007A7C32" w:rsidRPr="00092E70" w:rsidRDefault="007A7C32" w:rsidP="00092E70">
            <w:pPr>
              <w:pStyle w:val="Standaard-Tabellen"/>
              <w:rPr>
                <w:rFonts w:eastAsia="Calibri"/>
                <w:b/>
              </w:rPr>
            </w:pPr>
            <w:r w:rsidRPr="00092E70">
              <w:rPr>
                <w:rFonts w:eastAsia="Calibri"/>
                <w:b/>
              </w:rPr>
              <w:t>Compartment</w:t>
            </w:r>
          </w:p>
        </w:tc>
        <w:tc>
          <w:tcPr>
            <w:tcW w:w="3610" w:type="dxa"/>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327238AF" w14:textId="77777777" w:rsidR="007A7C32" w:rsidRPr="00092E70" w:rsidRDefault="007A7C32" w:rsidP="00092E70">
            <w:pPr>
              <w:pStyle w:val="Standaard-Tabellen"/>
              <w:rPr>
                <w:rFonts w:eastAsia="Calibri"/>
                <w:b/>
              </w:rPr>
            </w:pPr>
            <w:r w:rsidRPr="00092E70">
              <w:rPr>
                <w:rFonts w:eastAsia="Calibri"/>
                <w:b/>
              </w:rPr>
              <w:t>Local emission (</w:t>
            </w:r>
            <w:proofErr w:type="spellStart"/>
            <w:r w:rsidRPr="00092E70">
              <w:rPr>
                <w:rFonts w:eastAsia="Calibri"/>
                <w:b/>
              </w:rPr>
              <w:t>Elocal</w:t>
            </w:r>
            <w:r w:rsidRPr="00FA1978">
              <w:rPr>
                <w:rFonts w:eastAsia="Calibri"/>
                <w:b/>
                <w:vertAlign w:val="subscript"/>
              </w:rPr>
              <w:t>compartment</w:t>
            </w:r>
            <w:proofErr w:type="spellEnd"/>
            <w:r w:rsidRPr="00092E70">
              <w:rPr>
                <w:rFonts w:eastAsia="Calibri"/>
                <w:b/>
              </w:rPr>
              <w:t>) [kg/d]</w:t>
            </w:r>
          </w:p>
        </w:tc>
        <w:tc>
          <w:tcPr>
            <w:tcW w:w="3159" w:type="dxa"/>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62F568F0" w14:textId="77777777" w:rsidR="007A7C32" w:rsidRPr="00092E70" w:rsidRDefault="007A7C32" w:rsidP="00092E70">
            <w:pPr>
              <w:pStyle w:val="Standaard-Tabellen"/>
              <w:rPr>
                <w:rFonts w:eastAsia="Calibri"/>
                <w:b/>
              </w:rPr>
            </w:pPr>
            <w:r w:rsidRPr="00092E70">
              <w:rPr>
                <w:rFonts w:eastAsia="Calibri"/>
                <w:b/>
              </w:rPr>
              <w:t>Remarks</w:t>
            </w:r>
          </w:p>
        </w:tc>
      </w:tr>
      <w:tr w:rsidR="007A7C32" w:rsidRPr="00092E70" w14:paraId="4C4F9E39" w14:textId="77777777" w:rsidTr="00EF32BF">
        <w:tc>
          <w:tcPr>
            <w:tcW w:w="2256"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7D57EB6" w14:textId="77777777" w:rsidR="007A7C32" w:rsidRPr="00092E70" w:rsidRDefault="003D5898" w:rsidP="00092E70">
            <w:pPr>
              <w:pStyle w:val="Standaard-Tabellen"/>
            </w:pPr>
            <w:r w:rsidRPr="00092E70">
              <w:t>Waste water</w:t>
            </w:r>
          </w:p>
        </w:tc>
        <w:tc>
          <w:tcPr>
            <w:tcW w:w="3610"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46ACDFB" w14:textId="202BA540" w:rsidR="007A7C32" w:rsidRPr="00092E70" w:rsidRDefault="00E56D9B" w:rsidP="00092E70">
            <w:pPr>
              <w:pStyle w:val="Standaard-Tabellen"/>
            </w:pPr>
            <w:r>
              <w:t>2.10</w:t>
            </w:r>
          </w:p>
        </w:tc>
        <w:tc>
          <w:tcPr>
            <w:tcW w:w="3159"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06CE30F" w14:textId="77777777" w:rsidR="007A7C32" w:rsidRPr="00092E70" w:rsidRDefault="003D5898" w:rsidP="00092E70">
            <w:pPr>
              <w:pStyle w:val="Standaard-Tabellen"/>
            </w:pPr>
            <w:r w:rsidRPr="00092E70">
              <w:t>/</w:t>
            </w:r>
          </w:p>
        </w:tc>
      </w:tr>
    </w:tbl>
    <w:p w14:paraId="2575E081" w14:textId="77777777" w:rsidR="00806DC5" w:rsidRDefault="00806DC5">
      <w:pPr>
        <w:spacing w:before="0" w:after="160" w:line="259" w:lineRule="auto"/>
        <w:rPr>
          <w:rFonts w:eastAsia="Calibri"/>
          <w:lang w:eastAsia="en-US"/>
        </w:rPr>
      </w:pPr>
      <w:r>
        <w:rPr>
          <w:rFonts w:eastAsia="Calibri"/>
          <w:lang w:eastAsia="en-US"/>
        </w:rPr>
        <w:br w:type="page"/>
      </w:r>
    </w:p>
    <w:p w14:paraId="363268A4" w14:textId="77777777" w:rsidR="00806DC5" w:rsidRDefault="00806DC5" w:rsidP="00806DC5">
      <w:pPr>
        <w:pStyle w:val="Titre6"/>
        <w:rPr>
          <w:lang w:val="en-US"/>
        </w:rPr>
      </w:pPr>
      <w:r w:rsidRPr="003720C3">
        <w:rPr>
          <w:lang w:val="en-US"/>
        </w:rPr>
        <w:lastRenderedPageBreak/>
        <w:t xml:space="preserve">Scenario </w:t>
      </w:r>
      <w:r>
        <w:rPr>
          <w:lang w:val="en-US"/>
        </w:rPr>
        <w:t>2: Release to surface water bodies via swimming</w:t>
      </w:r>
    </w:p>
    <w:p w14:paraId="46E522C3" w14:textId="77777777" w:rsidR="00806DC5" w:rsidRDefault="00806DC5" w:rsidP="00806DC5">
      <w:pPr>
        <w:rPr>
          <w:rFonts w:eastAsia="Calibri"/>
          <w:lang w:eastAsia="en-US"/>
        </w:rPr>
      </w:pPr>
      <w:r>
        <w:rPr>
          <w:rFonts w:eastAsia="Calibri"/>
          <w:lang w:eastAsia="en-US"/>
        </w:rPr>
        <w:t>In the assessment report for IR3535</w:t>
      </w:r>
      <w:r w:rsidR="00C45200">
        <w:rPr>
          <w:rFonts w:eastAsia="Calibri"/>
          <w:vertAlign w:val="superscript"/>
          <w:lang w:eastAsia="en-US"/>
        </w:rPr>
        <w:t>®</w:t>
      </w:r>
      <w:r>
        <w:rPr>
          <w:rFonts w:eastAsia="Calibri"/>
          <w:lang w:eastAsia="en-US"/>
        </w:rPr>
        <w:t>, in the paragraph on the elements to be taken into account when authorising products, it is mentioned that direct emissions to surface water by swimmers should be kept in mind and assessed. With this new scenario for the ESD for PT19, this requisite is taken into account.</w:t>
      </w:r>
    </w:p>
    <w:p w14:paraId="5F735BBE" w14:textId="77777777" w:rsidR="00806DC5" w:rsidRDefault="00806DC5" w:rsidP="00806DC5">
      <w:pPr>
        <w:rPr>
          <w:rFonts w:eastAsia="Calibri"/>
          <w:lang w:eastAsia="en-US"/>
        </w:rPr>
      </w:pPr>
    </w:p>
    <w:p w14:paraId="61259BF9" w14:textId="77777777" w:rsidR="00E56D9B" w:rsidRPr="00DA2EA7" w:rsidRDefault="00E56D9B" w:rsidP="00E56D9B">
      <w:pPr>
        <w:pStyle w:val="Titre7"/>
        <w:rPr>
          <w:lang w:val="en-US"/>
        </w:rPr>
      </w:pPr>
      <w:r w:rsidRPr="00DA2EA7">
        <w:rPr>
          <w:lang w:val="en-US"/>
        </w:rPr>
        <w:t>Amount of product per application (</w:t>
      </w:r>
      <w:proofErr w:type="spellStart"/>
      <w:r w:rsidRPr="00DA2EA7">
        <w:rPr>
          <w:lang w:val="en-US"/>
        </w:rPr>
        <w:t>Qform</w:t>
      </w:r>
      <w:r w:rsidRPr="002952A0">
        <w:rPr>
          <w:vertAlign w:val="subscript"/>
          <w:lang w:val="en-US"/>
        </w:rPr>
        <w:t>appl</w:t>
      </w:r>
      <w:proofErr w:type="spellEnd"/>
      <w:r w:rsidRPr="00DA2EA7">
        <w:rPr>
          <w:lang w:val="en-US"/>
        </w:rPr>
        <w:t>)</w:t>
      </w:r>
    </w:p>
    <w:p w14:paraId="7ADD9338" w14:textId="77777777" w:rsidR="00E56D9B" w:rsidRDefault="00E56D9B" w:rsidP="00E56D9B">
      <w:pPr>
        <w:rPr>
          <w:rFonts w:eastAsia="Calibri"/>
          <w:lang w:eastAsia="en-US"/>
        </w:rPr>
      </w:pPr>
      <w:r>
        <w:rPr>
          <w:rFonts w:eastAsia="Calibri"/>
          <w:lang w:val="en-US" w:eastAsia="en-US"/>
        </w:rPr>
        <w:t xml:space="preserve">Similarly as with scenario 1, </w:t>
      </w:r>
      <w:r>
        <w:rPr>
          <w:rFonts w:eastAsia="Calibri"/>
          <w:lang w:eastAsia="en-US"/>
        </w:rPr>
        <w:t>the most important input parameter for this scenario is the amount of product that will be used per application (</w:t>
      </w:r>
      <w:proofErr w:type="spellStart"/>
      <w:r>
        <w:rPr>
          <w:rFonts w:eastAsia="Calibri"/>
          <w:lang w:eastAsia="en-US"/>
        </w:rPr>
        <w:t>Qform</w:t>
      </w:r>
      <w:r>
        <w:rPr>
          <w:rFonts w:eastAsia="Calibri"/>
          <w:vertAlign w:val="subscript"/>
          <w:lang w:eastAsia="en-US"/>
        </w:rPr>
        <w:t>appl</w:t>
      </w:r>
      <w:proofErr w:type="spellEnd"/>
      <w:r>
        <w:rPr>
          <w:rFonts w:eastAsia="Calibri"/>
          <w:lang w:eastAsia="en-US"/>
        </w:rPr>
        <w:t xml:space="preserve">). </w:t>
      </w:r>
    </w:p>
    <w:p w14:paraId="2165BD89" w14:textId="3098FAEE" w:rsidR="00E56D9B" w:rsidRDefault="00E56D9B" w:rsidP="00E56D9B">
      <w:pPr>
        <w:rPr>
          <w:rFonts w:eastAsia="Calibri"/>
          <w:lang w:eastAsia="en-US"/>
        </w:rPr>
      </w:pPr>
      <w:r>
        <w:rPr>
          <w:rFonts w:eastAsia="Calibri"/>
          <w:lang w:eastAsia="en-US"/>
        </w:rPr>
        <w:t xml:space="preserve">The same notes and thoughts can be applied as with scenario 1. Therefore, also here it is decided that the ESD default value will </w:t>
      </w:r>
      <w:r w:rsidR="00C623F5">
        <w:rPr>
          <w:rFonts w:eastAsia="Calibri"/>
          <w:lang w:eastAsia="en-US"/>
        </w:rPr>
        <w:t xml:space="preserve">not </w:t>
      </w:r>
      <w:r>
        <w:rPr>
          <w:rFonts w:eastAsia="Calibri"/>
          <w:lang w:eastAsia="en-US"/>
        </w:rPr>
        <w:t xml:space="preserve">be applied. </w:t>
      </w:r>
    </w:p>
    <w:p w14:paraId="572503B7" w14:textId="77777777" w:rsidR="00E56D9B" w:rsidRDefault="00E56D9B" w:rsidP="00E56D9B">
      <w:pPr>
        <w:jc w:val="center"/>
        <w:rPr>
          <w:rFonts w:eastAsia="Calibri"/>
          <w:b/>
          <w:lang w:eastAsia="en-US"/>
        </w:rPr>
      </w:pPr>
      <w:proofErr w:type="spellStart"/>
      <w:r>
        <w:rPr>
          <w:rFonts w:eastAsia="Calibri"/>
          <w:b/>
          <w:lang w:eastAsia="en-US"/>
        </w:rPr>
        <w:t>Qform</w:t>
      </w:r>
      <w:r>
        <w:rPr>
          <w:rFonts w:eastAsia="Calibri"/>
          <w:b/>
          <w:vertAlign w:val="subscript"/>
          <w:lang w:eastAsia="en-US"/>
        </w:rPr>
        <w:t>appl</w:t>
      </w:r>
      <w:proofErr w:type="spellEnd"/>
      <w:r>
        <w:rPr>
          <w:rFonts w:eastAsia="Calibri"/>
          <w:b/>
          <w:lang w:eastAsia="en-US"/>
        </w:rPr>
        <w:t xml:space="preserve"> = 1.15 mg product/cm² skin</w:t>
      </w:r>
    </w:p>
    <w:p w14:paraId="420C603E" w14:textId="77777777" w:rsidR="00E56D9B" w:rsidRPr="002952A0" w:rsidRDefault="00E56D9B" w:rsidP="00E56D9B">
      <w:pPr>
        <w:pStyle w:val="Titre7"/>
        <w:rPr>
          <w:lang w:val="en-US"/>
        </w:rPr>
      </w:pPr>
      <w:r w:rsidRPr="00DA2EA7">
        <w:rPr>
          <w:lang w:val="en-US"/>
        </w:rPr>
        <w:t>Treated area of human skin</w:t>
      </w:r>
      <w:r>
        <w:rPr>
          <w:lang w:val="en-US"/>
        </w:rPr>
        <w:t xml:space="preserve"> (</w:t>
      </w:r>
      <w:proofErr w:type="spellStart"/>
      <w:r>
        <w:rPr>
          <w:lang w:val="en-US"/>
        </w:rPr>
        <w:t>AREA</w:t>
      </w:r>
      <w:r>
        <w:rPr>
          <w:vertAlign w:val="subscript"/>
          <w:lang w:val="en-US"/>
        </w:rPr>
        <w:t>skin</w:t>
      </w:r>
      <w:proofErr w:type="spellEnd"/>
      <w:r>
        <w:rPr>
          <w:lang w:val="en-US"/>
        </w:rPr>
        <w:t>)</w:t>
      </w:r>
    </w:p>
    <w:p w14:paraId="6FD4FF6A" w14:textId="77777777" w:rsidR="00E56D9B" w:rsidRDefault="00E56D9B" w:rsidP="00E56D9B">
      <w:pPr>
        <w:rPr>
          <w:rFonts w:eastAsia="Calibri"/>
          <w:lang w:val="en-US" w:eastAsia="en-US"/>
        </w:rPr>
      </w:pPr>
      <w:r>
        <w:rPr>
          <w:rFonts w:eastAsia="Calibri"/>
          <w:lang w:val="en-US" w:eastAsia="en-US"/>
        </w:rPr>
        <w:t>Concerning the body surface to which the product is applied (</w:t>
      </w:r>
      <w:proofErr w:type="spellStart"/>
      <w:r>
        <w:rPr>
          <w:rFonts w:eastAsia="Calibri"/>
          <w:lang w:val="en-US" w:eastAsia="en-US"/>
        </w:rPr>
        <w:t>AREA</w:t>
      </w:r>
      <w:r>
        <w:rPr>
          <w:rFonts w:eastAsia="Calibri"/>
          <w:vertAlign w:val="subscript"/>
          <w:lang w:val="en-US" w:eastAsia="en-US"/>
        </w:rPr>
        <w:t>skin</w:t>
      </w:r>
      <w:proofErr w:type="spellEnd"/>
      <w:r>
        <w:rPr>
          <w:rFonts w:eastAsia="Calibri"/>
          <w:lang w:val="en-US" w:eastAsia="en-US"/>
        </w:rPr>
        <w:t>), according to the applicant the product should only be applied to the face, arms, hands and legs. However, when repellent products are used when swimming, one could assume the swimmer would apply it also to their feet and trunk. Therefore, for a worst case calculation, it is assumed the product is applied to the full body surface.</w:t>
      </w:r>
    </w:p>
    <w:p w14:paraId="59577DFE" w14:textId="77777777" w:rsidR="00E56D9B" w:rsidRDefault="00E56D9B" w:rsidP="00E56D9B">
      <w:pPr>
        <w:jc w:val="center"/>
        <w:rPr>
          <w:rFonts w:eastAsia="Calibri"/>
          <w:b/>
          <w:lang w:val="en-US" w:eastAsia="en-US"/>
        </w:rPr>
      </w:pPr>
      <w:proofErr w:type="spellStart"/>
      <w:r>
        <w:rPr>
          <w:rFonts w:eastAsia="Calibri"/>
          <w:b/>
          <w:lang w:val="en-US" w:eastAsia="en-US"/>
        </w:rPr>
        <w:t>AREA</w:t>
      </w:r>
      <w:r>
        <w:rPr>
          <w:rFonts w:eastAsia="Calibri"/>
          <w:b/>
          <w:vertAlign w:val="subscript"/>
          <w:lang w:val="en-US" w:eastAsia="en-US"/>
        </w:rPr>
        <w:t>skin</w:t>
      </w:r>
      <w:proofErr w:type="spellEnd"/>
      <w:r>
        <w:rPr>
          <w:rFonts w:eastAsia="Calibri"/>
          <w:b/>
          <w:lang w:val="en-US" w:eastAsia="en-US"/>
        </w:rPr>
        <w:t xml:space="preserve"> = 16600 cm²</w:t>
      </w:r>
    </w:p>
    <w:p w14:paraId="31D00F8C" w14:textId="77777777" w:rsidR="00806DC5" w:rsidRPr="00806DC5" w:rsidRDefault="00806DC5" w:rsidP="00806DC5">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1675"/>
        <w:gridCol w:w="807"/>
        <w:gridCol w:w="974"/>
        <w:gridCol w:w="1316"/>
      </w:tblGrid>
      <w:tr w:rsidR="00092E70" w:rsidRPr="00092E70" w14:paraId="611F74D0" w14:textId="77777777" w:rsidTr="00CF3C7C">
        <w:trPr>
          <w:trHeight w:val="346"/>
        </w:trPr>
        <w:tc>
          <w:tcPr>
            <w:tcW w:w="5000" w:type="pct"/>
            <w:gridSpan w:val="5"/>
            <w:tcBorders>
              <w:top w:val="single" w:sz="4" w:space="0" w:color="auto"/>
              <w:left w:val="single" w:sz="4" w:space="0" w:color="auto"/>
              <w:bottom w:val="single" w:sz="4" w:space="0" w:color="auto"/>
              <w:right w:val="single" w:sz="4" w:space="0" w:color="auto"/>
            </w:tcBorders>
            <w:shd w:val="clear" w:color="auto" w:fill="FFFFCC"/>
            <w:vAlign w:val="center"/>
            <w:hideMark/>
          </w:tcPr>
          <w:p w14:paraId="15F13232" w14:textId="77777777" w:rsidR="00092E70" w:rsidRPr="00092E70" w:rsidRDefault="00092E70" w:rsidP="00092E70">
            <w:pPr>
              <w:pStyle w:val="Standaard-Tabellen"/>
              <w:rPr>
                <w:rFonts w:eastAsia="Calibri"/>
                <w:b/>
              </w:rPr>
            </w:pPr>
            <w:r w:rsidRPr="00092E70">
              <w:rPr>
                <w:rFonts w:eastAsia="Calibri"/>
                <w:b/>
              </w:rPr>
              <w:t>Input parameters for calculating the local emission</w:t>
            </w:r>
          </w:p>
        </w:tc>
      </w:tr>
      <w:tr w:rsidR="00092E70" w:rsidRPr="00092E70" w14:paraId="79C86F28" w14:textId="77777777" w:rsidTr="00CF3C7C">
        <w:trPr>
          <w:trHeight w:val="75"/>
        </w:trPr>
        <w:tc>
          <w:tcPr>
            <w:tcW w:w="246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D148CD" w14:textId="77777777" w:rsidR="00092E70" w:rsidRPr="00092E70" w:rsidRDefault="00092E70" w:rsidP="00092E70">
            <w:pPr>
              <w:pStyle w:val="Standaard-Tabellen"/>
              <w:rPr>
                <w:rFonts w:eastAsia="Calibri" w:cs="Arial"/>
                <w:b/>
                <w:color w:val="000000"/>
              </w:rPr>
            </w:pPr>
            <w:r w:rsidRPr="00092E70">
              <w:rPr>
                <w:rFonts w:eastAsia="Calibri" w:cs="Arial"/>
                <w:b/>
                <w:color w:val="000000"/>
              </w:rPr>
              <w:t xml:space="preserve">Input </w:t>
            </w:r>
          </w:p>
        </w:tc>
        <w:tc>
          <w:tcPr>
            <w:tcW w:w="8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E28FE8" w14:textId="77777777" w:rsidR="00092E70" w:rsidRPr="00092E70" w:rsidRDefault="00092E70" w:rsidP="00092E70">
            <w:pPr>
              <w:pStyle w:val="Standaard-Tabellen"/>
              <w:rPr>
                <w:rFonts w:eastAsia="Calibri" w:cs="Arial"/>
                <w:b/>
                <w:color w:val="000000"/>
              </w:rPr>
            </w:pPr>
            <w:r w:rsidRPr="00092E70">
              <w:rPr>
                <w:rFonts w:eastAsia="Calibri" w:cs="Arial"/>
                <w:b/>
                <w:color w:val="000000"/>
              </w:rPr>
              <w:t>Nomenclature</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B769EF" w14:textId="77777777" w:rsidR="00092E70" w:rsidRPr="00092E70" w:rsidRDefault="00092E70" w:rsidP="00092E70">
            <w:pPr>
              <w:pStyle w:val="Standaard-Tabellen"/>
              <w:rPr>
                <w:rFonts w:eastAsia="Calibri" w:cs="Arial"/>
                <w:b/>
                <w:color w:val="000000"/>
              </w:rPr>
            </w:pPr>
            <w:r w:rsidRPr="00092E70">
              <w:rPr>
                <w:rFonts w:eastAsia="Calibri" w:cs="Arial"/>
                <w:b/>
                <w:color w:val="000000"/>
              </w:rPr>
              <w:t xml:space="preserve">Value </w:t>
            </w:r>
          </w:p>
        </w:tc>
        <w:tc>
          <w:tcPr>
            <w:tcW w:w="5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67C792" w14:textId="77777777" w:rsidR="00092E70" w:rsidRPr="00092E70" w:rsidRDefault="00092E70" w:rsidP="00092E70">
            <w:pPr>
              <w:pStyle w:val="Standaard-Tabellen"/>
              <w:rPr>
                <w:rFonts w:eastAsia="Calibri" w:cs="Arial"/>
                <w:b/>
                <w:color w:val="000000"/>
              </w:rPr>
            </w:pPr>
            <w:r w:rsidRPr="00092E70">
              <w:rPr>
                <w:rFonts w:eastAsia="Calibri" w:cs="Arial"/>
                <w:b/>
                <w:color w:val="000000"/>
              </w:rPr>
              <w:t>Unit</w:t>
            </w:r>
          </w:p>
        </w:tc>
        <w:tc>
          <w:tcPr>
            <w:tcW w:w="7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600C66" w14:textId="77777777" w:rsidR="00092E70" w:rsidRPr="00092E70" w:rsidRDefault="00092E70" w:rsidP="00092E70">
            <w:pPr>
              <w:pStyle w:val="Standaard-Tabellen"/>
              <w:rPr>
                <w:rFonts w:eastAsia="Calibri" w:cs="Arial"/>
                <w:b/>
                <w:color w:val="000000"/>
              </w:rPr>
            </w:pPr>
            <w:r w:rsidRPr="00092E70">
              <w:rPr>
                <w:rFonts w:eastAsia="Calibri" w:cs="Arial"/>
                <w:b/>
                <w:color w:val="000000"/>
              </w:rPr>
              <w:t>Remarks</w:t>
            </w:r>
          </w:p>
        </w:tc>
      </w:tr>
      <w:tr w:rsidR="00092E70" w:rsidRPr="00092E70" w14:paraId="2A0762A3" w14:textId="77777777" w:rsidTr="00CF3C7C">
        <w:trPr>
          <w:trHeight w:val="75"/>
        </w:trPr>
        <w:tc>
          <w:tcPr>
            <w:tcW w:w="5000" w:type="pct"/>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5D4406" w14:textId="77777777" w:rsidR="00092E70" w:rsidRDefault="00092E70" w:rsidP="00092E70">
            <w:pPr>
              <w:pStyle w:val="Standaard-Tabellen"/>
              <w:rPr>
                <w:rFonts w:eastAsia="Calibri"/>
                <w:i/>
                <w:color w:val="000000"/>
              </w:rPr>
            </w:pPr>
            <w:r>
              <w:rPr>
                <w:rFonts w:eastAsia="Calibri"/>
                <w:i/>
                <w:color w:val="000000"/>
              </w:rPr>
              <w:t>Scenario</w:t>
            </w:r>
            <w:r>
              <w:rPr>
                <w:rFonts w:eastAsia="Calibri"/>
                <w:i/>
              </w:rPr>
              <w:t>: Release of repellents used on human skin due to swimming activities in surface water bodies</w:t>
            </w:r>
          </w:p>
        </w:tc>
      </w:tr>
      <w:tr w:rsidR="00092E70" w14:paraId="0FE8991B" w14:textId="77777777" w:rsidTr="00CF3C7C">
        <w:trPr>
          <w:trHeight w:val="75"/>
        </w:trPr>
        <w:tc>
          <w:tcPr>
            <w:tcW w:w="2462" w:type="pct"/>
            <w:tcBorders>
              <w:top w:val="single" w:sz="4" w:space="0" w:color="auto"/>
              <w:left w:val="single" w:sz="4" w:space="0" w:color="auto"/>
              <w:bottom w:val="single" w:sz="4" w:space="0" w:color="auto"/>
              <w:right w:val="single" w:sz="4" w:space="0" w:color="auto"/>
            </w:tcBorders>
            <w:vAlign w:val="center"/>
            <w:hideMark/>
          </w:tcPr>
          <w:p w14:paraId="785FD37D" w14:textId="77777777" w:rsidR="00092E70" w:rsidRDefault="00092E70" w:rsidP="00092E70">
            <w:pPr>
              <w:pStyle w:val="Standaard-Tabellen"/>
              <w:rPr>
                <w:rFonts w:eastAsia="Calibri"/>
                <w:color w:val="000000"/>
              </w:rPr>
            </w:pPr>
            <w:r>
              <w:rPr>
                <w:rFonts w:eastAsia="Calibri"/>
                <w:color w:val="000000"/>
              </w:rPr>
              <w:t>Daily number of swimmers</w:t>
            </w:r>
          </w:p>
        </w:tc>
        <w:tc>
          <w:tcPr>
            <w:tcW w:w="891" w:type="pct"/>
            <w:tcBorders>
              <w:top w:val="single" w:sz="4" w:space="0" w:color="auto"/>
              <w:left w:val="single" w:sz="4" w:space="0" w:color="auto"/>
              <w:bottom w:val="single" w:sz="4" w:space="0" w:color="auto"/>
              <w:right w:val="single" w:sz="4" w:space="0" w:color="auto"/>
            </w:tcBorders>
            <w:vAlign w:val="center"/>
            <w:hideMark/>
          </w:tcPr>
          <w:p w14:paraId="0F415F2B" w14:textId="77777777" w:rsidR="00092E70" w:rsidRDefault="00092E70" w:rsidP="00092E70">
            <w:pPr>
              <w:pStyle w:val="Standaard-Tabellen"/>
              <w:rPr>
                <w:rFonts w:eastAsia="Calibri"/>
                <w:color w:val="000000"/>
              </w:rPr>
            </w:pPr>
            <w:proofErr w:type="spellStart"/>
            <w:r>
              <w:rPr>
                <w:rFonts w:eastAsia="Calibri"/>
                <w:color w:val="000000"/>
              </w:rPr>
              <w:t>N</w:t>
            </w:r>
            <w:r>
              <w:rPr>
                <w:rFonts w:eastAsia="Calibri"/>
                <w:color w:val="000000"/>
                <w:vertAlign w:val="subscript"/>
              </w:rPr>
              <w:t>swimmer</w:t>
            </w:r>
            <w:proofErr w:type="spellEnd"/>
          </w:p>
        </w:tc>
        <w:tc>
          <w:tcPr>
            <w:tcW w:w="429" w:type="pct"/>
            <w:tcBorders>
              <w:top w:val="single" w:sz="4" w:space="0" w:color="auto"/>
              <w:left w:val="single" w:sz="4" w:space="0" w:color="auto"/>
              <w:bottom w:val="single" w:sz="4" w:space="0" w:color="auto"/>
              <w:right w:val="single" w:sz="4" w:space="0" w:color="auto"/>
            </w:tcBorders>
            <w:vAlign w:val="center"/>
            <w:hideMark/>
          </w:tcPr>
          <w:p w14:paraId="59ECB8BB" w14:textId="77777777" w:rsidR="00092E70" w:rsidRDefault="00092E70" w:rsidP="00092E70">
            <w:pPr>
              <w:pStyle w:val="Standaard-Tabellen"/>
              <w:rPr>
                <w:rFonts w:eastAsia="Calibri"/>
                <w:color w:val="000000"/>
              </w:rPr>
            </w:pPr>
            <w:r>
              <w:rPr>
                <w:rFonts w:eastAsia="Calibri"/>
                <w:color w:val="000000"/>
              </w:rPr>
              <w:t>1500</w:t>
            </w:r>
          </w:p>
        </w:tc>
        <w:tc>
          <w:tcPr>
            <w:tcW w:w="518" w:type="pct"/>
            <w:tcBorders>
              <w:top w:val="single" w:sz="4" w:space="0" w:color="auto"/>
              <w:left w:val="single" w:sz="4" w:space="0" w:color="auto"/>
              <w:bottom w:val="single" w:sz="4" w:space="0" w:color="auto"/>
              <w:right w:val="single" w:sz="4" w:space="0" w:color="auto"/>
            </w:tcBorders>
            <w:vAlign w:val="center"/>
            <w:hideMark/>
          </w:tcPr>
          <w:p w14:paraId="6977BC0B" w14:textId="77777777" w:rsidR="00092E70" w:rsidRDefault="00092E70" w:rsidP="00092E70">
            <w:pPr>
              <w:pStyle w:val="Standaard-Tabellen"/>
              <w:rPr>
                <w:rFonts w:eastAsia="Calibri"/>
                <w:color w:val="000000"/>
              </w:rPr>
            </w:pPr>
            <w:r>
              <w:rPr>
                <w:rFonts w:eastAsia="Calibri"/>
                <w:color w:val="000000"/>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3175D13B" w14:textId="77777777" w:rsidR="00092E70" w:rsidRDefault="00092E70" w:rsidP="00092E70">
            <w:pPr>
              <w:pStyle w:val="Standaard-Tabellen"/>
              <w:rPr>
                <w:rFonts w:eastAsia="Calibri"/>
                <w:color w:val="000000"/>
              </w:rPr>
            </w:pPr>
            <w:r>
              <w:rPr>
                <w:rFonts w:eastAsia="Calibri"/>
                <w:color w:val="000000"/>
              </w:rPr>
              <w:t>D</w:t>
            </w:r>
          </w:p>
        </w:tc>
      </w:tr>
      <w:tr w:rsidR="00092E70" w14:paraId="0FE9926D" w14:textId="77777777" w:rsidTr="00CF3C7C">
        <w:trPr>
          <w:trHeight w:val="93"/>
        </w:trPr>
        <w:tc>
          <w:tcPr>
            <w:tcW w:w="2462" w:type="pct"/>
            <w:tcBorders>
              <w:top w:val="single" w:sz="4" w:space="0" w:color="auto"/>
              <w:left w:val="single" w:sz="4" w:space="0" w:color="auto"/>
              <w:bottom w:val="single" w:sz="4" w:space="0" w:color="auto"/>
              <w:right w:val="single" w:sz="4" w:space="0" w:color="auto"/>
            </w:tcBorders>
            <w:vAlign w:val="center"/>
            <w:hideMark/>
          </w:tcPr>
          <w:p w14:paraId="69465E06" w14:textId="77777777" w:rsidR="00092E70" w:rsidRDefault="00092E70" w:rsidP="00092E70">
            <w:pPr>
              <w:pStyle w:val="Standaard-Tabellen"/>
              <w:rPr>
                <w:rFonts w:eastAsia="Calibri"/>
                <w:color w:val="000000"/>
              </w:rPr>
            </w:pPr>
            <w:r>
              <w:rPr>
                <w:rFonts w:eastAsia="Calibri"/>
                <w:color w:val="000000"/>
              </w:rPr>
              <w:t>Fraction of swimmers using the repellent product</w:t>
            </w:r>
          </w:p>
        </w:tc>
        <w:tc>
          <w:tcPr>
            <w:tcW w:w="891" w:type="pct"/>
            <w:tcBorders>
              <w:top w:val="single" w:sz="4" w:space="0" w:color="auto"/>
              <w:left w:val="single" w:sz="4" w:space="0" w:color="auto"/>
              <w:bottom w:val="single" w:sz="4" w:space="0" w:color="auto"/>
              <w:right w:val="single" w:sz="4" w:space="0" w:color="auto"/>
            </w:tcBorders>
            <w:vAlign w:val="center"/>
            <w:hideMark/>
          </w:tcPr>
          <w:p w14:paraId="4B91F561" w14:textId="77777777" w:rsidR="00092E70" w:rsidRDefault="00092E70" w:rsidP="00092E70">
            <w:pPr>
              <w:pStyle w:val="Standaard-Tabellen"/>
              <w:rPr>
                <w:rFonts w:eastAsia="Calibri"/>
                <w:color w:val="000000"/>
              </w:rPr>
            </w:pPr>
            <w:proofErr w:type="spellStart"/>
            <w:r>
              <w:rPr>
                <w:rFonts w:eastAsia="Calibri"/>
                <w:color w:val="000000"/>
              </w:rPr>
              <w:t>F</w:t>
            </w:r>
            <w:r>
              <w:rPr>
                <w:rFonts w:eastAsia="Calibri"/>
                <w:color w:val="000000"/>
                <w:vertAlign w:val="subscript"/>
              </w:rPr>
              <w:t>swim</w:t>
            </w:r>
            <w:proofErr w:type="spellEnd"/>
          </w:p>
        </w:tc>
        <w:tc>
          <w:tcPr>
            <w:tcW w:w="429" w:type="pct"/>
            <w:tcBorders>
              <w:top w:val="single" w:sz="4" w:space="0" w:color="auto"/>
              <w:left w:val="single" w:sz="4" w:space="0" w:color="auto"/>
              <w:bottom w:val="single" w:sz="4" w:space="0" w:color="auto"/>
              <w:right w:val="single" w:sz="4" w:space="0" w:color="auto"/>
            </w:tcBorders>
            <w:vAlign w:val="center"/>
            <w:hideMark/>
          </w:tcPr>
          <w:p w14:paraId="397F64FA" w14:textId="6C362C7A" w:rsidR="00092E70" w:rsidRDefault="00E56D9B" w:rsidP="008C5876">
            <w:pPr>
              <w:pStyle w:val="Standaard-Tabellen"/>
              <w:rPr>
                <w:rFonts w:eastAsia="Calibri"/>
                <w:color w:val="000000"/>
              </w:rPr>
            </w:pPr>
            <w:r>
              <w:rPr>
                <w:rFonts w:eastAsia="Calibri"/>
                <w:color w:val="000000"/>
              </w:rPr>
              <w:t>0.</w:t>
            </w:r>
            <w:r w:rsidR="008C5876">
              <w:rPr>
                <w:rFonts w:eastAsia="Calibri"/>
                <w:color w:val="000000"/>
              </w:rPr>
              <w:t>1</w:t>
            </w:r>
          </w:p>
        </w:tc>
        <w:tc>
          <w:tcPr>
            <w:tcW w:w="518" w:type="pct"/>
            <w:tcBorders>
              <w:top w:val="single" w:sz="4" w:space="0" w:color="auto"/>
              <w:left w:val="single" w:sz="4" w:space="0" w:color="auto"/>
              <w:bottom w:val="single" w:sz="4" w:space="0" w:color="auto"/>
              <w:right w:val="single" w:sz="4" w:space="0" w:color="auto"/>
            </w:tcBorders>
            <w:vAlign w:val="center"/>
            <w:hideMark/>
          </w:tcPr>
          <w:p w14:paraId="6751A362" w14:textId="77777777" w:rsidR="00092E70" w:rsidRDefault="00092E70" w:rsidP="00092E70">
            <w:pPr>
              <w:pStyle w:val="Standaard-Tabellen"/>
              <w:rPr>
                <w:rFonts w:eastAsia="Calibri"/>
                <w:color w:val="000000"/>
              </w:rPr>
            </w:pPr>
            <w:r>
              <w:rPr>
                <w:rFonts w:eastAsia="Calibri"/>
                <w:color w:val="000000"/>
              </w:rPr>
              <w:t>[-]</w:t>
            </w:r>
          </w:p>
        </w:tc>
        <w:tc>
          <w:tcPr>
            <w:tcW w:w="700" w:type="pct"/>
            <w:tcBorders>
              <w:top w:val="single" w:sz="4" w:space="0" w:color="auto"/>
              <w:left w:val="single" w:sz="4" w:space="0" w:color="auto"/>
              <w:bottom w:val="single" w:sz="4" w:space="0" w:color="auto"/>
              <w:right w:val="single" w:sz="4" w:space="0" w:color="auto"/>
            </w:tcBorders>
            <w:hideMark/>
          </w:tcPr>
          <w:p w14:paraId="41F5DB44" w14:textId="299B41BF" w:rsidR="00092E70" w:rsidRDefault="00092E70" w:rsidP="00092E70">
            <w:pPr>
              <w:pStyle w:val="Standaard-Tabellen"/>
              <w:rPr>
                <w:rFonts w:eastAsia="Calibri"/>
                <w:color w:val="000000"/>
              </w:rPr>
            </w:pPr>
            <w:r>
              <w:rPr>
                <w:rFonts w:eastAsia="Calibri"/>
                <w:color w:val="000000"/>
              </w:rPr>
              <w:t>P</w:t>
            </w:r>
            <w:r w:rsidR="008C5876">
              <w:rPr>
                <w:rFonts w:eastAsia="Calibri"/>
                <w:color w:val="000000"/>
              </w:rPr>
              <w:t xml:space="preserve"> </w:t>
            </w:r>
            <w:proofErr w:type="spellStart"/>
            <w:r w:rsidR="008C5876">
              <w:rPr>
                <w:rFonts w:eastAsia="Calibri"/>
                <w:color w:val="000000"/>
              </w:rPr>
              <w:t>worstcase</w:t>
            </w:r>
            <w:proofErr w:type="spellEnd"/>
          </w:p>
        </w:tc>
      </w:tr>
      <w:tr w:rsidR="00092E70" w14:paraId="62E7A825" w14:textId="77777777" w:rsidTr="00CF3C7C">
        <w:trPr>
          <w:trHeight w:val="93"/>
        </w:trPr>
        <w:tc>
          <w:tcPr>
            <w:tcW w:w="2462" w:type="pct"/>
            <w:tcBorders>
              <w:top w:val="single" w:sz="4" w:space="0" w:color="auto"/>
              <w:left w:val="single" w:sz="4" w:space="0" w:color="auto"/>
              <w:bottom w:val="single" w:sz="4" w:space="0" w:color="auto"/>
              <w:right w:val="single" w:sz="4" w:space="0" w:color="auto"/>
            </w:tcBorders>
            <w:vAlign w:val="center"/>
            <w:hideMark/>
          </w:tcPr>
          <w:p w14:paraId="0EA32775" w14:textId="77777777" w:rsidR="00092E70" w:rsidRDefault="00092E70" w:rsidP="00092E70">
            <w:pPr>
              <w:pStyle w:val="Standaard-Tabellen"/>
              <w:rPr>
                <w:rFonts w:eastAsia="Calibri"/>
                <w:color w:val="000000"/>
              </w:rPr>
            </w:pPr>
            <w:r>
              <w:rPr>
                <w:rFonts w:eastAsia="Calibri"/>
                <w:color w:val="000000"/>
              </w:rPr>
              <w:t>Number of applications per day</w:t>
            </w:r>
          </w:p>
        </w:tc>
        <w:tc>
          <w:tcPr>
            <w:tcW w:w="891" w:type="pct"/>
            <w:tcBorders>
              <w:top w:val="single" w:sz="4" w:space="0" w:color="auto"/>
              <w:left w:val="single" w:sz="4" w:space="0" w:color="auto"/>
              <w:bottom w:val="single" w:sz="4" w:space="0" w:color="auto"/>
              <w:right w:val="single" w:sz="4" w:space="0" w:color="auto"/>
            </w:tcBorders>
            <w:vAlign w:val="center"/>
            <w:hideMark/>
          </w:tcPr>
          <w:p w14:paraId="242D6E66" w14:textId="77777777" w:rsidR="00092E70" w:rsidRDefault="00092E70" w:rsidP="00092E70">
            <w:pPr>
              <w:pStyle w:val="Standaard-Tabellen"/>
              <w:rPr>
                <w:rFonts w:eastAsia="Calibri"/>
                <w:color w:val="000000"/>
              </w:rPr>
            </w:pPr>
            <w:proofErr w:type="spellStart"/>
            <w:r>
              <w:rPr>
                <w:rFonts w:eastAsia="Calibri"/>
                <w:color w:val="000000"/>
              </w:rPr>
              <w:t>N</w:t>
            </w:r>
            <w:r>
              <w:rPr>
                <w:rFonts w:eastAsia="Calibri"/>
                <w:color w:val="000000"/>
                <w:vertAlign w:val="subscript"/>
              </w:rPr>
              <w:t>appl</w:t>
            </w:r>
            <w:proofErr w:type="spellEnd"/>
          </w:p>
        </w:tc>
        <w:tc>
          <w:tcPr>
            <w:tcW w:w="429" w:type="pct"/>
            <w:tcBorders>
              <w:top w:val="single" w:sz="4" w:space="0" w:color="auto"/>
              <w:left w:val="single" w:sz="4" w:space="0" w:color="auto"/>
              <w:bottom w:val="single" w:sz="4" w:space="0" w:color="auto"/>
              <w:right w:val="single" w:sz="4" w:space="0" w:color="auto"/>
            </w:tcBorders>
            <w:vAlign w:val="center"/>
            <w:hideMark/>
          </w:tcPr>
          <w:p w14:paraId="7DF1100C" w14:textId="77777777" w:rsidR="00092E70" w:rsidRDefault="00092E70" w:rsidP="00092E70">
            <w:pPr>
              <w:pStyle w:val="Standaard-Tabellen"/>
              <w:rPr>
                <w:rFonts w:eastAsia="Calibri"/>
                <w:color w:val="000000"/>
              </w:rPr>
            </w:pPr>
            <w:r>
              <w:rPr>
                <w:rFonts w:eastAsia="Calibri"/>
                <w:color w:val="000000"/>
              </w:rPr>
              <w:t>1</w:t>
            </w:r>
          </w:p>
        </w:tc>
        <w:tc>
          <w:tcPr>
            <w:tcW w:w="518" w:type="pct"/>
            <w:tcBorders>
              <w:top w:val="single" w:sz="4" w:space="0" w:color="auto"/>
              <w:left w:val="single" w:sz="4" w:space="0" w:color="auto"/>
              <w:bottom w:val="single" w:sz="4" w:space="0" w:color="auto"/>
              <w:right w:val="single" w:sz="4" w:space="0" w:color="auto"/>
            </w:tcBorders>
            <w:vAlign w:val="center"/>
            <w:hideMark/>
          </w:tcPr>
          <w:p w14:paraId="2401AA20" w14:textId="77777777" w:rsidR="00092E70" w:rsidRDefault="00092E70" w:rsidP="00092E70">
            <w:pPr>
              <w:pStyle w:val="Standaard-Tabellen"/>
              <w:rPr>
                <w:rFonts w:eastAsia="Calibri"/>
                <w:color w:val="000000"/>
              </w:rPr>
            </w:pPr>
            <w:r>
              <w:rPr>
                <w:rFonts w:eastAsia="Calibri"/>
                <w:color w:val="000000"/>
              </w:rPr>
              <w:t>d</w:t>
            </w:r>
            <w:r>
              <w:rPr>
                <w:rFonts w:eastAsia="Calibri"/>
                <w:color w:val="000000"/>
                <w:vertAlign w:val="superscript"/>
              </w:rPr>
              <w:t>-1</w:t>
            </w:r>
          </w:p>
        </w:tc>
        <w:tc>
          <w:tcPr>
            <w:tcW w:w="700" w:type="pct"/>
            <w:tcBorders>
              <w:top w:val="single" w:sz="4" w:space="0" w:color="auto"/>
              <w:left w:val="single" w:sz="4" w:space="0" w:color="auto"/>
              <w:bottom w:val="single" w:sz="4" w:space="0" w:color="auto"/>
              <w:right w:val="single" w:sz="4" w:space="0" w:color="auto"/>
            </w:tcBorders>
            <w:hideMark/>
          </w:tcPr>
          <w:p w14:paraId="6EE85A93" w14:textId="77777777" w:rsidR="00092E70" w:rsidRDefault="00092E70" w:rsidP="00092E70">
            <w:pPr>
              <w:pStyle w:val="Standaard-Tabellen"/>
              <w:rPr>
                <w:rFonts w:eastAsia="Calibri"/>
                <w:color w:val="000000"/>
              </w:rPr>
            </w:pPr>
            <w:r>
              <w:rPr>
                <w:rFonts w:eastAsia="Calibri"/>
                <w:color w:val="000000"/>
              </w:rPr>
              <w:t>D</w:t>
            </w:r>
          </w:p>
        </w:tc>
      </w:tr>
      <w:tr w:rsidR="00092E70" w14:paraId="1E4B5A9D" w14:textId="77777777" w:rsidTr="00CF3C7C">
        <w:trPr>
          <w:trHeight w:val="93"/>
        </w:trPr>
        <w:tc>
          <w:tcPr>
            <w:tcW w:w="2462" w:type="pct"/>
            <w:tcBorders>
              <w:top w:val="single" w:sz="4" w:space="0" w:color="auto"/>
              <w:left w:val="single" w:sz="4" w:space="0" w:color="auto"/>
              <w:bottom w:val="single" w:sz="4" w:space="0" w:color="auto"/>
              <w:right w:val="single" w:sz="4" w:space="0" w:color="auto"/>
            </w:tcBorders>
            <w:vAlign w:val="center"/>
            <w:hideMark/>
          </w:tcPr>
          <w:p w14:paraId="6C2A7F43" w14:textId="77777777" w:rsidR="00092E70" w:rsidRDefault="00092E70" w:rsidP="00092E70">
            <w:pPr>
              <w:pStyle w:val="Standaard-Tabellen"/>
              <w:rPr>
                <w:rFonts w:eastAsia="Calibri"/>
                <w:color w:val="000000"/>
              </w:rPr>
            </w:pPr>
            <w:r>
              <w:rPr>
                <w:rFonts w:eastAsia="Calibri"/>
                <w:color w:val="000000"/>
              </w:rPr>
              <w:t>Fraction released to surface water body</w:t>
            </w:r>
          </w:p>
        </w:tc>
        <w:tc>
          <w:tcPr>
            <w:tcW w:w="891" w:type="pct"/>
            <w:tcBorders>
              <w:top w:val="single" w:sz="4" w:space="0" w:color="auto"/>
              <w:left w:val="single" w:sz="4" w:space="0" w:color="auto"/>
              <w:bottom w:val="single" w:sz="4" w:space="0" w:color="auto"/>
              <w:right w:val="single" w:sz="4" w:space="0" w:color="auto"/>
            </w:tcBorders>
            <w:vAlign w:val="center"/>
            <w:hideMark/>
          </w:tcPr>
          <w:p w14:paraId="356115CA" w14:textId="77777777" w:rsidR="00092E70" w:rsidRDefault="00092E70" w:rsidP="00092E70">
            <w:pPr>
              <w:pStyle w:val="Standaard-Tabellen"/>
              <w:rPr>
                <w:rFonts w:eastAsia="Calibri"/>
                <w:color w:val="000000"/>
              </w:rPr>
            </w:pPr>
            <w:proofErr w:type="spellStart"/>
            <w:r>
              <w:rPr>
                <w:rFonts w:eastAsia="Calibri"/>
                <w:color w:val="000000"/>
              </w:rPr>
              <w:t>F</w:t>
            </w:r>
            <w:r>
              <w:rPr>
                <w:rFonts w:eastAsia="Calibri"/>
                <w:color w:val="000000"/>
                <w:vertAlign w:val="subscript"/>
              </w:rPr>
              <w:t>waterbody</w:t>
            </w:r>
            <w:proofErr w:type="spellEnd"/>
          </w:p>
        </w:tc>
        <w:tc>
          <w:tcPr>
            <w:tcW w:w="429" w:type="pct"/>
            <w:tcBorders>
              <w:top w:val="single" w:sz="4" w:space="0" w:color="auto"/>
              <w:left w:val="single" w:sz="4" w:space="0" w:color="auto"/>
              <w:bottom w:val="single" w:sz="4" w:space="0" w:color="auto"/>
              <w:right w:val="single" w:sz="4" w:space="0" w:color="auto"/>
            </w:tcBorders>
            <w:vAlign w:val="center"/>
            <w:hideMark/>
          </w:tcPr>
          <w:p w14:paraId="688DC850" w14:textId="77777777" w:rsidR="00092E70" w:rsidRDefault="00092E70" w:rsidP="00092E70">
            <w:pPr>
              <w:pStyle w:val="Standaard-Tabellen"/>
              <w:rPr>
                <w:rFonts w:eastAsia="Calibri"/>
                <w:color w:val="000000"/>
              </w:rPr>
            </w:pPr>
            <w:r>
              <w:rPr>
                <w:rFonts w:eastAsia="Calibri"/>
                <w:color w:val="000000"/>
              </w:rPr>
              <w:t>1</w:t>
            </w:r>
          </w:p>
        </w:tc>
        <w:tc>
          <w:tcPr>
            <w:tcW w:w="518" w:type="pct"/>
            <w:tcBorders>
              <w:top w:val="single" w:sz="4" w:space="0" w:color="auto"/>
              <w:left w:val="single" w:sz="4" w:space="0" w:color="auto"/>
              <w:bottom w:val="single" w:sz="4" w:space="0" w:color="auto"/>
              <w:right w:val="single" w:sz="4" w:space="0" w:color="auto"/>
            </w:tcBorders>
            <w:vAlign w:val="center"/>
            <w:hideMark/>
          </w:tcPr>
          <w:p w14:paraId="224A8E6A" w14:textId="77777777" w:rsidR="00092E70" w:rsidRDefault="00092E70" w:rsidP="00092E70">
            <w:pPr>
              <w:pStyle w:val="Standaard-Tabellen"/>
              <w:rPr>
                <w:rFonts w:eastAsia="Calibri"/>
                <w:color w:val="000000"/>
              </w:rPr>
            </w:pPr>
            <w:r>
              <w:rPr>
                <w:rFonts w:eastAsia="Calibri"/>
                <w:color w:val="000000"/>
              </w:rPr>
              <w:t>[-]</w:t>
            </w:r>
          </w:p>
        </w:tc>
        <w:tc>
          <w:tcPr>
            <w:tcW w:w="700" w:type="pct"/>
            <w:tcBorders>
              <w:top w:val="single" w:sz="4" w:space="0" w:color="auto"/>
              <w:left w:val="single" w:sz="4" w:space="0" w:color="auto"/>
              <w:bottom w:val="single" w:sz="4" w:space="0" w:color="auto"/>
              <w:right w:val="single" w:sz="4" w:space="0" w:color="auto"/>
            </w:tcBorders>
            <w:hideMark/>
          </w:tcPr>
          <w:p w14:paraId="21463AD2" w14:textId="77777777" w:rsidR="00092E70" w:rsidRDefault="00092E70" w:rsidP="00092E70">
            <w:pPr>
              <w:pStyle w:val="Standaard-Tabellen"/>
              <w:rPr>
                <w:rFonts w:eastAsia="Calibri"/>
                <w:color w:val="000000"/>
              </w:rPr>
            </w:pPr>
            <w:r>
              <w:rPr>
                <w:rFonts w:eastAsia="Calibri"/>
                <w:color w:val="000000"/>
              </w:rPr>
              <w:t>D</w:t>
            </w:r>
          </w:p>
        </w:tc>
      </w:tr>
      <w:tr w:rsidR="00092E70" w14:paraId="12AAB5BF" w14:textId="77777777" w:rsidTr="00CF3C7C">
        <w:trPr>
          <w:trHeight w:val="93"/>
        </w:trPr>
        <w:tc>
          <w:tcPr>
            <w:tcW w:w="2462" w:type="pct"/>
            <w:tcBorders>
              <w:top w:val="single" w:sz="4" w:space="0" w:color="auto"/>
              <w:left w:val="single" w:sz="4" w:space="0" w:color="auto"/>
              <w:bottom w:val="single" w:sz="4" w:space="0" w:color="auto"/>
              <w:right w:val="single" w:sz="4" w:space="0" w:color="auto"/>
            </w:tcBorders>
            <w:vAlign w:val="center"/>
            <w:hideMark/>
          </w:tcPr>
          <w:p w14:paraId="4BE00816" w14:textId="77777777" w:rsidR="00092E70" w:rsidRDefault="00092E70" w:rsidP="00092E70">
            <w:pPr>
              <w:pStyle w:val="Standaard-Tabellen"/>
              <w:rPr>
                <w:rFonts w:eastAsia="Calibri"/>
                <w:color w:val="000000"/>
              </w:rPr>
            </w:pPr>
            <w:r>
              <w:rPr>
                <w:rFonts w:eastAsia="Calibri"/>
                <w:color w:val="000000"/>
              </w:rPr>
              <w:t>Active substance in the product</w:t>
            </w:r>
          </w:p>
        </w:tc>
        <w:tc>
          <w:tcPr>
            <w:tcW w:w="891" w:type="pct"/>
            <w:tcBorders>
              <w:top w:val="single" w:sz="4" w:space="0" w:color="auto"/>
              <w:left w:val="single" w:sz="4" w:space="0" w:color="auto"/>
              <w:bottom w:val="single" w:sz="4" w:space="0" w:color="auto"/>
              <w:right w:val="single" w:sz="4" w:space="0" w:color="auto"/>
            </w:tcBorders>
            <w:vAlign w:val="center"/>
            <w:hideMark/>
          </w:tcPr>
          <w:p w14:paraId="6CA2FFAB" w14:textId="77777777" w:rsidR="00092E70" w:rsidRDefault="00092E70" w:rsidP="00092E70">
            <w:pPr>
              <w:pStyle w:val="Standaard-Tabellen"/>
              <w:rPr>
                <w:rFonts w:eastAsia="Calibri"/>
                <w:color w:val="000000"/>
              </w:rPr>
            </w:pPr>
            <w:r>
              <w:rPr>
                <w:rFonts w:eastAsia="Calibri"/>
                <w:color w:val="000000"/>
              </w:rPr>
              <w:t xml:space="preserve">(B) </w:t>
            </w:r>
            <w:proofErr w:type="spellStart"/>
            <w:r>
              <w:rPr>
                <w:rFonts w:eastAsia="Calibri"/>
                <w:color w:val="000000"/>
              </w:rPr>
              <w:t>C</w:t>
            </w:r>
            <w:r>
              <w:rPr>
                <w:rFonts w:eastAsia="Calibri"/>
                <w:color w:val="000000"/>
                <w:vertAlign w:val="subscript"/>
              </w:rPr>
              <w:t>formweight</w:t>
            </w:r>
            <w:proofErr w:type="spellEnd"/>
          </w:p>
        </w:tc>
        <w:tc>
          <w:tcPr>
            <w:tcW w:w="429" w:type="pct"/>
            <w:tcBorders>
              <w:top w:val="single" w:sz="4" w:space="0" w:color="auto"/>
              <w:left w:val="single" w:sz="4" w:space="0" w:color="auto"/>
              <w:bottom w:val="single" w:sz="4" w:space="0" w:color="auto"/>
              <w:right w:val="single" w:sz="4" w:space="0" w:color="auto"/>
            </w:tcBorders>
            <w:vAlign w:val="center"/>
            <w:hideMark/>
          </w:tcPr>
          <w:p w14:paraId="44372E7E" w14:textId="77777777" w:rsidR="00092E70" w:rsidRDefault="004974EA" w:rsidP="00092E70">
            <w:pPr>
              <w:pStyle w:val="Standaard-Tabellen"/>
              <w:rPr>
                <w:rFonts w:eastAsia="Calibri"/>
                <w:color w:val="000000"/>
              </w:rPr>
            </w:pPr>
            <w:r>
              <w:rPr>
                <w:rFonts w:eastAsia="Calibri"/>
                <w:color w:val="000000"/>
              </w:rPr>
              <w:t>1</w:t>
            </w:r>
            <w:r w:rsidR="00092E70">
              <w:rPr>
                <w:rFonts w:eastAsia="Calibri"/>
                <w:color w:val="000000"/>
              </w:rPr>
              <w:t>00</w:t>
            </w:r>
          </w:p>
        </w:tc>
        <w:tc>
          <w:tcPr>
            <w:tcW w:w="518" w:type="pct"/>
            <w:tcBorders>
              <w:top w:val="single" w:sz="4" w:space="0" w:color="auto"/>
              <w:left w:val="single" w:sz="4" w:space="0" w:color="auto"/>
              <w:bottom w:val="single" w:sz="4" w:space="0" w:color="auto"/>
              <w:right w:val="single" w:sz="4" w:space="0" w:color="auto"/>
            </w:tcBorders>
            <w:vAlign w:val="center"/>
            <w:hideMark/>
          </w:tcPr>
          <w:p w14:paraId="13FF7CDB" w14:textId="77777777" w:rsidR="00092E70" w:rsidRDefault="00092E70" w:rsidP="00092E70">
            <w:pPr>
              <w:pStyle w:val="Standaard-Tabellen"/>
              <w:rPr>
                <w:rFonts w:eastAsia="Calibri"/>
                <w:color w:val="000000"/>
              </w:rPr>
            </w:pPr>
            <w:r>
              <w:rPr>
                <w:rFonts w:eastAsia="Calibri"/>
                <w:color w:val="000000"/>
              </w:rPr>
              <w:t>g/kg</w:t>
            </w:r>
          </w:p>
        </w:tc>
        <w:tc>
          <w:tcPr>
            <w:tcW w:w="700" w:type="pct"/>
            <w:tcBorders>
              <w:top w:val="single" w:sz="4" w:space="0" w:color="auto"/>
              <w:left w:val="single" w:sz="4" w:space="0" w:color="auto"/>
              <w:bottom w:val="single" w:sz="4" w:space="0" w:color="auto"/>
              <w:right w:val="single" w:sz="4" w:space="0" w:color="auto"/>
            </w:tcBorders>
            <w:hideMark/>
          </w:tcPr>
          <w:p w14:paraId="4B65924F" w14:textId="77777777" w:rsidR="00092E70" w:rsidRDefault="004974EA" w:rsidP="00092E70">
            <w:pPr>
              <w:pStyle w:val="Standaard-Tabellen"/>
              <w:rPr>
                <w:rFonts w:eastAsia="Calibri"/>
                <w:color w:val="000000"/>
              </w:rPr>
            </w:pPr>
            <w:r>
              <w:rPr>
                <w:rFonts w:eastAsia="Calibri"/>
                <w:color w:val="000000"/>
              </w:rPr>
              <w:t>(1</w:t>
            </w:r>
            <w:r w:rsidR="00CF3C7C">
              <w:rPr>
                <w:rFonts w:eastAsia="Calibri"/>
                <w:color w:val="000000"/>
              </w:rPr>
              <w:t>0%)</w:t>
            </w:r>
          </w:p>
        </w:tc>
      </w:tr>
      <w:tr w:rsidR="00092E70" w:rsidRPr="00092E70" w14:paraId="529435C8" w14:textId="77777777" w:rsidTr="00CF3C7C">
        <w:trPr>
          <w:trHeight w:val="93"/>
        </w:trPr>
        <w:tc>
          <w:tcPr>
            <w:tcW w:w="2462" w:type="pct"/>
            <w:tcBorders>
              <w:top w:val="single" w:sz="4" w:space="0" w:color="auto"/>
              <w:left w:val="single" w:sz="4" w:space="0" w:color="auto"/>
              <w:bottom w:val="single" w:sz="4" w:space="0" w:color="auto"/>
              <w:right w:val="single" w:sz="4" w:space="0" w:color="auto"/>
            </w:tcBorders>
            <w:hideMark/>
          </w:tcPr>
          <w:p w14:paraId="3A0B1A15" w14:textId="77777777" w:rsidR="00092E70" w:rsidRDefault="00092E70" w:rsidP="00092E70">
            <w:pPr>
              <w:pStyle w:val="Standaard-Tabellen"/>
              <w:rPr>
                <w:rFonts w:eastAsia="Calibri"/>
                <w:color w:val="000000"/>
              </w:rPr>
            </w:pPr>
            <w:r>
              <w:rPr>
                <w:rFonts w:eastAsia="Calibri"/>
                <w:color w:val="000000"/>
              </w:rPr>
              <w:t>Consumption per application</w:t>
            </w:r>
          </w:p>
        </w:tc>
        <w:tc>
          <w:tcPr>
            <w:tcW w:w="891" w:type="pct"/>
            <w:tcBorders>
              <w:top w:val="single" w:sz="4" w:space="0" w:color="auto"/>
              <w:left w:val="single" w:sz="4" w:space="0" w:color="auto"/>
              <w:bottom w:val="single" w:sz="4" w:space="0" w:color="auto"/>
              <w:right w:val="single" w:sz="4" w:space="0" w:color="auto"/>
            </w:tcBorders>
            <w:hideMark/>
          </w:tcPr>
          <w:p w14:paraId="56F46C39" w14:textId="77777777" w:rsidR="00092E70" w:rsidRDefault="00092E70" w:rsidP="00092E70">
            <w:pPr>
              <w:pStyle w:val="Standaard-Tabellen"/>
              <w:rPr>
                <w:rFonts w:eastAsia="Calibri"/>
                <w:color w:val="000000"/>
              </w:rPr>
            </w:pPr>
            <w:r>
              <w:rPr>
                <w:rFonts w:eastAsia="Calibri"/>
                <w:color w:val="000000"/>
              </w:rPr>
              <w:t xml:space="preserve">(D2) </w:t>
            </w:r>
            <w:proofErr w:type="spellStart"/>
            <w:r>
              <w:rPr>
                <w:rFonts w:eastAsia="Calibri"/>
                <w:color w:val="000000"/>
              </w:rPr>
              <w:t>Qform</w:t>
            </w:r>
            <w:r>
              <w:rPr>
                <w:rFonts w:eastAsia="Calibri"/>
                <w:color w:val="000000"/>
                <w:vertAlign w:val="subscript"/>
              </w:rPr>
              <w:t>appl</w:t>
            </w:r>
            <w:proofErr w:type="spellEnd"/>
          </w:p>
        </w:tc>
        <w:tc>
          <w:tcPr>
            <w:tcW w:w="429" w:type="pct"/>
            <w:tcBorders>
              <w:top w:val="single" w:sz="4" w:space="0" w:color="auto"/>
              <w:left w:val="single" w:sz="4" w:space="0" w:color="auto"/>
              <w:bottom w:val="single" w:sz="4" w:space="0" w:color="auto"/>
              <w:right w:val="single" w:sz="4" w:space="0" w:color="auto"/>
            </w:tcBorders>
            <w:hideMark/>
          </w:tcPr>
          <w:p w14:paraId="79E8A351" w14:textId="7C37A71B" w:rsidR="00092E70" w:rsidRPr="00E7111C" w:rsidRDefault="00E56D9B" w:rsidP="00E7111C">
            <w:pPr>
              <w:pStyle w:val="Standaard-Tabellen"/>
              <w:rPr>
                <w:rFonts w:eastAsia="Calibri"/>
              </w:rPr>
            </w:pPr>
            <w:r>
              <w:rPr>
                <w:rFonts w:eastAsia="Calibri"/>
              </w:rPr>
              <w:t>1.15</w:t>
            </w:r>
          </w:p>
        </w:tc>
        <w:tc>
          <w:tcPr>
            <w:tcW w:w="518" w:type="pct"/>
            <w:tcBorders>
              <w:top w:val="single" w:sz="4" w:space="0" w:color="auto"/>
              <w:left w:val="single" w:sz="4" w:space="0" w:color="auto"/>
              <w:bottom w:val="single" w:sz="4" w:space="0" w:color="auto"/>
              <w:right w:val="single" w:sz="4" w:space="0" w:color="auto"/>
            </w:tcBorders>
            <w:hideMark/>
          </w:tcPr>
          <w:p w14:paraId="6CCE47BE" w14:textId="77777777" w:rsidR="00092E70" w:rsidRDefault="00092E70" w:rsidP="00092E70">
            <w:pPr>
              <w:pStyle w:val="Standaard-Tabellen"/>
              <w:rPr>
                <w:rFonts w:eastAsia="Calibri"/>
                <w:color w:val="000000"/>
              </w:rPr>
            </w:pPr>
            <w:r>
              <w:rPr>
                <w:rFonts w:eastAsia="Calibri"/>
                <w:color w:val="000000"/>
              </w:rPr>
              <w:t>mg/cm²</w:t>
            </w:r>
          </w:p>
        </w:tc>
        <w:tc>
          <w:tcPr>
            <w:tcW w:w="700" w:type="pct"/>
            <w:tcBorders>
              <w:top w:val="single" w:sz="4" w:space="0" w:color="auto"/>
              <w:left w:val="single" w:sz="4" w:space="0" w:color="auto"/>
              <w:bottom w:val="single" w:sz="4" w:space="0" w:color="auto"/>
              <w:right w:val="single" w:sz="4" w:space="0" w:color="auto"/>
            </w:tcBorders>
            <w:hideMark/>
          </w:tcPr>
          <w:p w14:paraId="40A344D3" w14:textId="77777777" w:rsidR="00092E70" w:rsidRDefault="00CF3C7C" w:rsidP="00092E70">
            <w:pPr>
              <w:pStyle w:val="Standaard-Tabellen"/>
              <w:rPr>
                <w:rFonts w:eastAsia="Calibri"/>
                <w:color w:val="000000"/>
              </w:rPr>
            </w:pPr>
            <w:r>
              <w:rPr>
                <w:rFonts w:eastAsia="Calibri"/>
                <w:color w:val="000000"/>
              </w:rPr>
              <w:t>(see above)</w:t>
            </w:r>
          </w:p>
        </w:tc>
      </w:tr>
      <w:tr w:rsidR="00092E70" w:rsidRPr="00092E70" w14:paraId="43F4D3DA" w14:textId="77777777" w:rsidTr="00CF3C7C">
        <w:trPr>
          <w:trHeight w:val="93"/>
        </w:trPr>
        <w:tc>
          <w:tcPr>
            <w:tcW w:w="2462" w:type="pct"/>
            <w:tcBorders>
              <w:top w:val="single" w:sz="4" w:space="0" w:color="auto"/>
              <w:left w:val="single" w:sz="4" w:space="0" w:color="auto"/>
              <w:bottom w:val="single" w:sz="4" w:space="0" w:color="auto"/>
              <w:right w:val="single" w:sz="4" w:space="0" w:color="auto"/>
            </w:tcBorders>
            <w:hideMark/>
          </w:tcPr>
          <w:p w14:paraId="1AE01F69" w14:textId="77777777" w:rsidR="00092E70" w:rsidRDefault="00092E70" w:rsidP="00092E70">
            <w:pPr>
              <w:pStyle w:val="Standaard-Tabellen"/>
              <w:rPr>
                <w:rFonts w:eastAsia="Calibri"/>
                <w:color w:val="000000"/>
              </w:rPr>
            </w:pPr>
            <w:r>
              <w:rPr>
                <w:rFonts w:eastAsia="Calibri"/>
                <w:color w:val="000000"/>
              </w:rPr>
              <w:t>Treated area of human skin</w:t>
            </w:r>
          </w:p>
        </w:tc>
        <w:tc>
          <w:tcPr>
            <w:tcW w:w="891" w:type="pct"/>
            <w:tcBorders>
              <w:top w:val="single" w:sz="4" w:space="0" w:color="auto"/>
              <w:left w:val="single" w:sz="4" w:space="0" w:color="auto"/>
              <w:bottom w:val="single" w:sz="4" w:space="0" w:color="auto"/>
              <w:right w:val="single" w:sz="4" w:space="0" w:color="auto"/>
            </w:tcBorders>
            <w:hideMark/>
          </w:tcPr>
          <w:p w14:paraId="2321CC3F" w14:textId="77777777" w:rsidR="00092E70" w:rsidRDefault="00092E70" w:rsidP="00092E70">
            <w:pPr>
              <w:pStyle w:val="Standaard-Tabellen"/>
              <w:rPr>
                <w:rFonts w:eastAsia="Calibri"/>
                <w:color w:val="000000"/>
                <w:vertAlign w:val="subscript"/>
              </w:rPr>
            </w:pPr>
            <w:proofErr w:type="spellStart"/>
            <w:r>
              <w:rPr>
                <w:rFonts w:eastAsia="Calibri"/>
                <w:color w:val="000000"/>
              </w:rPr>
              <w:t>AREA</w:t>
            </w:r>
            <w:r>
              <w:rPr>
                <w:rFonts w:eastAsia="Calibri"/>
                <w:color w:val="000000"/>
                <w:vertAlign w:val="subscript"/>
              </w:rPr>
              <w:t>skin</w:t>
            </w:r>
            <w:proofErr w:type="spellEnd"/>
          </w:p>
        </w:tc>
        <w:tc>
          <w:tcPr>
            <w:tcW w:w="429" w:type="pct"/>
            <w:tcBorders>
              <w:top w:val="single" w:sz="4" w:space="0" w:color="auto"/>
              <w:left w:val="single" w:sz="4" w:space="0" w:color="auto"/>
              <w:bottom w:val="single" w:sz="4" w:space="0" w:color="auto"/>
              <w:right w:val="single" w:sz="4" w:space="0" w:color="auto"/>
            </w:tcBorders>
            <w:hideMark/>
          </w:tcPr>
          <w:p w14:paraId="62A56334" w14:textId="77777777" w:rsidR="00092E70" w:rsidRPr="00E7111C" w:rsidRDefault="00092E70" w:rsidP="00092E70">
            <w:pPr>
              <w:pStyle w:val="Standaard-Tabellen"/>
              <w:rPr>
                <w:rFonts w:eastAsia="Calibri"/>
              </w:rPr>
            </w:pPr>
            <w:r w:rsidRPr="00E7111C">
              <w:rPr>
                <w:rFonts w:eastAsia="Calibri"/>
              </w:rPr>
              <w:t>16600</w:t>
            </w:r>
          </w:p>
        </w:tc>
        <w:tc>
          <w:tcPr>
            <w:tcW w:w="518" w:type="pct"/>
            <w:tcBorders>
              <w:top w:val="single" w:sz="4" w:space="0" w:color="auto"/>
              <w:left w:val="single" w:sz="4" w:space="0" w:color="auto"/>
              <w:bottom w:val="single" w:sz="4" w:space="0" w:color="auto"/>
              <w:right w:val="single" w:sz="4" w:space="0" w:color="auto"/>
            </w:tcBorders>
            <w:hideMark/>
          </w:tcPr>
          <w:p w14:paraId="7DDBA551" w14:textId="77777777" w:rsidR="00092E70" w:rsidRDefault="00092E70" w:rsidP="00092E70">
            <w:pPr>
              <w:pStyle w:val="Standaard-Tabellen"/>
              <w:rPr>
                <w:rFonts w:eastAsia="Calibri"/>
                <w:color w:val="000000"/>
              </w:rPr>
            </w:pPr>
            <w:r>
              <w:rPr>
                <w:rFonts w:eastAsia="Calibri"/>
                <w:color w:val="000000"/>
              </w:rPr>
              <w:t>cm²</w:t>
            </w:r>
          </w:p>
        </w:tc>
        <w:tc>
          <w:tcPr>
            <w:tcW w:w="700" w:type="pct"/>
            <w:tcBorders>
              <w:top w:val="single" w:sz="4" w:space="0" w:color="auto"/>
              <w:left w:val="single" w:sz="4" w:space="0" w:color="auto"/>
              <w:bottom w:val="single" w:sz="4" w:space="0" w:color="auto"/>
              <w:right w:val="single" w:sz="4" w:space="0" w:color="auto"/>
            </w:tcBorders>
            <w:hideMark/>
          </w:tcPr>
          <w:p w14:paraId="6E62160D" w14:textId="77777777" w:rsidR="00092E70" w:rsidRDefault="00CF3C7C" w:rsidP="00092E70">
            <w:pPr>
              <w:pStyle w:val="Standaard-Tabellen"/>
              <w:rPr>
                <w:rFonts w:eastAsia="Calibri"/>
                <w:color w:val="000000"/>
              </w:rPr>
            </w:pPr>
            <w:r>
              <w:rPr>
                <w:rFonts w:eastAsia="Calibri"/>
                <w:color w:val="000000"/>
              </w:rPr>
              <w:t>(see above)</w:t>
            </w:r>
          </w:p>
        </w:tc>
      </w:tr>
      <w:tr w:rsidR="00092E70" w14:paraId="16932672" w14:textId="77777777" w:rsidTr="00CF3C7C">
        <w:trPr>
          <w:trHeight w:val="93"/>
        </w:trPr>
        <w:tc>
          <w:tcPr>
            <w:tcW w:w="2462" w:type="pct"/>
            <w:tcBorders>
              <w:top w:val="single" w:sz="4" w:space="0" w:color="auto"/>
              <w:left w:val="single" w:sz="4" w:space="0" w:color="auto"/>
              <w:bottom w:val="single" w:sz="4" w:space="0" w:color="auto"/>
              <w:right w:val="single" w:sz="4" w:space="0" w:color="auto"/>
            </w:tcBorders>
            <w:hideMark/>
          </w:tcPr>
          <w:p w14:paraId="22703806" w14:textId="77777777" w:rsidR="00092E70" w:rsidRDefault="00092E70" w:rsidP="00092E70">
            <w:pPr>
              <w:pStyle w:val="Standaard-Tabellen"/>
              <w:rPr>
                <w:rFonts w:eastAsia="Calibri"/>
                <w:color w:val="000000"/>
              </w:rPr>
            </w:pPr>
            <w:r>
              <w:rPr>
                <w:rFonts w:eastAsia="Calibri"/>
                <w:color w:val="000000"/>
              </w:rPr>
              <w:t>Specific density of product</w:t>
            </w:r>
          </w:p>
        </w:tc>
        <w:tc>
          <w:tcPr>
            <w:tcW w:w="891" w:type="pct"/>
            <w:tcBorders>
              <w:top w:val="single" w:sz="4" w:space="0" w:color="auto"/>
              <w:left w:val="single" w:sz="4" w:space="0" w:color="auto"/>
              <w:bottom w:val="single" w:sz="4" w:space="0" w:color="auto"/>
              <w:right w:val="single" w:sz="4" w:space="0" w:color="auto"/>
            </w:tcBorders>
            <w:hideMark/>
          </w:tcPr>
          <w:p w14:paraId="46221240" w14:textId="77777777" w:rsidR="00092E70" w:rsidRDefault="00092E70" w:rsidP="00092E70">
            <w:pPr>
              <w:pStyle w:val="Standaard-Tabellen"/>
              <w:rPr>
                <w:rFonts w:eastAsia="Calibri"/>
                <w:color w:val="000000"/>
              </w:rPr>
            </w:pPr>
            <w:proofErr w:type="spellStart"/>
            <w:r>
              <w:rPr>
                <w:rFonts w:eastAsia="Calibri"/>
                <w:color w:val="000000"/>
              </w:rPr>
              <w:t>RHOform</w:t>
            </w:r>
            <w:proofErr w:type="spellEnd"/>
          </w:p>
        </w:tc>
        <w:tc>
          <w:tcPr>
            <w:tcW w:w="429" w:type="pct"/>
            <w:tcBorders>
              <w:top w:val="single" w:sz="4" w:space="0" w:color="auto"/>
              <w:left w:val="single" w:sz="4" w:space="0" w:color="auto"/>
              <w:bottom w:val="single" w:sz="4" w:space="0" w:color="auto"/>
              <w:right w:val="single" w:sz="4" w:space="0" w:color="auto"/>
            </w:tcBorders>
            <w:hideMark/>
          </w:tcPr>
          <w:p w14:paraId="2422F373" w14:textId="77777777" w:rsidR="00092E70" w:rsidRDefault="00092E70" w:rsidP="00092E70">
            <w:pPr>
              <w:pStyle w:val="Standaard-Tabellen"/>
              <w:rPr>
                <w:rFonts w:eastAsia="Calibri"/>
                <w:color w:val="000000"/>
              </w:rPr>
            </w:pPr>
            <w:r>
              <w:rPr>
                <w:rFonts w:eastAsia="Calibri"/>
                <w:color w:val="000000"/>
              </w:rPr>
              <w:t>1000</w:t>
            </w:r>
          </w:p>
        </w:tc>
        <w:tc>
          <w:tcPr>
            <w:tcW w:w="518" w:type="pct"/>
            <w:tcBorders>
              <w:top w:val="single" w:sz="4" w:space="0" w:color="auto"/>
              <w:left w:val="single" w:sz="4" w:space="0" w:color="auto"/>
              <w:bottom w:val="single" w:sz="4" w:space="0" w:color="auto"/>
              <w:right w:val="single" w:sz="4" w:space="0" w:color="auto"/>
            </w:tcBorders>
            <w:hideMark/>
          </w:tcPr>
          <w:p w14:paraId="6BE24037" w14:textId="77777777" w:rsidR="00092E70" w:rsidRDefault="00092E70" w:rsidP="00092E70">
            <w:pPr>
              <w:pStyle w:val="Standaard-Tabellen"/>
              <w:rPr>
                <w:rFonts w:eastAsia="Calibri"/>
                <w:color w:val="000000"/>
              </w:rPr>
            </w:pPr>
            <w:r>
              <w:rPr>
                <w:rFonts w:eastAsia="Calibri"/>
                <w:color w:val="000000"/>
              </w:rPr>
              <w:t>kg/m³</w:t>
            </w:r>
          </w:p>
        </w:tc>
        <w:tc>
          <w:tcPr>
            <w:tcW w:w="700" w:type="pct"/>
            <w:tcBorders>
              <w:top w:val="single" w:sz="4" w:space="0" w:color="auto"/>
              <w:left w:val="single" w:sz="4" w:space="0" w:color="auto"/>
              <w:bottom w:val="single" w:sz="4" w:space="0" w:color="auto"/>
              <w:right w:val="single" w:sz="4" w:space="0" w:color="auto"/>
            </w:tcBorders>
            <w:hideMark/>
          </w:tcPr>
          <w:p w14:paraId="61C67C15" w14:textId="77777777" w:rsidR="00092E70" w:rsidRDefault="00092E70" w:rsidP="00092E70">
            <w:pPr>
              <w:pStyle w:val="Standaard-Tabellen"/>
              <w:rPr>
                <w:rFonts w:eastAsia="Calibri"/>
                <w:color w:val="000000"/>
              </w:rPr>
            </w:pPr>
            <w:r>
              <w:rPr>
                <w:rFonts w:eastAsia="Calibri"/>
                <w:color w:val="000000"/>
              </w:rPr>
              <w:t>D</w:t>
            </w:r>
          </w:p>
        </w:tc>
      </w:tr>
    </w:tbl>
    <w:p w14:paraId="26369DB6" w14:textId="77777777" w:rsidR="00806DC5" w:rsidRDefault="00806DC5" w:rsidP="007A7C32">
      <w:pPr>
        <w:rPr>
          <w:rFonts w:eastAsia="Calibri"/>
          <w:lang w:val="en-US" w:eastAsia="en-US"/>
        </w:rPr>
      </w:pPr>
    </w:p>
    <w:p w14:paraId="184D0EBC" w14:textId="77777777" w:rsidR="00FA1978" w:rsidRPr="00FA1978" w:rsidRDefault="00FA1978" w:rsidP="00FA1978">
      <w:pPr>
        <w:pStyle w:val="Titre7"/>
      </w:pPr>
      <w:bookmarkStart w:id="277" w:name="_Hlk534806309"/>
      <w:r w:rsidRPr="00FA1978">
        <w:t xml:space="preserve">Intermediate </w:t>
      </w:r>
      <w:proofErr w:type="spellStart"/>
      <w:r w:rsidRPr="00FA1978">
        <w:t>calculation</w:t>
      </w:r>
      <w:proofErr w:type="spellEnd"/>
      <w:r w:rsidRPr="00FA1978">
        <w:t xml:space="preserve"> </w:t>
      </w:r>
      <w:proofErr w:type="spellStart"/>
      <w:r w:rsidRPr="00FA1978">
        <w:t>for</w:t>
      </w:r>
      <w:proofErr w:type="spellEnd"/>
      <w:r w:rsidRPr="00FA1978">
        <w:t xml:space="preserve"> Scenario 2</w:t>
      </w:r>
    </w:p>
    <w:bookmarkEnd w:id="277"/>
    <w:p w14:paraId="5F3AFDF0" w14:textId="77777777" w:rsidR="00FA1978" w:rsidRDefault="00FA1978" w:rsidP="00FA1978">
      <w:pPr>
        <w:rPr>
          <w:b/>
          <w:lang w:val="en-US" w:eastAsia="en-US"/>
        </w:rPr>
      </w:pPr>
      <w:r w:rsidRPr="003D5898">
        <w:rPr>
          <w:b/>
          <w:lang w:val="en-US" w:eastAsia="en-US"/>
        </w:rPr>
        <w:sym w:font="Wingdings" w:char="F0E0"/>
      </w:r>
      <w:r>
        <w:rPr>
          <w:b/>
          <w:lang w:val="en-US" w:eastAsia="en-US"/>
        </w:rPr>
        <w:t xml:space="preserve"> B and D2</w:t>
      </w:r>
    </w:p>
    <w:p w14:paraId="752CD081" w14:textId="4031C586" w:rsidR="00FA1978" w:rsidRPr="003D5898" w:rsidRDefault="00C85279" w:rsidP="00FA1978">
      <w:pPr>
        <w:pBdr>
          <w:top w:val="single" w:sz="4" w:space="1" w:color="auto"/>
          <w:left w:val="single" w:sz="4" w:space="4" w:color="auto"/>
          <w:bottom w:val="single" w:sz="4" w:space="1" w:color="auto"/>
          <w:right w:val="single" w:sz="4" w:space="4" w:color="auto"/>
        </w:pBdr>
        <w:rPr>
          <w:lang w:val="en-US" w:eastAsia="en-US"/>
        </w:rPr>
      </w:pPr>
      <m:oMathPara>
        <m:oMath>
          <m:sSub>
            <m:sSubPr>
              <m:ctrlPr>
                <w:rPr>
                  <w:rFonts w:ascii="Cambria Math" w:hAnsi="Cambria Math"/>
                  <w:i/>
                  <w:lang w:val="en-US" w:eastAsia="en-US"/>
                </w:rPr>
              </m:ctrlPr>
            </m:sSubPr>
            <m:e>
              <m:r>
                <w:rPr>
                  <w:rFonts w:ascii="Cambria Math" w:hAnsi="Cambria Math"/>
                  <w:lang w:val="en-US" w:eastAsia="en-US"/>
                </w:rPr>
                <m:t>Elocal</m:t>
              </m:r>
            </m:e>
            <m:sub>
              <m:r>
                <w:rPr>
                  <w:rFonts w:ascii="Cambria Math" w:hAnsi="Cambria Math"/>
                  <w:lang w:val="en-US" w:eastAsia="en-US"/>
                </w:rPr>
                <m:t>water</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N</m:t>
              </m:r>
            </m:e>
            <m:sub>
              <m:r>
                <w:rPr>
                  <w:rFonts w:ascii="Cambria Math" w:hAnsi="Cambria Math"/>
                  <w:lang w:val="en-US" w:eastAsia="en-US"/>
                </w:rPr>
                <m:t>swimmer</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N</m:t>
              </m:r>
            </m:e>
            <m:sub>
              <m:r>
                <w:rPr>
                  <w:rFonts w:ascii="Cambria Math" w:hAnsi="Cambria Math"/>
                  <w:lang w:val="en-US" w:eastAsia="en-US"/>
                </w:rPr>
                <m:t>appl</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Qform</m:t>
              </m:r>
            </m:e>
            <m:sub>
              <m:r>
                <w:rPr>
                  <w:rFonts w:ascii="Cambria Math" w:hAnsi="Cambria Math"/>
                  <w:lang w:val="en-US" w:eastAsia="en-US"/>
                </w:rPr>
                <m:t>appl</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AREA</m:t>
              </m:r>
            </m:e>
            <m:sub>
              <m:r>
                <w:rPr>
                  <w:rFonts w:ascii="Cambria Math" w:hAnsi="Cambria Math"/>
                  <w:lang w:val="en-US" w:eastAsia="en-US"/>
                </w:rPr>
                <m:t>skin</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Cform</m:t>
              </m:r>
            </m:e>
            <m:sub>
              <m:r>
                <w:rPr>
                  <w:rFonts w:ascii="Cambria Math" w:hAnsi="Cambria Math"/>
                  <w:lang w:val="en-US" w:eastAsia="en-US"/>
                </w:rPr>
                <m:t>weight</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F</m:t>
              </m:r>
            </m:e>
            <m:sub>
              <m:r>
                <w:rPr>
                  <w:rFonts w:ascii="Cambria Math" w:hAnsi="Cambria Math"/>
                  <w:lang w:val="en-US" w:eastAsia="en-US"/>
                </w:rPr>
                <m:t>swim</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F</m:t>
              </m:r>
            </m:e>
            <m:sub>
              <m:r>
                <w:rPr>
                  <w:rFonts w:ascii="Cambria Math" w:hAnsi="Cambria Math"/>
                  <w:lang w:val="en-US" w:eastAsia="en-US"/>
                </w:rPr>
                <m:t>waterbody</m:t>
              </m:r>
            </m:sub>
          </m:sSub>
          <m:r>
            <w:rPr>
              <w:rFonts w:ascii="Cambria Math" w:hAnsi="Cambria Math"/>
              <w:lang w:val="en-US" w:eastAsia="en-US"/>
            </w:rPr>
            <m:t>×</m:t>
          </m:r>
          <m:sSup>
            <m:sSupPr>
              <m:ctrlPr>
                <w:rPr>
                  <w:rFonts w:ascii="Cambria Math" w:hAnsi="Cambria Math"/>
                  <w:i/>
                  <w:lang w:val="en-US" w:eastAsia="en-US"/>
                </w:rPr>
              </m:ctrlPr>
            </m:sSupPr>
            <m:e>
              <m:r>
                <w:rPr>
                  <w:rFonts w:ascii="Cambria Math" w:hAnsi="Cambria Math"/>
                  <w:lang w:val="en-US" w:eastAsia="en-US"/>
                </w:rPr>
                <m:t>10</m:t>
              </m:r>
            </m:e>
            <m:sup>
              <m:r>
                <w:rPr>
                  <w:rFonts w:ascii="Cambria Math" w:hAnsi="Cambria Math"/>
                  <w:lang w:val="en-US" w:eastAsia="en-US"/>
                </w:rPr>
                <m:t>-9</m:t>
              </m:r>
            </m:sup>
          </m:sSup>
        </m:oMath>
      </m:oMathPara>
    </w:p>
    <w:p w14:paraId="5347C96B" w14:textId="77777777" w:rsidR="00FA1978" w:rsidRPr="00FD2055" w:rsidRDefault="00FA1978" w:rsidP="00FA1978">
      <w:pPr>
        <w:rPr>
          <w:rFonts w:eastAsia="Calibri"/>
          <w:lang w:eastAsia="en-US"/>
        </w:rPr>
      </w:pPr>
    </w:p>
    <w:tbl>
      <w:tblPr>
        <w:tblW w:w="0" w:type="auto"/>
        <w:tblInd w:w="45" w:type="dxa"/>
        <w:tblLayout w:type="fixed"/>
        <w:tblCellMar>
          <w:left w:w="0" w:type="dxa"/>
          <w:right w:w="0" w:type="dxa"/>
        </w:tblCellMar>
        <w:tblLook w:val="0000" w:firstRow="0" w:lastRow="0" w:firstColumn="0" w:lastColumn="0" w:noHBand="0" w:noVBand="0"/>
      </w:tblPr>
      <w:tblGrid>
        <w:gridCol w:w="2256"/>
        <w:gridCol w:w="3610"/>
        <w:gridCol w:w="3159"/>
      </w:tblGrid>
      <w:tr w:rsidR="00FA1978" w:rsidRPr="00092E70" w14:paraId="169B1250" w14:textId="77777777" w:rsidTr="00873FD6">
        <w:trPr>
          <w:tblHeader/>
        </w:trPr>
        <w:tc>
          <w:tcPr>
            <w:tcW w:w="9025"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0406DEB9" w14:textId="77777777" w:rsidR="00FA1978" w:rsidRPr="00092E70" w:rsidRDefault="00FA1978" w:rsidP="00873FD6">
            <w:pPr>
              <w:pStyle w:val="Standaard-Tabellen"/>
              <w:rPr>
                <w:rFonts w:eastAsia="Calibri"/>
                <w:b/>
              </w:rPr>
            </w:pPr>
            <w:r w:rsidRPr="00092E70">
              <w:rPr>
                <w:rFonts w:eastAsia="Calibri"/>
                <w:b/>
              </w:rPr>
              <w:t>Resulting local emission to relevant environmental compartments</w:t>
            </w:r>
          </w:p>
        </w:tc>
      </w:tr>
      <w:tr w:rsidR="00FA1978" w:rsidRPr="00092E70" w14:paraId="6DAEC3B9" w14:textId="77777777" w:rsidTr="00873FD6">
        <w:trPr>
          <w:tblHeader/>
        </w:trPr>
        <w:tc>
          <w:tcPr>
            <w:tcW w:w="22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561A35E4" w14:textId="77777777" w:rsidR="00FA1978" w:rsidRPr="00092E70" w:rsidRDefault="00FA1978" w:rsidP="00873FD6">
            <w:pPr>
              <w:pStyle w:val="Standaard-Tabellen"/>
              <w:rPr>
                <w:rFonts w:eastAsia="Calibri"/>
                <w:b/>
              </w:rPr>
            </w:pPr>
            <w:r w:rsidRPr="00092E70">
              <w:rPr>
                <w:rFonts w:eastAsia="Calibri"/>
                <w:b/>
              </w:rPr>
              <w:t>Compartment</w:t>
            </w:r>
          </w:p>
        </w:tc>
        <w:tc>
          <w:tcPr>
            <w:tcW w:w="3610" w:type="dxa"/>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469259D3" w14:textId="77777777" w:rsidR="00FA1978" w:rsidRPr="00092E70" w:rsidRDefault="00FA1978" w:rsidP="00873FD6">
            <w:pPr>
              <w:pStyle w:val="Standaard-Tabellen"/>
              <w:rPr>
                <w:rFonts w:eastAsia="Calibri"/>
                <w:b/>
              </w:rPr>
            </w:pPr>
            <w:r w:rsidRPr="00092E70">
              <w:rPr>
                <w:rFonts w:eastAsia="Calibri"/>
                <w:b/>
              </w:rPr>
              <w:t>Local emission (</w:t>
            </w:r>
            <w:proofErr w:type="spellStart"/>
            <w:r w:rsidRPr="00092E70">
              <w:rPr>
                <w:rFonts w:eastAsia="Calibri"/>
                <w:b/>
              </w:rPr>
              <w:t>Elocal</w:t>
            </w:r>
            <w:r w:rsidRPr="00FA1978">
              <w:rPr>
                <w:rFonts w:eastAsia="Calibri"/>
                <w:b/>
                <w:vertAlign w:val="subscript"/>
              </w:rPr>
              <w:t>compartment</w:t>
            </w:r>
            <w:proofErr w:type="spellEnd"/>
            <w:r w:rsidRPr="00092E70">
              <w:rPr>
                <w:rFonts w:eastAsia="Calibri"/>
                <w:b/>
              </w:rPr>
              <w:t>) [kg/d]</w:t>
            </w:r>
          </w:p>
        </w:tc>
        <w:tc>
          <w:tcPr>
            <w:tcW w:w="3159" w:type="dxa"/>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778CC000" w14:textId="77777777" w:rsidR="00FA1978" w:rsidRPr="00092E70" w:rsidRDefault="00FA1978" w:rsidP="00873FD6">
            <w:pPr>
              <w:pStyle w:val="Standaard-Tabellen"/>
              <w:rPr>
                <w:rFonts w:eastAsia="Calibri"/>
                <w:b/>
              </w:rPr>
            </w:pPr>
            <w:r w:rsidRPr="00092E70">
              <w:rPr>
                <w:rFonts w:eastAsia="Calibri"/>
                <w:b/>
              </w:rPr>
              <w:t>Remarks</w:t>
            </w:r>
          </w:p>
        </w:tc>
      </w:tr>
      <w:tr w:rsidR="00FA1978" w:rsidRPr="00092E70" w14:paraId="283AB9CB" w14:textId="77777777" w:rsidTr="00873FD6">
        <w:tc>
          <w:tcPr>
            <w:tcW w:w="2256"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49776A2" w14:textId="610AB5C4" w:rsidR="00FA1978" w:rsidRPr="00092E70" w:rsidRDefault="00243CE6" w:rsidP="00873FD6">
            <w:pPr>
              <w:pStyle w:val="Standaard-Tabellen"/>
            </w:pPr>
            <w:r>
              <w:t>Local</w:t>
            </w:r>
            <w:r w:rsidR="00FA1978" w:rsidRPr="00092E70">
              <w:t xml:space="preserve"> water</w:t>
            </w:r>
          </w:p>
        </w:tc>
        <w:tc>
          <w:tcPr>
            <w:tcW w:w="3610"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1AF0A62" w14:textId="32DF1244" w:rsidR="00FA1978" w:rsidRPr="008C5876" w:rsidRDefault="008C5876" w:rsidP="00873FD6">
            <w:pPr>
              <w:pStyle w:val="Standaard-Tabellen"/>
            </w:pPr>
            <w:r>
              <w:t>2.86x10</w:t>
            </w:r>
            <w:r>
              <w:rPr>
                <w:vertAlign w:val="superscript"/>
              </w:rPr>
              <w:t>-1</w:t>
            </w:r>
          </w:p>
        </w:tc>
        <w:tc>
          <w:tcPr>
            <w:tcW w:w="3159"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32E09CC" w14:textId="77777777" w:rsidR="00FA1978" w:rsidRPr="00092E70" w:rsidRDefault="00FA1978" w:rsidP="00873FD6">
            <w:pPr>
              <w:pStyle w:val="Standaard-Tabellen"/>
            </w:pPr>
            <w:r w:rsidRPr="00092E70">
              <w:t>/</w:t>
            </w:r>
          </w:p>
        </w:tc>
      </w:tr>
    </w:tbl>
    <w:p w14:paraId="6FF65CB0" w14:textId="77777777" w:rsidR="00FA1978" w:rsidRDefault="00FA1978" w:rsidP="00FA1978">
      <w:pPr>
        <w:rPr>
          <w:rFonts w:eastAsia="Calibri"/>
          <w:lang w:eastAsia="en-US"/>
        </w:rPr>
      </w:pPr>
    </w:p>
    <w:p w14:paraId="594EB1C4" w14:textId="77777777" w:rsidR="00FA1978" w:rsidRPr="00FA1978" w:rsidRDefault="00FA1978" w:rsidP="00FA1978">
      <w:pPr>
        <w:pStyle w:val="Titre7"/>
      </w:pPr>
      <w:r w:rsidRPr="00FA1978">
        <w:t xml:space="preserve">Final </w:t>
      </w:r>
      <w:proofErr w:type="spellStart"/>
      <w:r w:rsidRPr="00FA1978">
        <w:t>calculation</w:t>
      </w:r>
      <w:proofErr w:type="spellEnd"/>
      <w:r w:rsidRPr="00FA1978">
        <w:t xml:space="preserve"> </w:t>
      </w:r>
      <w:proofErr w:type="spellStart"/>
      <w:r w:rsidRPr="00FA1978">
        <w:t>for</w:t>
      </w:r>
      <w:proofErr w:type="spellEnd"/>
      <w:r w:rsidRPr="00FA1978">
        <w:t xml:space="preserve"> </w:t>
      </w:r>
      <w:proofErr w:type="spellStart"/>
      <w:r w:rsidRPr="00FA1978">
        <w:t>scenario</w:t>
      </w:r>
      <w:proofErr w:type="spellEnd"/>
      <w:r w:rsidRPr="00FA1978">
        <w:t xml:space="preserve"> 2</w:t>
      </w:r>
    </w:p>
    <w:p w14:paraId="3B068059" w14:textId="77777777" w:rsidR="00FA1978" w:rsidRDefault="00FA1978" w:rsidP="00FA1978">
      <w:pPr>
        <w:rPr>
          <w:rFonts w:eastAsia="Calibri"/>
          <w:lang w:eastAsia="en-US"/>
        </w:rPr>
      </w:pPr>
      <w:r>
        <w:rPr>
          <w:rFonts w:eastAsia="Calibri"/>
          <w:lang w:eastAsia="en-US"/>
        </w:rPr>
        <w:t xml:space="preserve">In the intermediate calculation a local daily emission to the surface water body due to swimmers treated with the repellent, was calculated. In order to assess the impact of this emission on the aquatic life in this waterbody, the actual concentration in active substance in this waterbody should be calculated. </w:t>
      </w:r>
    </w:p>
    <w:p w14:paraId="0376AF80" w14:textId="26BD0A1C" w:rsidR="00FA1978" w:rsidRDefault="00FA1978" w:rsidP="00FA1978">
      <w:pPr>
        <w:rPr>
          <w:rFonts w:eastAsia="Calibri"/>
          <w:lang w:eastAsia="en-US"/>
        </w:rPr>
      </w:pPr>
      <w:r>
        <w:rPr>
          <w:rFonts w:eastAsia="Calibri"/>
          <w:lang w:eastAsia="en-US"/>
        </w:rPr>
        <w:t>As a first TIER evaluation concentrations are calculated for emission periods of 1 day and 91 days, without taking into account possible degradation progresses, which represents the worst-case.</w:t>
      </w:r>
    </w:p>
    <w:p w14:paraId="7B377AD1" w14:textId="77777777" w:rsidR="00FA1978" w:rsidRDefault="00FA1978" w:rsidP="00FA1978">
      <w:pPr>
        <w:rPr>
          <w:rFonts w:eastAsia="Calibri"/>
          <w:u w:val="single"/>
          <w:lang w:eastAsia="en-US"/>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638"/>
        <w:gridCol w:w="1168"/>
        <w:gridCol w:w="634"/>
        <w:gridCol w:w="2678"/>
      </w:tblGrid>
      <w:tr w:rsidR="00FA1978" w:rsidRPr="00FA1978" w14:paraId="47B63AA2" w14:textId="77777777" w:rsidTr="00E56D9B">
        <w:trPr>
          <w:trHeight w:val="346"/>
        </w:trPr>
        <w:tc>
          <w:tcPr>
            <w:tcW w:w="9485" w:type="dxa"/>
            <w:gridSpan w:val="5"/>
            <w:tcBorders>
              <w:top w:val="single" w:sz="4" w:space="0" w:color="auto"/>
              <w:left w:val="single" w:sz="4" w:space="0" w:color="auto"/>
              <w:bottom w:val="single" w:sz="4" w:space="0" w:color="auto"/>
              <w:right w:val="single" w:sz="4" w:space="0" w:color="auto"/>
            </w:tcBorders>
            <w:shd w:val="clear" w:color="auto" w:fill="FFFFCC"/>
            <w:vAlign w:val="center"/>
            <w:hideMark/>
          </w:tcPr>
          <w:p w14:paraId="1A6FA268" w14:textId="77777777" w:rsidR="00FA1978" w:rsidRPr="00FA1978" w:rsidRDefault="00FA1978" w:rsidP="00FA1978">
            <w:pPr>
              <w:pStyle w:val="Standaard-Tabellen"/>
              <w:rPr>
                <w:rFonts w:eastAsia="Calibri"/>
                <w:b/>
              </w:rPr>
            </w:pPr>
            <w:r w:rsidRPr="00FA1978">
              <w:rPr>
                <w:rFonts w:eastAsia="Calibri"/>
                <w:b/>
              </w:rPr>
              <w:t>Input parameters for calculating surface water concentration</w:t>
            </w:r>
          </w:p>
        </w:tc>
      </w:tr>
      <w:tr w:rsidR="00FA1978" w:rsidRPr="00FA1978" w14:paraId="13D649E2" w14:textId="77777777" w:rsidTr="00E56D9B">
        <w:trPr>
          <w:trHeight w:val="75"/>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F4444D" w14:textId="77777777" w:rsidR="00FA1978" w:rsidRPr="00FA1978" w:rsidRDefault="00FA1978" w:rsidP="00FA1978">
            <w:pPr>
              <w:pStyle w:val="Standaard-Tabellen"/>
              <w:rPr>
                <w:rFonts w:eastAsia="Calibri" w:cs="Arial"/>
                <w:b/>
                <w:color w:val="000000"/>
              </w:rPr>
            </w:pPr>
            <w:r w:rsidRPr="00FA1978">
              <w:rPr>
                <w:rFonts w:eastAsia="Calibri" w:cs="Arial"/>
                <w:b/>
                <w:color w:val="000000"/>
              </w:rPr>
              <w:t xml:space="preserve">Input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ED0395" w14:textId="77777777" w:rsidR="00FA1978" w:rsidRPr="00FA1978" w:rsidRDefault="00FA1978" w:rsidP="00FA1978">
            <w:pPr>
              <w:pStyle w:val="Standaard-Tabellen"/>
              <w:rPr>
                <w:rFonts w:eastAsia="Calibri" w:cs="Arial"/>
                <w:b/>
                <w:color w:val="000000"/>
              </w:rPr>
            </w:pPr>
            <w:r w:rsidRPr="00FA1978">
              <w:rPr>
                <w:rFonts w:eastAsia="Calibri" w:cs="Arial"/>
                <w:b/>
                <w:color w:val="000000"/>
              </w:rPr>
              <w:t>Nomenclature</w:t>
            </w:r>
          </w:p>
        </w:tc>
        <w:tc>
          <w:tcPr>
            <w:tcW w:w="11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AF3B27" w14:textId="77777777" w:rsidR="00FA1978" w:rsidRPr="00FA1978" w:rsidRDefault="00FA1978" w:rsidP="00FA1978">
            <w:pPr>
              <w:pStyle w:val="Standaard-Tabellen"/>
              <w:rPr>
                <w:rFonts w:eastAsia="Calibri" w:cs="Arial"/>
                <w:b/>
                <w:color w:val="000000"/>
              </w:rPr>
            </w:pPr>
            <w:r w:rsidRPr="00FA1978">
              <w:rPr>
                <w:rFonts w:eastAsia="Calibri" w:cs="Arial"/>
                <w:b/>
                <w:color w:val="000000"/>
              </w:rPr>
              <w:t xml:space="preserve">Value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7D20B5" w14:textId="77777777" w:rsidR="00FA1978" w:rsidRPr="00FA1978" w:rsidRDefault="00FA1978" w:rsidP="00FA1978">
            <w:pPr>
              <w:pStyle w:val="Standaard-Tabellen"/>
              <w:rPr>
                <w:rFonts w:eastAsia="Calibri" w:cs="Arial"/>
                <w:b/>
                <w:color w:val="000000"/>
              </w:rPr>
            </w:pPr>
            <w:r w:rsidRPr="00FA1978">
              <w:rPr>
                <w:rFonts w:eastAsia="Calibri" w:cs="Arial"/>
                <w:b/>
                <w:color w:val="000000"/>
              </w:rPr>
              <w:t>Unit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5C9BEA" w14:textId="77777777" w:rsidR="00FA1978" w:rsidRPr="00FA1978" w:rsidRDefault="00FA1978" w:rsidP="00FA1978">
            <w:pPr>
              <w:pStyle w:val="Standaard-Tabellen"/>
              <w:rPr>
                <w:rFonts w:eastAsia="Calibri" w:cs="Arial"/>
                <w:b/>
                <w:color w:val="000000"/>
              </w:rPr>
            </w:pPr>
            <w:r w:rsidRPr="00FA1978">
              <w:rPr>
                <w:rFonts w:eastAsia="Calibri" w:cs="Arial"/>
                <w:b/>
                <w:color w:val="000000"/>
              </w:rPr>
              <w:t>Remarks</w:t>
            </w:r>
          </w:p>
        </w:tc>
      </w:tr>
      <w:tr w:rsidR="00FA1978" w:rsidRPr="00FA1978" w14:paraId="268391BA" w14:textId="77777777" w:rsidTr="00E56D9B">
        <w:trPr>
          <w:trHeight w:val="75"/>
        </w:trPr>
        <w:tc>
          <w:tcPr>
            <w:tcW w:w="948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DD2FE8" w14:textId="77777777" w:rsidR="00FA1978" w:rsidRDefault="00FA1978" w:rsidP="00FA1978">
            <w:pPr>
              <w:pStyle w:val="Standaard-Tabellen"/>
              <w:rPr>
                <w:rFonts w:eastAsia="Calibri"/>
                <w:i/>
                <w:color w:val="000000"/>
              </w:rPr>
            </w:pPr>
            <w:r>
              <w:rPr>
                <w:rFonts w:eastAsia="Calibri"/>
                <w:i/>
                <w:color w:val="000000"/>
              </w:rPr>
              <w:t>Scenario</w:t>
            </w:r>
            <w:r>
              <w:rPr>
                <w:rFonts w:eastAsia="Calibri"/>
                <w:i/>
              </w:rPr>
              <w:t>: Release of repellents used on human skin due to swimming activities in surface water bodies</w:t>
            </w:r>
          </w:p>
        </w:tc>
      </w:tr>
      <w:tr w:rsidR="00FA1978" w14:paraId="34BD038E" w14:textId="77777777" w:rsidTr="00E56D9B">
        <w:trPr>
          <w:trHeight w:val="75"/>
        </w:trPr>
        <w:tc>
          <w:tcPr>
            <w:tcW w:w="0" w:type="auto"/>
            <w:tcBorders>
              <w:top w:val="single" w:sz="4" w:space="0" w:color="auto"/>
              <w:left w:val="single" w:sz="4" w:space="0" w:color="auto"/>
              <w:bottom w:val="single" w:sz="4" w:space="0" w:color="auto"/>
              <w:right w:val="single" w:sz="4" w:space="0" w:color="auto"/>
            </w:tcBorders>
            <w:vAlign w:val="center"/>
            <w:hideMark/>
          </w:tcPr>
          <w:p w14:paraId="207A5A20" w14:textId="77777777" w:rsidR="00FA1978" w:rsidRDefault="00FA1978" w:rsidP="00FA1978">
            <w:pPr>
              <w:pStyle w:val="Standaard-Tabellen"/>
              <w:rPr>
                <w:rFonts w:eastAsia="Calibri"/>
                <w:color w:val="000000"/>
              </w:rPr>
            </w:pPr>
            <w:r>
              <w:rPr>
                <w:rFonts w:eastAsia="Calibri"/>
                <w:color w:val="000000"/>
              </w:rPr>
              <w:t>Local emission to surface water body</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03107" w14:textId="77777777" w:rsidR="00FA1978" w:rsidRDefault="00FA1978" w:rsidP="00FA1978">
            <w:pPr>
              <w:pStyle w:val="Standaard-Tabellen"/>
              <w:rPr>
                <w:rFonts w:eastAsia="Calibri"/>
                <w:color w:val="000000"/>
                <w:vertAlign w:val="subscript"/>
              </w:rPr>
            </w:pPr>
            <w:proofErr w:type="spellStart"/>
            <w:r>
              <w:rPr>
                <w:rFonts w:eastAsia="Calibri"/>
                <w:color w:val="000000"/>
              </w:rPr>
              <w:t>Elocal</w:t>
            </w:r>
            <w:r>
              <w:rPr>
                <w:rFonts w:eastAsia="Calibri"/>
                <w:color w:val="000000"/>
                <w:vertAlign w:val="subscript"/>
              </w:rPr>
              <w:t>water</w:t>
            </w:r>
            <w:proofErr w:type="spellEnd"/>
          </w:p>
        </w:tc>
        <w:tc>
          <w:tcPr>
            <w:tcW w:w="1168" w:type="dxa"/>
            <w:tcBorders>
              <w:top w:val="single" w:sz="4" w:space="0" w:color="auto"/>
              <w:left w:val="single" w:sz="4" w:space="0" w:color="auto"/>
              <w:bottom w:val="single" w:sz="4" w:space="0" w:color="auto"/>
              <w:right w:val="single" w:sz="4" w:space="0" w:color="auto"/>
            </w:tcBorders>
            <w:vAlign w:val="center"/>
            <w:hideMark/>
          </w:tcPr>
          <w:p w14:paraId="03C5A440" w14:textId="42FD3629" w:rsidR="00FA1978" w:rsidRPr="008C5876" w:rsidRDefault="008C5876" w:rsidP="00FA1978">
            <w:pPr>
              <w:pStyle w:val="Standaard-Tabellen"/>
              <w:rPr>
                <w:rFonts w:eastAsia="Calibri"/>
                <w:vertAlign w:val="superscript"/>
              </w:rPr>
            </w:pPr>
            <w:r>
              <w:rPr>
                <w:rFonts w:eastAsia="Calibri"/>
              </w:rPr>
              <w:t>2.86x10</w:t>
            </w:r>
            <w:r>
              <w:rPr>
                <w:rFonts w:eastAsia="Calibri"/>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AE266" w14:textId="77777777" w:rsidR="00FA1978" w:rsidRDefault="00FA1978" w:rsidP="00FA1978">
            <w:pPr>
              <w:pStyle w:val="Standaard-Tabellen"/>
              <w:rPr>
                <w:rFonts w:eastAsia="Calibri"/>
                <w:color w:val="000000"/>
              </w:rPr>
            </w:pPr>
            <w:r>
              <w:rPr>
                <w:rFonts w:eastAsia="Calibri"/>
                <w:color w:val="000000"/>
              </w:rPr>
              <w:t>kg/d</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C30E7" w14:textId="77777777" w:rsidR="00FA1978" w:rsidRDefault="00FA1978" w:rsidP="00FA1978">
            <w:pPr>
              <w:pStyle w:val="Standaard-Tabellen"/>
              <w:rPr>
                <w:rFonts w:eastAsia="Calibri"/>
                <w:color w:val="000000"/>
              </w:rPr>
            </w:pPr>
            <w:r>
              <w:rPr>
                <w:rFonts w:eastAsia="Calibri"/>
                <w:color w:val="000000"/>
              </w:rPr>
              <w:t>O (Intermediate calculation)</w:t>
            </w:r>
          </w:p>
        </w:tc>
      </w:tr>
      <w:tr w:rsidR="00FA1978" w14:paraId="3E3C494F" w14:textId="77777777" w:rsidTr="00E56D9B">
        <w:trPr>
          <w:trHeight w:val="75"/>
        </w:trPr>
        <w:tc>
          <w:tcPr>
            <w:tcW w:w="0" w:type="auto"/>
            <w:tcBorders>
              <w:top w:val="single" w:sz="4" w:space="0" w:color="auto"/>
              <w:left w:val="single" w:sz="4" w:space="0" w:color="auto"/>
              <w:bottom w:val="single" w:sz="4" w:space="0" w:color="auto"/>
              <w:right w:val="single" w:sz="4" w:space="0" w:color="auto"/>
            </w:tcBorders>
            <w:vAlign w:val="center"/>
            <w:hideMark/>
          </w:tcPr>
          <w:p w14:paraId="523E3F51" w14:textId="77777777" w:rsidR="00FA1978" w:rsidRDefault="00FA1978" w:rsidP="00FA1978">
            <w:pPr>
              <w:pStyle w:val="Standaard-Tabellen"/>
              <w:rPr>
                <w:rFonts w:eastAsia="Calibri"/>
                <w:color w:val="000000"/>
              </w:rPr>
            </w:pPr>
            <w:r>
              <w:rPr>
                <w:rFonts w:eastAsia="Calibri"/>
                <w:color w:val="000000"/>
              </w:rPr>
              <w:t>Volume of water body</w:t>
            </w:r>
          </w:p>
        </w:tc>
        <w:tc>
          <w:tcPr>
            <w:tcW w:w="0" w:type="auto"/>
            <w:tcBorders>
              <w:top w:val="single" w:sz="4" w:space="0" w:color="auto"/>
              <w:left w:val="single" w:sz="4" w:space="0" w:color="auto"/>
              <w:bottom w:val="single" w:sz="4" w:space="0" w:color="auto"/>
              <w:right w:val="single" w:sz="4" w:space="0" w:color="auto"/>
            </w:tcBorders>
            <w:vAlign w:val="center"/>
            <w:hideMark/>
          </w:tcPr>
          <w:p w14:paraId="390FF35F" w14:textId="77777777" w:rsidR="00FA1978" w:rsidRDefault="00FA1978" w:rsidP="00FA1978">
            <w:pPr>
              <w:pStyle w:val="Standaard-Tabellen"/>
              <w:rPr>
                <w:rFonts w:eastAsia="Calibri"/>
                <w:color w:val="000000"/>
                <w:vertAlign w:val="subscript"/>
              </w:rPr>
            </w:pPr>
            <w:proofErr w:type="spellStart"/>
            <w:r>
              <w:rPr>
                <w:rFonts w:eastAsia="Calibri"/>
                <w:color w:val="000000"/>
              </w:rPr>
              <w:t>V</w:t>
            </w:r>
            <w:r>
              <w:rPr>
                <w:rFonts w:eastAsia="Calibri"/>
                <w:color w:val="000000"/>
                <w:vertAlign w:val="subscript"/>
              </w:rPr>
              <w:t>waterbody</w:t>
            </w:r>
            <w:proofErr w:type="spellEnd"/>
          </w:p>
        </w:tc>
        <w:tc>
          <w:tcPr>
            <w:tcW w:w="1168" w:type="dxa"/>
            <w:tcBorders>
              <w:top w:val="single" w:sz="4" w:space="0" w:color="auto"/>
              <w:left w:val="single" w:sz="4" w:space="0" w:color="auto"/>
              <w:bottom w:val="single" w:sz="4" w:space="0" w:color="auto"/>
              <w:right w:val="single" w:sz="4" w:space="0" w:color="auto"/>
            </w:tcBorders>
            <w:vAlign w:val="center"/>
            <w:hideMark/>
          </w:tcPr>
          <w:p w14:paraId="33F86166" w14:textId="77777777" w:rsidR="00FA1978" w:rsidRDefault="00FA1978" w:rsidP="00FA1978">
            <w:pPr>
              <w:pStyle w:val="Standaard-Tabellen"/>
              <w:rPr>
                <w:rFonts w:eastAsia="Calibri"/>
                <w:color w:val="000000"/>
              </w:rPr>
            </w:pPr>
            <w:r>
              <w:rPr>
                <w:rFonts w:eastAsia="Calibri"/>
                <w:color w:val="000000"/>
              </w:rPr>
              <w:t>435 000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BD5062" w14:textId="77777777" w:rsidR="00FA1978" w:rsidRDefault="00FA1978" w:rsidP="00FA1978">
            <w:pPr>
              <w:pStyle w:val="Standaard-Tabellen"/>
              <w:rPr>
                <w:rFonts w:eastAsia="Calibri"/>
                <w:color w:val="000000"/>
              </w:rPr>
            </w:pPr>
            <w:r>
              <w:rPr>
                <w:rFonts w:eastAsia="Calibri"/>
                <w:color w:val="000000"/>
              </w:rPr>
              <w:t>m³</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1A0A3" w14:textId="77777777" w:rsidR="00FA1978" w:rsidRDefault="00FA1978" w:rsidP="00FA1978">
            <w:pPr>
              <w:pStyle w:val="Standaard-Tabellen"/>
              <w:rPr>
                <w:rFonts w:eastAsia="Calibri"/>
                <w:color w:val="000000"/>
              </w:rPr>
            </w:pPr>
            <w:r>
              <w:rPr>
                <w:rFonts w:eastAsia="Calibri"/>
                <w:color w:val="000000"/>
              </w:rPr>
              <w:t>D</w:t>
            </w:r>
          </w:p>
        </w:tc>
      </w:tr>
      <w:tr w:rsidR="00FA1978" w14:paraId="14D2E530" w14:textId="77777777" w:rsidTr="00E56D9B">
        <w:trPr>
          <w:trHeight w:val="75"/>
        </w:trPr>
        <w:tc>
          <w:tcPr>
            <w:tcW w:w="0" w:type="auto"/>
            <w:tcBorders>
              <w:top w:val="single" w:sz="4" w:space="0" w:color="auto"/>
              <w:left w:val="single" w:sz="4" w:space="0" w:color="auto"/>
              <w:bottom w:val="single" w:sz="4" w:space="0" w:color="auto"/>
              <w:right w:val="single" w:sz="4" w:space="0" w:color="auto"/>
            </w:tcBorders>
            <w:vAlign w:val="center"/>
            <w:hideMark/>
          </w:tcPr>
          <w:p w14:paraId="29D5291A" w14:textId="77777777" w:rsidR="00FA1978" w:rsidRDefault="00FA1978" w:rsidP="00FA1978">
            <w:pPr>
              <w:pStyle w:val="Standaard-Tabellen"/>
              <w:rPr>
                <w:rFonts w:eastAsia="Calibri"/>
                <w:color w:val="000000"/>
              </w:rPr>
            </w:pPr>
            <w:r>
              <w:rPr>
                <w:rFonts w:eastAsia="Calibri"/>
                <w:color w:val="000000"/>
              </w:rPr>
              <w:t>Number of emission days TIER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69645" w14:textId="77777777" w:rsidR="00FA1978" w:rsidRDefault="00FA1978" w:rsidP="00FA1978">
            <w:pPr>
              <w:pStyle w:val="Standaard-Tabellen"/>
              <w:rPr>
                <w:rFonts w:eastAsia="Calibri"/>
                <w:color w:val="000000"/>
                <w:vertAlign w:val="subscript"/>
              </w:rPr>
            </w:pPr>
            <w:proofErr w:type="spellStart"/>
            <w:r>
              <w:rPr>
                <w:rFonts w:eastAsia="Calibri"/>
                <w:color w:val="000000"/>
              </w:rPr>
              <w:t>T</w:t>
            </w:r>
            <w:r>
              <w:rPr>
                <w:rFonts w:eastAsia="Calibri"/>
                <w:color w:val="000000"/>
                <w:vertAlign w:val="subscript"/>
              </w:rPr>
              <w:t>emission</w:t>
            </w:r>
            <w:proofErr w:type="spellEnd"/>
            <w:r>
              <w:rPr>
                <w:rFonts w:eastAsia="Calibri"/>
                <w:color w:val="000000"/>
                <w:vertAlign w:val="subscript"/>
              </w:rPr>
              <w:t>, 1d</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90FCE60" w14:textId="77777777" w:rsidR="00FA1978" w:rsidRDefault="00FA1978" w:rsidP="00FA1978">
            <w:pPr>
              <w:pStyle w:val="Standaard-Tabellen"/>
              <w:rPr>
                <w:rFonts w:eastAsia="Calibri"/>
                <w:color w:val="000000"/>
              </w:rPr>
            </w:pPr>
            <w:r>
              <w:rPr>
                <w:rFonts w:eastAsia="Calibri"/>
                <w:color w:val="000000"/>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D15B6" w14:textId="136A7A26" w:rsidR="00FA1978" w:rsidRDefault="002A22B1" w:rsidP="00FA1978">
            <w:pPr>
              <w:pStyle w:val="Standaard-Tabellen"/>
              <w:rPr>
                <w:rFonts w:eastAsia="Calibri"/>
                <w:color w:val="000000"/>
              </w:rPr>
            </w:pPr>
            <w:r>
              <w:rPr>
                <w:rFonts w:eastAsia="Calibri"/>
                <w:color w:val="000000"/>
              </w:rPr>
              <w:t>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E6C2FB" w14:textId="77777777" w:rsidR="00FA1978" w:rsidRDefault="00FA1978" w:rsidP="00FA1978">
            <w:pPr>
              <w:pStyle w:val="Standaard-Tabellen"/>
              <w:rPr>
                <w:rFonts w:eastAsia="Calibri"/>
                <w:color w:val="000000"/>
              </w:rPr>
            </w:pPr>
            <w:r>
              <w:rPr>
                <w:rFonts w:eastAsia="Calibri"/>
                <w:color w:val="000000"/>
              </w:rPr>
              <w:t>D</w:t>
            </w:r>
          </w:p>
        </w:tc>
      </w:tr>
      <w:tr w:rsidR="00FA1978" w14:paraId="24E2E960" w14:textId="77777777" w:rsidTr="00E56D9B">
        <w:trPr>
          <w:trHeight w:val="75"/>
        </w:trPr>
        <w:tc>
          <w:tcPr>
            <w:tcW w:w="0" w:type="auto"/>
            <w:tcBorders>
              <w:top w:val="single" w:sz="4" w:space="0" w:color="auto"/>
              <w:left w:val="single" w:sz="4" w:space="0" w:color="auto"/>
              <w:bottom w:val="single" w:sz="4" w:space="0" w:color="auto"/>
              <w:right w:val="single" w:sz="4" w:space="0" w:color="auto"/>
            </w:tcBorders>
            <w:vAlign w:val="center"/>
            <w:hideMark/>
          </w:tcPr>
          <w:p w14:paraId="79AF1948" w14:textId="77777777" w:rsidR="00FA1978" w:rsidRDefault="00FA1978" w:rsidP="00FA1978">
            <w:pPr>
              <w:pStyle w:val="Standaard-Tabellen"/>
              <w:rPr>
                <w:rFonts w:eastAsia="Calibri"/>
                <w:color w:val="000000"/>
              </w:rPr>
            </w:pPr>
            <w:r>
              <w:rPr>
                <w:rFonts w:eastAsia="Calibri"/>
                <w:color w:val="000000"/>
              </w:rPr>
              <w:t>Number of emission days TIER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9DDDC" w14:textId="77777777" w:rsidR="00FA1978" w:rsidRDefault="00FA1978" w:rsidP="00FA1978">
            <w:pPr>
              <w:pStyle w:val="Standaard-Tabellen"/>
              <w:rPr>
                <w:rFonts w:eastAsia="Calibri"/>
                <w:color w:val="000000"/>
                <w:vertAlign w:val="subscript"/>
              </w:rPr>
            </w:pPr>
            <w:proofErr w:type="spellStart"/>
            <w:r>
              <w:rPr>
                <w:rFonts w:eastAsia="Calibri"/>
                <w:color w:val="000000"/>
              </w:rPr>
              <w:t>T</w:t>
            </w:r>
            <w:r>
              <w:rPr>
                <w:rFonts w:eastAsia="Calibri"/>
                <w:color w:val="000000"/>
                <w:vertAlign w:val="subscript"/>
              </w:rPr>
              <w:t>emission</w:t>
            </w:r>
            <w:proofErr w:type="spellEnd"/>
            <w:r>
              <w:rPr>
                <w:rFonts w:eastAsia="Calibri"/>
                <w:color w:val="000000"/>
                <w:vertAlign w:val="subscript"/>
              </w:rPr>
              <w:t>, 91d</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17120C1" w14:textId="77777777" w:rsidR="00FA1978" w:rsidRDefault="00FA1978" w:rsidP="00FA1978">
            <w:pPr>
              <w:pStyle w:val="Standaard-Tabellen"/>
              <w:rPr>
                <w:rFonts w:eastAsia="Calibri"/>
                <w:color w:val="000000"/>
              </w:rPr>
            </w:pPr>
            <w:r>
              <w:rPr>
                <w:rFonts w:eastAsia="Calibri"/>
                <w:color w:val="000000"/>
              </w:rPr>
              <w:t>91</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2722B" w14:textId="67E06428" w:rsidR="00FA1978" w:rsidRDefault="002A22B1" w:rsidP="00FA1978">
            <w:pPr>
              <w:pStyle w:val="Standaard-Tabellen"/>
              <w:rPr>
                <w:rFonts w:eastAsia="Calibri"/>
                <w:color w:val="000000"/>
              </w:rPr>
            </w:pPr>
            <w:r>
              <w:rPr>
                <w:rFonts w:eastAsia="Calibri"/>
                <w:color w:val="000000"/>
              </w:rPr>
              <w:t>D</w:t>
            </w:r>
          </w:p>
        </w:tc>
        <w:tc>
          <w:tcPr>
            <w:tcW w:w="0" w:type="auto"/>
            <w:tcBorders>
              <w:top w:val="single" w:sz="4" w:space="0" w:color="auto"/>
              <w:left w:val="single" w:sz="4" w:space="0" w:color="auto"/>
              <w:bottom w:val="single" w:sz="4" w:space="0" w:color="auto"/>
              <w:right w:val="single" w:sz="4" w:space="0" w:color="auto"/>
            </w:tcBorders>
            <w:vAlign w:val="center"/>
            <w:hideMark/>
          </w:tcPr>
          <w:p w14:paraId="24E29E62" w14:textId="77777777" w:rsidR="00FA1978" w:rsidRDefault="00FA1978" w:rsidP="00FA1978">
            <w:pPr>
              <w:pStyle w:val="Standaard-Tabellen"/>
              <w:rPr>
                <w:rFonts w:eastAsia="Calibri"/>
                <w:color w:val="000000"/>
              </w:rPr>
            </w:pPr>
            <w:r>
              <w:rPr>
                <w:rFonts w:eastAsia="Calibri"/>
                <w:color w:val="000000"/>
              </w:rPr>
              <w:t>D</w:t>
            </w:r>
          </w:p>
        </w:tc>
      </w:tr>
      <w:tr w:rsidR="00FA1978" w14:paraId="28B22D83" w14:textId="77777777" w:rsidTr="00E56D9B">
        <w:trPr>
          <w:trHeight w:val="75"/>
        </w:trPr>
        <w:tc>
          <w:tcPr>
            <w:tcW w:w="0" w:type="auto"/>
            <w:tcBorders>
              <w:top w:val="single" w:sz="4" w:space="0" w:color="auto"/>
              <w:left w:val="single" w:sz="4" w:space="0" w:color="auto"/>
              <w:bottom w:val="single" w:sz="4" w:space="0" w:color="auto"/>
              <w:right w:val="single" w:sz="4" w:space="0" w:color="auto"/>
            </w:tcBorders>
            <w:vAlign w:val="center"/>
            <w:hideMark/>
          </w:tcPr>
          <w:p w14:paraId="301FBE33" w14:textId="77777777" w:rsidR="00FA1978" w:rsidRDefault="00FA1978" w:rsidP="00FA1978">
            <w:pPr>
              <w:pStyle w:val="Standaard-Tabellen"/>
              <w:rPr>
                <w:rFonts w:eastAsia="Calibri"/>
                <w:color w:val="000000"/>
              </w:rPr>
            </w:pPr>
            <w:r>
              <w:rPr>
                <w:rFonts w:eastAsia="Calibri"/>
                <w:color w:val="000000"/>
              </w:rPr>
              <w:t>Number of emission events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D07874" w14:textId="77777777" w:rsidR="00FA1978" w:rsidRDefault="00FA1978" w:rsidP="00FA1978">
            <w:pPr>
              <w:pStyle w:val="Standaard-Tabellen"/>
              <w:rPr>
                <w:rFonts w:eastAsia="Calibri"/>
                <w:color w:val="000000"/>
                <w:vertAlign w:val="subscript"/>
              </w:rPr>
            </w:pPr>
            <w:proofErr w:type="spellStart"/>
            <w:r>
              <w:rPr>
                <w:rFonts w:eastAsia="Calibri"/>
                <w:color w:val="000000"/>
              </w:rPr>
              <w:t>N</w:t>
            </w:r>
            <w:r>
              <w:rPr>
                <w:rFonts w:eastAsia="Calibri"/>
                <w:color w:val="000000"/>
                <w:vertAlign w:val="subscript"/>
              </w:rPr>
              <w:t>emission</w:t>
            </w:r>
            <w:proofErr w:type="spellEnd"/>
            <w:r>
              <w:rPr>
                <w:rFonts w:eastAsia="Calibri"/>
                <w:color w:val="000000"/>
                <w:vertAlign w:val="subscript"/>
              </w:rPr>
              <w:t>, 91d</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4A9D061" w14:textId="77777777" w:rsidR="00FA1978" w:rsidRDefault="00FA1978" w:rsidP="00FA1978">
            <w:pPr>
              <w:pStyle w:val="Standaard-Tabellen"/>
              <w:rPr>
                <w:rFonts w:eastAsia="Calibri"/>
                <w:color w:val="000000"/>
              </w:rPr>
            </w:pPr>
            <w:r>
              <w:rPr>
                <w:rFonts w:eastAsia="Calibri"/>
                <w:color w:val="000000"/>
              </w:rPr>
              <w:t>91</w:t>
            </w:r>
          </w:p>
        </w:tc>
        <w:tc>
          <w:tcPr>
            <w:tcW w:w="0" w:type="auto"/>
            <w:tcBorders>
              <w:top w:val="single" w:sz="4" w:space="0" w:color="auto"/>
              <w:left w:val="single" w:sz="4" w:space="0" w:color="auto"/>
              <w:bottom w:val="single" w:sz="4" w:space="0" w:color="auto"/>
              <w:right w:val="single" w:sz="4" w:space="0" w:color="auto"/>
            </w:tcBorders>
            <w:vAlign w:val="center"/>
            <w:hideMark/>
          </w:tcPr>
          <w:p w14:paraId="31AC1C10" w14:textId="77777777" w:rsidR="00FA1978" w:rsidRDefault="00FA1978" w:rsidP="00FA1978">
            <w:pPr>
              <w:pStyle w:val="Standaard-Tabellen"/>
              <w:rPr>
                <w:rFonts w:eastAsia="Calibri"/>
                <w:color w:val="000000"/>
              </w:rPr>
            </w:pPr>
            <w:r>
              <w:rPr>
                <w:rFonts w:eastAsia="Calibri"/>
                <w:color w:val="00000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D7159" w14:textId="77777777" w:rsidR="00FA1978" w:rsidRDefault="00FA1978" w:rsidP="00FA1978">
            <w:pPr>
              <w:pStyle w:val="Standaard-Tabellen"/>
              <w:rPr>
                <w:rFonts w:eastAsia="Calibri"/>
                <w:color w:val="000000"/>
              </w:rPr>
            </w:pPr>
            <w:r>
              <w:rPr>
                <w:rFonts w:eastAsia="Calibri"/>
                <w:color w:val="000000"/>
              </w:rPr>
              <w:t>D</w:t>
            </w:r>
          </w:p>
        </w:tc>
      </w:tr>
    </w:tbl>
    <w:p w14:paraId="5688CDAF" w14:textId="77777777" w:rsidR="00FA1978" w:rsidRDefault="00FA1978" w:rsidP="00FA1978">
      <w:pPr>
        <w:spacing w:line="260" w:lineRule="atLeast"/>
        <w:rPr>
          <w:rFonts w:eastAsia="Calibri"/>
          <w:u w:val="single"/>
          <w:lang w:eastAsia="en-US"/>
        </w:rPr>
      </w:pPr>
    </w:p>
    <w:p w14:paraId="59479D45" w14:textId="77777777" w:rsidR="00FA1978" w:rsidRDefault="00C85279" w:rsidP="00FA1978">
      <w:pPr>
        <w:pBdr>
          <w:top w:val="single" w:sz="4" w:space="1" w:color="auto"/>
          <w:left w:val="single" w:sz="4" w:space="4" w:color="auto"/>
          <w:bottom w:val="single" w:sz="4" w:space="1" w:color="auto"/>
          <w:right w:val="single" w:sz="4" w:space="4" w:color="auto"/>
        </w:pBdr>
        <w:rPr>
          <w:rFonts w:eastAsia="Calibri"/>
          <w:lang w:eastAsia="en-US"/>
        </w:rPr>
      </w:pPr>
      <m:oMathPara>
        <m:oMath>
          <m:sSub>
            <m:sSubPr>
              <m:ctrlPr>
                <w:rPr>
                  <w:rFonts w:ascii="Cambria Math" w:eastAsia="Calibri" w:hAnsi="Cambria Math"/>
                  <w:i/>
                  <w:lang w:eastAsia="en-US"/>
                </w:rPr>
              </m:ctrlPr>
            </m:sSubPr>
            <m:e>
              <m:r>
                <w:rPr>
                  <w:rFonts w:ascii="Cambria Math" w:eastAsia="Calibri" w:hAnsi="Cambria Math"/>
                  <w:lang w:eastAsia="en-US"/>
                </w:rPr>
                <m:t>Clocal</m:t>
              </m:r>
            </m:e>
            <m:sub>
              <m:r>
                <w:rPr>
                  <w:rFonts w:ascii="Cambria Math" w:eastAsia="Calibri" w:hAnsi="Cambria Math"/>
                  <w:lang w:eastAsia="en-US"/>
                </w:rPr>
                <m:t>water,1d</m:t>
              </m:r>
            </m:sub>
          </m:sSub>
          <m:r>
            <w:rPr>
              <w:rFonts w:ascii="Cambria Math" w:eastAsia="Calibri" w:hAnsi="Cambria Math"/>
              <w:lang w:eastAsia="en-US"/>
            </w:rPr>
            <m:t>=</m:t>
          </m:r>
          <m:f>
            <m:fPr>
              <m:ctrlPr>
                <w:rPr>
                  <w:rFonts w:ascii="Cambria Math" w:eastAsia="Calibri" w:hAnsi="Cambria Math"/>
                  <w:i/>
                  <w:lang w:eastAsia="en-US"/>
                </w:rPr>
              </m:ctrlPr>
            </m:fPr>
            <m:num>
              <m:sSub>
                <m:sSubPr>
                  <m:ctrlPr>
                    <w:rPr>
                      <w:rFonts w:ascii="Cambria Math" w:eastAsia="Calibri" w:hAnsi="Cambria Math"/>
                      <w:i/>
                      <w:lang w:eastAsia="en-US"/>
                    </w:rPr>
                  </m:ctrlPr>
                </m:sSubPr>
                <m:e>
                  <m:r>
                    <w:rPr>
                      <w:rFonts w:ascii="Cambria Math" w:eastAsia="Calibri" w:hAnsi="Cambria Math"/>
                      <w:lang w:eastAsia="en-US"/>
                    </w:rPr>
                    <m:t>Elocal</m:t>
                  </m:r>
                </m:e>
                <m:sub>
                  <m:r>
                    <w:rPr>
                      <w:rFonts w:ascii="Cambria Math" w:eastAsia="Calibri" w:hAnsi="Cambria Math"/>
                      <w:lang w:eastAsia="en-US"/>
                    </w:rPr>
                    <m:t>water</m:t>
                  </m:r>
                </m:sub>
              </m:sSub>
              <m:r>
                <w:rPr>
                  <w:rFonts w:ascii="Cambria Math" w:eastAsia="Calibri" w:hAnsi="Cambria Math"/>
                  <w:lang w:eastAsia="en-US"/>
                </w:rPr>
                <m:t>×</m:t>
              </m:r>
              <m:sSub>
                <m:sSubPr>
                  <m:ctrlPr>
                    <w:rPr>
                      <w:rFonts w:ascii="Cambria Math" w:eastAsia="Calibri" w:hAnsi="Cambria Math"/>
                      <w:i/>
                      <w:lang w:eastAsia="en-US"/>
                    </w:rPr>
                  </m:ctrlPr>
                </m:sSubPr>
                <m:e>
                  <m:r>
                    <w:rPr>
                      <w:rFonts w:ascii="Cambria Math" w:eastAsia="Calibri" w:hAnsi="Cambria Math"/>
                      <w:lang w:eastAsia="en-US"/>
                    </w:rPr>
                    <m:t>T</m:t>
                  </m:r>
                </m:e>
                <m:sub>
                  <m:r>
                    <w:rPr>
                      <w:rFonts w:ascii="Cambria Math" w:eastAsia="Calibri" w:hAnsi="Cambria Math"/>
                      <w:lang w:eastAsia="en-US"/>
                    </w:rPr>
                    <m:t>emission,1d</m:t>
                  </m:r>
                </m:sub>
              </m:sSub>
            </m:num>
            <m:den>
              <m:sSub>
                <m:sSubPr>
                  <m:ctrlPr>
                    <w:rPr>
                      <w:rFonts w:ascii="Cambria Math" w:eastAsia="Calibri" w:hAnsi="Cambria Math"/>
                      <w:i/>
                      <w:lang w:eastAsia="en-US"/>
                    </w:rPr>
                  </m:ctrlPr>
                </m:sSubPr>
                <m:e>
                  <m:r>
                    <w:rPr>
                      <w:rFonts w:ascii="Cambria Math" w:eastAsia="Calibri" w:hAnsi="Cambria Math"/>
                      <w:lang w:eastAsia="en-US"/>
                    </w:rPr>
                    <m:t>V</m:t>
                  </m:r>
                </m:e>
                <m:sub>
                  <m:r>
                    <w:rPr>
                      <w:rFonts w:ascii="Cambria Math" w:eastAsia="Calibri" w:hAnsi="Cambria Math"/>
                      <w:lang w:eastAsia="en-US"/>
                    </w:rPr>
                    <m:t>waterbody</m:t>
                  </m:r>
                </m:sub>
              </m:sSub>
            </m:den>
          </m:f>
        </m:oMath>
      </m:oMathPara>
    </w:p>
    <w:p w14:paraId="2B695315" w14:textId="77777777" w:rsidR="00FA1978" w:rsidRDefault="00C85279" w:rsidP="00FA1978">
      <w:pPr>
        <w:pBdr>
          <w:top w:val="single" w:sz="4" w:space="1" w:color="auto"/>
          <w:left w:val="single" w:sz="4" w:space="4" w:color="auto"/>
          <w:bottom w:val="single" w:sz="4" w:space="1" w:color="auto"/>
          <w:right w:val="single" w:sz="4" w:space="4" w:color="auto"/>
        </w:pBdr>
        <w:rPr>
          <w:rFonts w:eastAsia="Calibri"/>
          <w:lang w:eastAsia="en-US"/>
        </w:rPr>
      </w:pPr>
      <m:oMathPara>
        <m:oMath>
          <m:sSub>
            <m:sSubPr>
              <m:ctrlPr>
                <w:rPr>
                  <w:rFonts w:ascii="Cambria Math" w:eastAsia="Calibri" w:hAnsi="Cambria Math"/>
                  <w:i/>
                  <w:lang w:eastAsia="en-US"/>
                </w:rPr>
              </m:ctrlPr>
            </m:sSubPr>
            <m:e>
              <m:r>
                <w:rPr>
                  <w:rFonts w:ascii="Cambria Math" w:eastAsia="Calibri" w:hAnsi="Cambria Math"/>
                  <w:lang w:eastAsia="en-US"/>
                </w:rPr>
                <m:t>Clocal</m:t>
              </m:r>
            </m:e>
            <m:sub>
              <m:r>
                <w:rPr>
                  <w:rFonts w:ascii="Cambria Math" w:eastAsia="Calibri" w:hAnsi="Cambria Math"/>
                  <w:lang w:eastAsia="en-US"/>
                </w:rPr>
                <m:t>water,91d</m:t>
              </m:r>
            </m:sub>
          </m:sSub>
          <m:r>
            <w:rPr>
              <w:rFonts w:ascii="Cambria Math" w:eastAsia="Calibri" w:hAnsi="Cambria Math"/>
              <w:lang w:eastAsia="en-US"/>
            </w:rPr>
            <m:t>=</m:t>
          </m:r>
          <m:f>
            <m:fPr>
              <m:ctrlPr>
                <w:rPr>
                  <w:rFonts w:ascii="Cambria Math" w:eastAsia="Calibri" w:hAnsi="Cambria Math"/>
                  <w:i/>
                  <w:lang w:eastAsia="en-US"/>
                </w:rPr>
              </m:ctrlPr>
            </m:fPr>
            <m:num>
              <m:sSub>
                <m:sSubPr>
                  <m:ctrlPr>
                    <w:rPr>
                      <w:rFonts w:ascii="Cambria Math" w:eastAsia="Calibri" w:hAnsi="Cambria Math"/>
                      <w:i/>
                      <w:lang w:eastAsia="en-US"/>
                    </w:rPr>
                  </m:ctrlPr>
                </m:sSubPr>
                <m:e>
                  <m:r>
                    <w:rPr>
                      <w:rFonts w:ascii="Cambria Math" w:eastAsia="Calibri" w:hAnsi="Cambria Math"/>
                      <w:lang w:eastAsia="en-US"/>
                    </w:rPr>
                    <m:t>Elocal</m:t>
                  </m:r>
                </m:e>
                <m:sub>
                  <m:r>
                    <w:rPr>
                      <w:rFonts w:ascii="Cambria Math" w:eastAsia="Calibri" w:hAnsi="Cambria Math"/>
                      <w:lang w:eastAsia="en-US"/>
                    </w:rPr>
                    <m:t>water</m:t>
                  </m:r>
                </m:sub>
              </m:sSub>
              <m:r>
                <w:rPr>
                  <w:rFonts w:ascii="Cambria Math" w:eastAsia="Calibri" w:hAnsi="Cambria Math"/>
                  <w:lang w:eastAsia="en-US"/>
                </w:rPr>
                <m:t>×</m:t>
              </m:r>
              <m:sSub>
                <m:sSubPr>
                  <m:ctrlPr>
                    <w:rPr>
                      <w:rFonts w:ascii="Cambria Math" w:eastAsia="Calibri" w:hAnsi="Cambria Math"/>
                      <w:i/>
                      <w:lang w:eastAsia="en-US"/>
                    </w:rPr>
                  </m:ctrlPr>
                </m:sSubPr>
                <m:e>
                  <m:r>
                    <w:rPr>
                      <w:rFonts w:ascii="Cambria Math" w:eastAsia="Calibri" w:hAnsi="Cambria Math"/>
                      <w:lang w:eastAsia="en-US"/>
                    </w:rPr>
                    <m:t>T</m:t>
                  </m:r>
                </m:e>
                <m:sub>
                  <m:r>
                    <w:rPr>
                      <w:rFonts w:ascii="Cambria Math" w:eastAsia="Calibri" w:hAnsi="Cambria Math"/>
                      <w:lang w:eastAsia="en-US"/>
                    </w:rPr>
                    <m:t>emission,91d</m:t>
                  </m:r>
                </m:sub>
              </m:sSub>
            </m:num>
            <m:den>
              <m:sSub>
                <m:sSubPr>
                  <m:ctrlPr>
                    <w:rPr>
                      <w:rFonts w:ascii="Cambria Math" w:eastAsia="Calibri" w:hAnsi="Cambria Math"/>
                      <w:i/>
                      <w:lang w:eastAsia="en-US"/>
                    </w:rPr>
                  </m:ctrlPr>
                </m:sSubPr>
                <m:e>
                  <m:r>
                    <w:rPr>
                      <w:rFonts w:ascii="Cambria Math" w:eastAsia="Calibri" w:hAnsi="Cambria Math"/>
                      <w:lang w:eastAsia="en-US"/>
                    </w:rPr>
                    <m:t>V</m:t>
                  </m:r>
                </m:e>
                <m:sub>
                  <m:r>
                    <w:rPr>
                      <w:rFonts w:ascii="Cambria Math" w:eastAsia="Calibri" w:hAnsi="Cambria Math"/>
                      <w:lang w:eastAsia="en-US"/>
                    </w:rPr>
                    <m:t>waterbody</m:t>
                  </m:r>
                </m:sub>
              </m:sSub>
            </m:den>
          </m:f>
        </m:oMath>
      </m:oMathPara>
    </w:p>
    <w:p w14:paraId="02A51F81" w14:textId="77777777" w:rsidR="00FA1978" w:rsidRDefault="00FA1978" w:rsidP="007A7C32">
      <w:pPr>
        <w:rPr>
          <w:rFonts w:eastAsia="Calibri"/>
          <w:lang w:eastAsia="en-US"/>
        </w:rPr>
      </w:pPr>
    </w:p>
    <w:tbl>
      <w:tblPr>
        <w:tblW w:w="5000" w:type="pct"/>
        <w:tblCellMar>
          <w:left w:w="0" w:type="dxa"/>
          <w:right w:w="0" w:type="dxa"/>
        </w:tblCellMar>
        <w:tblLook w:val="04A0" w:firstRow="1" w:lastRow="0" w:firstColumn="1" w:lastColumn="0" w:noHBand="0" w:noVBand="1"/>
      </w:tblPr>
      <w:tblGrid>
        <w:gridCol w:w="3051"/>
        <w:gridCol w:w="2868"/>
        <w:gridCol w:w="3483"/>
      </w:tblGrid>
      <w:tr w:rsidR="00FA1978" w:rsidRPr="00FA1978" w14:paraId="52D9E143" w14:textId="77777777" w:rsidTr="00FA1978">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hideMark/>
          </w:tcPr>
          <w:p w14:paraId="13B6474C" w14:textId="77777777" w:rsidR="00FA1978" w:rsidRPr="00FA1978" w:rsidRDefault="00FA1978" w:rsidP="00FA1978">
            <w:pPr>
              <w:pStyle w:val="Standaard-Tabellen"/>
              <w:rPr>
                <w:rFonts w:eastAsia="Calibri"/>
                <w:b/>
                <w:color w:val="000000"/>
              </w:rPr>
            </w:pPr>
            <w:r w:rsidRPr="00FA1978">
              <w:rPr>
                <w:rFonts w:eastAsia="Calibri"/>
                <w:b/>
              </w:rPr>
              <w:t>Resulting local concentrations in the waterbody</w:t>
            </w:r>
          </w:p>
        </w:tc>
      </w:tr>
      <w:tr w:rsidR="00FA1978" w:rsidRPr="00FA1978" w14:paraId="2A8BD1AF" w14:textId="77777777" w:rsidTr="00FA1978">
        <w:trPr>
          <w:tblHeader/>
        </w:trPr>
        <w:tc>
          <w:tcPr>
            <w:tcW w:w="162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hideMark/>
          </w:tcPr>
          <w:p w14:paraId="0BA3B018" w14:textId="77777777" w:rsidR="00FA1978" w:rsidRPr="00FA1978" w:rsidRDefault="00FA1978" w:rsidP="00FA1978">
            <w:pPr>
              <w:pStyle w:val="Standaard-Tabellen"/>
              <w:rPr>
                <w:rFonts w:eastAsia="Calibri"/>
                <w:b/>
                <w:color w:val="000000"/>
              </w:rPr>
            </w:pPr>
            <w:r w:rsidRPr="00FA1978">
              <w:rPr>
                <w:rFonts w:eastAsia="Calibri"/>
                <w:b/>
                <w:color w:val="000000"/>
              </w:rPr>
              <w:t>Compartment</w:t>
            </w:r>
          </w:p>
        </w:tc>
        <w:tc>
          <w:tcPr>
            <w:tcW w:w="1525" w:type="pct"/>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hideMark/>
          </w:tcPr>
          <w:p w14:paraId="21A739A6" w14:textId="77777777" w:rsidR="00FA1978" w:rsidRPr="00FA1978" w:rsidRDefault="00FA1978" w:rsidP="00FA1978">
            <w:pPr>
              <w:pStyle w:val="Standaard-Tabellen"/>
              <w:rPr>
                <w:rFonts w:eastAsia="Calibri"/>
                <w:b/>
                <w:color w:val="000000"/>
              </w:rPr>
            </w:pPr>
            <w:r w:rsidRPr="00FA1978">
              <w:rPr>
                <w:rFonts w:eastAsia="Calibri"/>
                <w:b/>
                <w:color w:val="000000"/>
              </w:rPr>
              <w:t xml:space="preserve">Local concentration </w:t>
            </w:r>
          </w:p>
          <w:p w14:paraId="275B603C" w14:textId="77777777" w:rsidR="00FA1978" w:rsidRPr="00FA1978" w:rsidRDefault="00FA1978" w:rsidP="00FA1978">
            <w:pPr>
              <w:pStyle w:val="Standaard-Tabellen"/>
              <w:rPr>
                <w:rFonts w:eastAsia="Calibri"/>
                <w:b/>
                <w:color w:val="000000"/>
              </w:rPr>
            </w:pPr>
            <w:r w:rsidRPr="00FA1978">
              <w:rPr>
                <w:rFonts w:eastAsia="Calibri"/>
                <w:b/>
                <w:color w:val="000000"/>
              </w:rPr>
              <w:t>(</w:t>
            </w:r>
            <w:proofErr w:type="spellStart"/>
            <w:r w:rsidRPr="00FA1978">
              <w:rPr>
                <w:rFonts w:eastAsia="Calibri"/>
                <w:b/>
                <w:color w:val="000000"/>
              </w:rPr>
              <w:t>Clocal</w:t>
            </w:r>
            <w:r w:rsidRPr="00FA1978">
              <w:rPr>
                <w:rFonts w:eastAsia="Calibri"/>
                <w:b/>
                <w:color w:val="000000"/>
                <w:vertAlign w:val="subscript"/>
              </w:rPr>
              <w:t>compartment</w:t>
            </w:r>
            <w:proofErr w:type="spellEnd"/>
            <w:r w:rsidRPr="00FA1978">
              <w:rPr>
                <w:rFonts w:eastAsia="Calibri"/>
                <w:b/>
                <w:color w:val="000000"/>
              </w:rPr>
              <w:t>) [kg/m³]</w:t>
            </w:r>
          </w:p>
        </w:tc>
        <w:tc>
          <w:tcPr>
            <w:tcW w:w="1852" w:type="pct"/>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hideMark/>
          </w:tcPr>
          <w:p w14:paraId="7787A9D9" w14:textId="77777777" w:rsidR="00FA1978" w:rsidRPr="00FA1978" w:rsidRDefault="00FA1978" w:rsidP="00FA1978">
            <w:pPr>
              <w:pStyle w:val="Standaard-Tabellen"/>
              <w:rPr>
                <w:rFonts w:eastAsia="Calibri"/>
                <w:b/>
                <w:color w:val="000000"/>
              </w:rPr>
            </w:pPr>
            <w:r w:rsidRPr="00FA1978">
              <w:rPr>
                <w:rFonts w:eastAsia="Calibri"/>
                <w:b/>
                <w:color w:val="000000"/>
              </w:rPr>
              <w:t>Remarks</w:t>
            </w:r>
          </w:p>
        </w:tc>
      </w:tr>
      <w:tr w:rsidR="00FA1978" w14:paraId="61BF3487" w14:textId="77777777" w:rsidTr="00FA1978">
        <w:tc>
          <w:tcPr>
            <w:tcW w:w="1623" w:type="pct"/>
            <w:tcBorders>
              <w:top w:val="nil"/>
              <w:left w:val="single" w:sz="4" w:space="0" w:color="000000"/>
              <w:bottom w:val="single" w:sz="4" w:space="0" w:color="auto"/>
              <w:right w:val="single" w:sz="4" w:space="0" w:color="000000"/>
            </w:tcBorders>
            <w:tcMar>
              <w:top w:w="40" w:type="dxa"/>
              <w:left w:w="40" w:type="dxa"/>
              <w:bottom w:w="40" w:type="dxa"/>
              <w:right w:w="40" w:type="dxa"/>
            </w:tcMar>
            <w:vAlign w:val="center"/>
            <w:hideMark/>
          </w:tcPr>
          <w:p w14:paraId="50F7F71F" w14:textId="77777777" w:rsidR="00FA1978" w:rsidRDefault="00FA1978" w:rsidP="00FA1978">
            <w:pPr>
              <w:pStyle w:val="Standaard-Tabellen"/>
              <w:rPr>
                <w:color w:val="000000"/>
              </w:rPr>
            </w:pPr>
            <w:r>
              <w:rPr>
                <w:color w:val="000000"/>
              </w:rPr>
              <w:t>Surface water – after 1 day</w:t>
            </w:r>
          </w:p>
        </w:tc>
        <w:tc>
          <w:tcPr>
            <w:tcW w:w="1525" w:type="pct"/>
            <w:tcBorders>
              <w:top w:val="nil"/>
              <w:left w:val="nil"/>
              <w:bottom w:val="single" w:sz="4" w:space="0" w:color="auto"/>
              <w:right w:val="single" w:sz="4" w:space="0" w:color="000000"/>
            </w:tcBorders>
            <w:tcMar>
              <w:top w:w="40" w:type="dxa"/>
              <w:left w:w="40" w:type="dxa"/>
              <w:bottom w:w="40" w:type="dxa"/>
              <w:right w:w="40" w:type="dxa"/>
            </w:tcMar>
            <w:hideMark/>
          </w:tcPr>
          <w:p w14:paraId="53D04437" w14:textId="7782D659" w:rsidR="00FA1978" w:rsidRPr="008C5876" w:rsidRDefault="008C5876" w:rsidP="00FA1978">
            <w:pPr>
              <w:pStyle w:val="Standaard-Tabellen"/>
              <w:rPr>
                <w:rFonts w:eastAsia="Calibri"/>
                <w:color w:val="000000"/>
                <w:vertAlign w:val="superscript"/>
              </w:rPr>
            </w:pPr>
            <w:r>
              <w:rPr>
                <w:rFonts w:eastAsia="Calibri"/>
                <w:color w:val="000000"/>
              </w:rPr>
              <w:t>6.58x10</w:t>
            </w:r>
            <w:r>
              <w:rPr>
                <w:rFonts w:eastAsia="Calibri"/>
                <w:color w:val="000000"/>
                <w:vertAlign w:val="superscript"/>
              </w:rPr>
              <w:t>-7</w:t>
            </w:r>
          </w:p>
        </w:tc>
        <w:tc>
          <w:tcPr>
            <w:tcW w:w="1852" w:type="pct"/>
            <w:tcBorders>
              <w:top w:val="nil"/>
              <w:left w:val="nil"/>
              <w:bottom w:val="single" w:sz="4" w:space="0" w:color="auto"/>
              <w:right w:val="single" w:sz="4" w:space="0" w:color="000000"/>
            </w:tcBorders>
            <w:tcMar>
              <w:top w:w="40" w:type="dxa"/>
              <w:left w:w="40" w:type="dxa"/>
              <w:bottom w:w="40" w:type="dxa"/>
              <w:right w:w="40" w:type="dxa"/>
            </w:tcMar>
            <w:vAlign w:val="center"/>
            <w:hideMark/>
          </w:tcPr>
          <w:p w14:paraId="77D5D7A8" w14:textId="77777777" w:rsidR="00FA1978" w:rsidRDefault="00FA1978" w:rsidP="00FA1978">
            <w:pPr>
              <w:pStyle w:val="Standaard-Tabellen"/>
              <w:rPr>
                <w:color w:val="000000"/>
              </w:rPr>
            </w:pPr>
            <w:r>
              <w:rPr>
                <w:color w:val="000000"/>
              </w:rPr>
              <w:t>/</w:t>
            </w:r>
          </w:p>
        </w:tc>
      </w:tr>
      <w:tr w:rsidR="00FA1978" w14:paraId="59D6E960" w14:textId="77777777" w:rsidTr="00FA1978">
        <w:tc>
          <w:tcPr>
            <w:tcW w:w="1623" w:type="pct"/>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F4EF97A" w14:textId="77777777" w:rsidR="00FA1978" w:rsidRDefault="00FA1978" w:rsidP="00FA1978">
            <w:pPr>
              <w:pStyle w:val="Standaard-Tabellen"/>
              <w:rPr>
                <w:color w:val="000000"/>
              </w:rPr>
            </w:pPr>
            <w:r>
              <w:rPr>
                <w:color w:val="000000"/>
              </w:rPr>
              <w:t>Surface water – after 91 days</w:t>
            </w:r>
          </w:p>
        </w:tc>
        <w:tc>
          <w:tcPr>
            <w:tcW w:w="1525" w:type="pct"/>
            <w:tcBorders>
              <w:top w:val="single" w:sz="4" w:space="0" w:color="auto"/>
              <w:left w:val="nil"/>
              <w:bottom w:val="single" w:sz="4" w:space="0" w:color="000000"/>
              <w:right w:val="single" w:sz="4" w:space="0" w:color="000000"/>
            </w:tcBorders>
            <w:tcMar>
              <w:top w:w="40" w:type="dxa"/>
              <w:left w:w="40" w:type="dxa"/>
              <w:bottom w:w="40" w:type="dxa"/>
              <w:right w:w="40" w:type="dxa"/>
            </w:tcMar>
            <w:hideMark/>
          </w:tcPr>
          <w:p w14:paraId="13C5C6BE" w14:textId="74B0DB08" w:rsidR="00FA1978" w:rsidRPr="008C5876" w:rsidRDefault="008C5876" w:rsidP="00FA1978">
            <w:pPr>
              <w:pStyle w:val="Standaard-Tabellen"/>
              <w:rPr>
                <w:rFonts w:eastAsia="Calibri"/>
                <w:color w:val="000000"/>
                <w:vertAlign w:val="superscript"/>
              </w:rPr>
            </w:pPr>
            <w:r>
              <w:rPr>
                <w:rFonts w:eastAsia="Calibri"/>
                <w:color w:val="000000"/>
              </w:rPr>
              <w:t>5.99x10</w:t>
            </w:r>
            <w:r>
              <w:rPr>
                <w:rFonts w:eastAsia="Calibri"/>
                <w:color w:val="000000"/>
                <w:vertAlign w:val="superscript"/>
              </w:rPr>
              <w:t>-5</w:t>
            </w:r>
          </w:p>
        </w:tc>
        <w:tc>
          <w:tcPr>
            <w:tcW w:w="1852" w:type="pct"/>
            <w:tcBorders>
              <w:top w:val="single" w:sz="4" w:space="0" w:color="auto"/>
              <w:left w:val="nil"/>
              <w:bottom w:val="single" w:sz="4" w:space="0" w:color="000000"/>
              <w:right w:val="single" w:sz="4" w:space="0" w:color="000000"/>
            </w:tcBorders>
            <w:tcMar>
              <w:top w:w="40" w:type="dxa"/>
              <w:left w:w="40" w:type="dxa"/>
              <w:bottom w:w="40" w:type="dxa"/>
              <w:right w:w="40" w:type="dxa"/>
            </w:tcMar>
            <w:vAlign w:val="center"/>
            <w:hideMark/>
          </w:tcPr>
          <w:p w14:paraId="25661F99" w14:textId="77777777" w:rsidR="00FA1978" w:rsidRDefault="00FA1978" w:rsidP="00FA1978">
            <w:pPr>
              <w:pStyle w:val="Standaard-Tabellen"/>
              <w:rPr>
                <w:color w:val="000000"/>
              </w:rPr>
            </w:pPr>
            <w:r>
              <w:rPr>
                <w:color w:val="000000"/>
              </w:rPr>
              <w:t>(without considering possible degradation)</w:t>
            </w:r>
          </w:p>
        </w:tc>
      </w:tr>
    </w:tbl>
    <w:p w14:paraId="24C3FBF1" w14:textId="77777777" w:rsidR="00FA1978" w:rsidRDefault="00FA1978" w:rsidP="007A7C32">
      <w:pPr>
        <w:rPr>
          <w:rFonts w:eastAsia="Calibri"/>
          <w:lang w:eastAsia="en-US"/>
        </w:rPr>
      </w:pPr>
    </w:p>
    <w:p w14:paraId="0DA50DE4" w14:textId="77777777" w:rsidR="00FA1978" w:rsidRPr="00FA1978" w:rsidRDefault="00FA1978" w:rsidP="007A7C32">
      <w:pPr>
        <w:rPr>
          <w:rFonts w:eastAsia="Calibri"/>
          <w:lang w:eastAsia="en-US"/>
        </w:rPr>
      </w:pPr>
    </w:p>
    <w:p w14:paraId="1012A64B" w14:textId="77777777" w:rsidR="002C4887" w:rsidRDefault="002C4887">
      <w:pPr>
        <w:spacing w:before="0" w:after="160" w:line="259" w:lineRule="auto"/>
        <w:rPr>
          <w:rFonts w:eastAsia="Calibri"/>
          <w:highlight w:val="magenta"/>
          <w:lang w:eastAsia="en-US"/>
        </w:rPr>
      </w:pPr>
      <w:r>
        <w:rPr>
          <w:rFonts w:eastAsia="Calibri"/>
          <w:highlight w:val="magenta"/>
          <w:lang w:eastAsia="en-US"/>
        </w:rPr>
        <w:br w:type="page"/>
      </w:r>
    </w:p>
    <w:p w14:paraId="36824325" w14:textId="77777777" w:rsidR="00E62B94" w:rsidRDefault="002C4887" w:rsidP="007E5F71">
      <w:pPr>
        <w:pStyle w:val="Titre5"/>
      </w:pPr>
      <w:bookmarkStart w:id="278" w:name="_Toc12967204"/>
      <w:r>
        <w:lastRenderedPageBreak/>
        <w:t>Fate and distribution in exposed environmental compartments</w:t>
      </w:r>
      <w:bookmarkEnd w:id="278"/>
    </w:p>
    <w:p w14:paraId="3E56A940" w14:textId="77777777" w:rsidR="005F31FF" w:rsidRPr="00DA2EA7" w:rsidRDefault="005F31FF" w:rsidP="005F31FF">
      <w:pPr>
        <w:pStyle w:val="Titre6"/>
        <w:rPr>
          <w:lang w:val="en-US"/>
        </w:rPr>
      </w:pPr>
      <w:r w:rsidRPr="00DA2EA7">
        <w:rPr>
          <w:lang w:val="en-US"/>
        </w:rPr>
        <w:t>Scenario 1:</w:t>
      </w:r>
    </w:p>
    <w:p w14:paraId="1DA7C8AE" w14:textId="77777777" w:rsidR="005F31FF" w:rsidRDefault="005F31FF" w:rsidP="005F31FF">
      <w:pPr>
        <w:rPr>
          <w:rFonts w:eastAsia="Calibri"/>
          <w:lang w:eastAsia="en-US"/>
        </w:rPr>
      </w:pPr>
      <w:r>
        <w:rPr>
          <w:rFonts w:eastAsia="Calibri"/>
          <w:lang w:eastAsia="en-US"/>
        </w:rPr>
        <w:t>Applied product is removed from the body through showering or bathing. The wastewater from washing is then removed to the municipal waste water treatment plant, after which the effluent is emitted to the surface water where it can expose both fresh water and fresh water sediments.</w:t>
      </w:r>
    </w:p>
    <w:p w14:paraId="48CA792D" w14:textId="77777777" w:rsidR="005F31FF" w:rsidRDefault="005F31FF" w:rsidP="005F31FF">
      <w:pPr>
        <w:rPr>
          <w:rFonts w:eastAsia="Calibri"/>
          <w:lang w:eastAsia="en-US"/>
        </w:rPr>
      </w:pPr>
      <w:r>
        <w:rPr>
          <w:rFonts w:eastAsia="Calibri"/>
          <w:lang w:eastAsia="en-US"/>
        </w:rPr>
        <w:t>Exposure to other compartments is not considered relevant.</w:t>
      </w:r>
    </w:p>
    <w:p w14:paraId="1A979582" w14:textId="77777777" w:rsidR="005F31FF" w:rsidRPr="00DA2EA7" w:rsidRDefault="005F31FF" w:rsidP="005F31FF">
      <w:pPr>
        <w:pStyle w:val="Titre6"/>
        <w:rPr>
          <w:lang w:val="en-US"/>
        </w:rPr>
      </w:pPr>
      <w:r w:rsidRPr="00DA2EA7">
        <w:rPr>
          <w:lang w:val="en-US"/>
        </w:rPr>
        <w:t>Scenario 2:</w:t>
      </w:r>
    </w:p>
    <w:p w14:paraId="444F4DC1" w14:textId="77777777" w:rsidR="005F31FF" w:rsidRDefault="005F31FF" w:rsidP="005F31FF">
      <w:pPr>
        <w:rPr>
          <w:rFonts w:eastAsia="Calibri"/>
          <w:lang w:eastAsia="en-US"/>
        </w:rPr>
      </w:pPr>
      <w:r>
        <w:rPr>
          <w:rFonts w:eastAsia="Calibri"/>
          <w:lang w:eastAsia="en-US"/>
        </w:rPr>
        <w:t>Applied product is removed from the body directly to the surface water through swimming, where it can expose both fresh water and fresh water sediments.</w:t>
      </w:r>
    </w:p>
    <w:p w14:paraId="3166C16D" w14:textId="77777777" w:rsidR="005F31FF" w:rsidRDefault="005F31FF" w:rsidP="005F31FF">
      <w:pPr>
        <w:rPr>
          <w:rFonts w:eastAsia="Calibri"/>
          <w:lang w:eastAsia="en-US"/>
        </w:rPr>
      </w:pPr>
      <w:r>
        <w:rPr>
          <w:rFonts w:eastAsia="Calibri"/>
          <w:lang w:eastAsia="en-US"/>
        </w:rPr>
        <w:t>Exposure to other compartments is not considered relevant.</w:t>
      </w:r>
    </w:p>
    <w:p w14:paraId="4E17440B" w14:textId="77777777" w:rsidR="002C4887" w:rsidRPr="00FD2055" w:rsidRDefault="002C4887" w:rsidP="005F31FF">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855"/>
        <w:gridCol w:w="1289"/>
        <w:gridCol w:w="855"/>
        <w:gridCol w:w="1139"/>
        <w:gridCol w:w="571"/>
        <w:gridCol w:w="569"/>
        <w:gridCol w:w="571"/>
        <w:gridCol w:w="1131"/>
        <w:gridCol w:w="1142"/>
      </w:tblGrid>
      <w:tr w:rsidR="002C4887" w:rsidRPr="002C4887" w14:paraId="524FED0E" w14:textId="77777777" w:rsidTr="00140213">
        <w:trPr>
          <w:trHeight w:val="333"/>
          <w:tblHeader/>
        </w:trPr>
        <w:tc>
          <w:tcPr>
            <w:tcW w:w="5000" w:type="pct"/>
            <w:gridSpan w:val="10"/>
            <w:shd w:val="clear" w:color="auto" w:fill="FFFFCC"/>
          </w:tcPr>
          <w:p w14:paraId="6D9A44D7" w14:textId="77777777" w:rsidR="002C4887" w:rsidRPr="002C4887" w:rsidRDefault="002C4887" w:rsidP="002C4887">
            <w:pPr>
              <w:pStyle w:val="Standaard-Tabellen"/>
              <w:jc w:val="center"/>
              <w:rPr>
                <w:rFonts w:eastAsia="Calibri"/>
                <w:b/>
                <w:color w:val="000000"/>
              </w:rPr>
            </w:pPr>
            <w:r w:rsidRPr="002C4887">
              <w:rPr>
                <w:rFonts w:eastAsia="Calibri"/>
                <w:b/>
              </w:rPr>
              <w:t>Identification of relevant receiving compartments based on the exposure pathway</w:t>
            </w:r>
          </w:p>
        </w:tc>
      </w:tr>
      <w:tr w:rsidR="00140213" w:rsidRPr="002C4887" w14:paraId="5728A80A" w14:textId="77777777" w:rsidTr="00140213">
        <w:trPr>
          <w:tblHeader/>
        </w:trPr>
        <w:tc>
          <w:tcPr>
            <w:tcW w:w="681" w:type="pct"/>
            <w:shd w:val="clear" w:color="auto" w:fill="BFBFBF" w:themeFill="background1" w:themeFillShade="BF"/>
            <w:vAlign w:val="center"/>
          </w:tcPr>
          <w:p w14:paraId="5F462327" w14:textId="77777777" w:rsidR="002C4887" w:rsidRPr="002C4887" w:rsidRDefault="002C4887" w:rsidP="002C4887">
            <w:pPr>
              <w:pStyle w:val="Standaard-Tabellen"/>
              <w:rPr>
                <w:rFonts w:eastAsia="Calibri"/>
                <w:b/>
                <w:color w:val="000000"/>
              </w:rPr>
            </w:pPr>
          </w:p>
        </w:tc>
        <w:tc>
          <w:tcPr>
            <w:tcW w:w="455" w:type="pct"/>
            <w:shd w:val="clear" w:color="auto" w:fill="BFBFBF" w:themeFill="background1" w:themeFillShade="BF"/>
            <w:tcMar>
              <w:top w:w="57" w:type="dxa"/>
              <w:left w:w="70" w:type="dxa"/>
              <w:bottom w:w="57" w:type="dxa"/>
              <w:right w:w="70" w:type="dxa"/>
            </w:tcMar>
            <w:vAlign w:val="center"/>
          </w:tcPr>
          <w:p w14:paraId="20BF6CAE" w14:textId="77777777" w:rsidR="002C4887" w:rsidRPr="002C4887" w:rsidRDefault="002C4887" w:rsidP="002C4887">
            <w:pPr>
              <w:pStyle w:val="Standaard-Tabellen"/>
              <w:rPr>
                <w:rFonts w:eastAsia="Calibri" w:cs="Arial"/>
                <w:b/>
                <w:color w:val="000000"/>
              </w:rPr>
            </w:pPr>
            <w:r w:rsidRPr="002C4887">
              <w:rPr>
                <w:rFonts w:eastAsia="Calibri" w:cs="Arial"/>
                <w:b/>
                <w:color w:val="000000"/>
              </w:rPr>
              <w:t>Fresh-water</w:t>
            </w:r>
          </w:p>
        </w:tc>
        <w:tc>
          <w:tcPr>
            <w:tcW w:w="682" w:type="pct"/>
            <w:shd w:val="clear" w:color="auto" w:fill="BFBFBF" w:themeFill="background1" w:themeFillShade="BF"/>
            <w:tcMar>
              <w:top w:w="57" w:type="dxa"/>
              <w:left w:w="70" w:type="dxa"/>
              <w:bottom w:w="57" w:type="dxa"/>
              <w:right w:w="70" w:type="dxa"/>
            </w:tcMar>
            <w:vAlign w:val="center"/>
          </w:tcPr>
          <w:p w14:paraId="6AB91D0F" w14:textId="77777777" w:rsidR="002C4887" w:rsidRPr="002C4887" w:rsidRDefault="002C4887" w:rsidP="002C4887">
            <w:pPr>
              <w:pStyle w:val="Standaard-Tabellen"/>
              <w:rPr>
                <w:rFonts w:eastAsia="Calibri" w:cs="Arial"/>
                <w:b/>
                <w:color w:val="000000"/>
              </w:rPr>
            </w:pPr>
            <w:r w:rsidRPr="002C4887">
              <w:rPr>
                <w:rFonts w:eastAsia="Calibri" w:cs="Arial"/>
                <w:b/>
                <w:color w:val="000000"/>
              </w:rPr>
              <w:t>Freshwater sediment</w:t>
            </w:r>
          </w:p>
        </w:tc>
        <w:tc>
          <w:tcPr>
            <w:tcW w:w="455" w:type="pct"/>
            <w:shd w:val="clear" w:color="auto" w:fill="BFBFBF" w:themeFill="background1" w:themeFillShade="BF"/>
            <w:tcMar>
              <w:top w:w="57" w:type="dxa"/>
              <w:left w:w="70" w:type="dxa"/>
              <w:bottom w:w="57" w:type="dxa"/>
              <w:right w:w="70" w:type="dxa"/>
            </w:tcMar>
            <w:vAlign w:val="center"/>
          </w:tcPr>
          <w:p w14:paraId="5A9CBE16" w14:textId="77777777" w:rsidR="002C4887" w:rsidRPr="002C4887" w:rsidRDefault="002C4887" w:rsidP="002C4887">
            <w:pPr>
              <w:pStyle w:val="Standaard-Tabellen"/>
              <w:rPr>
                <w:rFonts w:eastAsia="Calibri" w:cs="Arial"/>
                <w:b/>
                <w:color w:val="000000"/>
              </w:rPr>
            </w:pPr>
            <w:r w:rsidRPr="002C4887">
              <w:rPr>
                <w:rFonts w:eastAsia="Calibri" w:cs="Arial"/>
                <w:b/>
                <w:color w:val="000000"/>
              </w:rPr>
              <w:t>Sea-water</w:t>
            </w:r>
          </w:p>
        </w:tc>
        <w:tc>
          <w:tcPr>
            <w:tcW w:w="606" w:type="pct"/>
            <w:shd w:val="clear" w:color="auto" w:fill="BFBFBF" w:themeFill="background1" w:themeFillShade="BF"/>
            <w:vAlign w:val="center"/>
          </w:tcPr>
          <w:p w14:paraId="4A353293" w14:textId="77777777" w:rsidR="002C4887" w:rsidRPr="002C4887" w:rsidRDefault="002C4887" w:rsidP="002C4887">
            <w:pPr>
              <w:pStyle w:val="Standaard-Tabellen"/>
              <w:rPr>
                <w:rFonts w:eastAsia="Calibri" w:cs="Arial"/>
                <w:b/>
                <w:color w:val="000000"/>
              </w:rPr>
            </w:pPr>
            <w:r w:rsidRPr="002C4887">
              <w:rPr>
                <w:rFonts w:eastAsia="Calibri" w:cs="Arial"/>
                <w:b/>
                <w:color w:val="000000"/>
              </w:rPr>
              <w:t>Seawater sediment</w:t>
            </w:r>
          </w:p>
        </w:tc>
        <w:tc>
          <w:tcPr>
            <w:tcW w:w="304" w:type="pct"/>
            <w:shd w:val="clear" w:color="auto" w:fill="BFBFBF" w:themeFill="background1" w:themeFillShade="BF"/>
            <w:vAlign w:val="center"/>
          </w:tcPr>
          <w:p w14:paraId="75E21069" w14:textId="77777777" w:rsidR="002C4887" w:rsidRPr="002C4887" w:rsidRDefault="002C4887" w:rsidP="002C4887">
            <w:pPr>
              <w:pStyle w:val="Standaard-Tabellen"/>
              <w:rPr>
                <w:rFonts w:eastAsia="Calibri" w:cs="Arial"/>
                <w:b/>
                <w:color w:val="000000"/>
              </w:rPr>
            </w:pPr>
            <w:r w:rsidRPr="002C4887">
              <w:rPr>
                <w:rFonts w:eastAsia="Calibri" w:cs="Arial"/>
                <w:b/>
                <w:color w:val="000000"/>
              </w:rPr>
              <w:t>STP</w:t>
            </w:r>
          </w:p>
        </w:tc>
        <w:tc>
          <w:tcPr>
            <w:tcW w:w="303" w:type="pct"/>
            <w:shd w:val="clear" w:color="auto" w:fill="BFBFBF" w:themeFill="background1" w:themeFillShade="BF"/>
            <w:vAlign w:val="center"/>
          </w:tcPr>
          <w:p w14:paraId="7C9C7245" w14:textId="77777777" w:rsidR="002C4887" w:rsidRPr="002C4887" w:rsidRDefault="002C4887" w:rsidP="002C4887">
            <w:pPr>
              <w:pStyle w:val="Standaard-Tabellen"/>
              <w:rPr>
                <w:rFonts w:eastAsia="Calibri" w:cs="Arial"/>
                <w:b/>
                <w:color w:val="000000"/>
              </w:rPr>
            </w:pPr>
            <w:r w:rsidRPr="002C4887">
              <w:rPr>
                <w:rFonts w:eastAsia="Calibri" w:cs="Arial"/>
                <w:b/>
                <w:color w:val="000000"/>
              </w:rPr>
              <w:t>Air</w:t>
            </w:r>
          </w:p>
        </w:tc>
        <w:tc>
          <w:tcPr>
            <w:tcW w:w="304" w:type="pct"/>
            <w:shd w:val="clear" w:color="auto" w:fill="BFBFBF" w:themeFill="background1" w:themeFillShade="BF"/>
            <w:vAlign w:val="center"/>
          </w:tcPr>
          <w:p w14:paraId="18D8B116" w14:textId="77777777" w:rsidR="002C4887" w:rsidRPr="002C4887" w:rsidRDefault="002C4887" w:rsidP="002C4887">
            <w:pPr>
              <w:pStyle w:val="Standaard-Tabellen"/>
              <w:rPr>
                <w:rFonts w:eastAsia="Calibri"/>
                <w:b/>
                <w:color w:val="000000"/>
              </w:rPr>
            </w:pPr>
            <w:r w:rsidRPr="002C4887">
              <w:rPr>
                <w:rFonts w:eastAsia="Calibri"/>
                <w:b/>
                <w:color w:val="000000"/>
              </w:rPr>
              <w:t>Soil</w:t>
            </w:r>
          </w:p>
        </w:tc>
        <w:tc>
          <w:tcPr>
            <w:tcW w:w="602" w:type="pct"/>
            <w:shd w:val="clear" w:color="auto" w:fill="BFBFBF" w:themeFill="background1" w:themeFillShade="BF"/>
            <w:vAlign w:val="center"/>
          </w:tcPr>
          <w:p w14:paraId="4C0E61BF" w14:textId="77777777" w:rsidR="002C4887" w:rsidRPr="002C4887" w:rsidRDefault="002C4887" w:rsidP="002C4887">
            <w:pPr>
              <w:pStyle w:val="Standaard-Tabellen"/>
              <w:rPr>
                <w:rFonts w:eastAsia="Calibri"/>
                <w:b/>
                <w:color w:val="000000"/>
              </w:rPr>
            </w:pPr>
            <w:r w:rsidRPr="002C4887">
              <w:rPr>
                <w:rFonts w:eastAsia="Calibri"/>
                <w:b/>
                <w:color w:val="000000"/>
              </w:rPr>
              <w:t>Ground-water</w:t>
            </w:r>
          </w:p>
        </w:tc>
        <w:tc>
          <w:tcPr>
            <w:tcW w:w="607" w:type="pct"/>
            <w:shd w:val="clear" w:color="auto" w:fill="BFBFBF" w:themeFill="background1" w:themeFillShade="BF"/>
            <w:tcMar>
              <w:top w:w="57" w:type="dxa"/>
              <w:left w:w="70" w:type="dxa"/>
              <w:bottom w:w="57" w:type="dxa"/>
              <w:right w:w="70" w:type="dxa"/>
            </w:tcMar>
            <w:vAlign w:val="center"/>
          </w:tcPr>
          <w:p w14:paraId="5EC8C489" w14:textId="77777777" w:rsidR="002C4887" w:rsidRPr="002C4887" w:rsidRDefault="002C4887" w:rsidP="002C4887">
            <w:pPr>
              <w:pStyle w:val="Standaard-Tabellen"/>
              <w:rPr>
                <w:rFonts w:eastAsia="Calibri"/>
                <w:b/>
                <w:color w:val="000000"/>
              </w:rPr>
            </w:pPr>
            <w:r w:rsidRPr="002C4887">
              <w:rPr>
                <w:rFonts w:eastAsia="Calibri"/>
                <w:b/>
                <w:color w:val="000000"/>
              </w:rPr>
              <w:t>Other</w:t>
            </w:r>
          </w:p>
        </w:tc>
      </w:tr>
      <w:tr w:rsidR="002C4887" w:rsidRPr="00FD2055" w14:paraId="7259F53D" w14:textId="77777777" w:rsidTr="00140213">
        <w:trPr>
          <w:tblHeader/>
        </w:trPr>
        <w:tc>
          <w:tcPr>
            <w:tcW w:w="681" w:type="pct"/>
            <w:shd w:val="clear" w:color="auto" w:fill="auto"/>
            <w:tcMar>
              <w:top w:w="57" w:type="dxa"/>
              <w:left w:w="70" w:type="dxa"/>
              <w:bottom w:w="57" w:type="dxa"/>
              <w:right w:w="70" w:type="dxa"/>
            </w:tcMar>
            <w:vAlign w:val="center"/>
          </w:tcPr>
          <w:p w14:paraId="4DC37387" w14:textId="77777777" w:rsidR="002C4887" w:rsidRPr="00FD2055" w:rsidRDefault="002C4887" w:rsidP="002C4887">
            <w:pPr>
              <w:pStyle w:val="Standaard-Tabellen"/>
              <w:rPr>
                <w:rFonts w:eastAsia="Calibri"/>
                <w:color w:val="000000"/>
              </w:rPr>
            </w:pPr>
            <w:r w:rsidRPr="00FD2055">
              <w:rPr>
                <w:rFonts w:eastAsia="Calibri"/>
                <w:color w:val="000000"/>
              </w:rPr>
              <w:t>Scenario 1</w:t>
            </w:r>
          </w:p>
        </w:tc>
        <w:tc>
          <w:tcPr>
            <w:tcW w:w="455" w:type="pct"/>
            <w:shd w:val="clear" w:color="auto" w:fill="auto"/>
            <w:tcMar>
              <w:top w:w="57" w:type="dxa"/>
              <w:left w:w="70" w:type="dxa"/>
              <w:bottom w:w="57" w:type="dxa"/>
              <w:right w:w="70" w:type="dxa"/>
            </w:tcMar>
            <w:vAlign w:val="center"/>
          </w:tcPr>
          <w:p w14:paraId="5E33F176" w14:textId="77777777" w:rsidR="002C4887" w:rsidRPr="00FD2055" w:rsidRDefault="005F31FF" w:rsidP="002C4887">
            <w:pPr>
              <w:pStyle w:val="Standaard-Tabellen"/>
              <w:rPr>
                <w:rFonts w:eastAsia="Calibri"/>
                <w:color w:val="000000"/>
              </w:rPr>
            </w:pPr>
            <w:r>
              <w:rPr>
                <w:rFonts w:eastAsia="Calibri"/>
                <w:color w:val="000000"/>
              </w:rPr>
              <w:t>yes</w:t>
            </w:r>
          </w:p>
        </w:tc>
        <w:tc>
          <w:tcPr>
            <w:tcW w:w="682" w:type="pct"/>
            <w:shd w:val="clear" w:color="auto" w:fill="auto"/>
            <w:tcMar>
              <w:top w:w="57" w:type="dxa"/>
              <w:left w:w="70" w:type="dxa"/>
              <w:bottom w:w="57" w:type="dxa"/>
              <w:right w:w="70" w:type="dxa"/>
            </w:tcMar>
            <w:vAlign w:val="center"/>
          </w:tcPr>
          <w:p w14:paraId="09C31988" w14:textId="214077CF" w:rsidR="002C4887" w:rsidRPr="00FD2055" w:rsidRDefault="00924507" w:rsidP="002C4887">
            <w:pPr>
              <w:pStyle w:val="Standaard-Tabellen"/>
              <w:rPr>
                <w:rFonts w:eastAsia="Calibri"/>
                <w:color w:val="000000"/>
              </w:rPr>
            </w:pPr>
            <w:r>
              <w:rPr>
                <w:rFonts w:eastAsia="Calibri"/>
                <w:color w:val="000000"/>
              </w:rPr>
              <w:t>Y</w:t>
            </w:r>
            <w:r w:rsidR="005F31FF">
              <w:rPr>
                <w:rFonts w:eastAsia="Calibri"/>
                <w:color w:val="000000"/>
              </w:rPr>
              <w:t>es</w:t>
            </w:r>
          </w:p>
        </w:tc>
        <w:tc>
          <w:tcPr>
            <w:tcW w:w="455" w:type="pct"/>
            <w:shd w:val="clear" w:color="auto" w:fill="auto"/>
            <w:tcMar>
              <w:top w:w="57" w:type="dxa"/>
              <w:left w:w="70" w:type="dxa"/>
              <w:bottom w:w="57" w:type="dxa"/>
              <w:right w:w="70" w:type="dxa"/>
            </w:tcMar>
            <w:vAlign w:val="center"/>
          </w:tcPr>
          <w:p w14:paraId="1CB72BD5" w14:textId="77777777" w:rsidR="002C4887" w:rsidRPr="00FD2055" w:rsidRDefault="005F31FF" w:rsidP="002C4887">
            <w:pPr>
              <w:pStyle w:val="Standaard-Tabellen"/>
              <w:rPr>
                <w:rFonts w:eastAsia="Calibri"/>
                <w:color w:val="000000"/>
              </w:rPr>
            </w:pPr>
            <w:r>
              <w:rPr>
                <w:rFonts w:eastAsia="Calibri"/>
                <w:color w:val="000000"/>
              </w:rPr>
              <w:t>no</w:t>
            </w:r>
          </w:p>
        </w:tc>
        <w:tc>
          <w:tcPr>
            <w:tcW w:w="606" w:type="pct"/>
            <w:shd w:val="clear" w:color="auto" w:fill="auto"/>
            <w:vAlign w:val="center"/>
          </w:tcPr>
          <w:p w14:paraId="3A195169" w14:textId="77777777" w:rsidR="002C4887" w:rsidRPr="00FD2055" w:rsidRDefault="005F31FF" w:rsidP="002C4887">
            <w:pPr>
              <w:pStyle w:val="Standaard-Tabellen"/>
              <w:rPr>
                <w:rFonts w:eastAsia="Calibri"/>
                <w:color w:val="000000"/>
              </w:rPr>
            </w:pPr>
            <w:r>
              <w:rPr>
                <w:rFonts w:eastAsia="Calibri"/>
                <w:color w:val="000000"/>
              </w:rPr>
              <w:t>no</w:t>
            </w:r>
          </w:p>
        </w:tc>
        <w:tc>
          <w:tcPr>
            <w:tcW w:w="304" w:type="pct"/>
            <w:shd w:val="clear" w:color="auto" w:fill="auto"/>
            <w:vAlign w:val="center"/>
          </w:tcPr>
          <w:p w14:paraId="78550A79" w14:textId="77777777" w:rsidR="002C4887" w:rsidRPr="00FD2055" w:rsidRDefault="005F31FF" w:rsidP="002C4887">
            <w:pPr>
              <w:pStyle w:val="Standaard-Tabellen"/>
              <w:rPr>
                <w:rFonts w:eastAsia="Calibri"/>
                <w:color w:val="000000"/>
              </w:rPr>
            </w:pPr>
            <w:r>
              <w:rPr>
                <w:rFonts w:eastAsia="Calibri"/>
                <w:color w:val="000000"/>
              </w:rPr>
              <w:t>yes</w:t>
            </w:r>
          </w:p>
        </w:tc>
        <w:tc>
          <w:tcPr>
            <w:tcW w:w="303" w:type="pct"/>
            <w:shd w:val="clear" w:color="auto" w:fill="auto"/>
            <w:vAlign w:val="center"/>
          </w:tcPr>
          <w:p w14:paraId="717FC249" w14:textId="77777777" w:rsidR="002C4887" w:rsidRPr="00FD2055" w:rsidRDefault="005F31FF" w:rsidP="002C4887">
            <w:pPr>
              <w:pStyle w:val="Standaard-Tabellen"/>
              <w:rPr>
                <w:rFonts w:eastAsia="Calibri"/>
                <w:color w:val="000000"/>
              </w:rPr>
            </w:pPr>
            <w:r>
              <w:rPr>
                <w:rFonts w:eastAsia="Calibri"/>
                <w:color w:val="000000"/>
              </w:rPr>
              <w:t>no</w:t>
            </w:r>
          </w:p>
        </w:tc>
        <w:tc>
          <w:tcPr>
            <w:tcW w:w="304" w:type="pct"/>
          </w:tcPr>
          <w:p w14:paraId="4D4D4DF3" w14:textId="77777777" w:rsidR="002C4887" w:rsidRPr="00FD2055" w:rsidRDefault="005F31FF" w:rsidP="002C4887">
            <w:pPr>
              <w:pStyle w:val="Standaard-Tabellen"/>
              <w:rPr>
                <w:rFonts w:eastAsia="Calibri"/>
                <w:color w:val="000000"/>
              </w:rPr>
            </w:pPr>
            <w:r>
              <w:rPr>
                <w:rFonts w:eastAsia="Calibri"/>
                <w:color w:val="000000"/>
              </w:rPr>
              <w:t>no</w:t>
            </w:r>
          </w:p>
        </w:tc>
        <w:tc>
          <w:tcPr>
            <w:tcW w:w="602" w:type="pct"/>
          </w:tcPr>
          <w:p w14:paraId="29B43E9E" w14:textId="77777777" w:rsidR="002C4887" w:rsidRPr="00FD2055" w:rsidRDefault="005F31FF" w:rsidP="002C4887">
            <w:pPr>
              <w:pStyle w:val="Standaard-Tabellen"/>
              <w:rPr>
                <w:rFonts w:eastAsia="Calibri"/>
                <w:color w:val="000000"/>
              </w:rPr>
            </w:pPr>
            <w:r>
              <w:rPr>
                <w:rFonts w:eastAsia="Calibri"/>
                <w:color w:val="000000"/>
              </w:rPr>
              <w:t>no</w:t>
            </w:r>
          </w:p>
        </w:tc>
        <w:tc>
          <w:tcPr>
            <w:tcW w:w="607" w:type="pct"/>
            <w:shd w:val="clear" w:color="auto" w:fill="auto"/>
            <w:tcMar>
              <w:top w:w="57" w:type="dxa"/>
              <w:left w:w="70" w:type="dxa"/>
              <w:bottom w:w="57" w:type="dxa"/>
              <w:right w:w="70" w:type="dxa"/>
            </w:tcMar>
            <w:vAlign w:val="center"/>
          </w:tcPr>
          <w:p w14:paraId="02D2F6FD" w14:textId="77777777" w:rsidR="002C4887" w:rsidRPr="00FD2055" w:rsidRDefault="005F31FF" w:rsidP="002C4887">
            <w:pPr>
              <w:pStyle w:val="Standaard-Tabellen"/>
              <w:rPr>
                <w:rFonts w:eastAsia="Calibri"/>
                <w:color w:val="000000"/>
              </w:rPr>
            </w:pPr>
            <w:r>
              <w:rPr>
                <w:rFonts w:eastAsia="Calibri"/>
                <w:color w:val="000000"/>
              </w:rPr>
              <w:t>no</w:t>
            </w:r>
          </w:p>
        </w:tc>
      </w:tr>
      <w:tr w:rsidR="002C4887" w:rsidRPr="00FD2055" w14:paraId="027F7962" w14:textId="77777777" w:rsidTr="00140213">
        <w:trPr>
          <w:tblHeader/>
        </w:trPr>
        <w:tc>
          <w:tcPr>
            <w:tcW w:w="681" w:type="pct"/>
            <w:shd w:val="clear" w:color="auto" w:fill="auto"/>
            <w:tcMar>
              <w:top w:w="57" w:type="dxa"/>
              <w:left w:w="70" w:type="dxa"/>
              <w:bottom w:w="57" w:type="dxa"/>
              <w:right w:w="70" w:type="dxa"/>
            </w:tcMar>
            <w:vAlign w:val="center"/>
          </w:tcPr>
          <w:p w14:paraId="0022213F" w14:textId="77777777" w:rsidR="002C4887" w:rsidRPr="00FD2055" w:rsidRDefault="002C4887" w:rsidP="005F31FF">
            <w:pPr>
              <w:pStyle w:val="Standaard-Tabellen"/>
              <w:rPr>
                <w:rFonts w:eastAsia="Calibri"/>
                <w:color w:val="000000"/>
              </w:rPr>
            </w:pPr>
            <w:r w:rsidRPr="00FD2055">
              <w:rPr>
                <w:rFonts w:eastAsia="Calibri"/>
                <w:color w:val="000000"/>
              </w:rPr>
              <w:t xml:space="preserve">Scenario </w:t>
            </w:r>
            <w:r w:rsidR="005F31FF">
              <w:rPr>
                <w:rFonts w:eastAsia="Calibri"/>
                <w:color w:val="000000"/>
              </w:rPr>
              <w:t>2</w:t>
            </w:r>
          </w:p>
        </w:tc>
        <w:tc>
          <w:tcPr>
            <w:tcW w:w="455" w:type="pct"/>
            <w:shd w:val="clear" w:color="auto" w:fill="auto"/>
            <w:tcMar>
              <w:top w:w="57" w:type="dxa"/>
              <w:left w:w="70" w:type="dxa"/>
              <w:bottom w:w="57" w:type="dxa"/>
              <w:right w:w="70" w:type="dxa"/>
            </w:tcMar>
            <w:vAlign w:val="center"/>
          </w:tcPr>
          <w:p w14:paraId="386230A6" w14:textId="77777777" w:rsidR="002C4887" w:rsidRPr="00FD2055" w:rsidRDefault="005F31FF" w:rsidP="002C4887">
            <w:pPr>
              <w:pStyle w:val="Standaard-Tabellen"/>
              <w:rPr>
                <w:rFonts w:eastAsia="Calibri"/>
                <w:color w:val="000000"/>
              </w:rPr>
            </w:pPr>
            <w:r>
              <w:rPr>
                <w:rFonts w:eastAsia="Calibri"/>
                <w:color w:val="000000"/>
              </w:rPr>
              <w:t>yes</w:t>
            </w:r>
          </w:p>
        </w:tc>
        <w:tc>
          <w:tcPr>
            <w:tcW w:w="682" w:type="pct"/>
            <w:shd w:val="clear" w:color="auto" w:fill="auto"/>
            <w:tcMar>
              <w:top w:w="57" w:type="dxa"/>
              <w:left w:w="70" w:type="dxa"/>
              <w:bottom w:w="57" w:type="dxa"/>
              <w:right w:w="70" w:type="dxa"/>
            </w:tcMar>
            <w:vAlign w:val="center"/>
          </w:tcPr>
          <w:p w14:paraId="29F12414" w14:textId="73D10584" w:rsidR="002C4887" w:rsidRPr="00FD2055" w:rsidRDefault="00924507" w:rsidP="002C4887">
            <w:pPr>
              <w:pStyle w:val="Standaard-Tabellen"/>
              <w:rPr>
                <w:rFonts w:eastAsia="Calibri"/>
                <w:color w:val="000000"/>
              </w:rPr>
            </w:pPr>
            <w:r>
              <w:rPr>
                <w:rFonts w:eastAsia="Calibri"/>
                <w:color w:val="000000"/>
              </w:rPr>
              <w:t>Y</w:t>
            </w:r>
            <w:r w:rsidR="005F31FF">
              <w:rPr>
                <w:rFonts w:eastAsia="Calibri"/>
                <w:color w:val="000000"/>
              </w:rPr>
              <w:t>es</w:t>
            </w:r>
          </w:p>
        </w:tc>
        <w:tc>
          <w:tcPr>
            <w:tcW w:w="455" w:type="pct"/>
            <w:shd w:val="clear" w:color="auto" w:fill="auto"/>
            <w:tcMar>
              <w:top w:w="57" w:type="dxa"/>
              <w:left w:w="70" w:type="dxa"/>
              <w:bottom w:w="57" w:type="dxa"/>
              <w:right w:w="70" w:type="dxa"/>
            </w:tcMar>
            <w:vAlign w:val="center"/>
          </w:tcPr>
          <w:p w14:paraId="2301D7FA" w14:textId="77777777" w:rsidR="002C4887" w:rsidRPr="00FD2055" w:rsidRDefault="005F31FF" w:rsidP="002C4887">
            <w:pPr>
              <w:pStyle w:val="Standaard-Tabellen"/>
              <w:rPr>
                <w:rFonts w:eastAsia="Calibri"/>
                <w:color w:val="000000"/>
              </w:rPr>
            </w:pPr>
            <w:r>
              <w:rPr>
                <w:rFonts w:eastAsia="Calibri"/>
                <w:color w:val="000000"/>
              </w:rPr>
              <w:t>no</w:t>
            </w:r>
          </w:p>
        </w:tc>
        <w:tc>
          <w:tcPr>
            <w:tcW w:w="606" w:type="pct"/>
            <w:shd w:val="clear" w:color="auto" w:fill="auto"/>
            <w:vAlign w:val="center"/>
          </w:tcPr>
          <w:p w14:paraId="18C75AF4" w14:textId="77777777" w:rsidR="002C4887" w:rsidRPr="00FD2055" w:rsidRDefault="005F31FF" w:rsidP="002C4887">
            <w:pPr>
              <w:pStyle w:val="Standaard-Tabellen"/>
              <w:rPr>
                <w:rFonts w:eastAsia="Calibri"/>
                <w:color w:val="000000"/>
              </w:rPr>
            </w:pPr>
            <w:r>
              <w:rPr>
                <w:rFonts w:eastAsia="Calibri"/>
                <w:color w:val="000000"/>
              </w:rPr>
              <w:t>no</w:t>
            </w:r>
          </w:p>
        </w:tc>
        <w:tc>
          <w:tcPr>
            <w:tcW w:w="304" w:type="pct"/>
            <w:shd w:val="clear" w:color="auto" w:fill="auto"/>
            <w:vAlign w:val="center"/>
          </w:tcPr>
          <w:p w14:paraId="32F900E8" w14:textId="77777777" w:rsidR="002C4887" w:rsidRPr="00FD2055" w:rsidRDefault="005F31FF" w:rsidP="002C4887">
            <w:pPr>
              <w:pStyle w:val="Standaard-Tabellen"/>
              <w:rPr>
                <w:rFonts w:eastAsia="Calibri"/>
                <w:color w:val="000000"/>
              </w:rPr>
            </w:pPr>
            <w:r>
              <w:rPr>
                <w:rFonts w:eastAsia="Calibri"/>
                <w:color w:val="000000"/>
              </w:rPr>
              <w:t>no</w:t>
            </w:r>
          </w:p>
        </w:tc>
        <w:tc>
          <w:tcPr>
            <w:tcW w:w="303" w:type="pct"/>
            <w:shd w:val="clear" w:color="auto" w:fill="auto"/>
            <w:vAlign w:val="center"/>
          </w:tcPr>
          <w:p w14:paraId="15A49BF3" w14:textId="77777777" w:rsidR="002C4887" w:rsidRPr="00FD2055" w:rsidRDefault="005F31FF" w:rsidP="002C4887">
            <w:pPr>
              <w:pStyle w:val="Standaard-Tabellen"/>
              <w:rPr>
                <w:rFonts w:eastAsia="Calibri"/>
                <w:color w:val="000000"/>
              </w:rPr>
            </w:pPr>
            <w:r>
              <w:rPr>
                <w:rFonts w:eastAsia="Calibri"/>
                <w:color w:val="000000"/>
              </w:rPr>
              <w:t>no</w:t>
            </w:r>
          </w:p>
        </w:tc>
        <w:tc>
          <w:tcPr>
            <w:tcW w:w="304" w:type="pct"/>
          </w:tcPr>
          <w:p w14:paraId="66FF80AF" w14:textId="77777777" w:rsidR="002C4887" w:rsidRPr="00FD2055" w:rsidRDefault="005F31FF" w:rsidP="002C4887">
            <w:pPr>
              <w:pStyle w:val="Standaard-Tabellen"/>
              <w:rPr>
                <w:rFonts w:eastAsia="Calibri"/>
                <w:color w:val="000000"/>
              </w:rPr>
            </w:pPr>
            <w:r>
              <w:rPr>
                <w:rFonts w:eastAsia="Calibri"/>
                <w:color w:val="000000"/>
              </w:rPr>
              <w:t>no</w:t>
            </w:r>
          </w:p>
        </w:tc>
        <w:tc>
          <w:tcPr>
            <w:tcW w:w="602" w:type="pct"/>
          </w:tcPr>
          <w:p w14:paraId="72F89762" w14:textId="77777777" w:rsidR="002C4887" w:rsidRPr="00FD2055" w:rsidRDefault="005F31FF" w:rsidP="002C4887">
            <w:pPr>
              <w:pStyle w:val="Standaard-Tabellen"/>
              <w:rPr>
                <w:rFonts w:eastAsia="Calibri"/>
                <w:color w:val="000000"/>
              </w:rPr>
            </w:pPr>
            <w:r>
              <w:rPr>
                <w:rFonts w:eastAsia="Calibri"/>
                <w:color w:val="000000"/>
              </w:rPr>
              <w:t>no</w:t>
            </w:r>
          </w:p>
        </w:tc>
        <w:tc>
          <w:tcPr>
            <w:tcW w:w="607" w:type="pct"/>
            <w:shd w:val="clear" w:color="auto" w:fill="auto"/>
            <w:tcMar>
              <w:top w:w="57" w:type="dxa"/>
              <w:left w:w="70" w:type="dxa"/>
              <w:bottom w:w="57" w:type="dxa"/>
              <w:right w:w="70" w:type="dxa"/>
            </w:tcMar>
            <w:vAlign w:val="center"/>
          </w:tcPr>
          <w:p w14:paraId="45D47453" w14:textId="77777777" w:rsidR="002C4887" w:rsidRPr="00FD2055" w:rsidRDefault="005F31FF" w:rsidP="002C4887">
            <w:pPr>
              <w:pStyle w:val="Standaard-Tabellen"/>
              <w:rPr>
                <w:rFonts w:eastAsia="Calibri"/>
                <w:color w:val="000000"/>
              </w:rPr>
            </w:pPr>
            <w:r>
              <w:rPr>
                <w:rFonts w:eastAsia="Calibri"/>
                <w:color w:val="000000"/>
              </w:rPr>
              <w:t>no</w:t>
            </w:r>
          </w:p>
        </w:tc>
      </w:tr>
    </w:tbl>
    <w:p w14:paraId="6F606749" w14:textId="77777777" w:rsidR="002C4887" w:rsidRPr="00FD2055" w:rsidRDefault="002C4887" w:rsidP="00140213">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505"/>
        <w:gridCol w:w="1273"/>
        <w:gridCol w:w="1153"/>
      </w:tblGrid>
      <w:tr w:rsidR="002C4887" w:rsidRPr="00140213" w14:paraId="76428762" w14:textId="77777777" w:rsidTr="00873FD6">
        <w:trPr>
          <w:trHeight w:val="313"/>
        </w:trPr>
        <w:tc>
          <w:tcPr>
            <w:tcW w:w="5000" w:type="pct"/>
            <w:gridSpan w:val="4"/>
            <w:shd w:val="clear" w:color="auto" w:fill="FFFFCC"/>
            <w:vAlign w:val="center"/>
          </w:tcPr>
          <w:p w14:paraId="60674EAF" w14:textId="77777777" w:rsidR="002C4887" w:rsidRPr="00140213" w:rsidRDefault="002C4887" w:rsidP="00140213">
            <w:pPr>
              <w:pStyle w:val="Standaard-Tabellen"/>
              <w:jc w:val="center"/>
              <w:rPr>
                <w:rFonts w:eastAsia="Calibri"/>
                <w:b/>
              </w:rPr>
            </w:pPr>
            <w:r w:rsidRPr="00140213">
              <w:rPr>
                <w:rFonts w:eastAsia="Calibri"/>
                <w:b/>
              </w:rPr>
              <w:t>Input parameters (only set values) for calculating the fate and distribution in the environment</w:t>
            </w:r>
          </w:p>
        </w:tc>
      </w:tr>
      <w:tr w:rsidR="002C4887" w:rsidRPr="00140213" w14:paraId="42F4F903" w14:textId="77777777" w:rsidTr="00873FD6">
        <w:trPr>
          <w:trHeight w:val="313"/>
        </w:trPr>
        <w:tc>
          <w:tcPr>
            <w:tcW w:w="2378" w:type="pct"/>
            <w:shd w:val="clear" w:color="auto" w:fill="BFBFBF" w:themeFill="background1" w:themeFillShade="BF"/>
            <w:vAlign w:val="center"/>
          </w:tcPr>
          <w:p w14:paraId="7150A572" w14:textId="77777777" w:rsidR="002C4887" w:rsidRPr="00140213" w:rsidRDefault="002C4887" w:rsidP="00140213">
            <w:pPr>
              <w:pStyle w:val="Standaard-Tabellen"/>
              <w:rPr>
                <w:rFonts w:eastAsia="Calibri"/>
                <w:b/>
              </w:rPr>
            </w:pPr>
            <w:r w:rsidRPr="00140213">
              <w:rPr>
                <w:rFonts w:eastAsia="Calibri"/>
                <w:b/>
              </w:rPr>
              <w:t xml:space="preserve">Input </w:t>
            </w:r>
          </w:p>
        </w:tc>
        <w:tc>
          <w:tcPr>
            <w:tcW w:w="1332" w:type="pct"/>
            <w:shd w:val="clear" w:color="auto" w:fill="BFBFBF" w:themeFill="background1" w:themeFillShade="BF"/>
            <w:vAlign w:val="center"/>
          </w:tcPr>
          <w:p w14:paraId="3DE80784" w14:textId="77777777" w:rsidR="002C4887" w:rsidRPr="00140213" w:rsidRDefault="002C4887" w:rsidP="00140213">
            <w:pPr>
              <w:pStyle w:val="Standaard-Tabellen"/>
              <w:rPr>
                <w:rFonts w:eastAsia="Calibri"/>
                <w:b/>
              </w:rPr>
            </w:pPr>
            <w:r w:rsidRPr="00140213">
              <w:rPr>
                <w:rFonts w:eastAsia="Calibri"/>
                <w:b/>
              </w:rPr>
              <w:t xml:space="preserve">Value </w:t>
            </w:r>
          </w:p>
        </w:tc>
        <w:tc>
          <w:tcPr>
            <w:tcW w:w="677" w:type="pct"/>
            <w:shd w:val="clear" w:color="auto" w:fill="BFBFBF" w:themeFill="background1" w:themeFillShade="BF"/>
            <w:vAlign w:val="center"/>
          </w:tcPr>
          <w:p w14:paraId="09752B99" w14:textId="77777777" w:rsidR="002C4887" w:rsidRPr="00140213" w:rsidRDefault="002C4887" w:rsidP="00140213">
            <w:pPr>
              <w:pStyle w:val="Standaard-Tabellen"/>
              <w:rPr>
                <w:rFonts w:eastAsia="Calibri"/>
                <w:b/>
              </w:rPr>
            </w:pPr>
            <w:r w:rsidRPr="00140213">
              <w:rPr>
                <w:rFonts w:eastAsia="Calibri"/>
                <w:b/>
              </w:rPr>
              <w:t>Unit</w:t>
            </w:r>
          </w:p>
        </w:tc>
        <w:tc>
          <w:tcPr>
            <w:tcW w:w="613" w:type="pct"/>
            <w:shd w:val="clear" w:color="auto" w:fill="BFBFBF" w:themeFill="background1" w:themeFillShade="BF"/>
            <w:vAlign w:val="center"/>
          </w:tcPr>
          <w:p w14:paraId="6F163B7C" w14:textId="77777777" w:rsidR="002C4887" w:rsidRPr="00140213" w:rsidRDefault="002C4887" w:rsidP="00140213">
            <w:pPr>
              <w:pStyle w:val="Standaard-Tabellen"/>
              <w:rPr>
                <w:rFonts w:eastAsia="Calibri"/>
                <w:b/>
              </w:rPr>
            </w:pPr>
            <w:r w:rsidRPr="00140213">
              <w:rPr>
                <w:rFonts w:eastAsia="Calibri"/>
                <w:b/>
              </w:rPr>
              <w:t>Remarks</w:t>
            </w:r>
          </w:p>
        </w:tc>
      </w:tr>
      <w:tr w:rsidR="002C4887" w:rsidRPr="00FD2055" w14:paraId="078587A9" w14:textId="77777777" w:rsidTr="00873FD6">
        <w:trPr>
          <w:trHeight w:val="75"/>
        </w:trPr>
        <w:tc>
          <w:tcPr>
            <w:tcW w:w="2378" w:type="pct"/>
            <w:shd w:val="clear" w:color="auto" w:fill="FFFFFF"/>
            <w:vAlign w:val="center"/>
          </w:tcPr>
          <w:p w14:paraId="4B01B065" w14:textId="77777777" w:rsidR="002C4887" w:rsidRPr="00FD2055" w:rsidRDefault="002C4887" w:rsidP="00140213">
            <w:pPr>
              <w:pStyle w:val="Standaard-Tabellen"/>
              <w:rPr>
                <w:rFonts w:eastAsia="Calibri"/>
              </w:rPr>
            </w:pPr>
            <w:r w:rsidRPr="00FD2055">
              <w:rPr>
                <w:rFonts w:eastAsia="Calibri"/>
              </w:rPr>
              <w:t>Molecular weight</w:t>
            </w:r>
          </w:p>
        </w:tc>
        <w:tc>
          <w:tcPr>
            <w:tcW w:w="1332" w:type="pct"/>
            <w:shd w:val="clear" w:color="auto" w:fill="FFFFFF"/>
            <w:vAlign w:val="center"/>
          </w:tcPr>
          <w:p w14:paraId="1AD8F766" w14:textId="77777777" w:rsidR="002C4887" w:rsidRPr="00FD2055" w:rsidRDefault="005F31FF" w:rsidP="00140213">
            <w:pPr>
              <w:pStyle w:val="Standaard-Tabellen"/>
              <w:rPr>
                <w:rFonts w:eastAsia="Calibri"/>
              </w:rPr>
            </w:pPr>
            <w:r>
              <w:rPr>
                <w:rFonts w:eastAsia="Calibri"/>
              </w:rPr>
              <w:t>215.29</w:t>
            </w:r>
          </w:p>
        </w:tc>
        <w:tc>
          <w:tcPr>
            <w:tcW w:w="677" w:type="pct"/>
            <w:shd w:val="clear" w:color="auto" w:fill="FFFFFF"/>
            <w:vAlign w:val="center"/>
          </w:tcPr>
          <w:p w14:paraId="1097BC54" w14:textId="77777777" w:rsidR="002C4887" w:rsidRPr="00FD2055" w:rsidRDefault="002C4887" w:rsidP="00140213">
            <w:pPr>
              <w:pStyle w:val="Standaard-Tabellen"/>
              <w:rPr>
                <w:rFonts w:eastAsia="Calibri"/>
              </w:rPr>
            </w:pPr>
          </w:p>
        </w:tc>
        <w:tc>
          <w:tcPr>
            <w:tcW w:w="613" w:type="pct"/>
            <w:shd w:val="clear" w:color="auto" w:fill="FFFFFF"/>
            <w:vAlign w:val="center"/>
          </w:tcPr>
          <w:p w14:paraId="2820A5CE" w14:textId="77777777" w:rsidR="002C4887" w:rsidRPr="00FD2055" w:rsidRDefault="002C4887" w:rsidP="00140213">
            <w:pPr>
              <w:pStyle w:val="Standaard-Tabellen"/>
              <w:rPr>
                <w:rFonts w:eastAsia="Calibri"/>
              </w:rPr>
            </w:pPr>
          </w:p>
        </w:tc>
      </w:tr>
      <w:tr w:rsidR="002C4887" w:rsidRPr="00FD2055" w14:paraId="57F06EA4" w14:textId="77777777" w:rsidTr="00873FD6">
        <w:trPr>
          <w:trHeight w:val="75"/>
        </w:trPr>
        <w:tc>
          <w:tcPr>
            <w:tcW w:w="2378" w:type="pct"/>
            <w:shd w:val="clear" w:color="auto" w:fill="FFFFFF"/>
            <w:vAlign w:val="center"/>
          </w:tcPr>
          <w:p w14:paraId="28B21E3C" w14:textId="77777777" w:rsidR="002C4887" w:rsidRPr="00FD2055" w:rsidRDefault="002C4887" w:rsidP="00140213">
            <w:pPr>
              <w:pStyle w:val="Standaard-Tabellen"/>
              <w:rPr>
                <w:rFonts w:eastAsia="Calibri"/>
              </w:rPr>
            </w:pPr>
            <w:r w:rsidRPr="00FD2055">
              <w:rPr>
                <w:rFonts w:eastAsia="Calibri"/>
              </w:rPr>
              <w:t>Melting point</w:t>
            </w:r>
          </w:p>
        </w:tc>
        <w:tc>
          <w:tcPr>
            <w:tcW w:w="1332" w:type="pct"/>
            <w:shd w:val="clear" w:color="auto" w:fill="FFFFFF"/>
            <w:vAlign w:val="center"/>
          </w:tcPr>
          <w:p w14:paraId="543EB458" w14:textId="77777777" w:rsidR="002C4887" w:rsidRPr="00FD2055" w:rsidRDefault="005F31FF" w:rsidP="00140213">
            <w:pPr>
              <w:pStyle w:val="Standaard-Tabellen"/>
              <w:rPr>
                <w:rFonts w:eastAsia="Calibri"/>
              </w:rPr>
            </w:pPr>
            <w:r>
              <w:rPr>
                <w:rFonts w:eastAsia="Calibri"/>
              </w:rPr>
              <w:t>-90</w:t>
            </w:r>
          </w:p>
        </w:tc>
        <w:tc>
          <w:tcPr>
            <w:tcW w:w="677" w:type="pct"/>
            <w:shd w:val="clear" w:color="auto" w:fill="FFFFFF"/>
            <w:vAlign w:val="center"/>
          </w:tcPr>
          <w:p w14:paraId="049977ED" w14:textId="77777777" w:rsidR="002C4887" w:rsidRPr="00FD2055" w:rsidRDefault="002C4887" w:rsidP="00140213">
            <w:pPr>
              <w:pStyle w:val="Standaard-Tabellen"/>
              <w:rPr>
                <w:rFonts w:eastAsia="Calibri"/>
              </w:rPr>
            </w:pPr>
            <w:r w:rsidRPr="00FD2055">
              <w:rPr>
                <w:rFonts w:eastAsia="Calibri"/>
              </w:rPr>
              <w:t>°C</w:t>
            </w:r>
          </w:p>
        </w:tc>
        <w:tc>
          <w:tcPr>
            <w:tcW w:w="613" w:type="pct"/>
            <w:shd w:val="clear" w:color="auto" w:fill="FFFFFF"/>
            <w:vAlign w:val="center"/>
          </w:tcPr>
          <w:p w14:paraId="0E9A7E6A" w14:textId="77777777" w:rsidR="002C4887" w:rsidRPr="00FD2055" w:rsidRDefault="002C4887" w:rsidP="00140213">
            <w:pPr>
              <w:pStyle w:val="Standaard-Tabellen"/>
              <w:rPr>
                <w:rFonts w:eastAsia="Calibri"/>
              </w:rPr>
            </w:pPr>
          </w:p>
        </w:tc>
      </w:tr>
      <w:tr w:rsidR="002C4887" w:rsidRPr="00FD2055" w14:paraId="372D4102" w14:textId="77777777" w:rsidTr="00873FD6">
        <w:trPr>
          <w:trHeight w:val="75"/>
        </w:trPr>
        <w:tc>
          <w:tcPr>
            <w:tcW w:w="2378" w:type="pct"/>
            <w:shd w:val="clear" w:color="auto" w:fill="FFFFFF"/>
            <w:vAlign w:val="center"/>
          </w:tcPr>
          <w:p w14:paraId="3DD16404" w14:textId="77777777" w:rsidR="002C4887" w:rsidRPr="00FD2055" w:rsidRDefault="002C4887" w:rsidP="00140213">
            <w:pPr>
              <w:pStyle w:val="Standaard-Tabellen"/>
              <w:rPr>
                <w:rFonts w:eastAsia="Calibri"/>
              </w:rPr>
            </w:pPr>
            <w:r w:rsidRPr="00FD2055">
              <w:rPr>
                <w:rFonts w:eastAsia="Calibri"/>
              </w:rPr>
              <w:t>Boiling point</w:t>
            </w:r>
          </w:p>
        </w:tc>
        <w:tc>
          <w:tcPr>
            <w:tcW w:w="1332" w:type="pct"/>
            <w:shd w:val="clear" w:color="auto" w:fill="FFFFFF"/>
            <w:vAlign w:val="center"/>
          </w:tcPr>
          <w:p w14:paraId="24F6D083" w14:textId="77777777" w:rsidR="002C4887" w:rsidRPr="00FD2055" w:rsidRDefault="005F31FF" w:rsidP="00140213">
            <w:pPr>
              <w:pStyle w:val="Standaard-Tabellen"/>
              <w:rPr>
                <w:rFonts w:eastAsia="Calibri"/>
              </w:rPr>
            </w:pPr>
            <w:r>
              <w:rPr>
                <w:rFonts w:eastAsia="Calibri"/>
              </w:rPr>
              <w:t>300</w:t>
            </w:r>
          </w:p>
        </w:tc>
        <w:tc>
          <w:tcPr>
            <w:tcW w:w="677" w:type="pct"/>
            <w:shd w:val="clear" w:color="auto" w:fill="FFFFFF"/>
            <w:vAlign w:val="center"/>
          </w:tcPr>
          <w:p w14:paraId="2BA9EA03" w14:textId="77777777" w:rsidR="002C4887" w:rsidRPr="00FD2055" w:rsidRDefault="002C4887" w:rsidP="00140213">
            <w:pPr>
              <w:pStyle w:val="Standaard-Tabellen"/>
              <w:rPr>
                <w:rFonts w:eastAsia="Calibri"/>
              </w:rPr>
            </w:pPr>
            <w:r w:rsidRPr="00FD2055">
              <w:rPr>
                <w:rFonts w:eastAsia="Calibri"/>
              </w:rPr>
              <w:t>°C</w:t>
            </w:r>
          </w:p>
        </w:tc>
        <w:tc>
          <w:tcPr>
            <w:tcW w:w="613" w:type="pct"/>
            <w:shd w:val="clear" w:color="auto" w:fill="FFFFFF"/>
            <w:vAlign w:val="center"/>
          </w:tcPr>
          <w:p w14:paraId="30834650" w14:textId="77777777" w:rsidR="002C4887" w:rsidRPr="00FD2055" w:rsidRDefault="002C4887" w:rsidP="00140213">
            <w:pPr>
              <w:pStyle w:val="Standaard-Tabellen"/>
              <w:rPr>
                <w:rFonts w:eastAsia="Calibri"/>
              </w:rPr>
            </w:pPr>
          </w:p>
        </w:tc>
      </w:tr>
      <w:tr w:rsidR="002C4887" w:rsidRPr="00FD2055" w14:paraId="781ACBB9" w14:textId="77777777" w:rsidTr="00873FD6">
        <w:trPr>
          <w:trHeight w:val="75"/>
        </w:trPr>
        <w:tc>
          <w:tcPr>
            <w:tcW w:w="2378" w:type="pct"/>
            <w:shd w:val="clear" w:color="auto" w:fill="FFFFFF"/>
            <w:vAlign w:val="center"/>
          </w:tcPr>
          <w:p w14:paraId="5E23AA50" w14:textId="77777777" w:rsidR="002C4887" w:rsidRPr="00FD2055" w:rsidRDefault="002C4887" w:rsidP="005F31FF">
            <w:pPr>
              <w:pStyle w:val="Standaard-Tabellen"/>
              <w:rPr>
                <w:rFonts w:eastAsia="Calibri"/>
              </w:rPr>
            </w:pPr>
            <w:r w:rsidRPr="00FD2055">
              <w:rPr>
                <w:rFonts w:eastAsia="Calibri"/>
              </w:rPr>
              <w:t xml:space="preserve">Vapour pressure (at </w:t>
            </w:r>
            <w:r w:rsidR="005F31FF">
              <w:rPr>
                <w:rFonts w:eastAsia="Calibri"/>
              </w:rPr>
              <w:t>20 °</w:t>
            </w:r>
            <w:r w:rsidRPr="00FD2055">
              <w:rPr>
                <w:rFonts w:eastAsia="Calibri"/>
              </w:rPr>
              <w:t>C)</w:t>
            </w:r>
          </w:p>
        </w:tc>
        <w:tc>
          <w:tcPr>
            <w:tcW w:w="1332" w:type="pct"/>
            <w:shd w:val="clear" w:color="auto" w:fill="FFFFFF"/>
            <w:vAlign w:val="center"/>
          </w:tcPr>
          <w:p w14:paraId="1949AEEF" w14:textId="77777777" w:rsidR="002C4887" w:rsidRPr="00FD2055" w:rsidRDefault="005F31FF" w:rsidP="00140213">
            <w:pPr>
              <w:pStyle w:val="Standaard-Tabellen"/>
              <w:rPr>
                <w:rFonts w:eastAsia="Calibri"/>
              </w:rPr>
            </w:pPr>
            <w:r>
              <w:rPr>
                <w:rFonts w:eastAsia="Calibri"/>
              </w:rPr>
              <w:t>0.15</w:t>
            </w:r>
          </w:p>
        </w:tc>
        <w:tc>
          <w:tcPr>
            <w:tcW w:w="677" w:type="pct"/>
            <w:shd w:val="clear" w:color="auto" w:fill="FFFFFF"/>
            <w:vAlign w:val="center"/>
          </w:tcPr>
          <w:p w14:paraId="3AC8C192" w14:textId="77777777" w:rsidR="002C4887" w:rsidRPr="00FD2055" w:rsidRDefault="002C4887" w:rsidP="00140213">
            <w:pPr>
              <w:pStyle w:val="Standaard-Tabellen"/>
              <w:rPr>
                <w:rFonts w:eastAsia="Calibri"/>
              </w:rPr>
            </w:pPr>
            <w:r w:rsidRPr="00FD2055">
              <w:rPr>
                <w:rFonts w:eastAsia="Calibri"/>
              </w:rPr>
              <w:t>Pa</w:t>
            </w:r>
          </w:p>
        </w:tc>
        <w:tc>
          <w:tcPr>
            <w:tcW w:w="613" w:type="pct"/>
            <w:shd w:val="clear" w:color="auto" w:fill="FFFFFF"/>
            <w:vAlign w:val="center"/>
          </w:tcPr>
          <w:p w14:paraId="42B6C11A" w14:textId="77777777" w:rsidR="002C4887" w:rsidRPr="00FD2055" w:rsidRDefault="002C4887" w:rsidP="00140213">
            <w:pPr>
              <w:pStyle w:val="Standaard-Tabellen"/>
              <w:rPr>
                <w:rFonts w:eastAsia="Calibri"/>
              </w:rPr>
            </w:pPr>
          </w:p>
        </w:tc>
      </w:tr>
      <w:tr w:rsidR="002C4887" w:rsidRPr="00FD2055" w14:paraId="0DA20E78" w14:textId="77777777" w:rsidTr="00873FD6">
        <w:trPr>
          <w:trHeight w:val="75"/>
        </w:trPr>
        <w:tc>
          <w:tcPr>
            <w:tcW w:w="2378" w:type="pct"/>
            <w:shd w:val="clear" w:color="auto" w:fill="FFFFFF"/>
            <w:vAlign w:val="center"/>
          </w:tcPr>
          <w:p w14:paraId="37066AC6" w14:textId="77777777" w:rsidR="002C4887" w:rsidRPr="00FD2055" w:rsidRDefault="002C4887" w:rsidP="005F31FF">
            <w:pPr>
              <w:pStyle w:val="Standaard-Tabellen"/>
              <w:rPr>
                <w:rFonts w:eastAsia="Calibri"/>
              </w:rPr>
            </w:pPr>
            <w:r w:rsidRPr="00FD2055">
              <w:rPr>
                <w:rFonts w:eastAsia="Calibri"/>
              </w:rPr>
              <w:t xml:space="preserve">Water solubility (at  </w:t>
            </w:r>
            <w:r w:rsidR="005F31FF">
              <w:rPr>
                <w:rFonts w:eastAsia="Calibri"/>
              </w:rPr>
              <w:t>20 </w:t>
            </w:r>
            <w:r w:rsidRPr="00FD2055">
              <w:rPr>
                <w:rFonts w:eastAsia="Calibri"/>
              </w:rPr>
              <w:t>°C)</w:t>
            </w:r>
          </w:p>
        </w:tc>
        <w:tc>
          <w:tcPr>
            <w:tcW w:w="1332" w:type="pct"/>
            <w:shd w:val="clear" w:color="auto" w:fill="FFFFFF"/>
            <w:vAlign w:val="center"/>
          </w:tcPr>
          <w:p w14:paraId="0C3AFD6F" w14:textId="77777777" w:rsidR="002C4887" w:rsidRPr="00FD2055" w:rsidRDefault="005F31FF" w:rsidP="00140213">
            <w:pPr>
              <w:pStyle w:val="Standaard-Tabellen"/>
              <w:rPr>
                <w:rFonts w:eastAsia="Calibri"/>
              </w:rPr>
            </w:pPr>
            <w:r>
              <w:rPr>
                <w:rFonts w:eastAsia="Calibri"/>
              </w:rPr>
              <w:t>70 000</w:t>
            </w:r>
          </w:p>
        </w:tc>
        <w:tc>
          <w:tcPr>
            <w:tcW w:w="677" w:type="pct"/>
            <w:shd w:val="clear" w:color="auto" w:fill="FFFFFF"/>
            <w:vAlign w:val="center"/>
          </w:tcPr>
          <w:p w14:paraId="4E193416" w14:textId="77777777" w:rsidR="002C4887" w:rsidRPr="00FD2055" w:rsidRDefault="002C4887" w:rsidP="00140213">
            <w:pPr>
              <w:pStyle w:val="Standaard-Tabellen"/>
              <w:rPr>
                <w:rFonts w:eastAsia="Calibri"/>
              </w:rPr>
            </w:pPr>
            <w:r w:rsidRPr="00FD2055">
              <w:rPr>
                <w:rFonts w:eastAsia="Calibri"/>
              </w:rPr>
              <w:t>mg/l</w:t>
            </w:r>
          </w:p>
        </w:tc>
        <w:tc>
          <w:tcPr>
            <w:tcW w:w="613" w:type="pct"/>
            <w:shd w:val="clear" w:color="auto" w:fill="FFFFFF"/>
            <w:vAlign w:val="center"/>
          </w:tcPr>
          <w:p w14:paraId="37F002A4" w14:textId="77777777" w:rsidR="002C4887" w:rsidRPr="00FD2055" w:rsidRDefault="002C4887" w:rsidP="00140213">
            <w:pPr>
              <w:pStyle w:val="Standaard-Tabellen"/>
              <w:rPr>
                <w:rFonts w:eastAsia="Calibri"/>
              </w:rPr>
            </w:pPr>
          </w:p>
        </w:tc>
      </w:tr>
      <w:tr w:rsidR="002C4887" w:rsidRPr="00FD2055" w14:paraId="5A21FF38" w14:textId="77777777" w:rsidTr="00873FD6">
        <w:trPr>
          <w:trHeight w:val="75"/>
        </w:trPr>
        <w:tc>
          <w:tcPr>
            <w:tcW w:w="2378" w:type="pct"/>
            <w:shd w:val="clear" w:color="auto" w:fill="FFFFFF"/>
            <w:vAlign w:val="center"/>
          </w:tcPr>
          <w:p w14:paraId="1D11D09C" w14:textId="77777777" w:rsidR="002C4887" w:rsidRPr="00FD2055" w:rsidRDefault="002C4887" w:rsidP="00140213">
            <w:pPr>
              <w:pStyle w:val="Standaard-Tabellen"/>
              <w:rPr>
                <w:rFonts w:eastAsia="Calibri"/>
                <w:lang w:val="fr-BE"/>
              </w:rPr>
            </w:pPr>
            <w:r w:rsidRPr="00FD2055">
              <w:rPr>
                <w:rFonts w:eastAsia="Calibri"/>
                <w:lang w:val="fr-BE"/>
              </w:rPr>
              <w:t>Log Octanol/water partition coefficient</w:t>
            </w:r>
          </w:p>
        </w:tc>
        <w:tc>
          <w:tcPr>
            <w:tcW w:w="1332" w:type="pct"/>
            <w:shd w:val="clear" w:color="auto" w:fill="FFFFFF"/>
            <w:vAlign w:val="center"/>
          </w:tcPr>
          <w:p w14:paraId="4F7CC14B" w14:textId="77777777" w:rsidR="002C4887" w:rsidRPr="002C4887" w:rsidRDefault="005F31FF" w:rsidP="00140213">
            <w:pPr>
              <w:pStyle w:val="Standaard-Tabellen"/>
              <w:rPr>
                <w:rFonts w:eastAsia="Calibri"/>
                <w:lang w:val="fr-BE"/>
              </w:rPr>
            </w:pPr>
            <w:r>
              <w:rPr>
                <w:rFonts w:eastAsia="Calibri"/>
                <w:lang w:val="fr-BE"/>
              </w:rPr>
              <w:t>1.7</w:t>
            </w:r>
          </w:p>
        </w:tc>
        <w:tc>
          <w:tcPr>
            <w:tcW w:w="677" w:type="pct"/>
            <w:shd w:val="clear" w:color="auto" w:fill="FFFFFF"/>
            <w:vAlign w:val="center"/>
          </w:tcPr>
          <w:p w14:paraId="0010452C" w14:textId="77777777" w:rsidR="002C4887" w:rsidRPr="00FD2055" w:rsidRDefault="002C4887" w:rsidP="00140213">
            <w:pPr>
              <w:pStyle w:val="Standaard-Tabellen"/>
              <w:rPr>
                <w:rFonts w:eastAsia="Calibri"/>
              </w:rPr>
            </w:pPr>
            <w:r w:rsidRPr="00FD2055">
              <w:rPr>
                <w:rFonts w:eastAsia="Calibri"/>
                <w:lang w:val="fr-BE"/>
              </w:rPr>
              <w:t>Log 10</w:t>
            </w:r>
          </w:p>
        </w:tc>
        <w:tc>
          <w:tcPr>
            <w:tcW w:w="613" w:type="pct"/>
            <w:shd w:val="clear" w:color="auto" w:fill="FFFFFF"/>
            <w:vAlign w:val="center"/>
          </w:tcPr>
          <w:p w14:paraId="0B3A642E" w14:textId="77777777" w:rsidR="002C4887" w:rsidRPr="00FD2055" w:rsidRDefault="002C4887" w:rsidP="00140213">
            <w:pPr>
              <w:pStyle w:val="Standaard-Tabellen"/>
              <w:rPr>
                <w:rFonts w:eastAsia="Calibri"/>
              </w:rPr>
            </w:pPr>
          </w:p>
        </w:tc>
      </w:tr>
      <w:tr w:rsidR="002C4887" w:rsidRPr="00FD2055" w14:paraId="1D7B7EA1" w14:textId="77777777" w:rsidTr="00873FD6">
        <w:trPr>
          <w:trHeight w:val="75"/>
        </w:trPr>
        <w:tc>
          <w:tcPr>
            <w:tcW w:w="2378" w:type="pct"/>
            <w:shd w:val="clear" w:color="auto" w:fill="FFFFFF"/>
            <w:vAlign w:val="center"/>
          </w:tcPr>
          <w:p w14:paraId="6548EBEA" w14:textId="77777777" w:rsidR="002C4887" w:rsidRPr="00FD2055" w:rsidRDefault="002C4887" w:rsidP="00140213">
            <w:pPr>
              <w:pStyle w:val="Standaard-Tabellen"/>
              <w:rPr>
                <w:rFonts w:eastAsia="Calibri"/>
              </w:rPr>
            </w:pPr>
            <w:r w:rsidRPr="00FD2055">
              <w:rPr>
                <w:rFonts w:eastAsia="Calibri"/>
              </w:rPr>
              <w:t>Organic carbon/water partition coefficient (</w:t>
            </w:r>
            <w:proofErr w:type="spellStart"/>
            <w:r w:rsidRPr="00FD2055">
              <w:rPr>
                <w:rFonts w:eastAsia="Calibri"/>
              </w:rPr>
              <w:t>Koc</w:t>
            </w:r>
            <w:proofErr w:type="spellEnd"/>
            <w:r w:rsidRPr="00FD2055">
              <w:rPr>
                <w:rFonts w:eastAsia="Calibri"/>
              </w:rPr>
              <w:t>)</w:t>
            </w:r>
          </w:p>
        </w:tc>
        <w:tc>
          <w:tcPr>
            <w:tcW w:w="1332" w:type="pct"/>
            <w:shd w:val="clear" w:color="auto" w:fill="FFFFFF"/>
            <w:vAlign w:val="center"/>
          </w:tcPr>
          <w:p w14:paraId="398F5F34" w14:textId="77777777" w:rsidR="002C4887" w:rsidRPr="00FD2055" w:rsidRDefault="005F31FF" w:rsidP="00140213">
            <w:pPr>
              <w:pStyle w:val="Standaard-Tabellen"/>
              <w:rPr>
                <w:rFonts w:eastAsia="Calibri"/>
              </w:rPr>
            </w:pPr>
            <w:r>
              <w:rPr>
                <w:rFonts w:eastAsia="Calibri"/>
              </w:rPr>
              <w:t>475.25</w:t>
            </w:r>
          </w:p>
        </w:tc>
        <w:tc>
          <w:tcPr>
            <w:tcW w:w="677" w:type="pct"/>
            <w:shd w:val="clear" w:color="auto" w:fill="FFFFFF"/>
            <w:vAlign w:val="center"/>
          </w:tcPr>
          <w:p w14:paraId="4C4416A5" w14:textId="77777777" w:rsidR="002C4887" w:rsidRPr="00FD2055" w:rsidRDefault="002C4887" w:rsidP="00140213">
            <w:pPr>
              <w:pStyle w:val="Standaard-Tabellen"/>
              <w:rPr>
                <w:rFonts w:eastAsia="Calibri"/>
              </w:rPr>
            </w:pPr>
            <w:r w:rsidRPr="00FD2055">
              <w:rPr>
                <w:rFonts w:eastAsia="Calibri"/>
              </w:rPr>
              <w:t>l/kg</w:t>
            </w:r>
          </w:p>
        </w:tc>
        <w:tc>
          <w:tcPr>
            <w:tcW w:w="613" w:type="pct"/>
            <w:shd w:val="clear" w:color="auto" w:fill="FFFFFF"/>
            <w:vAlign w:val="center"/>
          </w:tcPr>
          <w:p w14:paraId="6B25A017" w14:textId="77777777" w:rsidR="002C4887" w:rsidRPr="00FD2055" w:rsidRDefault="002C4887" w:rsidP="00140213">
            <w:pPr>
              <w:pStyle w:val="Standaard-Tabellen"/>
              <w:rPr>
                <w:rFonts w:eastAsia="Calibri"/>
              </w:rPr>
            </w:pPr>
          </w:p>
        </w:tc>
      </w:tr>
      <w:tr w:rsidR="002C4887" w:rsidRPr="00FD2055" w14:paraId="20F4F9CD" w14:textId="77777777" w:rsidTr="00873FD6">
        <w:trPr>
          <w:trHeight w:val="93"/>
        </w:trPr>
        <w:tc>
          <w:tcPr>
            <w:tcW w:w="2378" w:type="pct"/>
            <w:shd w:val="clear" w:color="auto" w:fill="FFFFFF"/>
            <w:vAlign w:val="center"/>
          </w:tcPr>
          <w:p w14:paraId="25B5AC19" w14:textId="77777777" w:rsidR="002C4887" w:rsidRPr="00FD2055" w:rsidRDefault="002C4887" w:rsidP="005F31FF">
            <w:pPr>
              <w:pStyle w:val="Standaard-Tabellen"/>
              <w:rPr>
                <w:rFonts w:eastAsia="Calibri"/>
              </w:rPr>
            </w:pPr>
            <w:r w:rsidRPr="00FD2055">
              <w:rPr>
                <w:rFonts w:eastAsia="Calibri"/>
              </w:rPr>
              <w:t xml:space="preserve">Henry’s Law Constant (at </w:t>
            </w:r>
            <w:r w:rsidR="005F31FF">
              <w:rPr>
                <w:rFonts w:eastAsia="Calibri"/>
              </w:rPr>
              <w:t>20 °</w:t>
            </w:r>
            <w:r w:rsidRPr="00FD2055">
              <w:rPr>
                <w:rFonts w:eastAsia="Calibri"/>
              </w:rPr>
              <w:t>C</w:t>
            </w:r>
            <w:r w:rsidR="005F31FF">
              <w:rPr>
                <w:rFonts w:eastAsia="Calibri"/>
              </w:rPr>
              <w:t>)</w:t>
            </w:r>
          </w:p>
        </w:tc>
        <w:tc>
          <w:tcPr>
            <w:tcW w:w="1332" w:type="pct"/>
            <w:shd w:val="clear" w:color="auto" w:fill="FFFFFF"/>
            <w:vAlign w:val="center"/>
          </w:tcPr>
          <w:p w14:paraId="45980B1B" w14:textId="77777777" w:rsidR="002C4887" w:rsidRPr="005F31FF" w:rsidRDefault="005F31FF" w:rsidP="00140213">
            <w:pPr>
              <w:pStyle w:val="Standaard-Tabellen"/>
              <w:rPr>
                <w:rFonts w:eastAsia="Calibri"/>
                <w:vertAlign w:val="superscript"/>
              </w:rPr>
            </w:pPr>
            <w:r>
              <w:rPr>
                <w:rFonts w:eastAsia="Calibri"/>
              </w:rPr>
              <w:t>4.613x10</w:t>
            </w:r>
            <w:r>
              <w:rPr>
                <w:rFonts w:eastAsia="Calibri"/>
                <w:vertAlign w:val="superscript"/>
              </w:rPr>
              <w:t>-4</w:t>
            </w:r>
          </w:p>
        </w:tc>
        <w:tc>
          <w:tcPr>
            <w:tcW w:w="677" w:type="pct"/>
            <w:shd w:val="clear" w:color="auto" w:fill="FFFFFF"/>
            <w:vAlign w:val="center"/>
          </w:tcPr>
          <w:p w14:paraId="74EEE458" w14:textId="77777777" w:rsidR="002C4887" w:rsidRPr="00FD2055" w:rsidRDefault="002C4887" w:rsidP="00140213">
            <w:pPr>
              <w:pStyle w:val="Standaard-Tabellen"/>
              <w:rPr>
                <w:rFonts w:eastAsia="Calibri"/>
              </w:rPr>
            </w:pPr>
            <w:r w:rsidRPr="00FD2055">
              <w:rPr>
                <w:rFonts w:eastAsia="Calibri"/>
              </w:rPr>
              <w:t>Pa/m</w:t>
            </w:r>
            <w:r w:rsidRPr="00E56D9B">
              <w:rPr>
                <w:rFonts w:eastAsia="Calibri"/>
                <w:vertAlign w:val="superscript"/>
              </w:rPr>
              <w:t>3</w:t>
            </w:r>
            <w:r w:rsidRPr="00FD2055">
              <w:rPr>
                <w:rFonts w:eastAsia="Calibri"/>
              </w:rPr>
              <w:t>/mol</w:t>
            </w:r>
          </w:p>
        </w:tc>
        <w:tc>
          <w:tcPr>
            <w:tcW w:w="613" w:type="pct"/>
            <w:shd w:val="clear" w:color="auto" w:fill="FFFFFF"/>
            <w:vAlign w:val="center"/>
          </w:tcPr>
          <w:p w14:paraId="0BBB067F" w14:textId="77777777" w:rsidR="002C4887" w:rsidRPr="00FD2055" w:rsidRDefault="002C4887" w:rsidP="00140213">
            <w:pPr>
              <w:pStyle w:val="Standaard-Tabellen"/>
              <w:rPr>
                <w:rFonts w:eastAsia="Calibri"/>
              </w:rPr>
            </w:pPr>
          </w:p>
        </w:tc>
      </w:tr>
      <w:tr w:rsidR="002C4887" w:rsidRPr="00FD2055" w14:paraId="65EF44E8" w14:textId="77777777" w:rsidTr="00873FD6">
        <w:trPr>
          <w:trHeight w:val="75"/>
        </w:trPr>
        <w:tc>
          <w:tcPr>
            <w:tcW w:w="2378" w:type="pct"/>
            <w:shd w:val="clear" w:color="auto" w:fill="FFFFFF"/>
            <w:vAlign w:val="center"/>
          </w:tcPr>
          <w:p w14:paraId="711FE1C5" w14:textId="77777777" w:rsidR="002C4887" w:rsidRPr="00FD2055" w:rsidRDefault="002C4887" w:rsidP="00140213">
            <w:pPr>
              <w:pStyle w:val="Standaard-Tabellen"/>
              <w:rPr>
                <w:rFonts w:eastAsia="Calibri"/>
              </w:rPr>
            </w:pPr>
            <w:r w:rsidRPr="00FD2055">
              <w:rPr>
                <w:rFonts w:eastAsia="Calibri"/>
              </w:rPr>
              <w:t>Biodegradability</w:t>
            </w:r>
          </w:p>
        </w:tc>
        <w:tc>
          <w:tcPr>
            <w:tcW w:w="1332" w:type="pct"/>
            <w:shd w:val="clear" w:color="auto" w:fill="FFFFFF"/>
            <w:vAlign w:val="center"/>
          </w:tcPr>
          <w:p w14:paraId="6F253A86" w14:textId="77777777" w:rsidR="002C4887" w:rsidRPr="005F31FF" w:rsidRDefault="005F31FF" w:rsidP="005F31FF">
            <w:pPr>
              <w:pStyle w:val="Standaard-Tabellen"/>
              <w:rPr>
                <w:rFonts w:eastAsia="Calibri"/>
              </w:rPr>
            </w:pPr>
            <w:r w:rsidRPr="005F31FF">
              <w:rPr>
                <w:rFonts w:eastAsia="Calibri"/>
              </w:rPr>
              <w:t>Inherently biodegradable</w:t>
            </w:r>
          </w:p>
        </w:tc>
        <w:tc>
          <w:tcPr>
            <w:tcW w:w="677" w:type="pct"/>
            <w:shd w:val="clear" w:color="auto" w:fill="FFFFFF"/>
            <w:vAlign w:val="center"/>
          </w:tcPr>
          <w:p w14:paraId="02431F8B" w14:textId="77777777" w:rsidR="002C4887" w:rsidRPr="00FD2055" w:rsidRDefault="002C4887" w:rsidP="00140213">
            <w:pPr>
              <w:pStyle w:val="Standaard-Tabellen"/>
              <w:rPr>
                <w:rFonts w:eastAsia="Calibri"/>
              </w:rPr>
            </w:pPr>
          </w:p>
        </w:tc>
        <w:tc>
          <w:tcPr>
            <w:tcW w:w="613" w:type="pct"/>
            <w:shd w:val="clear" w:color="auto" w:fill="FFFFFF"/>
            <w:vAlign w:val="center"/>
          </w:tcPr>
          <w:p w14:paraId="641DCA85" w14:textId="77777777" w:rsidR="002C4887" w:rsidRPr="00FD2055" w:rsidRDefault="002C4887" w:rsidP="00140213">
            <w:pPr>
              <w:pStyle w:val="Standaard-Tabellen"/>
              <w:rPr>
                <w:rFonts w:eastAsia="Calibri"/>
              </w:rPr>
            </w:pPr>
          </w:p>
        </w:tc>
      </w:tr>
    </w:tbl>
    <w:p w14:paraId="27335B0A" w14:textId="77777777" w:rsidR="002C4887" w:rsidRDefault="002C4887" w:rsidP="00140213">
      <w:pPr>
        <w:rPr>
          <w:rFonts w:eastAsia="Calibri"/>
          <w:lang w:eastAsia="en-US"/>
        </w:rPr>
      </w:pPr>
    </w:p>
    <w:p w14:paraId="7838518A" w14:textId="77777777" w:rsidR="00873FD6" w:rsidRDefault="00873FD6" w:rsidP="00873FD6">
      <w:pPr>
        <w:rPr>
          <w:rFonts w:eastAsia="Calibri"/>
          <w:lang w:eastAsia="en-US"/>
        </w:rPr>
      </w:pPr>
      <w:r>
        <w:rPr>
          <w:rFonts w:eastAsia="Calibri"/>
          <w:lang w:eastAsia="en-US"/>
        </w:rPr>
        <w:t>In the CAR for IR3535</w:t>
      </w:r>
      <w:r w:rsidR="00C45200">
        <w:rPr>
          <w:rFonts w:eastAsia="Calibri"/>
          <w:vertAlign w:val="superscript"/>
          <w:lang w:eastAsia="en-US"/>
        </w:rPr>
        <w:t>®</w:t>
      </w:r>
      <w:r>
        <w:rPr>
          <w:rFonts w:eastAsia="Calibri"/>
          <w:lang w:eastAsia="en-US"/>
        </w:rPr>
        <w:t>, calculations according to EUSES are available for the distribution in the STP, which in this case is only relevant for scenario 1. As a worst-case assessment the distribution presented in the CAR is taken over for the assumption that there is no degradation. As a TIER 2 evaluation, 99% degradation in STP is taken into consideration.</w:t>
      </w:r>
    </w:p>
    <w:p w14:paraId="239D2334" w14:textId="77777777" w:rsidR="00873FD6" w:rsidRPr="00FD2055" w:rsidRDefault="00873FD6" w:rsidP="00140213">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1792"/>
        <w:gridCol w:w="1792"/>
        <w:gridCol w:w="1865"/>
        <w:gridCol w:w="1544"/>
      </w:tblGrid>
      <w:tr w:rsidR="00873FD6" w:rsidRPr="00140213" w14:paraId="1768EFEB" w14:textId="77777777" w:rsidTr="00873FD6">
        <w:trPr>
          <w:trHeight w:val="269"/>
        </w:trPr>
        <w:tc>
          <w:tcPr>
            <w:tcW w:w="5000" w:type="pct"/>
            <w:gridSpan w:val="5"/>
            <w:shd w:val="clear" w:color="auto" w:fill="FFFFCC"/>
            <w:vAlign w:val="center"/>
          </w:tcPr>
          <w:p w14:paraId="5E5C5655" w14:textId="77777777" w:rsidR="00873FD6" w:rsidRPr="00140213" w:rsidRDefault="00873FD6" w:rsidP="00140213">
            <w:pPr>
              <w:pStyle w:val="Standaard-Tabellen"/>
              <w:jc w:val="center"/>
              <w:rPr>
                <w:rFonts w:eastAsia="Calibri"/>
                <w:b/>
              </w:rPr>
            </w:pPr>
            <w:r w:rsidRPr="00140213">
              <w:rPr>
                <w:rFonts w:eastAsia="Calibri"/>
                <w:b/>
              </w:rPr>
              <w:t>Calculated f</w:t>
            </w:r>
            <w:r>
              <w:rPr>
                <w:rFonts w:eastAsia="Calibri"/>
                <w:b/>
              </w:rPr>
              <w:t>ate and distribution in the STP</w:t>
            </w:r>
          </w:p>
        </w:tc>
      </w:tr>
      <w:tr w:rsidR="00873FD6" w:rsidRPr="00140213" w14:paraId="039163DE" w14:textId="77777777" w:rsidTr="00873FD6">
        <w:trPr>
          <w:trHeight w:val="187"/>
        </w:trPr>
        <w:tc>
          <w:tcPr>
            <w:tcW w:w="1281" w:type="pct"/>
            <w:vMerge w:val="restart"/>
            <w:shd w:val="clear" w:color="auto" w:fill="BFBFBF" w:themeFill="background1" w:themeFillShade="BF"/>
            <w:vAlign w:val="center"/>
          </w:tcPr>
          <w:p w14:paraId="2FC8D992" w14:textId="77777777" w:rsidR="00873FD6" w:rsidRPr="00140213" w:rsidRDefault="00873FD6" w:rsidP="00140213">
            <w:pPr>
              <w:pStyle w:val="Standaard-Tabellen"/>
              <w:rPr>
                <w:rFonts w:eastAsia="Calibri" w:cs="Arial"/>
                <w:b/>
                <w:color w:val="000000"/>
              </w:rPr>
            </w:pPr>
            <w:r w:rsidRPr="00140213">
              <w:rPr>
                <w:rFonts w:eastAsia="Calibri" w:cs="Arial"/>
                <w:b/>
                <w:color w:val="000000"/>
              </w:rPr>
              <w:t>Compartment</w:t>
            </w:r>
          </w:p>
        </w:tc>
        <w:tc>
          <w:tcPr>
            <w:tcW w:w="2898" w:type="pct"/>
            <w:gridSpan w:val="3"/>
            <w:shd w:val="clear" w:color="auto" w:fill="BFBFBF" w:themeFill="background1" w:themeFillShade="BF"/>
            <w:vAlign w:val="center"/>
          </w:tcPr>
          <w:p w14:paraId="474F8FA7" w14:textId="77777777" w:rsidR="00873FD6" w:rsidRPr="00140213" w:rsidRDefault="00873FD6" w:rsidP="00873FD6">
            <w:pPr>
              <w:pStyle w:val="Standaard-Tabellen"/>
              <w:jc w:val="center"/>
              <w:rPr>
                <w:rFonts w:eastAsia="Calibri" w:cs="Arial"/>
                <w:b/>
                <w:color w:val="000000"/>
              </w:rPr>
            </w:pPr>
            <w:r w:rsidRPr="00140213">
              <w:rPr>
                <w:rFonts w:eastAsia="Calibri" w:cs="Arial"/>
                <w:b/>
                <w:color w:val="000000"/>
              </w:rPr>
              <w:t>Percentage [%]</w:t>
            </w:r>
          </w:p>
        </w:tc>
        <w:tc>
          <w:tcPr>
            <w:tcW w:w="821" w:type="pct"/>
            <w:vMerge w:val="restart"/>
            <w:shd w:val="clear" w:color="auto" w:fill="BFBFBF" w:themeFill="background1" w:themeFillShade="BF"/>
            <w:vAlign w:val="center"/>
          </w:tcPr>
          <w:p w14:paraId="5246DCCC" w14:textId="77777777" w:rsidR="00873FD6" w:rsidRPr="00140213" w:rsidRDefault="00873FD6" w:rsidP="00140213">
            <w:pPr>
              <w:pStyle w:val="Standaard-Tabellen"/>
              <w:rPr>
                <w:rFonts w:eastAsia="Calibri" w:cs="Arial"/>
                <w:b/>
                <w:color w:val="000000"/>
              </w:rPr>
            </w:pPr>
            <w:r>
              <w:rPr>
                <w:rFonts w:eastAsia="Calibri" w:cs="Arial"/>
                <w:b/>
                <w:color w:val="000000"/>
              </w:rPr>
              <w:t>Remarks</w:t>
            </w:r>
          </w:p>
        </w:tc>
      </w:tr>
      <w:tr w:rsidR="00873FD6" w:rsidRPr="00FD2055" w14:paraId="70D5D61A" w14:textId="77777777" w:rsidTr="00873FD6">
        <w:trPr>
          <w:trHeight w:val="97"/>
        </w:trPr>
        <w:tc>
          <w:tcPr>
            <w:tcW w:w="1281" w:type="pct"/>
            <w:vMerge/>
            <w:shd w:val="clear" w:color="auto" w:fill="FFFFFF"/>
          </w:tcPr>
          <w:p w14:paraId="7BB0E262" w14:textId="77777777" w:rsidR="00873FD6" w:rsidRPr="00FD2055" w:rsidRDefault="00873FD6" w:rsidP="00140213">
            <w:pPr>
              <w:pStyle w:val="Standaard-Tabellen"/>
              <w:rPr>
                <w:rFonts w:eastAsia="Calibri" w:cs="Arial"/>
                <w:color w:val="000000"/>
              </w:rPr>
            </w:pPr>
          </w:p>
        </w:tc>
        <w:tc>
          <w:tcPr>
            <w:tcW w:w="953" w:type="pct"/>
            <w:shd w:val="clear" w:color="auto" w:fill="BFBFBF" w:themeFill="background1" w:themeFillShade="BF"/>
            <w:vAlign w:val="center"/>
          </w:tcPr>
          <w:p w14:paraId="4BE9C648" w14:textId="77777777" w:rsidR="00873FD6" w:rsidRPr="00873FD6" w:rsidRDefault="00873FD6" w:rsidP="00140213">
            <w:pPr>
              <w:pStyle w:val="Standaard-Tabellen"/>
              <w:jc w:val="center"/>
              <w:rPr>
                <w:rFonts w:eastAsia="Calibri" w:cs="Arial"/>
                <w:b/>
                <w:color w:val="000000"/>
              </w:rPr>
            </w:pPr>
            <w:r w:rsidRPr="00873FD6">
              <w:rPr>
                <w:rFonts w:eastAsia="Calibri" w:cs="Arial"/>
                <w:b/>
                <w:color w:val="000000"/>
              </w:rPr>
              <w:t>Scenario 1</w:t>
            </w:r>
          </w:p>
          <w:p w14:paraId="62689B96" w14:textId="77777777" w:rsidR="00873FD6" w:rsidRPr="00873FD6" w:rsidRDefault="00873FD6" w:rsidP="00140213">
            <w:pPr>
              <w:pStyle w:val="Standaard-Tabellen"/>
              <w:jc w:val="center"/>
              <w:rPr>
                <w:rFonts w:eastAsia="Calibri" w:cs="Arial"/>
                <w:b/>
                <w:color w:val="000000"/>
              </w:rPr>
            </w:pPr>
            <w:r w:rsidRPr="00873FD6">
              <w:rPr>
                <w:rFonts w:eastAsia="Calibri" w:cs="Arial"/>
                <w:b/>
                <w:color w:val="000000"/>
              </w:rPr>
              <w:t>TIER 1</w:t>
            </w:r>
          </w:p>
        </w:tc>
        <w:tc>
          <w:tcPr>
            <w:tcW w:w="953" w:type="pct"/>
            <w:shd w:val="clear" w:color="auto" w:fill="BFBFBF" w:themeFill="background1" w:themeFillShade="BF"/>
            <w:vAlign w:val="center"/>
          </w:tcPr>
          <w:p w14:paraId="6225A4C1" w14:textId="77777777" w:rsidR="00873FD6" w:rsidRPr="00873FD6" w:rsidRDefault="00873FD6" w:rsidP="00140213">
            <w:pPr>
              <w:pStyle w:val="Standaard-Tabellen"/>
              <w:jc w:val="center"/>
              <w:rPr>
                <w:rFonts w:eastAsia="Calibri" w:cs="Arial"/>
                <w:b/>
                <w:color w:val="000000"/>
              </w:rPr>
            </w:pPr>
            <w:r w:rsidRPr="00873FD6">
              <w:rPr>
                <w:rFonts w:eastAsia="Calibri" w:cs="Arial"/>
                <w:b/>
                <w:color w:val="000000"/>
              </w:rPr>
              <w:t>Scenario 1</w:t>
            </w:r>
          </w:p>
          <w:p w14:paraId="592E6318" w14:textId="77777777" w:rsidR="00873FD6" w:rsidRPr="00873FD6" w:rsidRDefault="00873FD6" w:rsidP="00140213">
            <w:pPr>
              <w:pStyle w:val="Standaard-Tabellen"/>
              <w:jc w:val="center"/>
              <w:rPr>
                <w:rFonts w:eastAsia="Calibri" w:cs="Arial"/>
                <w:b/>
                <w:color w:val="000000"/>
              </w:rPr>
            </w:pPr>
            <w:r w:rsidRPr="00873FD6">
              <w:rPr>
                <w:rFonts w:eastAsia="Calibri" w:cs="Arial"/>
                <w:b/>
                <w:color w:val="000000"/>
              </w:rPr>
              <w:t>TIER 2</w:t>
            </w:r>
          </w:p>
        </w:tc>
        <w:tc>
          <w:tcPr>
            <w:tcW w:w="992" w:type="pct"/>
            <w:shd w:val="clear" w:color="auto" w:fill="BFBFBF" w:themeFill="background1" w:themeFillShade="BF"/>
            <w:vAlign w:val="center"/>
          </w:tcPr>
          <w:p w14:paraId="639C6788" w14:textId="77777777" w:rsidR="00873FD6" w:rsidRPr="00873FD6" w:rsidRDefault="00873FD6" w:rsidP="00873FD6">
            <w:pPr>
              <w:pStyle w:val="Standaard-Tabellen"/>
              <w:jc w:val="center"/>
              <w:rPr>
                <w:rFonts w:eastAsia="Calibri" w:cs="Arial"/>
                <w:b/>
                <w:color w:val="000000"/>
              </w:rPr>
            </w:pPr>
            <w:r w:rsidRPr="00873FD6">
              <w:rPr>
                <w:rFonts w:eastAsia="Calibri" w:cs="Arial"/>
                <w:b/>
                <w:color w:val="000000"/>
              </w:rPr>
              <w:t>Scenario 2</w:t>
            </w:r>
          </w:p>
        </w:tc>
        <w:tc>
          <w:tcPr>
            <w:tcW w:w="821" w:type="pct"/>
            <w:vMerge/>
            <w:shd w:val="clear" w:color="auto" w:fill="FFFFFF"/>
          </w:tcPr>
          <w:p w14:paraId="023CC81E" w14:textId="77777777" w:rsidR="00873FD6" w:rsidRPr="00FD2055" w:rsidRDefault="00873FD6" w:rsidP="00140213">
            <w:pPr>
              <w:pStyle w:val="Standaard-Tabellen"/>
              <w:rPr>
                <w:rFonts w:eastAsia="Calibri" w:cs="Arial"/>
                <w:color w:val="000000"/>
              </w:rPr>
            </w:pPr>
          </w:p>
        </w:tc>
      </w:tr>
      <w:tr w:rsidR="00873FD6" w:rsidRPr="00FD2055" w14:paraId="7146D918" w14:textId="77777777" w:rsidTr="00873FD6">
        <w:trPr>
          <w:trHeight w:val="75"/>
        </w:trPr>
        <w:tc>
          <w:tcPr>
            <w:tcW w:w="1281" w:type="pct"/>
            <w:shd w:val="clear" w:color="auto" w:fill="FFFFFF"/>
          </w:tcPr>
          <w:p w14:paraId="56838DEB" w14:textId="77777777" w:rsidR="00873FD6" w:rsidRPr="00FD2055" w:rsidRDefault="00873FD6" w:rsidP="00140213">
            <w:pPr>
              <w:pStyle w:val="Standaard-Tabellen"/>
              <w:rPr>
                <w:rFonts w:eastAsia="Calibri" w:cs="Arial"/>
                <w:color w:val="000000"/>
              </w:rPr>
            </w:pPr>
            <w:r w:rsidRPr="00FD2055">
              <w:rPr>
                <w:rFonts w:eastAsia="Calibri" w:cs="Arial"/>
                <w:color w:val="000000"/>
              </w:rPr>
              <w:t>Air</w:t>
            </w:r>
          </w:p>
        </w:tc>
        <w:tc>
          <w:tcPr>
            <w:tcW w:w="953" w:type="pct"/>
            <w:shd w:val="clear" w:color="auto" w:fill="FFFFFF"/>
          </w:tcPr>
          <w:p w14:paraId="0FE8657D" w14:textId="77777777" w:rsidR="00873FD6" w:rsidRPr="00FD2055" w:rsidRDefault="00873FD6" w:rsidP="00140213">
            <w:pPr>
              <w:pStyle w:val="Standaard-Tabellen"/>
              <w:rPr>
                <w:rFonts w:eastAsia="Calibri" w:cs="Arial"/>
                <w:color w:val="000000"/>
              </w:rPr>
            </w:pPr>
            <w:r>
              <w:rPr>
                <w:rFonts w:eastAsia="Calibri" w:cs="Arial"/>
                <w:color w:val="000000"/>
              </w:rPr>
              <w:t>0.000547</w:t>
            </w:r>
          </w:p>
        </w:tc>
        <w:tc>
          <w:tcPr>
            <w:tcW w:w="953" w:type="pct"/>
            <w:shd w:val="clear" w:color="auto" w:fill="FFFFFF"/>
          </w:tcPr>
          <w:p w14:paraId="618A1C36" w14:textId="77777777" w:rsidR="00873FD6" w:rsidRPr="00FD2055" w:rsidRDefault="00873FD6" w:rsidP="00140213">
            <w:pPr>
              <w:pStyle w:val="Standaard-Tabellen"/>
              <w:rPr>
                <w:rFonts w:eastAsia="Calibri" w:cs="Arial"/>
                <w:color w:val="000000"/>
              </w:rPr>
            </w:pPr>
            <w:r>
              <w:rPr>
                <w:rFonts w:eastAsia="Calibri" w:cs="Arial"/>
                <w:color w:val="000000"/>
              </w:rPr>
              <w:t>0</w:t>
            </w:r>
          </w:p>
        </w:tc>
        <w:tc>
          <w:tcPr>
            <w:tcW w:w="992" w:type="pct"/>
            <w:vMerge w:val="restart"/>
            <w:shd w:val="clear" w:color="auto" w:fill="FFFFFF"/>
            <w:vAlign w:val="center"/>
          </w:tcPr>
          <w:p w14:paraId="0A693F7A" w14:textId="77777777" w:rsidR="00873FD6" w:rsidRPr="00FD2055" w:rsidRDefault="00873FD6" w:rsidP="00140213">
            <w:pPr>
              <w:pStyle w:val="Standaard-Tabellen"/>
              <w:rPr>
                <w:rFonts w:eastAsia="Calibri" w:cs="Arial"/>
                <w:color w:val="000000"/>
              </w:rPr>
            </w:pPr>
            <w:r>
              <w:rPr>
                <w:rFonts w:eastAsia="Calibri" w:cs="Arial"/>
                <w:color w:val="000000"/>
              </w:rPr>
              <w:t>Not relevant</w:t>
            </w:r>
          </w:p>
        </w:tc>
        <w:tc>
          <w:tcPr>
            <w:tcW w:w="821" w:type="pct"/>
            <w:shd w:val="clear" w:color="auto" w:fill="FFFFFF"/>
          </w:tcPr>
          <w:p w14:paraId="02B4E877" w14:textId="77777777" w:rsidR="00873FD6" w:rsidRPr="00FD2055" w:rsidRDefault="00873FD6" w:rsidP="00140213">
            <w:pPr>
              <w:pStyle w:val="Standaard-Tabellen"/>
              <w:rPr>
                <w:rFonts w:eastAsia="Calibri" w:cs="Arial"/>
                <w:color w:val="000000"/>
              </w:rPr>
            </w:pPr>
          </w:p>
        </w:tc>
      </w:tr>
      <w:tr w:rsidR="00873FD6" w:rsidRPr="00FD2055" w14:paraId="41F0A8DF" w14:textId="77777777" w:rsidTr="00873FD6">
        <w:trPr>
          <w:trHeight w:val="75"/>
        </w:trPr>
        <w:tc>
          <w:tcPr>
            <w:tcW w:w="1281" w:type="pct"/>
            <w:shd w:val="clear" w:color="auto" w:fill="FFFFFF"/>
          </w:tcPr>
          <w:p w14:paraId="460372F2" w14:textId="77777777" w:rsidR="00873FD6" w:rsidRPr="00FD2055" w:rsidRDefault="00873FD6" w:rsidP="00140213">
            <w:pPr>
              <w:pStyle w:val="Standaard-Tabellen"/>
              <w:rPr>
                <w:rFonts w:eastAsia="Calibri" w:cs="Arial"/>
                <w:color w:val="000000"/>
              </w:rPr>
            </w:pPr>
            <w:r w:rsidRPr="00FD2055">
              <w:rPr>
                <w:rFonts w:eastAsia="Calibri" w:cs="Arial"/>
                <w:color w:val="000000"/>
              </w:rPr>
              <w:t>Water</w:t>
            </w:r>
          </w:p>
        </w:tc>
        <w:tc>
          <w:tcPr>
            <w:tcW w:w="953" w:type="pct"/>
            <w:shd w:val="clear" w:color="auto" w:fill="FFFFFF"/>
          </w:tcPr>
          <w:p w14:paraId="0D5D76D3" w14:textId="77777777" w:rsidR="00873FD6" w:rsidRPr="00FD2055" w:rsidRDefault="00873FD6" w:rsidP="00140213">
            <w:pPr>
              <w:pStyle w:val="Standaard-Tabellen"/>
              <w:rPr>
                <w:rFonts w:eastAsia="Calibri" w:cs="Arial"/>
                <w:color w:val="000000"/>
              </w:rPr>
            </w:pPr>
            <w:r>
              <w:rPr>
                <w:rFonts w:eastAsia="Calibri" w:cs="Arial"/>
                <w:color w:val="000000"/>
              </w:rPr>
              <w:t>99</w:t>
            </w:r>
          </w:p>
        </w:tc>
        <w:tc>
          <w:tcPr>
            <w:tcW w:w="953" w:type="pct"/>
            <w:shd w:val="clear" w:color="auto" w:fill="FFFFFF"/>
          </w:tcPr>
          <w:p w14:paraId="55A42603" w14:textId="77777777" w:rsidR="00873FD6" w:rsidRPr="00FD2055" w:rsidRDefault="00873FD6" w:rsidP="00140213">
            <w:pPr>
              <w:pStyle w:val="Standaard-Tabellen"/>
              <w:rPr>
                <w:rFonts w:eastAsia="Calibri" w:cs="Arial"/>
                <w:color w:val="000000"/>
              </w:rPr>
            </w:pPr>
            <w:r>
              <w:rPr>
                <w:rFonts w:eastAsia="Calibri" w:cs="Arial"/>
                <w:color w:val="000000"/>
              </w:rPr>
              <w:t>1</w:t>
            </w:r>
          </w:p>
        </w:tc>
        <w:tc>
          <w:tcPr>
            <w:tcW w:w="992" w:type="pct"/>
            <w:vMerge/>
            <w:shd w:val="clear" w:color="auto" w:fill="FFFFFF"/>
          </w:tcPr>
          <w:p w14:paraId="1553251F" w14:textId="77777777" w:rsidR="00873FD6" w:rsidRPr="00FD2055" w:rsidRDefault="00873FD6" w:rsidP="00140213">
            <w:pPr>
              <w:pStyle w:val="Standaard-Tabellen"/>
              <w:rPr>
                <w:rFonts w:eastAsia="Calibri" w:cs="Arial"/>
                <w:color w:val="000000"/>
              </w:rPr>
            </w:pPr>
          </w:p>
        </w:tc>
        <w:tc>
          <w:tcPr>
            <w:tcW w:w="821" w:type="pct"/>
            <w:shd w:val="clear" w:color="auto" w:fill="FFFFFF"/>
          </w:tcPr>
          <w:p w14:paraId="31C3DC8C" w14:textId="77777777" w:rsidR="00873FD6" w:rsidRPr="00FD2055" w:rsidRDefault="00873FD6" w:rsidP="00140213">
            <w:pPr>
              <w:pStyle w:val="Standaard-Tabellen"/>
              <w:rPr>
                <w:rFonts w:eastAsia="Calibri" w:cs="Arial"/>
                <w:color w:val="000000"/>
              </w:rPr>
            </w:pPr>
          </w:p>
        </w:tc>
      </w:tr>
      <w:tr w:rsidR="00873FD6" w:rsidRPr="00FD2055" w14:paraId="161F989D" w14:textId="77777777" w:rsidTr="00873FD6">
        <w:trPr>
          <w:trHeight w:val="75"/>
        </w:trPr>
        <w:tc>
          <w:tcPr>
            <w:tcW w:w="1281" w:type="pct"/>
            <w:shd w:val="clear" w:color="auto" w:fill="FFFFFF"/>
          </w:tcPr>
          <w:p w14:paraId="488B4DD3" w14:textId="77777777" w:rsidR="00873FD6" w:rsidRPr="00FD2055" w:rsidRDefault="00873FD6" w:rsidP="00140213">
            <w:pPr>
              <w:pStyle w:val="Standaard-Tabellen"/>
              <w:rPr>
                <w:rFonts w:eastAsia="Calibri" w:cs="Arial"/>
                <w:color w:val="000000"/>
              </w:rPr>
            </w:pPr>
            <w:r w:rsidRPr="00FD2055">
              <w:rPr>
                <w:rFonts w:eastAsia="Calibri" w:cs="Arial"/>
                <w:color w:val="000000"/>
              </w:rPr>
              <w:t>Sludge</w:t>
            </w:r>
          </w:p>
        </w:tc>
        <w:tc>
          <w:tcPr>
            <w:tcW w:w="953" w:type="pct"/>
            <w:shd w:val="clear" w:color="auto" w:fill="FFFFFF"/>
          </w:tcPr>
          <w:p w14:paraId="23357730" w14:textId="77777777" w:rsidR="00873FD6" w:rsidRPr="00FD2055" w:rsidRDefault="00873FD6" w:rsidP="00140213">
            <w:pPr>
              <w:pStyle w:val="Standaard-Tabellen"/>
              <w:rPr>
                <w:rFonts w:eastAsia="Calibri" w:cs="Arial"/>
                <w:color w:val="000000"/>
              </w:rPr>
            </w:pPr>
            <w:r>
              <w:rPr>
                <w:rFonts w:eastAsia="Calibri" w:cs="Arial"/>
                <w:color w:val="000000"/>
              </w:rPr>
              <w:t>1</w:t>
            </w:r>
          </w:p>
        </w:tc>
        <w:tc>
          <w:tcPr>
            <w:tcW w:w="953" w:type="pct"/>
            <w:shd w:val="clear" w:color="auto" w:fill="FFFFFF"/>
          </w:tcPr>
          <w:p w14:paraId="552A369E" w14:textId="77777777" w:rsidR="00873FD6" w:rsidRPr="00FD2055" w:rsidRDefault="00873FD6" w:rsidP="00140213">
            <w:pPr>
              <w:pStyle w:val="Standaard-Tabellen"/>
              <w:rPr>
                <w:rFonts w:eastAsia="Calibri" w:cs="Arial"/>
                <w:color w:val="000000"/>
              </w:rPr>
            </w:pPr>
            <w:r>
              <w:rPr>
                <w:rFonts w:eastAsia="Calibri" w:cs="Arial"/>
                <w:color w:val="000000"/>
              </w:rPr>
              <w:t>0</w:t>
            </w:r>
          </w:p>
        </w:tc>
        <w:tc>
          <w:tcPr>
            <w:tcW w:w="992" w:type="pct"/>
            <w:vMerge/>
            <w:shd w:val="clear" w:color="auto" w:fill="FFFFFF"/>
          </w:tcPr>
          <w:p w14:paraId="4F7E1E7E" w14:textId="77777777" w:rsidR="00873FD6" w:rsidRPr="00FD2055" w:rsidRDefault="00873FD6" w:rsidP="00140213">
            <w:pPr>
              <w:pStyle w:val="Standaard-Tabellen"/>
              <w:rPr>
                <w:rFonts w:eastAsia="Calibri" w:cs="Arial"/>
                <w:color w:val="000000"/>
              </w:rPr>
            </w:pPr>
          </w:p>
        </w:tc>
        <w:tc>
          <w:tcPr>
            <w:tcW w:w="821" w:type="pct"/>
            <w:shd w:val="clear" w:color="auto" w:fill="FFFFFF"/>
          </w:tcPr>
          <w:p w14:paraId="3464B279" w14:textId="77777777" w:rsidR="00873FD6" w:rsidRPr="00FD2055" w:rsidRDefault="00873FD6" w:rsidP="00140213">
            <w:pPr>
              <w:pStyle w:val="Standaard-Tabellen"/>
              <w:rPr>
                <w:rFonts w:eastAsia="Calibri" w:cs="Arial"/>
                <w:color w:val="000000"/>
              </w:rPr>
            </w:pPr>
          </w:p>
        </w:tc>
      </w:tr>
      <w:tr w:rsidR="00873FD6" w:rsidRPr="00FD2055" w14:paraId="205ABDDB" w14:textId="77777777" w:rsidTr="00873FD6">
        <w:trPr>
          <w:trHeight w:val="75"/>
        </w:trPr>
        <w:tc>
          <w:tcPr>
            <w:tcW w:w="1281" w:type="pct"/>
            <w:shd w:val="clear" w:color="auto" w:fill="FFFFFF"/>
          </w:tcPr>
          <w:p w14:paraId="552E6B8B" w14:textId="77777777" w:rsidR="00873FD6" w:rsidRPr="00FD2055" w:rsidRDefault="00873FD6" w:rsidP="00140213">
            <w:pPr>
              <w:pStyle w:val="Standaard-Tabellen"/>
              <w:rPr>
                <w:rFonts w:eastAsia="Calibri" w:cs="Arial"/>
                <w:color w:val="000000"/>
              </w:rPr>
            </w:pPr>
            <w:r w:rsidRPr="00FD2055">
              <w:rPr>
                <w:rFonts w:eastAsia="Calibri" w:cs="Arial"/>
                <w:color w:val="000000"/>
              </w:rPr>
              <w:t>Degraded in STP</w:t>
            </w:r>
          </w:p>
        </w:tc>
        <w:tc>
          <w:tcPr>
            <w:tcW w:w="953" w:type="pct"/>
            <w:shd w:val="clear" w:color="auto" w:fill="FFFFFF"/>
          </w:tcPr>
          <w:p w14:paraId="70E08949" w14:textId="77777777" w:rsidR="00873FD6" w:rsidRPr="00FD2055" w:rsidRDefault="00873FD6" w:rsidP="00140213">
            <w:pPr>
              <w:pStyle w:val="Standaard-Tabellen"/>
              <w:rPr>
                <w:rFonts w:eastAsia="Calibri" w:cs="Arial"/>
                <w:color w:val="000000"/>
              </w:rPr>
            </w:pPr>
            <w:r>
              <w:rPr>
                <w:rFonts w:eastAsia="Calibri" w:cs="Arial"/>
                <w:color w:val="000000"/>
              </w:rPr>
              <w:t>1.000547</w:t>
            </w:r>
          </w:p>
        </w:tc>
        <w:tc>
          <w:tcPr>
            <w:tcW w:w="953" w:type="pct"/>
            <w:shd w:val="clear" w:color="auto" w:fill="FFFFFF"/>
          </w:tcPr>
          <w:p w14:paraId="70FFB4E5" w14:textId="77777777" w:rsidR="00873FD6" w:rsidRPr="00FD2055" w:rsidRDefault="00873FD6" w:rsidP="00140213">
            <w:pPr>
              <w:pStyle w:val="Standaard-Tabellen"/>
              <w:rPr>
                <w:rFonts w:eastAsia="Calibri" w:cs="Arial"/>
                <w:color w:val="000000"/>
              </w:rPr>
            </w:pPr>
            <w:r>
              <w:rPr>
                <w:rFonts w:eastAsia="Calibri" w:cs="Arial"/>
                <w:color w:val="000000"/>
              </w:rPr>
              <w:t>99</w:t>
            </w:r>
          </w:p>
        </w:tc>
        <w:tc>
          <w:tcPr>
            <w:tcW w:w="992" w:type="pct"/>
            <w:vMerge/>
            <w:shd w:val="clear" w:color="auto" w:fill="FFFFFF"/>
          </w:tcPr>
          <w:p w14:paraId="1CCBAD4E" w14:textId="77777777" w:rsidR="00873FD6" w:rsidRPr="00FD2055" w:rsidRDefault="00873FD6" w:rsidP="00140213">
            <w:pPr>
              <w:pStyle w:val="Standaard-Tabellen"/>
              <w:rPr>
                <w:rFonts w:eastAsia="Calibri" w:cs="Arial"/>
                <w:color w:val="000000"/>
              </w:rPr>
            </w:pPr>
          </w:p>
        </w:tc>
        <w:tc>
          <w:tcPr>
            <w:tcW w:w="821" w:type="pct"/>
            <w:shd w:val="clear" w:color="auto" w:fill="FFFFFF"/>
          </w:tcPr>
          <w:p w14:paraId="4CC44368" w14:textId="77777777" w:rsidR="00873FD6" w:rsidRPr="00FD2055" w:rsidRDefault="00873FD6" w:rsidP="00140213">
            <w:pPr>
              <w:pStyle w:val="Standaard-Tabellen"/>
              <w:rPr>
                <w:rFonts w:eastAsia="Calibri" w:cs="Arial"/>
                <w:color w:val="000000"/>
              </w:rPr>
            </w:pPr>
          </w:p>
        </w:tc>
      </w:tr>
    </w:tbl>
    <w:p w14:paraId="54324290" w14:textId="77777777" w:rsidR="00873FD6" w:rsidRDefault="00873FD6" w:rsidP="00E62B94">
      <w:pPr>
        <w:spacing w:line="260" w:lineRule="atLeast"/>
        <w:jc w:val="both"/>
        <w:rPr>
          <w:rFonts w:eastAsia="Calibri"/>
          <w:lang w:eastAsia="en-US"/>
        </w:rPr>
      </w:pPr>
    </w:p>
    <w:p w14:paraId="27307D82" w14:textId="77777777" w:rsidR="00873FD6" w:rsidRDefault="00873FD6">
      <w:pPr>
        <w:spacing w:before="0" w:after="160" w:line="259" w:lineRule="auto"/>
        <w:rPr>
          <w:rFonts w:eastAsia="Calibri"/>
          <w:lang w:eastAsia="en-US"/>
        </w:rPr>
      </w:pPr>
      <w:r>
        <w:rPr>
          <w:rFonts w:eastAsia="Calibri"/>
          <w:lang w:eastAsia="en-US"/>
        </w:rPr>
        <w:br w:type="page"/>
      </w:r>
    </w:p>
    <w:p w14:paraId="0A4BACFC" w14:textId="77777777" w:rsidR="00140213" w:rsidRDefault="00140213" w:rsidP="007E5F71">
      <w:pPr>
        <w:pStyle w:val="Titre5"/>
      </w:pPr>
      <w:bookmarkStart w:id="279" w:name="_Toc389729116"/>
      <w:bookmarkStart w:id="280" w:name="_Toc403472801"/>
      <w:bookmarkStart w:id="281" w:name="_Toc12967205"/>
      <w:r w:rsidRPr="00FD2055">
        <w:lastRenderedPageBreak/>
        <w:t>Calculated PEC values</w:t>
      </w:r>
      <w:bookmarkEnd w:id="279"/>
      <w:bookmarkEnd w:id="280"/>
      <w:bookmarkEnd w:id="281"/>
    </w:p>
    <w:p w14:paraId="14380156" w14:textId="77777777" w:rsidR="00873FD6" w:rsidRDefault="00873FD6" w:rsidP="00873FD6">
      <w:pPr>
        <w:rPr>
          <w:rFonts w:eastAsia="Calibri"/>
          <w:lang w:eastAsia="en-US"/>
        </w:rPr>
      </w:pPr>
      <w:r>
        <w:rPr>
          <w:rFonts w:eastAsia="Calibri"/>
          <w:lang w:eastAsia="en-US"/>
        </w:rPr>
        <w:t xml:space="preserve">Neither for scenario 1, nor for scenario 2, calculations were made for the sediment, since the </w:t>
      </w:r>
      <w:proofErr w:type="spellStart"/>
      <w:r>
        <w:rPr>
          <w:rFonts w:eastAsia="Calibri"/>
          <w:lang w:eastAsia="en-US"/>
        </w:rPr>
        <w:t>PNEC</w:t>
      </w:r>
      <w:r>
        <w:rPr>
          <w:rFonts w:eastAsia="Calibri"/>
          <w:vertAlign w:val="subscript"/>
          <w:lang w:eastAsia="en-US"/>
        </w:rPr>
        <w:t>sediment</w:t>
      </w:r>
      <w:proofErr w:type="spellEnd"/>
      <w:r>
        <w:rPr>
          <w:rFonts w:eastAsia="Calibri"/>
          <w:lang w:eastAsia="en-US"/>
        </w:rPr>
        <w:t xml:space="preserve"> was determined through the EPM-method. This means that the risk assessment for water is applicable for the sediment as well.</w:t>
      </w:r>
    </w:p>
    <w:p w14:paraId="43980627" w14:textId="77777777" w:rsidR="00873FD6" w:rsidRDefault="00873FD6" w:rsidP="00873FD6">
      <w:pPr>
        <w:rPr>
          <w:rFonts w:eastAsia="Calibri"/>
          <w:lang w:eastAsia="en-US"/>
        </w:rPr>
      </w:pPr>
    </w:p>
    <w:p w14:paraId="3A30CBB4" w14:textId="77777777" w:rsidR="00873FD6" w:rsidRDefault="00873FD6" w:rsidP="00873FD6">
      <w:pPr>
        <w:rPr>
          <w:rFonts w:eastAsia="Calibri"/>
          <w:lang w:eastAsia="en-US"/>
        </w:rPr>
      </w:pPr>
      <w:r>
        <w:rPr>
          <w:rFonts w:eastAsia="Calibri"/>
          <w:lang w:eastAsia="en-US"/>
        </w:rPr>
        <w:t xml:space="preserve">As mentioned before, </w:t>
      </w:r>
      <w:r w:rsidR="00BD5A49">
        <w:rPr>
          <w:rFonts w:eastAsia="Calibri"/>
          <w:lang w:eastAsia="en-US"/>
        </w:rPr>
        <w:t xml:space="preserve">for the scenario 2, </w:t>
      </w:r>
      <w:r>
        <w:rPr>
          <w:rFonts w:eastAsia="Calibri"/>
          <w:lang w:eastAsia="en-US"/>
        </w:rPr>
        <w:t>possible degradation in surface water is not taken into account as a worst-case evaluation.</w:t>
      </w:r>
    </w:p>
    <w:p w14:paraId="7D038171" w14:textId="77777777" w:rsidR="00873FD6" w:rsidRPr="00873FD6" w:rsidRDefault="00873FD6" w:rsidP="00873FD6">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1880"/>
        <w:gridCol w:w="1880"/>
        <w:gridCol w:w="3212"/>
      </w:tblGrid>
      <w:tr w:rsidR="00873FD6" w:rsidRPr="00140213" w14:paraId="640044D6" w14:textId="77777777" w:rsidTr="00873FD6">
        <w:trPr>
          <w:trHeight w:val="249"/>
        </w:trPr>
        <w:tc>
          <w:tcPr>
            <w:tcW w:w="5000" w:type="pct"/>
            <w:gridSpan w:val="4"/>
            <w:tcBorders>
              <w:top w:val="single" w:sz="4" w:space="0" w:color="auto"/>
              <w:left w:val="single" w:sz="4" w:space="0" w:color="auto"/>
              <w:bottom w:val="single" w:sz="4" w:space="0" w:color="auto"/>
            </w:tcBorders>
            <w:shd w:val="clear" w:color="auto" w:fill="FFFFCC"/>
          </w:tcPr>
          <w:p w14:paraId="0A89D014" w14:textId="77777777" w:rsidR="00873FD6" w:rsidRPr="00140213" w:rsidRDefault="00873FD6" w:rsidP="00140213">
            <w:pPr>
              <w:pStyle w:val="Standaard-Tabellen"/>
              <w:jc w:val="center"/>
              <w:rPr>
                <w:rFonts w:eastAsia="Calibri"/>
                <w:b/>
                <w:color w:val="000000"/>
              </w:rPr>
            </w:pPr>
            <w:r w:rsidRPr="00140213">
              <w:rPr>
                <w:rFonts w:eastAsia="Calibri"/>
                <w:b/>
              </w:rPr>
              <w:t>Summary table on calculated PEC values</w:t>
            </w:r>
          </w:p>
        </w:tc>
      </w:tr>
      <w:tr w:rsidR="00873FD6" w:rsidRPr="00FD2055" w14:paraId="1737022D" w14:textId="77777777" w:rsidTr="00873FD6">
        <w:trPr>
          <w:trHeight w:val="249"/>
        </w:trPr>
        <w:tc>
          <w:tcPr>
            <w:tcW w:w="1292" w:type="pct"/>
            <w:vMerge w:val="restart"/>
            <w:shd w:val="clear" w:color="auto" w:fill="FFFFFF"/>
            <w:vAlign w:val="center"/>
          </w:tcPr>
          <w:p w14:paraId="795DC112" w14:textId="77777777" w:rsidR="00873FD6" w:rsidRPr="00FD2055" w:rsidRDefault="00873FD6" w:rsidP="00140213">
            <w:pPr>
              <w:pStyle w:val="Standaard-Tabellen"/>
              <w:rPr>
                <w:rFonts w:eastAsia="Calibri"/>
              </w:rPr>
            </w:pPr>
          </w:p>
        </w:tc>
        <w:tc>
          <w:tcPr>
            <w:tcW w:w="1000" w:type="pct"/>
            <w:vMerge w:val="restart"/>
            <w:shd w:val="clear" w:color="auto" w:fill="FFFFFF" w:themeFill="background1"/>
          </w:tcPr>
          <w:p w14:paraId="1CC4CEFF" w14:textId="77777777" w:rsidR="00873FD6" w:rsidRPr="00140213" w:rsidRDefault="00873FD6" w:rsidP="00140213">
            <w:pPr>
              <w:pStyle w:val="Standaard-Tabellen"/>
              <w:jc w:val="center"/>
              <w:rPr>
                <w:rFonts w:eastAsia="Calibri"/>
                <w:b/>
                <w:color w:val="000000"/>
              </w:rPr>
            </w:pPr>
          </w:p>
        </w:tc>
        <w:tc>
          <w:tcPr>
            <w:tcW w:w="1000" w:type="pct"/>
            <w:shd w:val="clear" w:color="auto" w:fill="BFBFBF" w:themeFill="background1" w:themeFillShade="BF"/>
            <w:vAlign w:val="center"/>
          </w:tcPr>
          <w:p w14:paraId="4545BF10" w14:textId="77777777" w:rsidR="00873FD6" w:rsidRPr="00140213" w:rsidRDefault="00873FD6" w:rsidP="00140213">
            <w:pPr>
              <w:pStyle w:val="Standaard-Tabellen"/>
              <w:jc w:val="center"/>
              <w:rPr>
                <w:rFonts w:eastAsia="Calibri"/>
                <w:b/>
                <w:color w:val="000000"/>
                <w:sz w:val="16"/>
                <w:szCs w:val="16"/>
              </w:rPr>
            </w:pPr>
            <w:r w:rsidRPr="00140213">
              <w:rPr>
                <w:rFonts w:eastAsia="Calibri"/>
                <w:b/>
                <w:color w:val="000000"/>
              </w:rPr>
              <w:t>PEC</w:t>
            </w:r>
            <w:r w:rsidRPr="00140213">
              <w:rPr>
                <w:rFonts w:eastAsia="Calibri"/>
                <w:b/>
                <w:color w:val="000000"/>
                <w:vertAlign w:val="subscript"/>
              </w:rPr>
              <w:t>STP</w:t>
            </w:r>
          </w:p>
        </w:tc>
        <w:tc>
          <w:tcPr>
            <w:tcW w:w="1708" w:type="pct"/>
            <w:shd w:val="clear" w:color="auto" w:fill="BFBFBF" w:themeFill="background1" w:themeFillShade="BF"/>
            <w:vAlign w:val="center"/>
          </w:tcPr>
          <w:p w14:paraId="1FBFAC05" w14:textId="77777777" w:rsidR="00873FD6" w:rsidRPr="00140213" w:rsidRDefault="00873FD6" w:rsidP="00140213">
            <w:pPr>
              <w:pStyle w:val="Standaard-Tabellen"/>
              <w:jc w:val="center"/>
              <w:rPr>
                <w:rFonts w:eastAsia="Calibri"/>
                <w:b/>
                <w:color w:val="000000"/>
              </w:rPr>
            </w:pPr>
            <w:proofErr w:type="spellStart"/>
            <w:r w:rsidRPr="00140213">
              <w:rPr>
                <w:rFonts w:eastAsia="Calibri"/>
                <w:b/>
              </w:rPr>
              <w:t>PEC</w:t>
            </w:r>
            <w:r w:rsidRPr="00140213">
              <w:rPr>
                <w:rFonts w:eastAsia="Calibri"/>
                <w:b/>
                <w:vertAlign w:val="subscript"/>
              </w:rPr>
              <w:t>water</w:t>
            </w:r>
            <w:proofErr w:type="spellEnd"/>
          </w:p>
        </w:tc>
      </w:tr>
      <w:tr w:rsidR="00873FD6" w:rsidRPr="00FD2055" w14:paraId="27966DDD" w14:textId="77777777" w:rsidTr="00873FD6">
        <w:trPr>
          <w:trHeight w:val="249"/>
        </w:trPr>
        <w:tc>
          <w:tcPr>
            <w:tcW w:w="1292" w:type="pct"/>
            <w:vMerge/>
            <w:shd w:val="clear" w:color="auto" w:fill="FFFFFF"/>
            <w:vAlign w:val="center"/>
          </w:tcPr>
          <w:p w14:paraId="345B4154" w14:textId="77777777" w:rsidR="00873FD6" w:rsidRPr="00FD2055" w:rsidRDefault="00873FD6" w:rsidP="00140213">
            <w:pPr>
              <w:pStyle w:val="Standaard-Tabellen"/>
              <w:rPr>
                <w:rFonts w:eastAsia="Calibri"/>
              </w:rPr>
            </w:pPr>
          </w:p>
        </w:tc>
        <w:tc>
          <w:tcPr>
            <w:tcW w:w="1000" w:type="pct"/>
            <w:vMerge/>
            <w:shd w:val="clear" w:color="auto" w:fill="FFFFFF" w:themeFill="background1"/>
          </w:tcPr>
          <w:p w14:paraId="2BE60A36" w14:textId="77777777" w:rsidR="00873FD6" w:rsidRPr="00FD2055" w:rsidRDefault="00873FD6" w:rsidP="00873FD6">
            <w:pPr>
              <w:pStyle w:val="Standaard-Tabellen"/>
              <w:jc w:val="center"/>
              <w:rPr>
                <w:rFonts w:eastAsia="Calibri"/>
                <w:color w:val="000000"/>
                <w:sz w:val="16"/>
                <w:szCs w:val="16"/>
              </w:rPr>
            </w:pPr>
          </w:p>
        </w:tc>
        <w:tc>
          <w:tcPr>
            <w:tcW w:w="1000" w:type="pct"/>
            <w:shd w:val="clear" w:color="auto" w:fill="BFBFBF" w:themeFill="background1" w:themeFillShade="BF"/>
          </w:tcPr>
          <w:p w14:paraId="3322732A" w14:textId="77777777" w:rsidR="00873FD6" w:rsidRPr="00FD2055" w:rsidRDefault="00873FD6" w:rsidP="00873FD6">
            <w:pPr>
              <w:pStyle w:val="Standaard-Tabellen"/>
              <w:jc w:val="center"/>
              <w:rPr>
                <w:rFonts w:eastAsia="Calibri"/>
                <w:color w:val="000000"/>
              </w:rPr>
            </w:pPr>
            <w:r w:rsidRPr="00FD2055">
              <w:rPr>
                <w:rFonts w:eastAsia="Calibri"/>
                <w:color w:val="000000"/>
                <w:sz w:val="16"/>
                <w:szCs w:val="16"/>
              </w:rPr>
              <w:t>[mg/m</w:t>
            </w:r>
            <w:r w:rsidRPr="00FD2055">
              <w:rPr>
                <w:rFonts w:eastAsia="Calibri"/>
                <w:color w:val="000000"/>
                <w:sz w:val="16"/>
                <w:szCs w:val="16"/>
                <w:vertAlign w:val="superscript"/>
              </w:rPr>
              <w:t>3</w:t>
            </w:r>
            <w:r w:rsidRPr="00FD2055">
              <w:rPr>
                <w:rFonts w:eastAsia="Calibri"/>
                <w:color w:val="000000"/>
                <w:sz w:val="16"/>
                <w:szCs w:val="16"/>
              </w:rPr>
              <w:t>]</w:t>
            </w:r>
          </w:p>
        </w:tc>
        <w:tc>
          <w:tcPr>
            <w:tcW w:w="1708" w:type="pct"/>
            <w:shd w:val="clear" w:color="auto" w:fill="BFBFBF" w:themeFill="background1" w:themeFillShade="BF"/>
            <w:vAlign w:val="center"/>
          </w:tcPr>
          <w:p w14:paraId="4BA8D8EA" w14:textId="77777777" w:rsidR="00873FD6" w:rsidRPr="00FD2055" w:rsidRDefault="00873FD6" w:rsidP="00873FD6">
            <w:pPr>
              <w:pStyle w:val="Standaard-Tabellen"/>
              <w:jc w:val="center"/>
              <w:rPr>
                <w:rFonts w:eastAsia="Calibri"/>
                <w:color w:val="000000"/>
                <w:sz w:val="16"/>
                <w:szCs w:val="16"/>
              </w:rPr>
            </w:pPr>
            <w:r w:rsidRPr="00FD2055">
              <w:rPr>
                <w:rFonts w:eastAsia="Calibri"/>
                <w:color w:val="000000"/>
                <w:sz w:val="16"/>
                <w:szCs w:val="16"/>
              </w:rPr>
              <w:t>[mg/l]</w:t>
            </w:r>
          </w:p>
        </w:tc>
      </w:tr>
      <w:tr w:rsidR="00E56D9B" w:rsidRPr="00FD2055" w14:paraId="4F633F25" w14:textId="77777777" w:rsidTr="00873FD6">
        <w:trPr>
          <w:trHeight w:val="75"/>
        </w:trPr>
        <w:tc>
          <w:tcPr>
            <w:tcW w:w="1292" w:type="pct"/>
            <w:vMerge w:val="restart"/>
            <w:shd w:val="clear" w:color="auto" w:fill="FFFFFF"/>
          </w:tcPr>
          <w:p w14:paraId="51017D7E" w14:textId="77777777" w:rsidR="00E56D9B" w:rsidRPr="002F3EED" w:rsidRDefault="00E56D9B" w:rsidP="00E56D9B">
            <w:pPr>
              <w:pStyle w:val="Standaard-Tabellen"/>
              <w:rPr>
                <w:rFonts w:eastAsia="Calibri"/>
                <w:b/>
              </w:rPr>
            </w:pPr>
            <w:r w:rsidRPr="002F3EED">
              <w:rPr>
                <w:rFonts w:eastAsia="Calibri"/>
                <w:b/>
              </w:rPr>
              <w:t>Scenario 1</w:t>
            </w:r>
          </w:p>
        </w:tc>
        <w:tc>
          <w:tcPr>
            <w:tcW w:w="1000" w:type="pct"/>
            <w:shd w:val="clear" w:color="auto" w:fill="FFFFFF"/>
          </w:tcPr>
          <w:p w14:paraId="41382C2E" w14:textId="77777777" w:rsidR="00E56D9B" w:rsidRDefault="00E56D9B" w:rsidP="00E56D9B">
            <w:pPr>
              <w:pStyle w:val="Standaard-Tabellen"/>
              <w:rPr>
                <w:rFonts w:eastAsia="Calibri"/>
                <w:color w:val="000000"/>
              </w:rPr>
            </w:pPr>
            <w:r>
              <w:rPr>
                <w:rFonts w:eastAsia="Calibri"/>
                <w:color w:val="000000"/>
              </w:rPr>
              <w:t>TIER 1</w:t>
            </w:r>
          </w:p>
        </w:tc>
        <w:tc>
          <w:tcPr>
            <w:tcW w:w="1000" w:type="pct"/>
            <w:shd w:val="clear" w:color="auto" w:fill="FFFFFF"/>
          </w:tcPr>
          <w:p w14:paraId="2303BFA6" w14:textId="62CC2997" w:rsidR="00E56D9B" w:rsidRPr="00FD2055" w:rsidRDefault="00E56D9B" w:rsidP="00E56D9B">
            <w:pPr>
              <w:pStyle w:val="Standaard-Tabellen"/>
              <w:rPr>
                <w:rFonts w:eastAsia="Calibri"/>
                <w:color w:val="000000"/>
              </w:rPr>
            </w:pPr>
            <w:r>
              <w:rPr>
                <w:rFonts w:eastAsia="Calibri"/>
                <w:color w:val="000000"/>
              </w:rPr>
              <w:t>1.04</w:t>
            </w:r>
          </w:p>
        </w:tc>
        <w:tc>
          <w:tcPr>
            <w:tcW w:w="1708" w:type="pct"/>
            <w:shd w:val="clear" w:color="auto" w:fill="FFFFFF"/>
          </w:tcPr>
          <w:p w14:paraId="61DBFC19" w14:textId="1F675973" w:rsidR="00E56D9B" w:rsidRPr="000C0C72" w:rsidRDefault="00E56D9B" w:rsidP="00E56D9B">
            <w:pPr>
              <w:pStyle w:val="Standaard-Tabellen"/>
              <w:rPr>
                <w:rFonts w:eastAsia="Calibri"/>
                <w:color w:val="000000"/>
                <w:vertAlign w:val="superscript"/>
              </w:rPr>
            </w:pPr>
            <w:r>
              <w:rPr>
                <w:rFonts w:eastAsia="Calibri"/>
                <w:color w:val="000000"/>
              </w:rPr>
              <w:t>1.04x10</w:t>
            </w:r>
            <w:r>
              <w:rPr>
                <w:rFonts w:eastAsia="Calibri"/>
                <w:color w:val="000000"/>
                <w:vertAlign w:val="superscript"/>
              </w:rPr>
              <w:t>-1</w:t>
            </w:r>
          </w:p>
        </w:tc>
      </w:tr>
      <w:tr w:rsidR="00E56D9B" w:rsidRPr="00FD2055" w14:paraId="2B79ECBF" w14:textId="77777777" w:rsidTr="00873FD6">
        <w:trPr>
          <w:trHeight w:val="75"/>
        </w:trPr>
        <w:tc>
          <w:tcPr>
            <w:tcW w:w="1292" w:type="pct"/>
            <w:vMerge/>
            <w:shd w:val="clear" w:color="auto" w:fill="FFFFFF"/>
          </w:tcPr>
          <w:p w14:paraId="2D7A5625" w14:textId="77777777" w:rsidR="00E56D9B" w:rsidRPr="002F3EED" w:rsidRDefault="00E56D9B" w:rsidP="00E56D9B">
            <w:pPr>
              <w:pStyle w:val="Standaard-Tabellen"/>
              <w:rPr>
                <w:rFonts w:eastAsia="Calibri"/>
                <w:b/>
              </w:rPr>
            </w:pPr>
          </w:p>
        </w:tc>
        <w:tc>
          <w:tcPr>
            <w:tcW w:w="1000" w:type="pct"/>
            <w:shd w:val="clear" w:color="auto" w:fill="FFFFFF"/>
          </w:tcPr>
          <w:p w14:paraId="49478BE7" w14:textId="77777777" w:rsidR="00E56D9B" w:rsidRDefault="00E56D9B" w:rsidP="00E56D9B">
            <w:pPr>
              <w:pStyle w:val="Standaard-Tabellen"/>
              <w:rPr>
                <w:rFonts w:eastAsia="Calibri"/>
              </w:rPr>
            </w:pPr>
            <w:r>
              <w:rPr>
                <w:rFonts w:eastAsia="Calibri"/>
              </w:rPr>
              <w:t>TIER 2</w:t>
            </w:r>
          </w:p>
        </w:tc>
        <w:tc>
          <w:tcPr>
            <w:tcW w:w="1000" w:type="pct"/>
            <w:shd w:val="clear" w:color="auto" w:fill="FFFFFF"/>
          </w:tcPr>
          <w:p w14:paraId="58CEFB2D" w14:textId="44CB4672" w:rsidR="00E56D9B" w:rsidRPr="000C0C72" w:rsidRDefault="00E56D9B" w:rsidP="00E56D9B">
            <w:pPr>
              <w:pStyle w:val="Standaard-Tabellen"/>
              <w:rPr>
                <w:rFonts w:eastAsia="Calibri"/>
                <w:vertAlign w:val="superscript"/>
              </w:rPr>
            </w:pPr>
            <w:r>
              <w:rPr>
                <w:rFonts w:eastAsia="Calibri"/>
              </w:rPr>
              <w:t>1.05x10</w:t>
            </w:r>
            <w:r>
              <w:rPr>
                <w:rFonts w:eastAsia="Calibri"/>
                <w:vertAlign w:val="superscript"/>
              </w:rPr>
              <w:t>-2</w:t>
            </w:r>
          </w:p>
        </w:tc>
        <w:tc>
          <w:tcPr>
            <w:tcW w:w="1708" w:type="pct"/>
            <w:shd w:val="clear" w:color="auto" w:fill="FFFFFF"/>
          </w:tcPr>
          <w:p w14:paraId="1786DA85" w14:textId="36E93616" w:rsidR="00E56D9B" w:rsidRPr="000C0C72" w:rsidRDefault="00E56D9B" w:rsidP="00E56D9B">
            <w:pPr>
              <w:pStyle w:val="Standaard-Tabellen"/>
              <w:rPr>
                <w:rFonts w:eastAsia="Calibri"/>
                <w:color w:val="000000"/>
                <w:vertAlign w:val="superscript"/>
              </w:rPr>
            </w:pPr>
            <w:r>
              <w:rPr>
                <w:rFonts w:eastAsia="Calibri"/>
                <w:color w:val="000000"/>
              </w:rPr>
              <w:t>1.05x10</w:t>
            </w:r>
            <w:r>
              <w:rPr>
                <w:rFonts w:eastAsia="Calibri"/>
                <w:color w:val="000000"/>
                <w:vertAlign w:val="superscript"/>
              </w:rPr>
              <w:t>-3</w:t>
            </w:r>
          </w:p>
        </w:tc>
      </w:tr>
      <w:tr w:rsidR="00E56D9B" w:rsidRPr="00FD2055" w14:paraId="1D39F791" w14:textId="77777777" w:rsidTr="00873FD6">
        <w:trPr>
          <w:trHeight w:val="75"/>
        </w:trPr>
        <w:tc>
          <w:tcPr>
            <w:tcW w:w="1292" w:type="pct"/>
            <w:vMerge w:val="restart"/>
            <w:shd w:val="clear" w:color="auto" w:fill="FFFFFF"/>
          </w:tcPr>
          <w:p w14:paraId="7F7C1959" w14:textId="77777777" w:rsidR="00E56D9B" w:rsidRPr="002F3EED" w:rsidRDefault="00E56D9B" w:rsidP="00E56D9B">
            <w:pPr>
              <w:pStyle w:val="Standaard-Tabellen"/>
              <w:rPr>
                <w:rFonts w:eastAsia="Calibri"/>
                <w:b/>
              </w:rPr>
            </w:pPr>
            <w:r w:rsidRPr="002F3EED">
              <w:rPr>
                <w:rFonts w:eastAsia="Calibri"/>
                <w:b/>
              </w:rPr>
              <w:t>Scenario 2</w:t>
            </w:r>
          </w:p>
        </w:tc>
        <w:tc>
          <w:tcPr>
            <w:tcW w:w="1000" w:type="pct"/>
            <w:shd w:val="clear" w:color="auto" w:fill="FFFFFF"/>
          </w:tcPr>
          <w:p w14:paraId="56E573DA" w14:textId="77777777" w:rsidR="00E56D9B" w:rsidRPr="00FD2055" w:rsidRDefault="00E56D9B" w:rsidP="00E56D9B">
            <w:pPr>
              <w:pStyle w:val="Standaard-Tabellen"/>
              <w:rPr>
                <w:rFonts w:eastAsia="Calibri"/>
              </w:rPr>
            </w:pPr>
            <w:r>
              <w:rPr>
                <w:rFonts w:eastAsia="Calibri"/>
              </w:rPr>
              <w:t>Day 1</w:t>
            </w:r>
          </w:p>
        </w:tc>
        <w:tc>
          <w:tcPr>
            <w:tcW w:w="1000" w:type="pct"/>
            <w:shd w:val="clear" w:color="auto" w:fill="FFFFFF"/>
          </w:tcPr>
          <w:p w14:paraId="3B9A4A3D" w14:textId="6A702950" w:rsidR="00E56D9B" w:rsidRPr="00FD2055" w:rsidRDefault="00E56D9B" w:rsidP="00E56D9B">
            <w:pPr>
              <w:pStyle w:val="Standaard-Tabellen"/>
              <w:rPr>
                <w:rFonts w:eastAsia="Calibri"/>
              </w:rPr>
            </w:pPr>
            <w:r>
              <w:rPr>
                <w:rFonts w:eastAsia="Calibri"/>
              </w:rPr>
              <w:t>n/a</w:t>
            </w:r>
          </w:p>
        </w:tc>
        <w:tc>
          <w:tcPr>
            <w:tcW w:w="1708" w:type="pct"/>
            <w:shd w:val="clear" w:color="auto" w:fill="FFFFFF"/>
          </w:tcPr>
          <w:p w14:paraId="291ECA0C" w14:textId="2E7D8727" w:rsidR="00E56D9B" w:rsidRPr="008C5876" w:rsidRDefault="008C5876" w:rsidP="00E56D9B">
            <w:pPr>
              <w:pStyle w:val="Standaard-Tabellen"/>
              <w:rPr>
                <w:rFonts w:eastAsia="Calibri"/>
                <w:color w:val="000000"/>
                <w:vertAlign w:val="superscript"/>
              </w:rPr>
            </w:pPr>
            <w:r>
              <w:rPr>
                <w:rFonts w:eastAsia="Calibri"/>
                <w:color w:val="000000"/>
              </w:rPr>
              <w:t>6.58x10</w:t>
            </w:r>
            <w:r>
              <w:rPr>
                <w:rFonts w:eastAsia="Calibri"/>
                <w:color w:val="000000"/>
                <w:vertAlign w:val="superscript"/>
              </w:rPr>
              <w:t>-4</w:t>
            </w:r>
          </w:p>
        </w:tc>
      </w:tr>
      <w:tr w:rsidR="00E56D9B" w:rsidRPr="00FD2055" w14:paraId="4716FAFD" w14:textId="77777777" w:rsidTr="00873FD6">
        <w:trPr>
          <w:trHeight w:val="75"/>
        </w:trPr>
        <w:tc>
          <w:tcPr>
            <w:tcW w:w="1292" w:type="pct"/>
            <w:vMerge/>
            <w:shd w:val="clear" w:color="auto" w:fill="FFFFFF"/>
          </w:tcPr>
          <w:p w14:paraId="53DB3AE9" w14:textId="77777777" w:rsidR="00E56D9B" w:rsidRDefault="00E56D9B" w:rsidP="00E56D9B">
            <w:pPr>
              <w:pStyle w:val="Standaard-Tabellen"/>
              <w:rPr>
                <w:rFonts w:eastAsia="Calibri"/>
              </w:rPr>
            </w:pPr>
          </w:p>
        </w:tc>
        <w:tc>
          <w:tcPr>
            <w:tcW w:w="1000" w:type="pct"/>
            <w:shd w:val="clear" w:color="auto" w:fill="FFFFFF"/>
          </w:tcPr>
          <w:p w14:paraId="1C6FD031" w14:textId="77777777" w:rsidR="00E56D9B" w:rsidRDefault="00E56D9B" w:rsidP="00E56D9B">
            <w:pPr>
              <w:pStyle w:val="Standaard-Tabellen"/>
              <w:rPr>
                <w:rFonts w:eastAsia="Calibri"/>
              </w:rPr>
            </w:pPr>
            <w:r>
              <w:rPr>
                <w:rFonts w:eastAsia="Calibri"/>
              </w:rPr>
              <w:t>Day 91</w:t>
            </w:r>
          </w:p>
        </w:tc>
        <w:tc>
          <w:tcPr>
            <w:tcW w:w="1000" w:type="pct"/>
            <w:shd w:val="clear" w:color="auto" w:fill="FFFFFF"/>
          </w:tcPr>
          <w:p w14:paraId="0892AF96" w14:textId="72AE3E4C" w:rsidR="00E56D9B" w:rsidRPr="00FD2055" w:rsidRDefault="00E56D9B" w:rsidP="00E56D9B">
            <w:pPr>
              <w:pStyle w:val="Standaard-Tabellen"/>
              <w:rPr>
                <w:rFonts w:eastAsia="Calibri"/>
              </w:rPr>
            </w:pPr>
            <w:r>
              <w:rPr>
                <w:rFonts w:eastAsia="Calibri"/>
              </w:rPr>
              <w:t>n/a</w:t>
            </w:r>
          </w:p>
        </w:tc>
        <w:tc>
          <w:tcPr>
            <w:tcW w:w="1708" w:type="pct"/>
            <w:shd w:val="clear" w:color="auto" w:fill="FFFFFF"/>
          </w:tcPr>
          <w:p w14:paraId="7E66C16A" w14:textId="1C7CD184" w:rsidR="00E56D9B" w:rsidRPr="008C5876" w:rsidRDefault="008C5876" w:rsidP="00E56D9B">
            <w:pPr>
              <w:pStyle w:val="Standaard-Tabellen"/>
              <w:rPr>
                <w:rFonts w:eastAsia="Calibri"/>
                <w:color w:val="000000"/>
                <w:vertAlign w:val="superscript"/>
              </w:rPr>
            </w:pPr>
            <w:r>
              <w:rPr>
                <w:rFonts w:eastAsia="Calibri"/>
                <w:color w:val="000000"/>
              </w:rPr>
              <w:t>5.99x10</w:t>
            </w:r>
            <w:r>
              <w:rPr>
                <w:rFonts w:eastAsia="Calibri"/>
                <w:color w:val="000000"/>
                <w:vertAlign w:val="superscript"/>
              </w:rPr>
              <w:t>-2</w:t>
            </w:r>
          </w:p>
        </w:tc>
      </w:tr>
    </w:tbl>
    <w:p w14:paraId="57A7A2EF" w14:textId="77777777" w:rsidR="008A3D8E" w:rsidRPr="00FD2055" w:rsidRDefault="008A3D8E" w:rsidP="00E62B94">
      <w:pPr>
        <w:spacing w:line="260" w:lineRule="atLeast"/>
        <w:jc w:val="both"/>
        <w:rPr>
          <w:rFonts w:eastAsia="Calibri"/>
          <w:lang w:eastAsia="en-US"/>
        </w:rPr>
      </w:pPr>
    </w:p>
    <w:p w14:paraId="5522A1A9" w14:textId="77777777" w:rsidR="00140213" w:rsidRPr="00FD2055" w:rsidRDefault="00140213" w:rsidP="007E5F71">
      <w:pPr>
        <w:pStyle w:val="Titre5"/>
      </w:pPr>
      <w:bookmarkStart w:id="282" w:name="_Toc377651047"/>
      <w:bookmarkStart w:id="283" w:name="_Toc389729117"/>
      <w:bookmarkStart w:id="284" w:name="_Toc403472802"/>
      <w:bookmarkStart w:id="285" w:name="_Toc12967206"/>
      <w:r w:rsidRPr="00FD2055">
        <w:t>Primary and secondary poisoning</w:t>
      </w:r>
      <w:bookmarkEnd w:id="282"/>
      <w:bookmarkEnd w:id="283"/>
      <w:bookmarkEnd w:id="284"/>
      <w:bookmarkEnd w:id="285"/>
    </w:p>
    <w:p w14:paraId="2CA0AD62" w14:textId="77777777" w:rsidR="00140213" w:rsidRPr="00140213" w:rsidRDefault="00140213" w:rsidP="00D63FA7">
      <w:pPr>
        <w:pStyle w:val="Titre6"/>
        <w:numPr>
          <w:ilvl w:val="0"/>
          <w:numId w:val="6"/>
        </w:numPr>
        <w:rPr>
          <w:lang w:val="en-US"/>
        </w:rPr>
      </w:pPr>
      <w:r w:rsidRPr="00140213">
        <w:rPr>
          <w:lang w:val="en-US"/>
        </w:rPr>
        <w:t xml:space="preserve">Primary poisoning </w:t>
      </w:r>
    </w:p>
    <w:p w14:paraId="2B284C0A" w14:textId="77777777" w:rsidR="002F3EED" w:rsidRPr="002F3EED" w:rsidRDefault="002F3EED" w:rsidP="002F3EED">
      <w:pPr>
        <w:rPr>
          <w:rFonts w:eastAsia="Calibri"/>
          <w:lang w:val="en-US" w:eastAsia="en-US"/>
        </w:rPr>
      </w:pPr>
      <w:r w:rsidRPr="002F3EED">
        <w:rPr>
          <w:rFonts w:eastAsia="Calibri"/>
          <w:lang w:val="en-US" w:eastAsia="en-US"/>
        </w:rPr>
        <w:t>Not applicable, since this product is a repellent and has no intention of killing.</w:t>
      </w:r>
    </w:p>
    <w:p w14:paraId="43F9E164" w14:textId="77777777" w:rsidR="00140213" w:rsidRPr="002F3EED" w:rsidRDefault="00140213" w:rsidP="002F3EED">
      <w:pPr>
        <w:rPr>
          <w:lang w:val="en-US" w:eastAsia="en-US"/>
        </w:rPr>
      </w:pPr>
    </w:p>
    <w:p w14:paraId="64489749" w14:textId="77777777" w:rsidR="00140213" w:rsidRPr="00FD2055" w:rsidRDefault="00140213" w:rsidP="00D63FA7">
      <w:pPr>
        <w:pStyle w:val="Titre6"/>
        <w:numPr>
          <w:ilvl w:val="0"/>
          <w:numId w:val="6"/>
        </w:numPr>
      </w:pPr>
      <w:proofErr w:type="spellStart"/>
      <w:r w:rsidRPr="00FD2055">
        <w:t>Secondary</w:t>
      </w:r>
      <w:proofErr w:type="spellEnd"/>
      <w:r w:rsidRPr="00FD2055">
        <w:t xml:space="preserve"> </w:t>
      </w:r>
      <w:proofErr w:type="spellStart"/>
      <w:r w:rsidRPr="00FD2055">
        <w:t>poisoning</w:t>
      </w:r>
      <w:proofErr w:type="spellEnd"/>
    </w:p>
    <w:p w14:paraId="4FE0C32E" w14:textId="77777777" w:rsidR="002F3EED" w:rsidRPr="002F3EED" w:rsidRDefault="002F3EED" w:rsidP="002F3EED">
      <w:pPr>
        <w:rPr>
          <w:rFonts w:eastAsia="Calibri"/>
          <w:lang w:val="en-US" w:eastAsia="en-US"/>
        </w:rPr>
      </w:pPr>
      <w:r w:rsidRPr="002F3EED">
        <w:rPr>
          <w:rFonts w:eastAsia="Calibri"/>
          <w:lang w:val="en-US" w:eastAsia="en-US"/>
        </w:rPr>
        <w:t xml:space="preserve">Not relevant, since </w:t>
      </w:r>
      <w:r>
        <w:rPr>
          <w:rFonts w:eastAsia="Calibri"/>
          <w:lang w:val="en-US" w:eastAsia="en-US"/>
        </w:rPr>
        <w:t xml:space="preserve">no </w:t>
      </w:r>
      <w:r w:rsidRPr="002F3EED">
        <w:rPr>
          <w:rFonts w:eastAsia="Calibri"/>
          <w:lang w:val="en-US" w:eastAsia="en-US"/>
        </w:rPr>
        <w:t xml:space="preserve">bioaccumulation </w:t>
      </w:r>
      <w:r>
        <w:rPr>
          <w:rFonts w:eastAsia="Calibri"/>
          <w:lang w:val="en-US" w:eastAsia="en-US"/>
        </w:rPr>
        <w:t xml:space="preserve">is </w:t>
      </w:r>
      <w:r w:rsidRPr="002F3EED">
        <w:rPr>
          <w:rFonts w:eastAsia="Calibri"/>
          <w:lang w:val="en-US" w:eastAsia="en-US"/>
        </w:rPr>
        <w:t>expected.</w:t>
      </w:r>
    </w:p>
    <w:p w14:paraId="7CAC989E" w14:textId="77777777" w:rsidR="00E62B94" w:rsidRPr="002F3EED" w:rsidRDefault="00E62B94" w:rsidP="002F3EED">
      <w:pPr>
        <w:rPr>
          <w:rFonts w:eastAsia="Calibri"/>
          <w:lang w:val="en-US" w:eastAsia="en-US"/>
        </w:rPr>
      </w:pPr>
    </w:p>
    <w:p w14:paraId="0467EE99" w14:textId="77777777" w:rsidR="00C442A7" w:rsidRDefault="00C442A7" w:rsidP="002F3EED">
      <w:pPr>
        <w:rPr>
          <w:lang w:eastAsia="en-US"/>
        </w:rPr>
      </w:pPr>
    </w:p>
    <w:p w14:paraId="2239072D" w14:textId="77777777" w:rsidR="00140213" w:rsidRDefault="00140213">
      <w:pPr>
        <w:spacing w:before="0" w:after="160" w:line="259" w:lineRule="auto"/>
        <w:rPr>
          <w:lang w:eastAsia="en-US"/>
        </w:rPr>
      </w:pPr>
      <w:r>
        <w:rPr>
          <w:lang w:eastAsia="en-US"/>
        </w:rPr>
        <w:br w:type="page"/>
      </w:r>
    </w:p>
    <w:p w14:paraId="00D5078B" w14:textId="77777777" w:rsidR="00140213" w:rsidRDefault="00E94ED0" w:rsidP="00E94ED0">
      <w:pPr>
        <w:pStyle w:val="Titre4"/>
      </w:pPr>
      <w:bookmarkStart w:id="286" w:name="_Toc12967207"/>
      <w:r>
        <w:lastRenderedPageBreak/>
        <w:t>Risk characterisation</w:t>
      </w:r>
      <w:bookmarkEnd w:id="286"/>
    </w:p>
    <w:p w14:paraId="078F09D6" w14:textId="77777777" w:rsidR="00E94ED0" w:rsidRPr="00E94ED0" w:rsidRDefault="00E94ED0" w:rsidP="007E5F71">
      <w:pPr>
        <w:pStyle w:val="Titre5"/>
        <w:numPr>
          <w:ilvl w:val="0"/>
          <w:numId w:val="7"/>
        </w:numPr>
      </w:pPr>
      <w:bookmarkStart w:id="287" w:name="_Toc12967208"/>
      <w:r>
        <w:t>Atmosphere</w:t>
      </w:r>
      <w:bookmarkEnd w:id="287"/>
    </w:p>
    <w:p w14:paraId="1578FBE9" w14:textId="77777777" w:rsidR="00E94ED0" w:rsidRDefault="00E94ED0" w:rsidP="00E94ED0">
      <w:pPr>
        <w:rPr>
          <w:rFonts w:eastAsia="Calibri"/>
          <w:lang w:eastAsia="en-US"/>
        </w:rPr>
      </w:pPr>
      <w:r w:rsidRPr="00FD2055">
        <w:rPr>
          <w:rFonts w:eastAsia="Calibri"/>
          <w:u w:val="single"/>
          <w:lang w:eastAsia="en-US"/>
        </w:rPr>
        <w:t>Conclusion</w:t>
      </w:r>
      <w:r w:rsidRPr="00FD2055">
        <w:rPr>
          <w:rFonts w:eastAsia="Calibri"/>
          <w:lang w:eastAsia="en-US"/>
        </w:rPr>
        <w:t xml:space="preserve">: </w:t>
      </w:r>
    </w:p>
    <w:p w14:paraId="5D64DC38" w14:textId="77777777" w:rsidR="00E94ED0" w:rsidRPr="00FD2055" w:rsidRDefault="00BD5A49" w:rsidP="00BD5A49">
      <w:pPr>
        <w:rPr>
          <w:rFonts w:eastAsia="Calibri"/>
          <w:lang w:eastAsia="en-US"/>
        </w:rPr>
      </w:pPr>
      <w:r>
        <w:rPr>
          <w:rFonts w:eastAsia="Calibri"/>
        </w:rPr>
        <w:t>Only negligible exposure to the atmosphere is expected and no threat to the atmosphere is expected.</w:t>
      </w:r>
    </w:p>
    <w:p w14:paraId="016125E1" w14:textId="77777777" w:rsidR="00E94ED0" w:rsidRPr="00FD2055" w:rsidRDefault="00E94ED0" w:rsidP="007E5F71">
      <w:pPr>
        <w:pStyle w:val="Titre5"/>
      </w:pPr>
      <w:bookmarkStart w:id="288" w:name="_Toc377651051"/>
      <w:bookmarkStart w:id="289" w:name="_Toc389729120"/>
      <w:bookmarkStart w:id="290" w:name="_Toc403472804"/>
      <w:bookmarkStart w:id="291" w:name="_Toc12967209"/>
      <w:r w:rsidRPr="00FD2055">
        <w:t>Sewage treatment plant (STP</w:t>
      </w:r>
      <w:bookmarkEnd w:id="288"/>
      <w:r w:rsidRPr="00FD2055">
        <w:t>)</w:t>
      </w:r>
      <w:bookmarkEnd w:id="289"/>
      <w:bookmarkEnd w:id="290"/>
      <w:bookmarkEnd w:id="291"/>
      <w:r w:rsidRPr="00FD205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1632"/>
        <w:gridCol w:w="5540"/>
      </w:tblGrid>
      <w:tr w:rsidR="00BD5A49" w:rsidRPr="00E94ED0" w14:paraId="46822621" w14:textId="77777777" w:rsidTr="00BD5A49">
        <w:trPr>
          <w:trHeight w:val="249"/>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tcPr>
          <w:p w14:paraId="06F6D626" w14:textId="77777777" w:rsidR="00BD5A49" w:rsidRPr="00E94ED0" w:rsidRDefault="00BD5A49" w:rsidP="00E94ED0">
            <w:pPr>
              <w:pStyle w:val="Standaard-Tabellen"/>
              <w:jc w:val="center"/>
              <w:rPr>
                <w:rFonts w:eastAsia="Calibri"/>
                <w:b/>
              </w:rPr>
            </w:pPr>
            <w:r w:rsidRPr="00E94ED0">
              <w:rPr>
                <w:rFonts w:eastAsia="Calibri"/>
                <w:b/>
              </w:rPr>
              <w:t>Summary table on calculated PEC/PNEC values</w:t>
            </w:r>
          </w:p>
        </w:tc>
      </w:tr>
      <w:tr w:rsidR="00BD5A49" w:rsidRPr="00E94ED0" w14:paraId="58C3EEAE" w14:textId="77777777" w:rsidTr="00BD5A49">
        <w:trPr>
          <w:trHeight w:val="471"/>
        </w:trPr>
        <w:tc>
          <w:tcPr>
            <w:tcW w:w="1186" w:type="pct"/>
            <w:shd w:val="clear" w:color="auto" w:fill="BFBFBF" w:themeFill="background1" w:themeFillShade="BF"/>
            <w:vAlign w:val="center"/>
          </w:tcPr>
          <w:p w14:paraId="09FD996B" w14:textId="77777777" w:rsidR="00BD5A49" w:rsidRPr="00E94ED0" w:rsidRDefault="00BD5A49" w:rsidP="00E94ED0">
            <w:pPr>
              <w:pStyle w:val="Standaard-Tabellen"/>
              <w:jc w:val="center"/>
              <w:rPr>
                <w:rFonts w:eastAsia="Calibri"/>
                <w:b/>
              </w:rPr>
            </w:pPr>
          </w:p>
        </w:tc>
        <w:tc>
          <w:tcPr>
            <w:tcW w:w="868" w:type="pct"/>
            <w:shd w:val="clear" w:color="auto" w:fill="BFBFBF" w:themeFill="background1" w:themeFillShade="BF"/>
          </w:tcPr>
          <w:p w14:paraId="60F35C5C" w14:textId="77777777" w:rsidR="00BD5A49" w:rsidRPr="00E94ED0" w:rsidRDefault="00BD5A49" w:rsidP="00E94ED0">
            <w:pPr>
              <w:pStyle w:val="Standaard-Tabellen"/>
              <w:jc w:val="center"/>
              <w:rPr>
                <w:rFonts w:eastAsia="Calibri"/>
                <w:b/>
              </w:rPr>
            </w:pPr>
          </w:p>
        </w:tc>
        <w:tc>
          <w:tcPr>
            <w:tcW w:w="2946" w:type="pct"/>
            <w:shd w:val="clear" w:color="auto" w:fill="BFBFBF" w:themeFill="background1" w:themeFillShade="BF"/>
            <w:vAlign w:val="center"/>
          </w:tcPr>
          <w:p w14:paraId="732B21FD" w14:textId="77777777" w:rsidR="00BD5A49" w:rsidRPr="00E94ED0" w:rsidRDefault="00BD5A49" w:rsidP="00E94ED0">
            <w:pPr>
              <w:pStyle w:val="Standaard-Tabellen"/>
              <w:jc w:val="center"/>
              <w:rPr>
                <w:rFonts w:eastAsia="Calibri"/>
                <w:b/>
              </w:rPr>
            </w:pPr>
            <w:r w:rsidRPr="00E94ED0">
              <w:rPr>
                <w:rFonts w:eastAsia="Calibri"/>
                <w:b/>
              </w:rPr>
              <w:t>PEC/PNEC</w:t>
            </w:r>
            <w:r w:rsidRPr="00E94ED0">
              <w:rPr>
                <w:rFonts w:eastAsia="Calibri"/>
                <w:b/>
                <w:vertAlign w:val="subscript"/>
              </w:rPr>
              <w:t>STP</w:t>
            </w:r>
          </w:p>
        </w:tc>
      </w:tr>
      <w:tr w:rsidR="00E56D9B" w:rsidRPr="00FD2055" w14:paraId="31DB6062" w14:textId="77777777" w:rsidTr="00BD5A49">
        <w:trPr>
          <w:trHeight w:val="75"/>
        </w:trPr>
        <w:tc>
          <w:tcPr>
            <w:tcW w:w="1186" w:type="pct"/>
            <w:vMerge w:val="restart"/>
            <w:shd w:val="clear" w:color="auto" w:fill="FFFFFF"/>
          </w:tcPr>
          <w:p w14:paraId="6FA86824" w14:textId="77777777" w:rsidR="00E56D9B" w:rsidRPr="00FD2055" w:rsidRDefault="00E56D9B" w:rsidP="00E56D9B">
            <w:pPr>
              <w:pStyle w:val="Standaard-Tabellen"/>
              <w:rPr>
                <w:rFonts w:eastAsia="Calibri"/>
              </w:rPr>
            </w:pPr>
            <w:r>
              <w:rPr>
                <w:rFonts w:eastAsia="Calibri"/>
              </w:rPr>
              <w:t>Scenario 1</w:t>
            </w:r>
          </w:p>
        </w:tc>
        <w:tc>
          <w:tcPr>
            <w:tcW w:w="868" w:type="pct"/>
            <w:shd w:val="clear" w:color="auto" w:fill="FFFFFF"/>
          </w:tcPr>
          <w:p w14:paraId="2AB0329A" w14:textId="77777777" w:rsidR="00E56D9B" w:rsidRPr="00FD2055" w:rsidRDefault="00E56D9B" w:rsidP="00E56D9B">
            <w:pPr>
              <w:pStyle w:val="Standaard-Tabellen"/>
              <w:rPr>
                <w:rFonts w:eastAsia="Calibri"/>
              </w:rPr>
            </w:pPr>
            <w:r>
              <w:rPr>
                <w:rFonts w:eastAsia="Calibri"/>
              </w:rPr>
              <w:t>TIER 1</w:t>
            </w:r>
          </w:p>
        </w:tc>
        <w:tc>
          <w:tcPr>
            <w:tcW w:w="2946" w:type="pct"/>
            <w:shd w:val="clear" w:color="auto" w:fill="FFFFFF"/>
          </w:tcPr>
          <w:p w14:paraId="44920BCC" w14:textId="5D3172BE" w:rsidR="00E56D9B" w:rsidRPr="008C5876" w:rsidRDefault="00E56D9B" w:rsidP="00E56D9B">
            <w:pPr>
              <w:pStyle w:val="Standaard-Tabellen"/>
              <w:rPr>
                <w:rFonts w:eastAsia="Calibri"/>
                <w:vertAlign w:val="superscript"/>
              </w:rPr>
            </w:pPr>
            <w:r w:rsidRPr="008C5876">
              <w:rPr>
                <w:rFonts w:eastAsia="Calibri"/>
              </w:rPr>
              <w:t>1.04x10</w:t>
            </w:r>
            <w:r w:rsidRPr="008C5876">
              <w:rPr>
                <w:rFonts w:eastAsia="Calibri"/>
                <w:vertAlign w:val="superscript"/>
              </w:rPr>
              <w:t>-2</w:t>
            </w:r>
          </w:p>
        </w:tc>
      </w:tr>
      <w:tr w:rsidR="00E56D9B" w:rsidRPr="00FD2055" w14:paraId="15C7C50F" w14:textId="77777777" w:rsidTr="00BD5A49">
        <w:trPr>
          <w:trHeight w:val="75"/>
        </w:trPr>
        <w:tc>
          <w:tcPr>
            <w:tcW w:w="1186" w:type="pct"/>
            <w:vMerge/>
            <w:shd w:val="clear" w:color="auto" w:fill="FFFFFF"/>
          </w:tcPr>
          <w:p w14:paraId="480D702F" w14:textId="77777777" w:rsidR="00E56D9B" w:rsidRPr="00FD2055" w:rsidRDefault="00E56D9B" w:rsidP="00E56D9B">
            <w:pPr>
              <w:pStyle w:val="Standaard-Tabellen"/>
              <w:rPr>
                <w:rFonts w:eastAsia="Calibri"/>
              </w:rPr>
            </w:pPr>
          </w:p>
        </w:tc>
        <w:tc>
          <w:tcPr>
            <w:tcW w:w="868" w:type="pct"/>
            <w:shd w:val="clear" w:color="auto" w:fill="FFFFFF"/>
          </w:tcPr>
          <w:p w14:paraId="46959A15" w14:textId="77777777" w:rsidR="00E56D9B" w:rsidRPr="00FD2055" w:rsidRDefault="00E56D9B" w:rsidP="00E56D9B">
            <w:pPr>
              <w:pStyle w:val="Standaard-Tabellen"/>
              <w:rPr>
                <w:rFonts w:eastAsia="Calibri"/>
              </w:rPr>
            </w:pPr>
            <w:r>
              <w:rPr>
                <w:rFonts w:eastAsia="Calibri"/>
              </w:rPr>
              <w:t>TIER 2</w:t>
            </w:r>
          </w:p>
        </w:tc>
        <w:tc>
          <w:tcPr>
            <w:tcW w:w="2946" w:type="pct"/>
            <w:shd w:val="clear" w:color="auto" w:fill="FFFFFF"/>
          </w:tcPr>
          <w:p w14:paraId="7444FDC1" w14:textId="64FD75CF" w:rsidR="00E56D9B" w:rsidRPr="008C5876" w:rsidRDefault="00E56D9B" w:rsidP="00E56D9B">
            <w:pPr>
              <w:pStyle w:val="Standaard-Tabellen"/>
              <w:rPr>
                <w:rFonts w:eastAsia="Calibri"/>
                <w:vertAlign w:val="superscript"/>
              </w:rPr>
            </w:pPr>
            <w:r w:rsidRPr="008C5876">
              <w:rPr>
                <w:rFonts w:eastAsia="Calibri"/>
              </w:rPr>
              <w:t>1.05x10</w:t>
            </w:r>
            <w:r w:rsidRPr="008C5876">
              <w:rPr>
                <w:rFonts w:eastAsia="Calibri"/>
                <w:vertAlign w:val="superscript"/>
              </w:rPr>
              <w:t>-4</w:t>
            </w:r>
          </w:p>
        </w:tc>
      </w:tr>
      <w:tr w:rsidR="00E56D9B" w:rsidRPr="00FD2055" w14:paraId="222F1E2A" w14:textId="77777777" w:rsidTr="00BD5A49">
        <w:trPr>
          <w:trHeight w:val="75"/>
        </w:trPr>
        <w:tc>
          <w:tcPr>
            <w:tcW w:w="1186" w:type="pct"/>
            <w:vMerge w:val="restart"/>
            <w:shd w:val="clear" w:color="auto" w:fill="FFFFFF"/>
          </w:tcPr>
          <w:p w14:paraId="2BDF9250" w14:textId="77777777" w:rsidR="00E56D9B" w:rsidRPr="00FD2055" w:rsidRDefault="00E56D9B" w:rsidP="00E56D9B">
            <w:pPr>
              <w:pStyle w:val="Standaard-Tabellen"/>
              <w:rPr>
                <w:rFonts w:eastAsia="Calibri"/>
              </w:rPr>
            </w:pPr>
            <w:r>
              <w:rPr>
                <w:rFonts w:eastAsia="Calibri"/>
              </w:rPr>
              <w:t>Scenario 2</w:t>
            </w:r>
          </w:p>
        </w:tc>
        <w:tc>
          <w:tcPr>
            <w:tcW w:w="868" w:type="pct"/>
            <w:shd w:val="clear" w:color="auto" w:fill="FFFFFF"/>
          </w:tcPr>
          <w:p w14:paraId="3AFCD3F1" w14:textId="77777777" w:rsidR="00E56D9B" w:rsidRDefault="00E56D9B" w:rsidP="00E56D9B">
            <w:pPr>
              <w:pStyle w:val="Standaard-Tabellen"/>
              <w:rPr>
                <w:rFonts w:eastAsia="Calibri"/>
              </w:rPr>
            </w:pPr>
            <w:r>
              <w:rPr>
                <w:rFonts w:eastAsia="Calibri"/>
              </w:rPr>
              <w:t>Day 1</w:t>
            </w:r>
          </w:p>
        </w:tc>
        <w:tc>
          <w:tcPr>
            <w:tcW w:w="2946" w:type="pct"/>
            <w:shd w:val="clear" w:color="auto" w:fill="FFFFFF"/>
          </w:tcPr>
          <w:p w14:paraId="105B85F7" w14:textId="15BE24DC" w:rsidR="00E56D9B" w:rsidRPr="008C5876" w:rsidRDefault="00E56D9B" w:rsidP="00E56D9B">
            <w:pPr>
              <w:pStyle w:val="Standaard-Tabellen"/>
              <w:rPr>
                <w:rFonts w:eastAsia="Calibri"/>
              </w:rPr>
            </w:pPr>
            <w:r w:rsidRPr="008C5876">
              <w:rPr>
                <w:rFonts w:eastAsia="Calibri"/>
              </w:rPr>
              <w:t>Not relevant</w:t>
            </w:r>
          </w:p>
        </w:tc>
      </w:tr>
      <w:tr w:rsidR="00E56D9B" w:rsidRPr="00FD2055" w14:paraId="243DD416" w14:textId="77777777" w:rsidTr="00BD5A49">
        <w:trPr>
          <w:trHeight w:val="75"/>
        </w:trPr>
        <w:tc>
          <w:tcPr>
            <w:tcW w:w="1186" w:type="pct"/>
            <w:vMerge/>
            <w:shd w:val="clear" w:color="auto" w:fill="FFFFFF"/>
          </w:tcPr>
          <w:p w14:paraId="04A4E50A" w14:textId="77777777" w:rsidR="00E56D9B" w:rsidRDefault="00E56D9B" w:rsidP="00E56D9B">
            <w:pPr>
              <w:pStyle w:val="Standaard-Tabellen"/>
              <w:rPr>
                <w:rFonts w:eastAsia="Calibri"/>
              </w:rPr>
            </w:pPr>
          </w:p>
        </w:tc>
        <w:tc>
          <w:tcPr>
            <w:tcW w:w="868" w:type="pct"/>
            <w:shd w:val="clear" w:color="auto" w:fill="FFFFFF"/>
          </w:tcPr>
          <w:p w14:paraId="44F35174" w14:textId="77777777" w:rsidR="00E56D9B" w:rsidRDefault="00E56D9B" w:rsidP="00E56D9B">
            <w:pPr>
              <w:pStyle w:val="Standaard-Tabellen"/>
              <w:rPr>
                <w:rFonts w:eastAsia="Calibri"/>
              </w:rPr>
            </w:pPr>
            <w:r>
              <w:rPr>
                <w:rFonts w:eastAsia="Calibri"/>
              </w:rPr>
              <w:t>Day 91</w:t>
            </w:r>
          </w:p>
        </w:tc>
        <w:tc>
          <w:tcPr>
            <w:tcW w:w="2946" w:type="pct"/>
            <w:shd w:val="clear" w:color="auto" w:fill="FFFFFF"/>
          </w:tcPr>
          <w:p w14:paraId="4588980C" w14:textId="117D7786" w:rsidR="00E56D9B" w:rsidRPr="008C5876" w:rsidRDefault="00E56D9B" w:rsidP="00E56D9B">
            <w:pPr>
              <w:pStyle w:val="Standaard-Tabellen"/>
              <w:rPr>
                <w:rFonts w:eastAsia="Calibri"/>
              </w:rPr>
            </w:pPr>
            <w:r w:rsidRPr="008C5876">
              <w:rPr>
                <w:rFonts w:eastAsia="Calibri"/>
              </w:rPr>
              <w:t>Not relevant</w:t>
            </w:r>
          </w:p>
        </w:tc>
      </w:tr>
    </w:tbl>
    <w:p w14:paraId="72FE0DA8" w14:textId="77777777" w:rsidR="00E94ED0" w:rsidRPr="00FD2055" w:rsidRDefault="00E94ED0" w:rsidP="00E94ED0">
      <w:pPr>
        <w:rPr>
          <w:rFonts w:eastAsia="Calibri"/>
          <w:lang w:eastAsia="en-US"/>
        </w:rPr>
      </w:pPr>
    </w:p>
    <w:p w14:paraId="175ED2AE" w14:textId="77777777" w:rsidR="00E94ED0" w:rsidRDefault="00E94ED0" w:rsidP="00E94ED0">
      <w:pPr>
        <w:rPr>
          <w:rFonts w:eastAsia="Calibri"/>
          <w:lang w:eastAsia="en-US"/>
        </w:rPr>
      </w:pPr>
      <w:r w:rsidRPr="00FD2055">
        <w:rPr>
          <w:rFonts w:eastAsia="Calibri"/>
          <w:u w:val="single"/>
          <w:lang w:eastAsia="en-US"/>
        </w:rPr>
        <w:t>Conclusion</w:t>
      </w:r>
      <w:r w:rsidRPr="00FD2055">
        <w:rPr>
          <w:rFonts w:eastAsia="Calibri"/>
          <w:lang w:eastAsia="en-US"/>
        </w:rPr>
        <w:t xml:space="preserve">: </w:t>
      </w:r>
    </w:p>
    <w:p w14:paraId="2BC51F60" w14:textId="6C61ED15" w:rsidR="00E94ED0" w:rsidRPr="00FD2055" w:rsidRDefault="00BD5A49" w:rsidP="00BD5A49">
      <w:pPr>
        <w:rPr>
          <w:rFonts w:eastAsia="Calibri"/>
          <w:lang w:eastAsia="en-US"/>
        </w:rPr>
      </w:pPr>
      <w:r>
        <w:rPr>
          <w:rFonts w:eastAsia="Calibri"/>
          <w:lang w:eastAsia="en-US"/>
        </w:rPr>
        <w:t>No adverse effect for the STP is expected</w:t>
      </w:r>
      <w:r w:rsidR="00B97B9E">
        <w:rPr>
          <w:rFonts w:eastAsia="Calibri"/>
          <w:lang w:eastAsia="en-US"/>
        </w:rPr>
        <w:t>. T</w:t>
      </w:r>
      <w:r w:rsidR="00B97B9E" w:rsidRPr="0071534A">
        <w:rPr>
          <w:rFonts w:eastAsia="Calibri"/>
          <w:lang w:eastAsia="en-US"/>
        </w:rPr>
        <w:t>he 99% degradation in the STP (tier 2) is observed in an OECD 303A simulation study which is included in the Final CAR IR3535 (September 2013).</w:t>
      </w:r>
    </w:p>
    <w:p w14:paraId="44516843" w14:textId="77777777" w:rsidR="00E94ED0" w:rsidRDefault="00E94ED0" w:rsidP="007E5F71">
      <w:pPr>
        <w:pStyle w:val="Titre5"/>
      </w:pPr>
      <w:bookmarkStart w:id="292" w:name="_Toc377651052"/>
      <w:bookmarkStart w:id="293" w:name="_Toc389729121"/>
      <w:bookmarkStart w:id="294" w:name="_Toc403472805"/>
      <w:bookmarkStart w:id="295" w:name="_Toc12967210"/>
      <w:r w:rsidRPr="00FD2055">
        <w:t>Aquatic compartment</w:t>
      </w:r>
      <w:bookmarkEnd w:id="292"/>
      <w:bookmarkEnd w:id="293"/>
      <w:bookmarkEnd w:id="294"/>
      <w:bookmarkEnd w:id="295"/>
    </w:p>
    <w:p w14:paraId="0219A9A3" w14:textId="77777777" w:rsidR="00BD5A49" w:rsidRDefault="00BD5A49" w:rsidP="00E6143E">
      <w:pPr>
        <w:rPr>
          <w:rFonts w:eastAsia="Calibri"/>
          <w:lang w:eastAsia="en-US"/>
        </w:rPr>
      </w:pPr>
      <w:r>
        <w:rPr>
          <w:rFonts w:eastAsia="Calibri"/>
          <w:lang w:eastAsia="en-US"/>
        </w:rPr>
        <w:t xml:space="preserve">Neither for scenario 1, nor for scenario 2, calculations were made for the sediment, since the </w:t>
      </w:r>
      <w:proofErr w:type="spellStart"/>
      <w:r>
        <w:rPr>
          <w:rFonts w:eastAsia="Calibri"/>
          <w:lang w:eastAsia="en-US"/>
        </w:rPr>
        <w:t>PNEC</w:t>
      </w:r>
      <w:r>
        <w:rPr>
          <w:rFonts w:eastAsia="Calibri"/>
          <w:vertAlign w:val="subscript"/>
          <w:lang w:eastAsia="en-US"/>
        </w:rPr>
        <w:t>sediment</w:t>
      </w:r>
      <w:proofErr w:type="spellEnd"/>
      <w:r>
        <w:rPr>
          <w:rFonts w:eastAsia="Calibri"/>
          <w:lang w:eastAsia="en-US"/>
        </w:rPr>
        <w:t xml:space="preserve"> was determined through the EPM-method. This means that the risk assessment for water is applicable for the sediment as well.</w:t>
      </w:r>
    </w:p>
    <w:p w14:paraId="2D8D76C8" w14:textId="77777777" w:rsidR="00BD5A49" w:rsidRDefault="00E6143E" w:rsidP="00E6143E">
      <w:pPr>
        <w:rPr>
          <w:rFonts w:eastAsia="Calibri"/>
          <w:lang w:eastAsia="en-US"/>
        </w:rPr>
      </w:pPr>
      <w:r>
        <w:rPr>
          <w:rFonts w:eastAsia="Calibri"/>
          <w:lang w:eastAsia="en-US"/>
        </w:rPr>
        <w:t>F</w:t>
      </w:r>
      <w:r w:rsidR="00BD5A49">
        <w:rPr>
          <w:rFonts w:eastAsia="Calibri"/>
          <w:lang w:eastAsia="en-US"/>
        </w:rPr>
        <w:t>or the scenario 2, possible degradation in surface water is not taken into account as a worst-case evaluation.</w:t>
      </w:r>
    </w:p>
    <w:p w14:paraId="2712A2B6" w14:textId="77777777" w:rsidR="00BD5A49" w:rsidRPr="00BD5A49" w:rsidRDefault="00BD5A49" w:rsidP="00BD5A49">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1651"/>
        <w:gridCol w:w="5498"/>
      </w:tblGrid>
      <w:tr w:rsidR="00BD5A49" w:rsidRPr="00E94ED0" w14:paraId="3A664001" w14:textId="77777777" w:rsidTr="00BD5A49">
        <w:trPr>
          <w:trHeight w:val="249"/>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tcPr>
          <w:p w14:paraId="10F8F89C" w14:textId="77777777" w:rsidR="00BD5A49" w:rsidRPr="00E94ED0" w:rsidRDefault="00BD5A49" w:rsidP="00E94ED0">
            <w:pPr>
              <w:pStyle w:val="Standaard-Tabellen"/>
              <w:jc w:val="center"/>
              <w:rPr>
                <w:rFonts w:eastAsia="Calibri"/>
                <w:b/>
              </w:rPr>
            </w:pPr>
            <w:bookmarkStart w:id="296" w:name="_Toc377651053"/>
            <w:r w:rsidRPr="00E94ED0">
              <w:rPr>
                <w:rFonts w:eastAsia="Calibri"/>
                <w:b/>
              </w:rPr>
              <w:t>Summary table on calculated PEC/PNEC values</w:t>
            </w:r>
          </w:p>
        </w:tc>
      </w:tr>
      <w:tr w:rsidR="00BD5A49" w:rsidRPr="00E94ED0" w14:paraId="6DC65452" w14:textId="77777777" w:rsidTr="00BC11C3">
        <w:trPr>
          <w:trHeight w:val="473"/>
        </w:trPr>
        <w:tc>
          <w:tcPr>
            <w:tcW w:w="1198" w:type="pct"/>
            <w:shd w:val="clear" w:color="auto" w:fill="BFBFBF" w:themeFill="background1" w:themeFillShade="BF"/>
            <w:vAlign w:val="center"/>
          </w:tcPr>
          <w:p w14:paraId="7FB23D34" w14:textId="77777777" w:rsidR="00BD5A49" w:rsidRPr="00E94ED0" w:rsidRDefault="00BD5A49" w:rsidP="00E94ED0">
            <w:pPr>
              <w:pStyle w:val="Standaard-Tabellen"/>
              <w:jc w:val="center"/>
              <w:rPr>
                <w:rFonts w:eastAsia="Calibri"/>
                <w:b/>
              </w:rPr>
            </w:pPr>
          </w:p>
        </w:tc>
        <w:tc>
          <w:tcPr>
            <w:tcW w:w="878" w:type="pct"/>
            <w:shd w:val="clear" w:color="auto" w:fill="BFBFBF" w:themeFill="background1" w:themeFillShade="BF"/>
          </w:tcPr>
          <w:p w14:paraId="73E2E1BC" w14:textId="77777777" w:rsidR="00BD5A49" w:rsidRPr="00E94ED0" w:rsidRDefault="00BD5A49" w:rsidP="00E94ED0">
            <w:pPr>
              <w:pStyle w:val="Standaard-Tabellen"/>
              <w:jc w:val="center"/>
              <w:rPr>
                <w:rFonts w:eastAsia="Calibri"/>
                <w:b/>
              </w:rPr>
            </w:pPr>
          </w:p>
        </w:tc>
        <w:tc>
          <w:tcPr>
            <w:tcW w:w="2924" w:type="pct"/>
            <w:shd w:val="clear" w:color="auto" w:fill="BFBFBF" w:themeFill="background1" w:themeFillShade="BF"/>
            <w:vAlign w:val="center"/>
          </w:tcPr>
          <w:p w14:paraId="61FACE39" w14:textId="77777777" w:rsidR="00BD5A49" w:rsidRPr="00E94ED0" w:rsidRDefault="00BD5A49" w:rsidP="00E94ED0">
            <w:pPr>
              <w:pStyle w:val="Standaard-Tabellen"/>
              <w:jc w:val="center"/>
              <w:rPr>
                <w:rFonts w:eastAsia="Calibri"/>
                <w:b/>
              </w:rPr>
            </w:pPr>
            <w:r w:rsidRPr="00E94ED0">
              <w:rPr>
                <w:rFonts w:eastAsia="Calibri"/>
                <w:b/>
              </w:rPr>
              <w:t>PEC/</w:t>
            </w:r>
            <w:proofErr w:type="spellStart"/>
            <w:r w:rsidRPr="00E94ED0">
              <w:rPr>
                <w:rFonts w:eastAsia="Calibri"/>
                <w:b/>
              </w:rPr>
              <w:t>PNEC</w:t>
            </w:r>
            <w:r w:rsidRPr="00E94ED0">
              <w:rPr>
                <w:rFonts w:eastAsia="Calibri"/>
                <w:b/>
                <w:vertAlign w:val="subscript"/>
              </w:rPr>
              <w:t>water</w:t>
            </w:r>
            <w:proofErr w:type="spellEnd"/>
          </w:p>
        </w:tc>
      </w:tr>
      <w:tr w:rsidR="00766F64" w:rsidRPr="00FD2055" w14:paraId="7CE989A7" w14:textId="77777777" w:rsidTr="00BC11C3">
        <w:trPr>
          <w:trHeight w:val="75"/>
        </w:trPr>
        <w:tc>
          <w:tcPr>
            <w:tcW w:w="1198" w:type="pct"/>
            <w:vMerge w:val="restart"/>
            <w:shd w:val="clear" w:color="auto" w:fill="FFFFFF"/>
          </w:tcPr>
          <w:p w14:paraId="6C9DB20A" w14:textId="77777777" w:rsidR="00766F64" w:rsidRPr="00FD2055" w:rsidRDefault="00766F64" w:rsidP="00766F64">
            <w:pPr>
              <w:pStyle w:val="Standaard-Tabellen"/>
              <w:rPr>
                <w:rFonts w:eastAsia="Calibri"/>
              </w:rPr>
            </w:pPr>
            <w:r w:rsidRPr="00FD2055">
              <w:rPr>
                <w:rFonts w:eastAsia="Calibri"/>
              </w:rPr>
              <w:t>Scenario 1</w:t>
            </w:r>
          </w:p>
        </w:tc>
        <w:tc>
          <w:tcPr>
            <w:tcW w:w="878" w:type="pct"/>
            <w:shd w:val="clear" w:color="auto" w:fill="FFFFFF"/>
          </w:tcPr>
          <w:p w14:paraId="78C42B55" w14:textId="77777777" w:rsidR="00766F64" w:rsidRPr="00FD2055" w:rsidRDefault="00766F64" w:rsidP="00766F64">
            <w:pPr>
              <w:pStyle w:val="Standaard-Tabellen"/>
              <w:rPr>
                <w:rFonts w:eastAsia="Calibri"/>
              </w:rPr>
            </w:pPr>
            <w:r>
              <w:rPr>
                <w:rFonts w:eastAsia="Calibri"/>
              </w:rPr>
              <w:t>TIER 1</w:t>
            </w:r>
          </w:p>
        </w:tc>
        <w:tc>
          <w:tcPr>
            <w:tcW w:w="2924" w:type="pct"/>
            <w:shd w:val="clear" w:color="auto" w:fill="FFFFFF"/>
            <w:vAlign w:val="center"/>
          </w:tcPr>
          <w:p w14:paraId="18BF45E8" w14:textId="52C82AB6" w:rsidR="00766F64" w:rsidRPr="00FD2055" w:rsidRDefault="00766F64" w:rsidP="00766F64">
            <w:pPr>
              <w:pStyle w:val="Standaard-Tabellen"/>
              <w:rPr>
                <w:rFonts w:eastAsia="Calibri"/>
              </w:rPr>
            </w:pPr>
            <w:r>
              <w:rPr>
                <w:rFonts w:eastAsia="Calibri"/>
                <w:b/>
                <w:color w:val="C00000"/>
              </w:rPr>
              <w:t>1.04</w:t>
            </w:r>
          </w:p>
        </w:tc>
      </w:tr>
      <w:tr w:rsidR="00766F64" w:rsidRPr="00FD2055" w14:paraId="6659EF4A" w14:textId="77777777" w:rsidTr="00BC11C3">
        <w:trPr>
          <w:trHeight w:val="75"/>
        </w:trPr>
        <w:tc>
          <w:tcPr>
            <w:tcW w:w="1198" w:type="pct"/>
            <w:vMerge/>
            <w:shd w:val="clear" w:color="auto" w:fill="FFFFFF"/>
          </w:tcPr>
          <w:p w14:paraId="2652CA99" w14:textId="77777777" w:rsidR="00766F64" w:rsidRPr="00FD2055" w:rsidRDefault="00766F64" w:rsidP="00766F64">
            <w:pPr>
              <w:pStyle w:val="Standaard-Tabellen"/>
              <w:rPr>
                <w:rFonts w:eastAsia="Calibri"/>
              </w:rPr>
            </w:pPr>
          </w:p>
        </w:tc>
        <w:tc>
          <w:tcPr>
            <w:tcW w:w="878" w:type="pct"/>
            <w:shd w:val="clear" w:color="auto" w:fill="FFFFFF"/>
          </w:tcPr>
          <w:p w14:paraId="51331E08" w14:textId="77777777" w:rsidR="00766F64" w:rsidRPr="00FD2055" w:rsidRDefault="00766F64" w:rsidP="00766F64">
            <w:pPr>
              <w:pStyle w:val="Standaard-Tabellen"/>
              <w:rPr>
                <w:rFonts w:eastAsia="Calibri"/>
              </w:rPr>
            </w:pPr>
            <w:r>
              <w:rPr>
                <w:rFonts w:eastAsia="Calibri"/>
              </w:rPr>
              <w:t>TIER 2</w:t>
            </w:r>
          </w:p>
        </w:tc>
        <w:tc>
          <w:tcPr>
            <w:tcW w:w="2924" w:type="pct"/>
            <w:shd w:val="clear" w:color="auto" w:fill="FFFFFF"/>
            <w:vAlign w:val="center"/>
          </w:tcPr>
          <w:p w14:paraId="3113F991" w14:textId="0AEF2D8E" w:rsidR="00766F64" w:rsidRPr="008C5876" w:rsidRDefault="00766F64" w:rsidP="00766F64">
            <w:pPr>
              <w:pStyle w:val="Standaard-Tabellen"/>
              <w:rPr>
                <w:rFonts w:eastAsia="Calibri"/>
                <w:vertAlign w:val="superscript"/>
              </w:rPr>
            </w:pPr>
            <w:r w:rsidRPr="008C5876">
              <w:rPr>
                <w:rFonts w:eastAsia="Calibri"/>
              </w:rPr>
              <w:t>1.05x10</w:t>
            </w:r>
            <w:r w:rsidRPr="008C5876">
              <w:rPr>
                <w:rFonts w:eastAsia="Calibri"/>
                <w:vertAlign w:val="superscript"/>
              </w:rPr>
              <w:t>-2</w:t>
            </w:r>
          </w:p>
        </w:tc>
      </w:tr>
      <w:tr w:rsidR="00766F64" w:rsidRPr="00FD2055" w14:paraId="2C43BC51" w14:textId="77777777" w:rsidTr="00BC11C3">
        <w:trPr>
          <w:trHeight w:val="75"/>
        </w:trPr>
        <w:tc>
          <w:tcPr>
            <w:tcW w:w="1198" w:type="pct"/>
            <w:vMerge w:val="restart"/>
            <w:shd w:val="clear" w:color="auto" w:fill="FFFFFF"/>
          </w:tcPr>
          <w:p w14:paraId="233DCBE4" w14:textId="77777777" w:rsidR="00766F64" w:rsidRPr="00FD2055" w:rsidRDefault="00766F64" w:rsidP="00766F64">
            <w:pPr>
              <w:pStyle w:val="Standaard-Tabellen"/>
              <w:rPr>
                <w:rFonts w:eastAsia="Calibri"/>
              </w:rPr>
            </w:pPr>
            <w:r>
              <w:rPr>
                <w:rFonts w:eastAsia="Calibri"/>
              </w:rPr>
              <w:t>Scenario 2</w:t>
            </w:r>
          </w:p>
        </w:tc>
        <w:tc>
          <w:tcPr>
            <w:tcW w:w="878" w:type="pct"/>
            <w:shd w:val="clear" w:color="auto" w:fill="FFFFFF"/>
          </w:tcPr>
          <w:p w14:paraId="14C3B3C9" w14:textId="77777777" w:rsidR="00766F64" w:rsidRDefault="00766F64" w:rsidP="00766F64">
            <w:pPr>
              <w:pStyle w:val="Standaard-Tabellen"/>
              <w:rPr>
                <w:rFonts w:eastAsia="Calibri"/>
              </w:rPr>
            </w:pPr>
            <w:r>
              <w:rPr>
                <w:rFonts w:eastAsia="Calibri"/>
              </w:rPr>
              <w:t>Day 1</w:t>
            </w:r>
          </w:p>
        </w:tc>
        <w:tc>
          <w:tcPr>
            <w:tcW w:w="2924" w:type="pct"/>
            <w:shd w:val="clear" w:color="auto" w:fill="FFFFFF"/>
          </w:tcPr>
          <w:p w14:paraId="32D4E436" w14:textId="11D68DFE" w:rsidR="00766F64" w:rsidRPr="008C5876" w:rsidRDefault="008C5876" w:rsidP="00766F64">
            <w:pPr>
              <w:pStyle w:val="Standaard-Tabellen"/>
              <w:rPr>
                <w:rFonts w:eastAsia="Calibri"/>
                <w:vertAlign w:val="superscript"/>
              </w:rPr>
            </w:pPr>
            <w:r>
              <w:rPr>
                <w:rFonts w:eastAsia="Calibri" w:cs="Arial"/>
                <w:color w:val="000000"/>
                <w:szCs w:val="18"/>
              </w:rPr>
              <w:t>6.58x10</w:t>
            </w:r>
            <w:r>
              <w:rPr>
                <w:rFonts w:eastAsia="Calibri" w:cs="Arial"/>
                <w:color w:val="000000"/>
                <w:szCs w:val="18"/>
                <w:vertAlign w:val="superscript"/>
              </w:rPr>
              <w:t>-3</w:t>
            </w:r>
          </w:p>
        </w:tc>
      </w:tr>
      <w:tr w:rsidR="00766F64" w:rsidRPr="00FD2055" w14:paraId="4093F333" w14:textId="77777777" w:rsidTr="00BC11C3">
        <w:trPr>
          <w:trHeight w:val="75"/>
        </w:trPr>
        <w:tc>
          <w:tcPr>
            <w:tcW w:w="1198" w:type="pct"/>
            <w:vMerge/>
            <w:shd w:val="clear" w:color="auto" w:fill="FFFFFF"/>
          </w:tcPr>
          <w:p w14:paraId="3D9C3AF4" w14:textId="77777777" w:rsidR="00766F64" w:rsidRDefault="00766F64" w:rsidP="00766F64">
            <w:pPr>
              <w:pStyle w:val="Standaard-Tabellen"/>
              <w:rPr>
                <w:rFonts w:eastAsia="Calibri"/>
              </w:rPr>
            </w:pPr>
          </w:p>
        </w:tc>
        <w:tc>
          <w:tcPr>
            <w:tcW w:w="878" w:type="pct"/>
            <w:shd w:val="clear" w:color="auto" w:fill="FFFFFF"/>
          </w:tcPr>
          <w:p w14:paraId="2D8E8014" w14:textId="77777777" w:rsidR="00766F64" w:rsidRDefault="00766F64" w:rsidP="00766F64">
            <w:pPr>
              <w:pStyle w:val="Standaard-Tabellen"/>
              <w:rPr>
                <w:rFonts w:eastAsia="Calibri"/>
              </w:rPr>
            </w:pPr>
            <w:r>
              <w:rPr>
                <w:rFonts w:eastAsia="Calibri"/>
              </w:rPr>
              <w:t>Day 91</w:t>
            </w:r>
          </w:p>
        </w:tc>
        <w:tc>
          <w:tcPr>
            <w:tcW w:w="2924" w:type="pct"/>
            <w:shd w:val="clear" w:color="auto" w:fill="FFFFFF"/>
          </w:tcPr>
          <w:p w14:paraId="4ED44626" w14:textId="2420F6D4" w:rsidR="00766F64" w:rsidRPr="008C5876" w:rsidRDefault="008C5876" w:rsidP="00766F64">
            <w:pPr>
              <w:pStyle w:val="Standaard-Tabellen"/>
              <w:rPr>
                <w:rFonts w:eastAsia="Calibri"/>
                <w:vertAlign w:val="superscript"/>
              </w:rPr>
            </w:pPr>
            <w:r>
              <w:rPr>
                <w:rFonts w:eastAsia="Calibri" w:cs="Arial"/>
                <w:color w:val="000000"/>
                <w:szCs w:val="18"/>
              </w:rPr>
              <w:t>5.99x10</w:t>
            </w:r>
            <w:r>
              <w:rPr>
                <w:rFonts w:eastAsia="Calibri" w:cs="Arial"/>
                <w:color w:val="000000"/>
                <w:szCs w:val="18"/>
                <w:vertAlign w:val="superscript"/>
              </w:rPr>
              <w:t>-1</w:t>
            </w:r>
          </w:p>
        </w:tc>
      </w:tr>
    </w:tbl>
    <w:p w14:paraId="06E5CBBD" w14:textId="77777777" w:rsidR="00BC11C3" w:rsidRDefault="00BC11C3" w:rsidP="00BC11C3">
      <w:pPr>
        <w:spacing w:line="276" w:lineRule="auto"/>
        <w:ind w:left="142"/>
        <w:rPr>
          <w:rFonts w:eastAsia="Calibri"/>
          <w:lang w:eastAsia="en-US"/>
        </w:rPr>
      </w:pPr>
    </w:p>
    <w:bookmarkEnd w:id="296"/>
    <w:p w14:paraId="66A357EF" w14:textId="05130668" w:rsidR="00766F64" w:rsidRDefault="00766F64" w:rsidP="00766F64">
      <w:pPr>
        <w:rPr>
          <w:rFonts w:eastAsia="Calibri"/>
          <w:lang w:eastAsia="en-US"/>
        </w:rPr>
      </w:pPr>
      <w:r>
        <w:rPr>
          <w:rFonts w:eastAsia="Calibri"/>
          <w:lang w:eastAsia="en-US"/>
        </w:rPr>
        <w:t>For the scenario 1, when considering the worst-case assessment where no elimination from the STP is taken into account, then an adverse effect for the surface water is calculated. However when considering the TIER 2, where 99 % elimination from the STP is considered, no adverse effects are calculated.</w:t>
      </w:r>
    </w:p>
    <w:p w14:paraId="2371484A" w14:textId="77777777" w:rsidR="00766F64" w:rsidRDefault="00766F64" w:rsidP="00766F64">
      <w:pPr>
        <w:rPr>
          <w:rFonts w:eastAsia="Calibri"/>
          <w:u w:val="single"/>
          <w:lang w:eastAsia="en-US"/>
        </w:rPr>
      </w:pPr>
      <w:r>
        <w:rPr>
          <w:rFonts w:eastAsia="Calibri"/>
          <w:lang w:eastAsia="en-US"/>
        </w:rPr>
        <w:t>For the scenario 2, no adverse effects are expected, neither at day 1 nor at day 91, without considering degradation in the surface water.</w:t>
      </w:r>
    </w:p>
    <w:p w14:paraId="4BEEF7E7" w14:textId="77777777" w:rsidR="00766F64" w:rsidRDefault="00766F64" w:rsidP="00766F64">
      <w:pPr>
        <w:rPr>
          <w:rFonts w:eastAsia="Calibri"/>
          <w:u w:val="single"/>
          <w:lang w:eastAsia="en-US"/>
        </w:rPr>
      </w:pPr>
    </w:p>
    <w:p w14:paraId="29A93B86" w14:textId="77777777" w:rsidR="00766F64" w:rsidRDefault="00766F64" w:rsidP="00766F64">
      <w:pPr>
        <w:rPr>
          <w:rFonts w:eastAsia="Calibri"/>
        </w:rPr>
      </w:pPr>
      <w:r>
        <w:rPr>
          <w:rFonts w:eastAsia="Calibri"/>
          <w:u w:val="single"/>
          <w:lang w:eastAsia="en-US"/>
        </w:rPr>
        <w:t>Conclusion</w:t>
      </w:r>
      <w:r>
        <w:rPr>
          <w:rFonts w:eastAsia="Calibri"/>
        </w:rPr>
        <w:t xml:space="preserve">: </w:t>
      </w:r>
    </w:p>
    <w:p w14:paraId="5C5D5F04" w14:textId="77777777" w:rsidR="00766F64" w:rsidRDefault="00766F64" w:rsidP="00766F64">
      <w:pPr>
        <w:rPr>
          <w:rFonts w:ascii="Times New Roman" w:eastAsia="Calibri" w:hAnsi="Times New Roman"/>
          <w:i/>
          <w:lang w:eastAsia="en-US"/>
        </w:rPr>
      </w:pPr>
      <w:r>
        <w:rPr>
          <w:rFonts w:eastAsia="Calibri"/>
        </w:rPr>
        <w:t>No adverse effect for the aquatic compartment is expected</w:t>
      </w:r>
    </w:p>
    <w:p w14:paraId="2F053259" w14:textId="77777777" w:rsidR="00766F64" w:rsidRPr="00FD2055" w:rsidRDefault="00766F64" w:rsidP="00766F64">
      <w:pPr>
        <w:pStyle w:val="Titre5"/>
        <w:ind w:left="284" w:hanging="284"/>
      </w:pPr>
      <w:bookmarkStart w:id="297" w:name="_Toc389729122"/>
      <w:bookmarkStart w:id="298" w:name="_Toc403472806"/>
      <w:bookmarkStart w:id="299" w:name="_Toc450054356"/>
      <w:bookmarkStart w:id="300" w:name="_Toc12967211"/>
      <w:r w:rsidRPr="00FD2055">
        <w:t>Terrestrial compartment</w:t>
      </w:r>
      <w:bookmarkEnd w:id="297"/>
      <w:bookmarkEnd w:id="298"/>
      <w:bookmarkEnd w:id="299"/>
      <w:bookmarkEnd w:id="300"/>
      <w:r w:rsidRPr="00FD2055">
        <w:t xml:space="preserve"> </w:t>
      </w:r>
    </w:p>
    <w:p w14:paraId="75694AF5" w14:textId="42ACC866" w:rsidR="00766F64" w:rsidRDefault="00B97B9E" w:rsidP="00766F64">
      <w:r w:rsidRPr="00B97B9E">
        <w:t xml:space="preserve"> </w:t>
      </w:r>
      <w:r w:rsidRPr="00A6055F">
        <w:t>The soil could be exposed through sludge application (according to simple treat V4, up to 6% emission would be directed to sludge), but following the STP-distribution detailed in the second table below, sorption to sewage sludge is unlikely since IR3535 is almost completely degraded. Therefore, emission to soils via sewage sludge is considered negligible.</w:t>
      </w:r>
    </w:p>
    <w:p w14:paraId="636D95E8" w14:textId="77777777" w:rsidR="00766F64" w:rsidRDefault="00766F64" w:rsidP="00766F64">
      <w:pPr>
        <w:pStyle w:val="Titre5"/>
        <w:ind w:left="284" w:hanging="284"/>
      </w:pPr>
      <w:bookmarkStart w:id="301" w:name="_Toc387245239"/>
      <w:bookmarkStart w:id="302" w:name="_Toc387245240"/>
      <w:bookmarkStart w:id="303" w:name="_Toc387245241"/>
      <w:bookmarkStart w:id="304" w:name="_Toc387245244"/>
      <w:bookmarkStart w:id="305" w:name="_Toc387245253"/>
      <w:bookmarkStart w:id="306" w:name="_Toc389729123"/>
      <w:bookmarkStart w:id="307" w:name="_Toc403472807"/>
      <w:bookmarkStart w:id="308" w:name="_Toc450054357"/>
      <w:bookmarkStart w:id="309" w:name="_Toc12967212"/>
      <w:bookmarkEnd w:id="301"/>
      <w:bookmarkEnd w:id="302"/>
      <w:bookmarkEnd w:id="303"/>
      <w:bookmarkEnd w:id="304"/>
      <w:bookmarkEnd w:id="305"/>
      <w:r w:rsidRPr="00FD2055">
        <w:lastRenderedPageBreak/>
        <w:t>Groundwater</w:t>
      </w:r>
      <w:bookmarkEnd w:id="306"/>
      <w:bookmarkEnd w:id="307"/>
      <w:bookmarkEnd w:id="308"/>
      <w:bookmarkEnd w:id="309"/>
    </w:p>
    <w:p w14:paraId="7E1CDDB0" w14:textId="77777777" w:rsidR="00766F64" w:rsidRPr="00727A97" w:rsidRDefault="00766F64" w:rsidP="00766F64">
      <w:pPr>
        <w:rPr>
          <w:lang w:val="en-US" w:eastAsia="en-US"/>
        </w:rPr>
      </w:pPr>
      <w:r>
        <w:rPr>
          <w:lang w:val="en-US" w:eastAsia="en-US"/>
        </w:rPr>
        <w:t>Not relevant.</w:t>
      </w:r>
    </w:p>
    <w:p w14:paraId="3471A52B" w14:textId="77777777" w:rsidR="00766F64" w:rsidRDefault="00766F64" w:rsidP="00766F64">
      <w:pPr>
        <w:pStyle w:val="Titre5"/>
        <w:ind w:left="284" w:hanging="284"/>
      </w:pPr>
      <w:bookmarkStart w:id="310" w:name="_Toc377651054"/>
      <w:bookmarkStart w:id="311" w:name="_Toc389729124"/>
      <w:bookmarkStart w:id="312" w:name="_Toc403472808"/>
      <w:bookmarkStart w:id="313" w:name="_Toc450054358"/>
      <w:bookmarkStart w:id="314" w:name="_Toc12967213"/>
      <w:r w:rsidRPr="00FD2055">
        <w:t>Primary and secondary poisoning</w:t>
      </w:r>
      <w:bookmarkEnd w:id="310"/>
      <w:bookmarkEnd w:id="311"/>
      <w:bookmarkEnd w:id="312"/>
      <w:bookmarkEnd w:id="313"/>
      <w:bookmarkEnd w:id="314"/>
    </w:p>
    <w:p w14:paraId="06DA42C2" w14:textId="77777777" w:rsidR="00766F64" w:rsidRPr="000F4388" w:rsidRDefault="00766F64" w:rsidP="00766F64">
      <w:pPr>
        <w:rPr>
          <w:lang w:val="en-US" w:eastAsia="en-US"/>
        </w:rPr>
      </w:pPr>
      <w:r>
        <w:rPr>
          <w:lang w:val="en-US" w:eastAsia="en-US"/>
        </w:rPr>
        <w:t>Since the product is a repellant and has no intention to kill, primary poisoning is not applicable.</w:t>
      </w:r>
      <w:r>
        <w:rPr>
          <w:lang w:val="en-US" w:eastAsia="en-US"/>
        </w:rPr>
        <w:br/>
        <w:t>Secondary poisoning is not relevant, since no bioaccumulation is expected.</w:t>
      </w:r>
    </w:p>
    <w:p w14:paraId="7E3FC1AC" w14:textId="77777777" w:rsidR="00766F64" w:rsidRPr="00FD2055" w:rsidRDefault="00766F64" w:rsidP="00766F64">
      <w:pPr>
        <w:pStyle w:val="Titre5"/>
        <w:ind w:left="284" w:hanging="284"/>
      </w:pPr>
      <w:bookmarkStart w:id="315" w:name="_Toc403472809"/>
      <w:bookmarkStart w:id="316" w:name="_Toc450054359"/>
      <w:bookmarkStart w:id="317" w:name="_Toc12967214"/>
      <w:r w:rsidRPr="00FD2055">
        <w:t>Mixture toxicity</w:t>
      </w:r>
      <w:bookmarkEnd w:id="315"/>
      <w:bookmarkEnd w:id="316"/>
      <w:bookmarkEnd w:id="317"/>
    </w:p>
    <w:p w14:paraId="6EF5E256" w14:textId="77777777" w:rsidR="00766F64" w:rsidRDefault="00766F64" w:rsidP="00766F64">
      <w:pPr>
        <w:pStyle w:val="Explanatorynotes"/>
        <w:rPr>
          <w:rFonts w:ascii="Verdana" w:hAnsi="Verdana"/>
          <w:i w:val="0"/>
        </w:rPr>
      </w:pPr>
      <w:bookmarkStart w:id="318" w:name="_Toc388285357"/>
      <w:bookmarkStart w:id="319" w:name="_Toc388374408"/>
      <w:bookmarkStart w:id="320" w:name="_Toc388610107"/>
      <w:bookmarkStart w:id="321" w:name="_Toc388625141"/>
      <w:bookmarkStart w:id="322" w:name="_Toc388625395"/>
      <w:bookmarkStart w:id="323" w:name="_Toc388633796"/>
      <w:bookmarkStart w:id="324" w:name="_Toc389725288"/>
      <w:bookmarkStart w:id="325" w:name="_Toc389726280"/>
      <w:bookmarkStart w:id="326" w:name="_Toc389727332"/>
      <w:bookmarkStart w:id="327" w:name="_Toc389727690"/>
      <w:bookmarkStart w:id="328" w:name="_Toc389728049"/>
      <w:bookmarkStart w:id="329" w:name="_Toc389728408"/>
      <w:bookmarkStart w:id="330" w:name="_Toc389728768"/>
      <w:bookmarkStart w:id="331" w:name="_Toc389729126"/>
      <w:bookmarkStart w:id="332" w:name="_Toc38972912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221A9F">
        <w:rPr>
          <w:rFonts w:ascii="Verdana" w:hAnsi="Verdana"/>
          <w:i w:val="0"/>
        </w:rPr>
        <w:t xml:space="preserve"> </w:t>
      </w:r>
      <w:r>
        <w:rPr>
          <w:rFonts w:ascii="Verdana" w:hAnsi="Verdana"/>
          <w:i w:val="0"/>
        </w:rPr>
        <w:t>Not relev</w:t>
      </w:r>
      <w:r w:rsidRPr="00221A9F">
        <w:rPr>
          <w:rFonts w:ascii="Verdana" w:hAnsi="Verdana"/>
          <w:i w:val="0"/>
        </w:rPr>
        <w:t>ant</w:t>
      </w:r>
      <w:r>
        <w:rPr>
          <w:rFonts w:ascii="Verdana" w:hAnsi="Verdana"/>
          <w:i w:val="0"/>
        </w:rPr>
        <w:t>.</w:t>
      </w:r>
    </w:p>
    <w:p w14:paraId="69F8EB03" w14:textId="77777777" w:rsidR="00766F64" w:rsidRDefault="00766F64" w:rsidP="00766F64">
      <w:pPr>
        <w:pStyle w:val="Explanatorynotes"/>
        <w:rPr>
          <w:rFonts w:ascii="Verdana" w:hAnsi="Verdana"/>
          <w:i w:val="0"/>
        </w:rPr>
      </w:pPr>
    </w:p>
    <w:p w14:paraId="0D5CAFFA" w14:textId="77777777" w:rsidR="00766F64" w:rsidRPr="00543CC4" w:rsidRDefault="00766F64" w:rsidP="00766F64">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2"/>
      </w:tblGrid>
      <w:tr w:rsidR="00766F64" w:rsidRPr="00543CC4" w14:paraId="6DF296D6" w14:textId="77777777" w:rsidTr="006B7D13">
        <w:trPr>
          <w:trHeight w:val="249"/>
        </w:trPr>
        <w:tc>
          <w:tcPr>
            <w:tcW w:w="5000" w:type="pct"/>
            <w:tcBorders>
              <w:top w:val="single" w:sz="4" w:space="0" w:color="auto"/>
              <w:left w:val="single" w:sz="4" w:space="0" w:color="auto"/>
              <w:bottom w:val="single" w:sz="4" w:space="0" w:color="auto"/>
            </w:tcBorders>
            <w:shd w:val="clear" w:color="auto" w:fill="C5E0B3" w:themeFill="accent6" w:themeFillTint="66"/>
            <w:vAlign w:val="center"/>
          </w:tcPr>
          <w:p w14:paraId="37D7D426" w14:textId="77777777" w:rsidR="00766F64" w:rsidRPr="00543CC4" w:rsidRDefault="00766F64" w:rsidP="006B7D13">
            <w:pPr>
              <w:rPr>
                <w:rFonts w:eastAsia="Calibri"/>
                <w:b/>
                <w:lang w:eastAsia="en-US"/>
              </w:rPr>
            </w:pPr>
            <w:r w:rsidRPr="00543CC4">
              <w:rPr>
                <w:rFonts w:eastAsia="Calibri"/>
                <w:b/>
                <w:lang w:eastAsia="en-US"/>
              </w:rPr>
              <w:t>Overall conclusion on the risk assessment for the environment of the product</w:t>
            </w:r>
          </w:p>
        </w:tc>
      </w:tr>
      <w:tr w:rsidR="00766F64" w:rsidRPr="00543CC4" w14:paraId="7CD6DC13" w14:textId="77777777" w:rsidTr="006B7D13">
        <w:trPr>
          <w:trHeight w:val="249"/>
        </w:trPr>
        <w:tc>
          <w:tcPr>
            <w:tcW w:w="5000" w:type="pct"/>
            <w:tcBorders>
              <w:top w:val="single" w:sz="4" w:space="0" w:color="auto"/>
              <w:left w:val="single" w:sz="4" w:space="0" w:color="auto"/>
              <w:bottom w:val="single" w:sz="4" w:space="0" w:color="auto"/>
            </w:tcBorders>
            <w:shd w:val="clear" w:color="auto" w:fill="auto"/>
            <w:vAlign w:val="center"/>
          </w:tcPr>
          <w:p w14:paraId="0E917234" w14:textId="77777777" w:rsidR="00766F64" w:rsidRPr="00543CC4" w:rsidRDefault="00766F64" w:rsidP="006B7D13">
            <w:pPr>
              <w:rPr>
                <w:rFonts w:eastAsia="Calibri"/>
                <w:lang w:eastAsia="en-US"/>
              </w:rPr>
            </w:pPr>
            <w:r w:rsidRPr="00543CC4">
              <w:rPr>
                <w:rFonts w:eastAsia="Calibri"/>
                <w:lang w:eastAsia="en-US"/>
              </w:rPr>
              <w:t>No adverse effect for the environment is expected.</w:t>
            </w:r>
          </w:p>
        </w:tc>
      </w:tr>
    </w:tbl>
    <w:p w14:paraId="59C5C507" w14:textId="77777777" w:rsidR="00766F64" w:rsidRPr="00543CC4" w:rsidRDefault="00766F64" w:rsidP="00766F64">
      <w:pPr>
        <w:rPr>
          <w:rFonts w:eastAsia="Calibri"/>
          <w:lang w:eastAsia="en-US"/>
        </w:rPr>
      </w:pPr>
    </w:p>
    <w:p w14:paraId="13248EC3" w14:textId="77777777" w:rsidR="00766F64" w:rsidRDefault="00766F64" w:rsidP="00766F64">
      <w:pPr>
        <w:spacing w:before="0" w:after="160" w:line="259" w:lineRule="auto"/>
        <w:rPr>
          <w:rFonts w:eastAsia="Calibri"/>
          <w:lang w:eastAsia="en-US"/>
        </w:rPr>
      </w:pPr>
    </w:p>
    <w:p w14:paraId="7C8593EC" w14:textId="77777777" w:rsidR="00766F64" w:rsidRDefault="00766F64" w:rsidP="00766F64">
      <w:pPr>
        <w:spacing w:before="0" w:after="160" w:line="259" w:lineRule="auto"/>
        <w:rPr>
          <w:rFonts w:eastAsia="Calibri"/>
          <w:lang w:eastAsia="en-US"/>
        </w:rPr>
      </w:pPr>
      <w:r>
        <w:rPr>
          <w:rFonts w:eastAsia="Calibri"/>
          <w:lang w:eastAsia="en-US"/>
        </w:rPr>
        <w:br w:type="page"/>
      </w:r>
    </w:p>
    <w:p w14:paraId="3999815C" w14:textId="77777777" w:rsidR="005B60B4" w:rsidRDefault="002F75CF" w:rsidP="002F75CF">
      <w:pPr>
        <w:pStyle w:val="Titre3"/>
        <w:rPr>
          <w:rFonts w:eastAsia="Calibri"/>
          <w:lang w:eastAsia="en-US"/>
        </w:rPr>
      </w:pPr>
      <w:bookmarkStart w:id="333" w:name="_Toc12967215"/>
      <w:r>
        <w:rPr>
          <w:rFonts w:eastAsia="Calibri"/>
          <w:lang w:eastAsia="en-US"/>
        </w:rPr>
        <w:lastRenderedPageBreak/>
        <w:t>Measures to protect man, animals and the environment</w:t>
      </w:r>
      <w:bookmarkEnd w:id="333"/>
    </w:p>
    <w:p w14:paraId="510467FC" w14:textId="77777777" w:rsidR="00824F95" w:rsidRDefault="008E7541" w:rsidP="00824F95">
      <w:pPr>
        <w:rPr>
          <w:rFonts w:eastAsia="Calibri"/>
          <w:lang w:eastAsia="en-US"/>
        </w:rPr>
      </w:pPr>
      <w:r>
        <w:rPr>
          <w:rFonts w:eastAsia="Calibri"/>
          <w:lang w:eastAsia="en-US"/>
        </w:rPr>
        <w:t>Please see §2.1.4 and §2.1.5 above.</w:t>
      </w:r>
    </w:p>
    <w:p w14:paraId="311605EA" w14:textId="77777777" w:rsidR="008E7541" w:rsidRPr="00FD2055" w:rsidRDefault="008E7541" w:rsidP="00824F95">
      <w:pPr>
        <w:rPr>
          <w:rFonts w:eastAsia="Calibri"/>
          <w:lang w:eastAsia="en-US"/>
        </w:rPr>
      </w:pPr>
    </w:p>
    <w:p w14:paraId="34EDB3E8" w14:textId="77777777" w:rsidR="00824F95" w:rsidRPr="00824F95" w:rsidRDefault="00824F95" w:rsidP="00824F95">
      <w:pPr>
        <w:pStyle w:val="Titre3"/>
      </w:pPr>
      <w:bookmarkStart w:id="334" w:name="_Toc377649077"/>
      <w:bookmarkStart w:id="335" w:name="_Toc377650930"/>
      <w:bookmarkStart w:id="336" w:name="_Toc377651057"/>
      <w:bookmarkStart w:id="337" w:name="_Toc377653327"/>
      <w:bookmarkStart w:id="338" w:name="_Toc378351636"/>
      <w:bookmarkStart w:id="339" w:name="_Toc378681385"/>
      <w:bookmarkStart w:id="340" w:name="_Toc378682305"/>
      <w:bookmarkStart w:id="341" w:name="_Toc378683752"/>
      <w:bookmarkStart w:id="342" w:name="_Toc378685440"/>
      <w:bookmarkStart w:id="343" w:name="_Toc378685576"/>
      <w:bookmarkStart w:id="344" w:name="_Toc378691786"/>
      <w:bookmarkStart w:id="345" w:name="_Toc378692244"/>
      <w:bookmarkStart w:id="346" w:name="_Toc378692381"/>
      <w:bookmarkStart w:id="347" w:name="_Toc378692518"/>
      <w:bookmarkStart w:id="348" w:name="_Toc378682321"/>
      <w:bookmarkStart w:id="349" w:name="_Toc389729181"/>
      <w:bookmarkStart w:id="350" w:name="_Toc403472819"/>
      <w:bookmarkStart w:id="351" w:name="_Toc403566591"/>
      <w:bookmarkStart w:id="352" w:name="_Toc425344125"/>
      <w:bookmarkStart w:id="353" w:name="_Toc12967216"/>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824F95">
        <w:t>Assessment of a combination of biocidal products</w:t>
      </w:r>
      <w:bookmarkEnd w:id="349"/>
      <w:bookmarkEnd w:id="350"/>
      <w:bookmarkEnd w:id="351"/>
      <w:bookmarkEnd w:id="352"/>
      <w:bookmarkEnd w:id="353"/>
    </w:p>
    <w:p w14:paraId="1E1B9337" w14:textId="77777777" w:rsidR="00824F95" w:rsidRDefault="008E7541" w:rsidP="00824F95">
      <w:pPr>
        <w:rPr>
          <w:rFonts w:eastAsia="Calibri"/>
          <w:lang w:eastAsia="en-US"/>
        </w:rPr>
      </w:pPr>
      <w:r>
        <w:rPr>
          <w:rFonts w:eastAsia="Calibri"/>
          <w:lang w:eastAsia="en-US"/>
        </w:rPr>
        <w:t>Not applicable.</w:t>
      </w:r>
    </w:p>
    <w:p w14:paraId="22EB66D8" w14:textId="77777777" w:rsidR="008E7541" w:rsidRPr="00FD2055" w:rsidRDefault="008E7541" w:rsidP="00824F95">
      <w:pPr>
        <w:rPr>
          <w:rFonts w:eastAsia="Calibri"/>
          <w:lang w:eastAsia="en-US"/>
        </w:rPr>
      </w:pPr>
    </w:p>
    <w:p w14:paraId="3BD53959" w14:textId="77777777" w:rsidR="00824F95" w:rsidRPr="00824F95" w:rsidRDefault="00824F95" w:rsidP="00824F95">
      <w:pPr>
        <w:pStyle w:val="Titre3"/>
      </w:pPr>
      <w:bookmarkStart w:id="354" w:name="_Toc378685456"/>
      <w:bookmarkStart w:id="355" w:name="_Toc378685592"/>
      <w:bookmarkStart w:id="356" w:name="_Toc378691801"/>
      <w:bookmarkStart w:id="357" w:name="_Toc378692259"/>
      <w:bookmarkStart w:id="358" w:name="_Toc378692396"/>
      <w:bookmarkStart w:id="359" w:name="_Toc378692533"/>
      <w:bookmarkStart w:id="360" w:name="_Toc389729182"/>
      <w:bookmarkStart w:id="361" w:name="_Toc403472820"/>
      <w:bookmarkStart w:id="362" w:name="_Toc403566592"/>
      <w:bookmarkStart w:id="363" w:name="_Toc425344126"/>
      <w:bookmarkStart w:id="364" w:name="_Toc12967217"/>
      <w:bookmarkEnd w:id="354"/>
      <w:bookmarkEnd w:id="355"/>
      <w:bookmarkEnd w:id="356"/>
      <w:bookmarkEnd w:id="357"/>
      <w:bookmarkEnd w:id="358"/>
      <w:bookmarkEnd w:id="359"/>
      <w:r w:rsidRPr="00824F95">
        <w:t>Comparative assessment</w:t>
      </w:r>
      <w:bookmarkEnd w:id="360"/>
      <w:bookmarkEnd w:id="361"/>
      <w:bookmarkEnd w:id="362"/>
      <w:bookmarkEnd w:id="363"/>
      <w:bookmarkEnd w:id="364"/>
    </w:p>
    <w:p w14:paraId="7E05CCBE" w14:textId="77777777" w:rsidR="00824F95" w:rsidRDefault="008E7541" w:rsidP="008E7541">
      <w:pPr>
        <w:rPr>
          <w:rFonts w:eastAsia="Calibri"/>
          <w:lang w:eastAsia="en-US"/>
        </w:rPr>
      </w:pPr>
      <w:r>
        <w:rPr>
          <w:rFonts w:eastAsia="Calibri"/>
          <w:lang w:eastAsia="en-US"/>
        </w:rPr>
        <w:t>Not applicable.</w:t>
      </w:r>
    </w:p>
    <w:p w14:paraId="3F8C84D1" w14:textId="77777777" w:rsidR="008E7541" w:rsidRPr="00E94ED0" w:rsidRDefault="008E7541" w:rsidP="008E7541">
      <w:pPr>
        <w:rPr>
          <w:lang w:eastAsia="en-US"/>
        </w:rPr>
      </w:pPr>
    </w:p>
    <w:p w14:paraId="0CD02011" w14:textId="77777777" w:rsidR="008E7541" w:rsidRDefault="008E7541" w:rsidP="008E7541">
      <w:pPr>
        <w:spacing w:before="0" w:after="160" w:line="259" w:lineRule="auto"/>
        <w:rPr>
          <w:lang w:val="en-US" w:eastAsia="en-US"/>
        </w:rPr>
        <w:sectPr w:rsidR="008E7541" w:rsidSect="002E1D83">
          <w:pgSz w:w="11906" w:h="16838"/>
          <w:pgMar w:top="1247" w:right="1247" w:bottom="1247" w:left="1247" w:header="709" w:footer="709" w:gutter="0"/>
          <w:cols w:space="708"/>
          <w:docGrid w:linePitch="360"/>
        </w:sectPr>
      </w:pPr>
    </w:p>
    <w:p w14:paraId="276AF35C" w14:textId="77777777" w:rsidR="00F65B8F" w:rsidRPr="00F65B8F" w:rsidRDefault="00F65B8F" w:rsidP="00F65B8F">
      <w:pPr>
        <w:pStyle w:val="Titre1"/>
      </w:pPr>
      <w:bookmarkStart w:id="365" w:name="_Toc425344132"/>
      <w:bookmarkStart w:id="366" w:name="_Toc12967218"/>
      <w:r w:rsidRPr="00F65B8F">
        <w:lastRenderedPageBreak/>
        <w:t>Annexes</w:t>
      </w:r>
      <w:bookmarkEnd w:id="365"/>
      <w:bookmarkEnd w:id="366"/>
    </w:p>
    <w:p w14:paraId="4D06D954" w14:textId="77777777" w:rsidR="00F65B8F" w:rsidRPr="00F65B8F" w:rsidRDefault="00F65B8F" w:rsidP="00F65B8F">
      <w:pPr>
        <w:pStyle w:val="Titre2"/>
      </w:pPr>
      <w:bookmarkStart w:id="367" w:name="_Toc389729189"/>
      <w:bookmarkStart w:id="368" w:name="_Toc12967219"/>
      <w:bookmarkStart w:id="369" w:name="_Toc403472827"/>
      <w:bookmarkStart w:id="370" w:name="_Toc425344133"/>
      <w:r w:rsidRPr="00F65B8F">
        <w:t>List of studies for the biocidal product</w:t>
      </w:r>
      <w:bookmarkEnd w:id="367"/>
      <w:bookmarkEnd w:id="368"/>
      <w:r w:rsidRPr="00F65B8F">
        <w:t xml:space="preserve"> </w:t>
      </w:r>
      <w:bookmarkEnd w:id="369"/>
      <w:bookmarkEnd w:id="3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678"/>
        <w:gridCol w:w="3404"/>
        <w:gridCol w:w="2004"/>
        <w:gridCol w:w="1153"/>
        <w:gridCol w:w="898"/>
      </w:tblGrid>
      <w:tr w:rsidR="00032631" w:rsidRPr="007D7CD6" w14:paraId="66756947" w14:textId="77777777" w:rsidTr="00804DEE">
        <w:tc>
          <w:tcPr>
            <w:tcW w:w="673" w:type="pct"/>
            <w:shd w:val="clear" w:color="auto" w:fill="BFBFBF" w:themeFill="background1" w:themeFillShade="BF"/>
          </w:tcPr>
          <w:p w14:paraId="1ACC3B3E" w14:textId="77777777" w:rsidR="00032631" w:rsidRPr="007D7CD6" w:rsidRDefault="00032631" w:rsidP="009506B8">
            <w:pPr>
              <w:pStyle w:val="Standaard-Tabellen"/>
              <w:jc w:val="both"/>
              <w:rPr>
                <w:b/>
              </w:rPr>
            </w:pPr>
            <w:r w:rsidRPr="007D7CD6">
              <w:rPr>
                <w:b/>
              </w:rPr>
              <w:t>Author(s)</w:t>
            </w:r>
          </w:p>
        </w:tc>
        <w:tc>
          <w:tcPr>
            <w:tcW w:w="361" w:type="pct"/>
            <w:shd w:val="clear" w:color="auto" w:fill="BFBFBF" w:themeFill="background1" w:themeFillShade="BF"/>
          </w:tcPr>
          <w:p w14:paraId="28097731" w14:textId="77777777" w:rsidR="00032631" w:rsidRPr="007D7CD6" w:rsidRDefault="00032631" w:rsidP="009506B8">
            <w:pPr>
              <w:pStyle w:val="Standaard-Tabellen"/>
              <w:jc w:val="both"/>
              <w:rPr>
                <w:b/>
              </w:rPr>
            </w:pPr>
            <w:r w:rsidRPr="007D7CD6">
              <w:rPr>
                <w:b/>
              </w:rPr>
              <w:t>Year</w:t>
            </w:r>
          </w:p>
        </w:tc>
        <w:tc>
          <w:tcPr>
            <w:tcW w:w="1811" w:type="pct"/>
            <w:shd w:val="clear" w:color="auto" w:fill="BFBFBF" w:themeFill="background1" w:themeFillShade="BF"/>
          </w:tcPr>
          <w:p w14:paraId="0E2E5916" w14:textId="77777777" w:rsidR="00032631" w:rsidRPr="007D7CD6" w:rsidRDefault="00032631" w:rsidP="009506B8">
            <w:pPr>
              <w:pStyle w:val="Standaard-Tabellen"/>
              <w:jc w:val="both"/>
              <w:rPr>
                <w:b/>
              </w:rPr>
            </w:pPr>
            <w:r w:rsidRPr="007D7CD6">
              <w:rPr>
                <w:b/>
              </w:rPr>
              <w:t>Title</w:t>
            </w:r>
          </w:p>
        </w:tc>
        <w:tc>
          <w:tcPr>
            <w:tcW w:w="1066" w:type="pct"/>
            <w:shd w:val="clear" w:color="auto" w:fill="BFBFBF" w:themeFill="background1" w:themeFillShade="BF"/>
          </w:tcPr>
          <w:p w14:paraId="231C6302" w14:textId="77777777" w:rsidR="00032631" w:rsidRPr="007D7CD6" w:rsidRDefault="00032631" w:rsidP="009506B8">
            <w:pPr>
              <w:pStyle w:val="Standaard-Tabellen"/>
              <w:jc w:val="both"/>
              <w:rPr>
                <w:b/>
              </w:rPr>
            </w:pPr>
            <w:r w:rsidRPr="007D7CD6">
              <w:rPr>
                <w:b/>
              </w:rPr>
              <w:t>Report No.</w:t>
            </w:r>
          </w:p>
        </w:tc>
        <w:tc>
          <w:tcPr>
            <w:tcW w:w="613" w:type="pct"/>
            <w:shd w:val="clear" w:color="auto" w:fill="BFBFBF" w:themeFill="background1" w:themeFillShade="BF"/>
          </w:tcPr>
          <w:p w14:paraId="130EF82E" w14:textId="77777777" w:rsidR="00032631" w:rsidRPr="007D7CD6" w:rsidRDefault="00032631" w:rsidP="009506B8">
            <w:pPr>
              <w:pStyle w:val="Standaard-Tabellen"/>
              <w:jc w:val="both"/>
              <w:rPr>
                <w:b/>
              </w:rPr>
            </w:pPr>
            <w:r w:rsidRPr="007D7CD6">
              <w:rPr>
                <w:b/>
              </w:rPr>
              <w:t>Owner Company</w:t>
            </w:r>
          </w:p>
        </w:tc>
        <w:tc>
          <w:tcPr>
            <w:tcW w:w="478" w:type="pct"/>
            <w:shd w:val="clear" w:color="auto" w:fill="BFBFBF" w:themeFill="background1" w:themeFillShade="BF"/>
          </w:tcPr>
          <w:p w14:paraId="4053B5E2" w14:textId="77777777" w:rsidR="00032631" w:rsidRPr="007D7CD6" w:rsidRDefault="00032631" w:rsidP="009506B8">
            <w:pPr>
              <w:pStyle w:val="Standaard-Tabellen"/>
              <w:jc w:val="both"/>
              <w:rPr>
                <w:b/>
              </w:rPr>
            </w:pPr>
            <w:r w:rsidRPr="007D7CD6">
              <w:rPr>
                <w:b/>
              </w:rPr>
              <w:t xml:space="preserve">Report date </w:t>
            </w:r>
          </w:p>
        </w:tc>
      </w:tr>
      <w:tr w:rsidR="00EC7BE2" w:rsidRPr="007D7CD6" w14:paraId="4EE59B73"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4154C241" w14:textId="77777777" w:rsidR="00EC7BE2" w:rsidRDefault="00EC7BE2" w:rsidP="00EC7BE2">
            <w:pPr>
              <w:pStyle w:val="Standaard-Tabellen"/>
            </w:pPr>
            <w:proofErr w:type="spellStart"/>
            <w:r>
              <w:rPr>
                <w:rFonts w:ascii="Calibri" w:hAnsi="Calibri" w:cs="Calibri"/>
                <w:color w:val="000000"/>
                <w:sz w:val="22"/>
                <w:szCs w:val="22"/>
              </w:rPr>
              <w:t>Fieseler</w:t>
            </w:r>
            <w:proofErr w:type="spellEnd"/>
            <w:r>
              <w:rPr>
                <w:rFonts w:ascii="Calibri" w:hAnsi="Calibri" w:cs="Calibri"/>
                <w:color w:val="000000"/>
                <w:sz w:val="22"/>
                <w:szCs w:val="22"/>
              </w:rPr>
              <w:t>, A.</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BACFBF2" w14:textId="77777777" w:rsidR="00EC7BE2" w:rsidRDefault="00EC7BE2" w:rsidP="00EC7BE2">
            <w:pPr>
              <w:pStyle w:val="Standaard-Tabellen"/>
            </w:pPr>
            <w:r>
              <w:rPr>
                <w:rFonts w:ascii="Calibri" w:hAnsi="Calibri" w:cs="Calibri"/>
                <w:color w:val="000000"/>
                <w:sz w:val="22"/>
                <w:szCs w:val="22"/>
              </w:rPr>
              <w:t>2015</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664A65ED" w14:textId="77777777" w:rsidR="00EC7BE2" w:rsidRPr="00085D9B" w:rsidRDefault="00EC7BE2" w:rsidP="00EC7BE2">
            <w:pPr>
              <w:pStyle w:val="Standaard-Tabellen"/>
              <w:rPr>
                <w:rFonts w:cs="00nkk"/>
                <w:lang w:val="en-US" w:eastAsia="en-US"/>
              </w:rPr>
            </w:pPr>
            <w:r>
              <w:rPr>
                <w:rFonts w:ascii="Calibri" w:hAnsi="Calibri" w:cs="Calibri"/>
                <w:color w:val="000000"/>
                <w:sz w:val="22"/>
                <w:szCs w:val="22"/>
              </w:rPr>
              <w:t xml:space="preserve">MDA-A-197-01 Verum 1: Accelerated Storage Stability </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4F352E68"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98322204</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4642288B"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 xml:space="preserve">Merck </w:t>
            </w:r>
            <w:proofErr w:type="spellStart"/>
            <w:r>
              <w:rPr>
                <w:rFonts w:ascii="Calibri" w:hAnsi="Calibri" w:cs="Calibri"/>
                <w:color w:val="000000"/>
                <w:sz w:val="22"/>
                <w:szCs w:val="22"/>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31A3163" w14:textId="77777777" w:rsidR="00EC7BE2" w:rsidRDefault="00EC7BE2" w:rsidP="00EC7BE2">
            <w:pPr>
              <w:pStyle w:val="Standaard-Tabellen"/>
              <w:rPr>
                <w:rFonts w:cs="00nkk"/>
                <w:lang w:val="en-US" w:eastAsia="en-US"/>
              </w:rPr>
            </w:pPr>
            <w:r>
              <w:rPr>
                <w:rFonts w:ascii="Calibri" w:hAnsi="Calibri" w:cs="Calibri"/>
                <w:color w:val="000000"/>
                <w:sz w:val="22"/>
                <w:szCs w:val="22"/>
              </w:rPr>
              <w:t>2015-08-04</w:t>
            </w:r>
          </w:p>
        </w:tc>
      </w:tr>
      <w:tr w:rsidR="00EC7BE2" w:rsidRPr="007D7CD6" w14:paraId="755241DA"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5989679D" w14:textId="77777777" w:rsidR="00EC7BE2" w:rsidRDefault="00EC7BE2" w:rsidP="00EC7BE2">
            <w:pPr>
              <w:pStyle w:val="Standaard-Tabellen"/>
            </w:pPr>
            <w:proofErr w:type="spellStart"/>
            <w:r>
              <w:rPr>
                <w:rFonts w:ascii="Calibri" w:hAnsi="Calibri" w:cs="Calibri"/>
                <w:color w:val="000000"/>
                <w:sz w:val="22"/>
                <w:szCs w:val="22"/>
              </w:rPr>
              <w:t>Meinerling</w:t>
            </w:r>
            <w:proofErr w:type="spellEnd"/>
            <w:r>
              <w:rPr>
                <w:rFonts w:ascii="Calibri" w:hAnsi="Calibri" w:cs="Calibri"/>
                <w:color w:val="000000"/>
                <w:sz w:val="22"/>
                <w:szCs w:val="22"/>
              </w:rPr>
              <w:t>. M.</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758CDE7" w14:textId="77777777" w:rsidR="00EC7BE2" w:rsidRDefault="00EC7BE2" w:rsidP="00EC7BE2">
            <w:pPr>
              <w:pStyle w:val="Standaard-Tabellen"/>
            </w:pPr>
            <w:r>
              <w:rPr>
                <w:rFonts w:ascii="Calibri" w:hAnsi="Calibri" w:cs="Calibri"/>
                <w:color w:val="000000"/>
                <w:sz w:val="22"/>
                <w:szCs w:val="22"/>
              </w:rPr>
              <w:t>2011</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74DFBE8D" w14:textId="77777777" w:rsidR="00EC7BE2" w:rsidRPr="00085D9B" w:rsidRDefault="00EC7BE2" w:rsidP="00EC7BE2">
            <w:pPr>
              <w:pStyle w:val="Standaard-Tabellen"/>
              <w:rPr>
                <w:rFonts w:cs="00nkk"/>
                <w:lang w:val="en-US" w:eastAsia="en-US"/>
              </w:rPr>
            </w:pPr>
            <w:r>
              <w:rPr>
                <w:rFonts w:ascii="Calibri" w:hAnsi="Calibri" w:cs="Calibri"/>
                <w:color w:val="000000"/>
                <w:sz w:val="22"/>
                <w:szCs w:val="22"/>
              </w:rPr>
              <w:t>Determination of the Low Temperature Stability of Lotion IR 3535® 10 %</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469E2ACC"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63194204</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3CDCAC73"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 xml:space="preserve">Merck </w:t>
            </w:r>
            <w:proofErr w:type="spellStart"/>
            <w:r>
              <w:rPr>
                <w:rFonts w:ascii="Calibri" w:hAnsi="Calibri" w:cs="Calibri"/>
                <w:color w:val="000000"/>
                <w:sz w:val="22"/>
                <w:szCs w:val="22"/>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8D09788" w14:textId="77777777" w:rsidR="00EC7BE2" w:rsidRDefault="00EC7BE2" w:rsidP="00EC7BE2">
            <w:pPr>
              <w:pStyle w:val="Standaard-Tabellen"/>
              <w:rPr>
                <w:rFonts w:cs="00nkk"/>
                <w:lang w:val="en-US" w:eastAsia="en-US"/>
              </w:rPr>
            </w:pPr>
            <w:r>
              <w:rPr>
                <w:rFonts w:ascii="Calibri" w:hAnsi="Calibri" w:cs="Calibri"/>
                <w:color w:val="000000"/>
                <w:sz w:val="22"/>
                <w:szCs w:val="22"/>
              </w:rPr>
              <w:t>2011-06-27</w:t>
            </w:r>
          </w:p>
        </w:tc>
      </w:tr>
      <w:tr w:rsidR="00EC7BE2" w:rsidRPr="007D7CD6" w14:paraId="74C86D66"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6FB5355D" w14:textId="77777777" w:rsidR="00EC7BE2" w:rsidRDefault="00EC7BE2" w:rsidP="00EC7BE2">
            <w:pPr>
              <w:pStyle w:val="Standaard-Tabellen"/>
            </w:pPr>
            <w:proofErr w:type="spellStart"/>
            <w:r>
              <w:rPr>
                <w:rFonts w:ascii="Calibri" w:hAnsi="Calibri" w:cs="Calibri"/>
                <w:color w:val="000000"/>
                <w:sz w:val="22"/>
                <w:szCs w:val="22"/>
              </w:rPr>
              <w:t>zur</w:t>
            </w:r>
            <w:proofErr w:type="spellEnd"/>
            <w:r>
              <w:rPr>
                <w:rFonts w:ascii="Calibri" w:hAnsi="Calibri" w:cs="Calibri"/>
                <w:color w:val="000000"/>
                <w:sz w:val="22"/>
                <w:szCs w:val="22"/>
              </w:rPr>
              <w:t xml:space="preserve"> Lage, J.</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5CD23A7" w14:textId="77777777" w:rsidR="00EC7BE2" w:rsidRDefault="00EC7BE2" w:rsidP="00EC7BE2">
            <w:pPr>
              <w:pStyle w:val="Standaard-Tabellen"/>
            </w:pPr>
            <w:r>
              <w:rPr>
                <w:rFonts w:ascii="Calibri" w:hAnsi="Calibri" w:cs="Calibri"/>
                <w:color w:val="000000"/>
                <w:sz w:val="22"/>
                <w:szCs w:val="22"/>
              </w:rPr>
              <w:t>2016</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79DD82AC" w14:textId="77777777" w:rsidR="00EC7BE2" w:rsidRPr="00085D9B" w:rsidRDefault="00EC7BE2" w:rsidP="00EC7BE2">
            <w:pPr>
              <w:pStyle w:val="Standaard-Tabellen"/>
              <w:rPr>
                <w:rFonts w:cs="00nkk"/>
                <w:lang w:val="en-US" w:eastAsia="en-US"/>
              </w:rPr>
            </w:pPr>
            <w:r>
              <w:rPr>
                <w:rFonts w:ascii="Calibri" w:hAnsi="Calibri" w:cs="Calibri"/>
                <w:color w:val="000000"/>
                <w:sz w:val="22"/>
                <w:szCs w:val="22"/>
              </w:rPr>
              <w:t xml:space="preserve">IR3535_Ref Formulations Surface tension </w:t>
            </w:r>
            <w:proofErr w:type="spellStart"/>
            <w:r>
              <w:rPr>
                <w:rFonts w:ascii="Calibri" w:hAnsi="Calibri" w:cs="Calibri"/>
                <w:color w:val="000000"/>
                <w:sz w:val="22"/>
                <w:szCs w:val="22"/>
              </w:rPr>
              <w:t>Viscosity_Reg.Aff</w:t>
            </w:r>
            <w:proofErr w:type="spellEnd"/>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41EB0BDA"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6442</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1327E56"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 xml:space="preserve">Merck </w:t>
            </w:r>
            <w:proofErr w:type="spellStart"/>
            <w:r>
              <w:rPr>
                <w:rFonts w:ascii="Calibri" w:hAnsi="Calibri" w:cs="Calibri"/>
                <w:color w:val="000000"/>
                <w:sz w:val="22"/>
                <w:szCs w:val="22"/>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925A8C5" w14:textId="77777777" w:rsidR="00EC7BE2" w:rsidRDefault="00EC7BE2" w:rsidP="00EC7BE2">
            <w:pPr>
              <w:pStyle w:val="Standaard-Tabellen"/>
              <w:rPr>
                <w:rFonts w:cs="00nkk"/>
                <w:lang w:val="en-US" w:eastAsia="en-US"/>
              </w:rPr>
            </w:pPr>
            <w:r>
              <w:rPr>
                <w:rFonts w:ascii="Calibri" w:hAnsi="Calibri" w:cs="Calibri"/>
                <w:color w:val="000000"/>
                <w:sz w:val="22"/>
                <w:szCs w:val="22"/>
              </w:rPr>
              <w:t>2016-07-04</w:t>
            </w:r>
          </w:p>
        </w:tc>
      </w:tr>
      <w:tr w:rsidR="00EC7BE2" w:rsidRPr="007D7CD6" w14:paraId="27FC50AD"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4819C81B" w14:textId="77777777" w:rsidR="00EC7BE2" w:rsidRDefault="00EC7BE2" w:rsidP="00EC7BE2">
            <w:pPr>
              <w:pStyle w:val="Standaard-Tabellen"/>
            </w:pPr>
            <w:proofErr w:type="spellStart"/>
            <w:r>
              <w:rPr>
                <w:rFonts w:ascii="Calibri" w:hAnsi="Calibri" w:cs="Calibri"/>
                <w:color w:val="000000"/>
                <w:sz w:val="22"/>
                <w:szCs w:val="22"/>
              </w:rPr>
              <w:t>Fieseler</w:t>
            </w:r>
            <w:proofErr w:type="spellEnd"/>
            <w:r>
              <w:rPr>
                <w:rFonts w:ascii="Calibri" w:hAnsi="Calibri" w:cs="Calibri"/>
                <w:color w:val="000000"/>
                <w:sz w:val="22"/>
                <w:szCs w:val="22"/>
              </w:rPr>
              <w:t>, A.</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01E9CEF" w14:textId="77777777" w:rsidR="00EC7BE2" w:rsidRDefault="00EC7BE2" w:rsidP="00EC7BE2">
            <w:pPr>
              <w:pStyle w:val="Standaard-Tabellen"/>
            </w:pPr>
            <w:r>
              <w:rPr>
                <w:rFonts w:ascii="Calibri" w:hAnsi="Calibri" w:cs="Calibri"/>
                <w:color w:val="000000"/>
                <w:sz w:val="22"/>
                <w:szCs w:val="22"/>
              </w:rPr>
              <w:t>2011</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51775098" w14:textId="77777777" w:rsidR="00EC7BE2" w:rsidRPr="00085D9B" w:rsidRDefault="00EC7BE2" w:rsidP="00EC7BE2">
            <w:pPr>
              <w:pStyle w:val="Standaard-Tabellen"/>
              <w:rPr>
                <w:rFonts w:cs="00nkk"/>
                <w:lang w:val="en-US" w:eastAsia="en-US"/>
              </w:rPr>
            </w:pPr>
            <w:r>
              <w:rPr>
                <w:rFonts w:ascii="Calibri" w:hAnsi="Calibri" w:cs="Calibri"/>
                <w:color w:val="000000"/>
                <w:sz w:val="22"/>
                <w:szCs w:val="22"/>
              </w:rPr>
              <w:t>Determination of the Flash Point of Lotion IR 3535® 10 %</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695BB3E7"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63191189</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E119934"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 xml:space="preserve">Merck </w:t>
            </w:r>
            <w:proofErr w:type="spellStart"/>
            <w:r>
              <w:rPr>
                <w:rFonts w:ascii="Calibri" w:hAnsi="Calibri" w:cs="Calibri"/>
                <w:color w:val="000000"/>
                <w:sz w:val="22"/>
                <w:szCs w:val="22"/>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42F5C80" w14:textId="77777777" w:rsidR="00EC7BE2" w:rsidRDefault="00EC7BE2" w:rsidP="00EC7BE2">
            <w:pPr>
              <w:pStyle w:val="Standaard-Tabellen"/>
              <w:rPr>
                <w:rFonts w:cs="00nkk"/>
                <w:lang w:val="en-US" w:eastAsia="en-US"/>
              </w:rPr>
            </w:pPr>
            <w:r>
              <w:rPr>
                <w:rFonts w:ascii="Calibri" w:hAnsi="Calibri" w:cs="Calibri"/>
                <w:color w:val="000000"/>
                <w:sz w:val="22"/>
                <w:szCs w:val="22"/>
              </w:rPr>
              <w:t>2011-07-11</w:t>
            </w:r>
          </w:p>
        </w:tc>
      </w:tr>
      <w:tr w:rsidR="00C2329A" w:rsidRPr="007D7CD6" w14:paraId="05D48538"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530C8FDA" w14:textId="257A433F" w:rsidR="00C2329A" w:rsidRDefault="00C2329A" w:rsidP="00C2329A">
            <w:pPr>
              <w:pStyle w:val="Standaard-Tabellen"/>
              <w:rPr>
                <w:rFonts w:ascii="Calibri" w:hAnsi="Calibri" w:cs="Calibri"/>
                <w:color w:val="000000"/>
                <w:sz w:val="22"/>
                <w:szCs w:val="22"/>
              </w:rPr>
            </w:pPr>
            <w:proofErr w:type="spellStart"/>
            <w:r>
              <w:rPr>
                <w:rFonts w:ascii="Calibri" w:hAnsi="Calibri" w:cs="Calibri"/>
                <w:color w:val="000000"/>
                <w:sz w:val="22"/>
                <w:szCs w:val="22"/>
              </w:rPr>
              <w:t>Fieseler</w:t>
            </w:r>
            <w:proofErr w:type="spellEnd"/>
            <w:r>
              <w:rPr>
                <w:rFonts w:ascii="Calibri" w:hAnsi="Calibri" w:cs="Calibri"/>
                <w:color w:val="000000"/>
                <w:sz w:val="22"/>
                <w:szCs w:val="22"/>
              </w:rPr>
              <w:t>, A.</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3F785C0" w14:textId="5E72895F" w:rsidR="00C2329A" w:rsidRDefault="00C2329A" w:rsidP="00C2329A">
            <w:pPr>
              <w:pStyle w:val="Standaard-Tabellen"/>
              <w:rPr>
                <w:rFonts w:ascii="Calibri" w:hAnsi="Calibri" w:cs="Calibri"/>
                <w:color w:val="000000"/>
                <w:sz w:val="22"/>
                <w:szCs w:val="22"/>
              </w:rPr>
            </w:pPr>
            <w:r>
              <w:rPr>
                <w:rFonts w:ascii="Calibri" w:hAnsi="Calibri" w:cs="Calibri"/>
                <w:color w:val="000000"/>
                <w:sz w:val="22"/>
                <w:szCs w:val="22"/>
              </w:rPr>
              <w:t>2018</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69D2CB46" w14:textId="6B0CF845" w:rsidR="00C2329A" w:rsidRDefault="00C2329A" w:rsidP="00C2329A">
            <w:pPr>
              <w:pStyle w:val="Standaard-Tabellen"/>
              <w:rPr>
                <w:rFonts w:ascii="Calibri" w:hAnsi="Calibri" w:cs="Calibri"/>
                <w:color w:val="000000"/>
                <w:sz w:val="22"/>
                <w:szCs w:val="22"/>
              </w:rPr>
            </w:pPr>
            <w:r>
              <w:rPr>
                <w:rFonts w:ascii="Calibri" w:hAnsi="Calibri" w:cs="Calibri"/>
                <w:color w:val="000000"/>
                <w:sz w:val="22"/>
                <w:szCs w:val="22"/>
              </w:rPr>
              <w:t xml:space="preserve">MDA-A-197-01 Verum 1: </w:t>
            </w:r>
            <w:proofErr w:type="spellStart"/>
            <w:r>
              <w:rPr>
                <w:rFonts w:ascii="Calibri" w:hAnsi="Calibri" w:cs="Calibri"/>
                <w:color w:val="000000"/>
                <w:sz w:val="22"/>
                <w:szCs w:val="22"/>
              </w:rPr>
              <w:t>Longterm</w:t>
            </w:r>
            <w:proofErr w:type="spellEnd"/>
            <w:r>
              <w:rPr>
                <w:rFonts w:ascii="Calibri" w:hAnsi="Calibri" w:cs="Calibri"/>
                <w:color w:val="000000"/>
                <w:sz w:val="22"/>
                <w:szCs w:val="22"/>
              </w:rPr>
              <w:t xml:space="preserve"> Storage Stability at 20°C</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56CD22EE" w14:textId="6B9D6B72" w:rsidR="00C2329A" w:rsidRDefault="00C2329A" w:rsidP="00C2329A">
            <w:pPr>
              <w:autoSpaceDE w:val="0"/>
              <w:autoSpaceDN w:val="0"/>
              <w:adjustRightInd w:val="0"/>
              <w:rPr>
                <w:rFonts w:ascii="Calibri" w:hAnsi="Calibri" w:cs="Calibri"/>
                <w:color w:val="000000"/>
                <w:sz w:val="22"/>
                <w:szCs w:val="22"/>
              </w:rPr>
            </w:pPr>
            <w:r>
              <w:rPr>
                <w:rFonts w:ascii="Calibri" w:hAnsi="Calibri" w:cs="Calibri"/>
                <w:color w:val="000000"/>
                <w:sz w:val="22"/>
                <w:szCs w:val="22"/>
              </w:rPr>
              <w:t>98321204</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6C1F0E3" w14:textId="112FE256" w:rsidR="00C2329A" w:rsidRDefault="00C2329A" w:rsidP="00C2329A">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Merck </w:t>
            </w:r>
            <w:proofErr w:type="spellStart"/>
            <w:r>
              <w:rPr>
                <w:rFonts w:ascii="Calibri" w:hAnsi="Calibri" w:cs="Calibri"/>
                <w:color w:val="000000"/>
                <w:sz w:val="22"/>
                <w:szCs w:val="22"/>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942E193" w14:textId="750AC2B3" w:rsidR="00C2329A" w:rsidRDefault="00C2329A" w:rsidP="00C2329A">
            <w:pPr>
              <w:pStyle w:val="Standaard-Tabellen"/>
              <w:rPr>
                <w:rFonts w:ascii="Calibri" w:hAnsi="Calibri" w:cs="Calibri"/>
                <w:color w:val="000000"/>
                <w:sz w:val="22"/>
                <w:szCs w:val="22"/>
              </w:rPr>
            </w:pPr>
            <w:r>
              <w:rPr>
                <w:rFonts w:ascii="Calibri" w:hAnsi="Calibri" w:cs="Calibri"/>
                <w:color w:val="000000"/>
                <w:sz w:val="22"/>
                <w:szCs w:val="22"/>
              </w:rPr>
              <w:t>2018-05-22</w:t>
            </w:r>
          </w:p>
        </w:tc>
      </w:tr>
      <w:tr w:rsidR="00EC7BE2" w:rsidRPr="007D7CD6" w14:paraId="12E70A26"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15AFBCD7" w14:textId="77777777" w:rsidR="00EC7BE2" w:rsidRDefault="00EC7BE2" w:rsidP="00EC7BE2">
            <w:pPr>
              <w:pStyle w:val="Standaard-Tabellen"/>
            </w:pPr>
            <w:proofErr w:type="spellStart"/>
            <w:r>
              <w:rPr>
                <w:rFonts w:ascii="Calibri" w:hAnsi="Calibri" w:cs="Calibri"/>
                <w:color w:val="000000"/>
                <w:sz w:val="22"/>
                <w:szCs w:val="22"/>
              </w:rPr>
              <w:t>Dornhagen</w:t>
            </w:r>
            <w:proofErr w:type="spellEnd"/>
            <w:r>
              <w:rPr>
                <w:rFonts w:ascii="Calibri" w:hAnsi="Calibri" w:cs="Calibri"/>
                <w:color w:val="000000"/>
                <w:sz w:val="22"/>
                <w:szCs w:val="22"/>
              </w:rPr>
              <w:t>, J.</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1EC3C3B" w14:textId="77777777" w:rsidR="00EC7BE2" w:rsidRDefault="00EC7BE2" w:rsidP="00EC7BE2">
            <w:pPr>
              <w:pStyle w:val="Standaard-Tabellen"/>
            </w:pPr>
            <w:r>
              <w:rPr>
                <w:rFonts w:ascii="Calibri" w:hAnsi="Calibri" w:cs="Calibri"/>
                <w:color w:val="000000"/>
                <w:sz w:val="22"/>
                <w:szCs w:val="22"/>
              </w:rPr>
              <w:t>2011</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2ECF58C9" w14:textId="77777777" w:rsidR="00EC7BE2" w:rsidRPr="00085D9B" w:rsidRDefault="00EC7BE2" w:rsidP="00EC7BE2">
            <w:pPr>
              <w:pStyle w:val="Standaard-Tabellen"/>
              <w:rPr>
                <w:rFonts w:cs="00nkk"/>
                <w:lang w:val="en-US" w:eastAsia="en-US"/>
              </w:rPr>
            </w:pPr>
            <w:r>
              <w:rPr>
                <w:rFonts w:ascii="Calibri" w:hAnsi="Calibri" w:cs="Calibri"/>
                <w:color w:val="000000"/>
                <w:sz w:val="22"/>
                <w:szCs w:val="22"/>
              </w:rPr>
              <w:t>FINAL REPORT (1st Original of 3) Lotion IR 3535® 10 % Batch No.: SM-0-1-3/090211 AUTO-IGNITION TEMPERATURE (LIQUIDS AND GASES) A.15.</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638DD715"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20110105.01</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53812615"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 xml:space="preserve">Merck </w:t>
            </w:r>
            <w:proofErr w:type="spellStart"/>
            <w:r>
              <w:rPr>
                <w:rFonts w:ascii="Calibri" w:hAnsi="Calibri" w:cs="Calibri"/>
                <w:color w:val="000000"/>
                <w:sz w:val="22"/>
                <w:szCs w:val="22"/>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C9ECB39" w14:textId="77777777" w:rsidR="00EC7BE2" w:rsidRDefault="00EC7BE2" w:rsidP="00EC7BE2">
            <w:pPr>
              <w:pStyle w:val="Standaard-Tabellen"/>
              <w:rPr>
                <w:rFonts w:cs="00nkk"/>
                <w:lang w:val="en-US" w:eastAsia="en-US"/>
              </w:rPr>
            </w:pPr>
            <w:r>
              <w:rPr>
                <w:rFonts w:ascii="Calibri" w:hAnsi="Calibri" w:cs="Calibri"/>
                <w:color w:val="000000"/>
                <w:sz w:val="22"/>
                <w:szCs w:val="22"/>
              </w:rPr>
              <w:t>2011-07-04</w:t>
            </w:r>
          </w:p>
        </w:tc>
      </w:tr>
      <w:tr w:rsidR="00EC7BE2" w:rsidRPr="007D7CD6" w14:paraId="071C4F1D"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447D0F5F" w14:textId="77777777" w:rsidR="00EC7BE2" w:rsidRDefault="00EC7BE2" w:rsidP="00EC7BE2">
            <w:pPr>
              <w:pStyle w:val="Standaard-Tabellen"/>
            </w:pPr>
            <w:proofErr w:type="spellStart"/>
            <w:r>
              <w:rPr>
                <w:rFonts w:ascii="Calibri" w:hAnsi="Calibri" w:cs="Calibri"/>
                <w:color w:val="000000"/>
                <w:sz w:val="22"/>
                <w:szCs w:val="22"/>
              </w:rPr>
              <w:t>Meinerling</w:t>
            </w:r>
            <w:proofErr w:type="spellEnd"/>
            <w:r>
              <w:rPr>
                <w:rFonts w:ascii="Calibri" w:hAnsi="Calibri" w:cs="Calibri"/>
                <w:color w:val="000000"/>
                <w:sz w:val="22"/>
                <w:szCs w:val="22"/>
              </w:rPr>
              <w:t>. M.</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CC398DD" w14:textId="77777777" w:rsidR="00EC7BE2" w:rsidRDefault="00EC7BE2" w:rsidP="00EC7BE2">
            <w:pPr>
              <w:pStyle w:val="Standaard-Tabellen"/>
            </w:pPr>
            <w:r>
              <w:rPr>
                <w:rFonts w:ascii="Calibri" w:hAnsi="Calibri" w:cs="Calibri"/>
                <w:color w:val="000000"/>
                <w:sz w:val="22"/>
                <w:szCs w:val="22"/>
              </w:rPr>
              <w:t>2007</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46CC1899" w14:textId="77777777" w:rsidR="00EC7BE2" w:rsidRPr="00085D9B" w:rsidRDefault="00EC7BE2" w:rsidP="00EC7BE2">
            <w:pPr>
              <w:pStyle w:val="Standaard-Tabellen"/>
              <w:rPr>
                <w:rFonts w:cs="00nkk"/>
                <w:lang w:val="en-US" w:eastAsia="en-US"/>
              </w:rPr>
            </w:pPr>
            <w:r>
              <w:rPr>
                <w:rFonts w:ascii="Calibri" w:hAnsi="Calibri" w:cs="Calibri"/>
                <w:color w:val="000000"/>
                <w:sz w:val="22"/>
                <w:szCs w:val="22"/>
              </w:rPr>
              <w:t>IR3535® - VALIDATION OF AN ANALYTICAL METHOD FOR THE DETERMINATION OF IR3535® AND ITS HYDROLYSIS PRODUCT IN DIFFERENT FORMULATIONS</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1ED875E8"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31211101</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1301454"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 xml:space="preserve">Merck </w:t>
            </w:r>
            <w:proofErr w:type="spellStart"/>
            <w:r>
              <w:rPr>
                <w:rFonts w:ascii="Calibri" w:hAnsi="Calibri" w:cs="Calibri"/>
                <w:color w:val="000000"/>
                <w:sz w:val="22"/>
                <w:szCs w:val="22"/>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C88CC8E" w14:textId="77777777" w:rsidR="00EC7BE2" w:rsidRDefault="00EC7BE2" w:rsidP="00EC7BE2">
            <w:pPr>
              <w:pStyle w:val="Standaard-Tabellen"/>
              <w:rPr>
                <w:rFonts w:cs="00nkk"/>
                <w:lang w:val="en-US" w:eastAsia="en-US"/>
              </w:rPr>
            </w:pPr>
            <w:r>
              <w:rPr>
                <w:rFonts w:ascii="Calibri" w:hAnsi="Calibri" w:cs="Calibri"/>
                <w:color w:val="000000"/>
                <w:sz w:val="22"/>
                <w:szCs w:val="22"/>
              </w:rPr>
              <w:t>2007-03-19</w:t>
            </w:r>
          </w:p>
        </w:tc>
      </w:tr>
      <w:tr w:rsidR="00EC7BE2" w:rsidRPr="007D7CD6" w14:paraId="04294434"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6413B1BF" w14:textId="77777777" w:rsidR="00EC7BE2" w:rsidRDefault="00EC7BE2" w:rsidP="00EC7BE2">
            <w:pPr>
              <w:pStyle w:val="Standaard-Tabellen"/>
            </w:pPr>
            <w:proofErr w:type="spellStart"/>
            <w:r>
              <w:rPr>
                <w:rFonts w:ascii="Calibri" w:hAnsi="Calibri" w:cs="Calibri"/>
                <w:color w:val="000000"/>
                <w:sz w:val="22"/>
                <w:szCs w:val="22"/>
              </w:rPr>
              <w:t>Meinerling</w:t>
            </w:r>
            <w:proofErr w:type="spellEnd"/>
            <w:r>
              <w:rPr>
                <w:rFonts w:ascii="Calibri" w:hAnsi="Calibri" w:cs="Calibri"/>
                <w:color w:val="000000"/>
                <w:sz w:val="22"/>
                <w:szCs w:val="22"/>
              </w:rPr>
              <w:t>, M.</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296DEA7" w14:textId="77777777" w:rsidR="00EC7BE2" w:rsidRDefault="00EC7BE2" w:rsidP="00EC7BE2">
            <w:pPr>
              <w:pStyle w:val="Standaard-Tabellen"/>
            </w:pPr>
            <w:r>
              <w:rPr>
                <w:rFonts w:ascii="Calibri" w:hAnsi="Calibri" w:cs="Calibri"/>
                <w:color w:val="000000"/>
                <w:sz w:val="22"/>
                <w:szCs w:val="22"/>
              </w:rPr>
              <w:t>2009</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50E88695" w14:textId="77777777" w:rsidR="00EC7BE2" w:rsidRPr="00085D9B" w:rsidRDefault="00EC7BE2" w:rsidP="00EC7BE2">
            <w:pPr>
              <w:pStyle w:val="Standaard-Tabellen"/>
              <w:rPr>
                <w:rFonts w:cs="00nkk"/>
                <w:lang w:val="en-US" w:eastAsia="en-US"/>
              </w:rPr>
            </w:pPr>
            <w:r>
              <w:rPr>
                <w:rFonts w:ascii="Calibri" w:hAnsi="Calibri" w:cs="Calibri"/>
                <w:color w:val="000000"/>
                <w:sz w:val="22"/>
                <w:szCs w:val="22"/>
              </w:rPr>
              <w:t>WV29-01 INSECT REPELLENT LOTION  – DETERMINATION OF THE STORAGE STABILITY AT AMBIENT TEMPERATURES</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037FDAC6"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31222204</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5AF88CD5" w14:textId="77777777" w:rsidR="00EC7BE2" w:rsidRPr="00085D9B" w:rsidRDefault="00EC7BE2" w:rsidP="00EC7BE2">
            <w:pPr>
              <w:autoSpaceDE w:val="0"/>
              <w:autoSpaceDN w:val="0"/>
              <w:adjustRightInd w:val="0"/>
              <w:rPr>
                <w:rFonts w:cs="00nkk"/>
                <w:lang w:val="en-US" w:eastAsia="en-US"/>
              </w:rPr>
            </w:pPr>
            <w:r>
              <w:rPr>
                <w:rFonts w:ascii="Calibri" w:hAnsi="Calibri" w:cs="Calibri"/>
                <w:color w:val="000000"/>
                <w:sz w:val="22"/>
                <w:szCs w:val="22"/>
              </w:rPr>
              <w:t xml:space="preserve">Merck </w:t>
            </w:r>
            <w:proofErr w:type="spellStart"/>
            <w:r>
              <w:rPr>
                <w:rFonts w:ascii="Calibri" w:hAnsi="Calibri" w:cs="Calibri"/>
                <w:color w:val="000000"/>
                <w:sz w:val="22"/>
                <w:szCs w:val="22"/>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C3FBC58" w14:textId="77777777" w:rsidR="00EC7BE2" w:rsidRDefault="00EC7BE2" w:rsidP="00EC7BE2">
            <w:pPr>
              <w:pStyle w:val="Standaard-Tabellen"/>
              <w:rPr>
                <w:rFonts w:cs="00nkk"/>
                <w:lang w:val="en-US" w:eastAsia="en-US"/>
              </w:rPr>
            </w:pPr>
            <w:r>
              <w:rPr>
                <w:rFonts w:ascii="Calibri" w:hAnsi="Calibri" w:cs="Calibri"/>
                <w:color w:val="000000"/>
                <w:sz w:val="22"/>
                <w:szCs w:val="22"/>
              </w:rPr>
              <w:t>2009-05-30</w:t>
            </w:r>
          </w:p>
        </w:tc>
      </w:tr>
      <w:tr w:rsidR="00C84F68" w:rsidRPr="007D7CD6" w14:paraId="7BC4285B"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3E2A3643" w14:textId="77777777" w:rsidR="00C84F68" w:rsidRDefault="00C84F68" w:rsidP="00C84F68">
            <w:pPr>
              <w:pStyle w:val="Standaard-Tabellen"/>
              <w:rPr>
                <w:rFonts w:ascii="Calibri" w:hAnsi="Calibri" w:cs="Calibri"/>
                <w:color w:val="000000"/>
                <w:sz w:val="22"/>
                <w:szCs w:val="22"/>
              </w:rPr>
            </w:pPr>
            <w:r>
              <w:t>Carroll, S.P.</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74708B18" w14:textId="77777777" w:rsidR="00C84F68" w:rsidRDefault="00C84F68" w:rsidP="00C84F68">
            <w:pPr>
              <w:pStyle w:val="Standaard-Tabellen"/>
              <w:rPr>
                <w:rFonts w:ascii="Calibri" w:hAnsi="Calibri" w:cs="Calibri"/>
                <w:color w:val="000000"/>
                <w:sz w:val="22"/>
                <w:szCs w:val="22"/>
              </w:rPr>
            </w:pPr>
            <w:r>
              <w:t>2006</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1C9500FF" w14:textId="77777777" w:rsidR="00C84F68" w:rsidRDefault="00C84F68" w:rsidP="00C84F68">
            <w:pPr>
              <w:pStyle w:val="Standaard-Tabellen"/>
            </w:pPr>
            <w:r>
              <w:t>Test of Personal Insect Repellents: Study EMD-003.1 -</w:t>
            </w:r>
          </w:p>
          <w:p w14:paraId="1B53F20F" w14:textId="77777777" w:rsidR="00C84F68" w:rsidRDefault="00C84F68" w:rsidP="00C84F68">
            <w:pPr>
              <w:pStyle w:val="Standaard-Tabellen"/>
              <w:rPr>
                <w:rFonts w:ascii="Calibri" w:hAnsi="Calibri" w:cs="Calibri"/>
                <w:color w:val="000000"/>
                <w:sz w:val="22"/>
                <w:szCs w:val="22"/>
              </w:rPr>
            </w:pPr>
            <w:r>
              <w:t>Replacement for MRID 46979001 - Volume 11</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7E79DE7F" w14:textId="77777777" w:rsidR="00C84F68" w:rsidRDefault="00C84F68" w:rsidP="00C84F68">
            <w:pPr>
              <w:pStyle w:val="Standaard-Tabellen"/>
              <w:rPr>
                <w:rFonts w:ascii="Calibri" w:hAnsi="Calibri" w:cs="Calibri"/>
                <w:color w:val="000000"/>
                <w:sz w:val="22"/>
                <w:szCs w:val="22"/>
              </w:rPr>
            </w:pPr>
            <w:r>
              <w:t>336-1916</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24599F0E" w14:textId="77777777" w:rsidR="00C84F68" w:rsidRDefault="00C84F68" w:rsidP="00C84F68">
            <w:pPr>
              <w:pStyle w:val="Standaard-Tabellen"/>
              <w:rPr>
                <w:rFonts w:ascii="Calibri" w:hAnsi="Calibri" w:cs="Calibri"/>
                <w:color w:val="000000"/>
                <w:sz w:val="22"/>
                <w:szCs w:val="22"/>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D37ABBD" w14:textId="77777777" w:rsidR="00C84F68" w:rsidRDefault="00C84F68" w:rsidP="00C84F68">
            <w:pPr>
              <w:pStyle w:val="Standaard-Tabellen"/>
              <w:rPr>
                <w:rFonts w:ascii="Calibri" w:hAnsi="Calibri" w:cs="Calibri"/>
                <w:color w:val="000000"/>
                <w:sz w:val="22"/>
                <w:szCs w:val="22"/>
              </w:rPr>
            </w:pPr>
            <w:r>
              <w:t>2006-11-08</w:t>
            </w:r>
          </w:p>
        </w:tc>
      </w:tr>
      <w:tr w:rsidR="00C84F68" w:rsidRPr="007D7CD6" w14:paraId="7C9600E5"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2F4D1BD4" w14:textId="77777777" w:rsidR="00C84F68" w:rsidRDefault="00C84F68" w:rsidP="00C84F68">
            <w:pPr>
              <w:pStyle w:val="Standaard-Tabellen"/>
              <w:rPr>
                <w:rFonts w:ascii="Calibri" w:hAnsi="Calibri" w:cs="Calibri"/>
                <w:color w:val="000000"/>
                <w:sz w:val="22"/>
                <w:szCs w:val="22"/>
              </w:rPr>
            </w:pPr>
            <w:r>
              <w:t>Carroll, S.P.</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3C3155BA" w14:textId="77777777" w:rsidR="00C84F68" w:rsidRDefault="00C84F68" w:rsidP="00C84F68">
            <w:pPr>
              <w:pStyle w:val="Standaard-Tabellen"/>
              <w:rPr>
                <w:rFonts w:ascii="Calibri" w:hAnsi="Calibri" w:cs="Calibri"/>
                <w:color w:val="000000"/>
                <w:sz w:val="22"/>
                <w:szCs w:val="22"/>
              </w:rPr>
            </w:pPr>
            <w:r>
              <w:t>2006</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4BB2A5DF" w14:textId="77777777" w:rsidR="00C84F68" w:rsidRDefault="00C84F68" w:rsidP="00C84F68">
            <w:pPr>
              <w:pStyle w:val="Standaard-Tabellen"/>
            </w:pPr>
            <w:r>
              <w:t>Test of Personal Insect Repellents: Study EMD 004.1 -</w:t>
            </w:r>
          </w:p>
          <w:p w14:paraId="1F924C08" w14:textId="77777777" w:rsidR="00C84F68" w:rsidRDefault="00C84F68" w:rsidP="00C84F68">
            <w:pPr>
              <w:pStyle w:val="Standaard-Tabellen"/>
              <w:rPr>
                <w:rFonts w:ascii="Calibri" w:hAnsi="Calibri" w:cs="Calibri"/>
                <w:color w:val="000000"/>
                <w:sz w:val="22"/>
                <w:szCs w:val="22"/>
              </w:rPr>
            </w:pPr>
            <w:r>
              <w:t>Replacement for MRID 4699003 - Volume 12</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4A7B9796" w14:textId="77777777" w:rsidR="00C84F68" w:rsidRDefault="00C84F68" w:rsidP="00C84F68">
            <w:pPr>
              <w:pStyle w:val="Standaard-Tabellen"/>
              <w:rPr>
                <w:rFonts w:ascii="Calibri" w:hAnsi="Calibri" w:cs="Calibri"/>
                <w:color w:val="000000"/>
                <w:sz w:val="22"/>
                <w:szCs w:val="22"/>
              </w:rPr>
            </w:pPr>
            <w:r>
              <w:t>336-1917</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27336AE" w14:textId="77777777" w:rsidR="00C84F68" w:rsidRDefault="00C84F68" w:rsidP="00C84F68">
            <w:pPr>
              <w:pStyle w:val="Standaard-Tabellen"/>
              <w:rPr>
                <w:rFonts w:ascii="Calibri" w:hAnsi="Calibri" w:cs="Calibri"/>
                <w:color w:val="000000"/>
                <w:sz w:val="22"/>
                <w:szCs w:val="22"/>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90554E1" w14:textId="77777777" w:rsidR="00C84F68" w:rsidRDefault="00C84F68" w:rsidP="00C84F68">
            <w:pPr>
              <w:pStyle w:val="Standaard-Tabellen"/>
              <w:rPr>
                <w:rFonts w:ascii="Calibri" w:hAnsi="Calibri" w:cs="Calibri"/>
                <w:color w:val="000000"/>
                <w:sz w:val="22"/>
                <w:szCs w:val="22"/>
              </w:rPr>
            </w:pPr>
            <w:r>
              <w:t>2006-11-06</w:t>
            </w:r>
          </w:p>
        </w:tc>
      </w:tr>
      <w:tr w:rsidR="00A93E0A" w:rsidRPr="007D7CD6" w14:paraId="4EE8F9CC"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0DE9B123" w14:textId="10926728" w:rsidR="00A93E0A" w:rsidRDefault="00A93E0A" w:rsidP="00A93E0A">
            <w:pPr>
              <w:pStyle w:val="Standaard-Tabellen"/>
            </w:pPr>
            <w:proofErr w:type="spellStart"/>
            <w:r w:rsidRPr="00C23622">
              <w:rPr>
                <w:iCs/>
                <w:lang w:val="en-US"/>
              </w:rPr>
              <w:t>Büchel</w:t>
            </w:r>
            <w:proofErr w:type="spellEnd"/>
            <w:r w:rsidRPr="00C23622">
              <w:rPr>
                <w:iCs/>
                <w:lang w:val="en-US"/>
              </w:rPr>
              <w:t xml:space="preserve"> K.</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593D47A8" w14:textId="5B8C2C37" w:rsidR="00A93E0A" w:rsidRDefault="00A93E0A" w:rsidP="00A93E0A">
            <w:pPr>
              <w:pStyle w:val="Standaard-Tabellen"/>
            </w:pPr>
            <w:r>
              <w:t>2017</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1EF2DDDC" w14:textId="2B892D26" w:rsidR="00A93E0A" w:rsidRPr="00085D9B" w:rsidRDefault="00A93E0A" w:rsidP="00A93E0A">
            <w:pPr>
              <w:pStyle w:val="Standaard-Tabellen"/>
              <w:rPr>
                <w:rFonts w:cs="00nkk"/>
                <w:lang w:val="en-US" w:eastAsia="en-US"/>
              </w:rPr>
            </w:pPr>
            <w:r w:rsidRPr="00605379">
              <w:rPr>
                <w:iCs/>
                <w:lang w:val="en-US"/>
              </w:rPr>
              <w:t xml:space="preserve">“Evaluation of the repellent efficacy of Insect Repellent Lotion </w:t>
            </w:r>
            <w:r>
              <w:rPr>
                <w:iCs/>
                <w:lang w:val="en-US"/>
              </w:rPr>
              <w:t xml:space="preserve">IR3535 10% (1.0 </w:t>
            </w:r>
            <w:proofErr w:type="spellStart"/>
            <w:r>
              <w:rPr>
                <w:iCs/>
                <w:lang w:val="en-US"/>
              </w:rPr>
              <w:t>μl</w:t>
            </w:r>
            <w:proofErr w:type="spellEnd"/>
            <w:r>
              <w:rPr>
                <w:iCs/>
                <w:lang w:val="en-US"/>
              </w:rPr>
              <w:t>/cm</w:t>
            </w:r>
            <w:r w:rsidRPr="00605379">
              <w:rPr>
                <w:iCs/>
                <w:vertAlign w:val="superscript"/>
                <w:lang w:val="en-US"/>
              </w:rPr>
              <w:t>2</w:t>
            </w:r>
            <w:r>
              <w:rPr>
                <w:iCs/>
                <w:lang w:val="en-US"/>
              </w:rPr>
              <w:t xml:space="preserve">) </w:t>
            </w:r>
            <w:r w:rsidRPr="00605379">
              <w:rPr>
                <w:iCs/>
                <w:lang w:val="en-US"/>
              </w:rPr>
              <w:t xml:space="preserve">against </w:t>
            </w:r>
            <w:r>
              <w:rPr>
                <w:iCs/>
                <w:lang w:val="en-US"/>
              </w:rPr>
              <w:t xml:space="preserve">the </w:t>
            </w:r>
            <w:r w:rsidRPr="00605379">
              <w:rPr>
                <w:iCs/>
                <w:lang w:val="en-US"/>
              </w:rPr>
              <w:t xml:space="preserve">European Sheep Tick </w:t>
            </w:r>
            <w:r w:rsidRPr="00605379">
              <w:rPr>
                <w:i/>
                <w:iCs/>
                <w:lang w:val="en-US"/>
              </w:rPr>
              <w:t xml:space="preserve">Ixodes </w:t>
            </w:r>
            <w:proofErr w:type="spellStart"/>
            <w:r w:rsidRPr="00605379">
              <w:rPr>
                <w:i/>
                <w:iCs/>
                <w:lang w:val="en-US"/>
              </w:rPr>
              <w:t>ricinus</w:t>
            </w:r>
            <w:proofErr w:type="spellEnd"/>
            <w:r>
              <w:rPr>
                <w:iCs/>
                <w:lang w:val="en-US"/>
              </w:rPr>
              <w:t xml:space="preserve"> on human volunteers</w:t>
            </w:r>
            <w:r w:rsidRPr="00605379">
              <w:rPr>
                <w:iCs/>
                <w:lang w:val="en-US"/>
              </w:rPr>
              <w:t>”</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663614FD" w14:textId="4895C540" w:rsidR="00A93E0A" w:rsidRPr="00085D9B" w:rsidRDefault="00A93E0A" w:rsidP="00A93E0A">
            <w:pPr>
              <w:autoSpaceDE w:val="0"/>
              <w:autoSpaceDN w:val="0"/>
              <w:adjustRightInd w:val="0"/>
              <w:rPr>
                <w:rFonts w:cs="00nkk"/>
                <w:lang w:val="en-US" w:eastAsia="en-US"/>
              </w:rPr>
            </w:pPr>
            <w:r w:rsidRPr="005B33DF">
              <w:t>ME_IR_0117a_01 Lotion</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43D02678" w14:textId="34BCF5CD" w:rsidR="00A93E0A" w:rsidRPr="00085D9B" w:rsidRDefault="00A93E0A" w:rsidP="00A93E0A">
            <w:pPr>
              <w:autoSpaceDE w:val="0"/>
              <w:autoSpaceDN w:val="0"/>
              <w:adjustRightInd w:val="0"/>
              <w:rPr>
                <w:rFonts w:cs="00nkk"/>
                <w:lang w:val="en-US" w:eastAsia="en-US"/>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360AD66" w14:textId="502E933C" w:rsidR="00A93E0A" w:rsidRDefault="00A93E0A" w:rsidP="00A93E0A">
            <w:pPr>
              <w:pStyle w:val="Standaard-Tabellen"/>
              <w:rPr>
                <w:rFonts w:cs="00nkk"/>
                <w:lang w:val="en-US" w:eastAsia="en-US"/>
              </w:rPr>
            </w:pPr>
            <w:r>
              <w:t>2017-04-21</w:t>
            </w:r>
          </w:p>
        </w:tc>
      </w:tr>
      <w:tr w:rsidR="00A93E0A" w:rsidRPr="007D7CD6" w14:paraId="393EA94A"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2BA16540" w14:textId="25D355DE" w:rsidR="00A93E0A" w:rsidRDefault="00A93E0A" w:rsidP="00A93E0A">
            <w:pPr>
              <w:pStyle w:val="Standaard-Tabellen"/>
            </w:pPr>
            <w:proofErr w:type="spellStart"/>
            <w:r w:rsidRPr="00C23622">
              <w:rPr>
                <w:iCs/>
                <w:lang w:val="en-US"/>
              </w:rPr>
              <w:t>Büchel</w:t>
            </w:r>
            <w:proofErr w:type="spellEnd"/>
            <w:r w:rsidRPr="00C23622">
              <w:rPr>
                <w:iCs/>
                <w:lang w:val="en-US"/>
              </w:rPr>
              <w:t xml:space="preserve"> K.</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9B60610" w14:textId="3791DCCC" w:rsidR="00A93E0A" w:rsidRDefault="00A93E0A" w:rsidP="00A93E0A">
            <w:pPr>
              <w:pStyle w:val="Standaard-Tabellen"/>
            </w:pPr>
            <w:r>
              <w:t>2017</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07138E66" w14:textId="71D04BF5" w:rsidR="00A93E0A" w:rsidRPr="00085D9B" w:rsidRDefault="00A93E0A" w:rsidP="00A93E0A">
            <w:pPr>
              <w:pStyle w:val="Standaard-Tabellen"/>
              <w:rPr>
                <w:rFonts w:cs="00nkk"/>
                <w:lang w:val="en-US" w:eastAsia="en-US"/>
              </w:rPr>
            </w:pPr>
            <w:r w:rsidRPr="00605379">
              <w:rPr>
                <w:iCs/>
                <w:lang w:val="en-US"/>
              </w:rPr>
              <w:t xml:space="preserve">“Evaluation of the repellent efficacy of Insect Repellent Lotion </w:t>
            </w:r>
            <w:r>
              <w:rPr>
                <w:iCs/>
                <w:lang w:val="en-US"/>
              </w:rPr>
              <w:t xml:space="preserve">IR3535 10% (0.72 </w:t>
            </w:r>
            <w:proofErr w:type="spellStart"/>
            <w:r>
              <w:rPr>
                <w:iCs/>
                <w:lang w:val="en-US"/>
              </w:rPr>
              <w:t>μl</w:t>
            </w:r>
            <w:proofErr w:type="spellEnd"/>
            <w:r>
              <w:rPr>
                <w:iCs/>
                <w:lang w:val="en-US"/>
              </w:rPr>
              <w:t>/cm</w:t>
            </w:r>
            <w:r w:rsidRPr="00605379">
              <w:rPr>
                <w:iCs/>
                <w:vertAlign w:val="superscript"/>
                <w:lang w:val="en-US"/>
              </w:rPr>
              <w:t>2</w:t>
            </w:r>
            <w:r>
              <w:rPr>
                <w:iCs/>
                <w:lang w:val="en-US"/>
              </w:rPr>
              <w:t xml:space="preserve">) </w:t>
            </w:r>
            <w:r w:rsidRPr="00605379">
              <w:rPr>
                <w:iCs/>
                <w:lang w:val="en-US"/>
              </w:rPr>
              <w:t xml:space="preserve">against </w:t>
            </w:r>
            <w:r>
              <w:rPr>
                <w:iCs/>
                <w:lang w:val="en-US"/>
              </w:rPr>
              <w:t xml:space="preserve">the </w:t>
            </w:r>
            <w:r w:rsidRPr="00605379">
              <w:rPr>
                <w:iCs/>
                <w:lang w:val="en-US"/>
              </w:rPr>
              <w:t xml:space="preserve">European Sheep Tick </w:t>
            </w:r>
            <w:r w:rsidRPr="00605379">
              <w:rPr>
                <w:i/>
                <w:iCs/>
                <w:lang w:val="en-US"/>
              </w:rPr>
              <w:t xml:space="preserve">Ixodes </w:t>
            </w:r>
            <w:proofErr w:type="spellStart"/>
            <w:r w:rsidRPr="00605379">
              <w:rPr>
                <w:i/>
                <w:iCs/>
                <w:lang w:val="en-US"/>
              </w:rPr>
              <w:t>ricinus</w:t>
            </w:r>
            <w:proofErr w:type="spellEnd"/>
            <w:r>
              <w:rPr>
                <w:iCs/>
                <w:lang w:val="en-US"/>
              </w:rPr>
              <w:t xml:space="preserve"> on human volunteers</w:t>
            </w:r>
            <w:r w:rsidRPr="00605379">
              <w:rPr>
                <w:iCs/>
                <w:lang w:val="en-US"/>
              </w:rPr>
              <w:t>”</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144A98D4" w14:textId="5EFEEBA4" w:rsidR="00A93E0A" w:rsidRPr="00085D9B" w:rsidRDefault="00A93E0A" w:rsidP="00A93E0A">
            <w:pPr>
              <w:autoSpaceDE w:val="0"/>
              <w:autoSpaceDN w:val="0"/>
              <w:adjustRightInd w:val="0"/>
              <w:rPr>
                <w:rFonts w:cs="00nkk"/>
                <w:lang w:val="en-US" w:eastAsia="en-US"/>
              </w:rPr>
            </w:pPr>
            <w:r w:rsidRPr="00512364">
              <w:t>ME_IR_0117b_01 Lotion</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CD5B238" w14:textId="74A2D34F" w:rsidR="00A93E0A" w:rsidRPr="00085D9B" w:rsidRDefault="00A93E0A" w:rsidP="00A93E0A">
            <w:pPr>
              <w:autoSpaceDE w:val="0"/>
              <w:autoSpaceDN w:val="0"/>
              <w:adjustRightInd w:val="0"/>
              <w:rPr>
                <w:rFonts w:cs="00nkk"/>
                <w:lang w:val="en-US" w:eastAsia="en-US"/>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D22C078" w14:textId="25916AA6" w:rsidR="00A93E0A" w:rsidRDefault="00A93E0A" w:rsidP="00A93E0A">
            <w:pPr>
              <w:pStyle w:val="Standaard-Tabellen"/>
              <w:rPr>
                <w:rFonts w:cs="00nkk"/>
                <w:lang w:val="en-US" w:eastAsia="en-US"/>
              </w:rPr>
            </w:pPr>
            <w:r>
              <w:t>2017-05-22</w:t>
            </w:r>
          </w:p>
        </w:tc>
      </w:tr>
      <w:tr w:rsidR="00A93E0A" w:rsidRPr="007D7CD6" w14:paraId="139EBBDB"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1A1E754D" w14:textId="56B519FA" w:rsidR="00A93E0A" w:rsidRDefault="00A93E0A" w:rsidP="00A93E0A">
            <w:pPr>
              <w:pStyle w:val="Standaard-Tabellen"/>
            </w:pPr>
            <w:r w:rsidRPr="00C23622">
              <w:rPr>
                <w:iCs/>
                <w:lang w:val="en-US"/>
              </w:rPr>
              <w:t xml:space="preserve">P. H. </w:t>
            </w:r>
            <w:proofErr w:type="spellStart"/>
            <w:r w:rsidRPr="00C23622">
              <w:rPr>
                <w:iCs/>
                <w:lang w:val="en-US"/>
              </w:rPr>
              <w:t>Herculano</w:t>
            </w:r>
            <w:proofErr w:type="spellEnd"/>
            <w:r w:rsidRPr="00C23622">
              <w:rPr>
                <w:iCs/>
                <w:lang w:val="en-US"/>
              </w:rPr>
              <w:t>, &amp; G. P. Machado</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D86CD5D" w14:textId="7CB26415" w:rsidR="00A93E0A" w:rsidRDefault="00A93E0A" w:rsidP="00A93E0A">
            <w:pPr>
              <w:pStyle w:val="Standaard-Tabellen"/>
            </w:pPr>
            <w:r>
              <w:t>2017</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62B678C8" w14:textId="77777777" w:rsidR="00A93E0A" w:rsidRPr="00461536" w:rsidRDefault="00A93E0A" w:rsidP="00A93E0A">
            <w:pPr>
              <w:pStyle w:val="Standaard-Tabellen"/>
              <w:rPr>
                <w:iCs/>
                <w:lang w:val="en-US"/>
              </w:rPr>
            </w:pPr>
            <w:r w:rsidRPr="00605379">
              <w:rPr>
                <w:iCs/>
                <w:lang w:val="en-US"/>
              </w:rPr>
              <w:t>“</w:t>
            </w:r>
            <w:r w:rsidRPr="00461536">
              <w:rPr>
                <w:iCs/>
                <w:lang w:val="en-US"/>
              </w:rPr>
              <w:t>EFFICACY TESTS IN A REPELLENT PRODUCT FOR MOSQUITOES</w:t>
            </w:r>
          </w:p>
          <w:p w14:paraId="578119B6" w14:textId="0D4473F1" w:rsidR="00A93E0A" w:rsidRPr="00085D9B" w:rsidRDefault="00A93E0A" w:rsidP="00A93E0A">
            <w:pPr>
              <w:pStyle w:val="Standaard-Tabellen"/>
              <w:rPr>
                <w:rFonts w:cs="00nkk"/>
                <w:lang w:val="en-US" w:eastAsia="en-US"/>
              </w:rPr>
            </w:pPr>
            <w:r w:rsidRPr="00DA528D">
              <w:rPr>
                <w:iCs/>
                <w:lang w:val="fr-BE"/>
              </w:rPr>
              <w:t xml:space="preserve">Aedes </w:t>
            </w:r>
            <w:proofErr w:type="spellStart"/>
            <w:r w:rsidRPr="00DA528D">
              <w:rPr>
                <w:iCs/>
                <w:lang w:val="fr-BE"/>
              </w:rPr>
              <w:t>aegypti</w:t>
            </w:r>
            <w:proofErr w:type="spellEnd"/>
            <w:r w:rsidRPr="00DA528D">
              <w:rPr>
                <w:iCs/>
                <w:lang w:val="fr-BE"/>
              </w:rPr>
              <w:t xml:space="preserve"> (DIPTERA: CULICIDAE)</w:t>
            </w:r>
            <w:r>
              <w:rPr>
                <w:iCs/>
                <w:lang w:val="fr-BE"/>
              </w:rPr>
              <w:t>”</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0EC44C69" w14:textId="16208B84" w:rsidR="00A93E0A" w:rsidRPr="00085D9B" w:rsidRDefault="00A93E0A" w:rsidP="00A93E0A">
            <w:pPr>
              <w:autoSpaceDE w:val="0"/>
              <w:autoSpaceDN w:val="0"/>
              <w:adjustRightInd w:val="0"/>
              <w:rPr>
                <w:rFonts w:cs="00nkk"/>
                <w:lang w:val="en-US" w:eastAsia="en-US"/>
              </w:rPr>
            </w:pPr>
            <w:r w:rsidRPr="00540BB0">
              <w:t>RMQAA - 039843.R1</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BB42433" w14:textId="79950BCF" w:rsidR="00A93E0A" w:rsidRPr="00085D9B" w:rsidRDefault="00A93E0A" w:rsidP="00A93E0A">
            <w:pPr>
              <w:autoSpaceDE w:val="0"/>
              <w:autoSpaceDN w:val="0"/>
              <w:adjustRightInd w:val="0"/>
              <w:rPr>
                <w:rFonts w:cs="00nkk"/>
                <w:lang w:val="en-US" w:eastAsia="en-US"/>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8DD7A03" w14:textId="65F301A1" w:rsidR="00A93E0A" w:rsidRDefault="00A93E0A" w:rsidP="00A93E0A">
            <w:pPr>
              <w:pStyle w:val="Standaard-Tabellen"/>
              <w:rPr>
                <w:rFonts w:cs="00nkk"/>
                <w:lang w:val="en-US" w:eastAsia="en-US"/>
              </w:rPr>
            </w:pPr>
            <w:r>
              <w:t>2017-08-28</w:t>
            </w:r>
          </w:p>
        </w:tc>
      </w:tr>
      <w:tr w:rsidR="00A93E0A" w:rsidRPr="007D7CD6" w14:paraId="1450C942"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22C6DA8E" w14:textId="36925A07" w:rsidR="00A93E0A" w:rsidRDefault="00A93E0A" w:rsidP="00A93E0A">
            <w:pPr>
              <w:pStyle w:val="Standaard-Tabellen"/>
            </w:pPr>
            <w:r w:rsidRPr="00C23622">
              <w:rPr>
                <w:iCs/>
                <w:lang w:val="en-US"/>
              </w:rPr>
              <w:lastRenderedPageBreak/>
              <w:t xml:space="preserve">P. H. </w:t>
            </w:r>
            <w:proofErr w:type="spellStart"/>
            <w:r w:rsidRPr="00C23622">
              <w:rPr>
                <w:iCs/>
                <w:lang w:val="en-US"/>
              </w:rPr>
              <w:t>Herculano</w:t>
            </w:r>
            <w:proofErr w:type="spellEnd"/>
            <w:r w:rsidRPr="00C23622">
              <w:rPr>
                <w:iCs/>
                <w:lang w:val="en-US"/>
              </w:rPr>
              <w:t>, &amp; G. P. Machado</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1BB3BD3" w14:textId="27947E89" w:rsidR="00A93E0A" w:rsidRDefault="00A93E0A" w:rsidP="00A93E0A">
            <w:pPr>
              <w:pStyle w:val="Standaard-Tabellen"/>
            </w:pPr>
            <w:r>
              <w:t>2017</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06C705E5" w14:textId="77777777" w:rsidR="00A93E0A" w:rsidRPr="00461536" w:rsidRDefault="00A93E0A" w:rsidP="00A93E0A">
            <w:pPr>
              <w:pStyle w:val="Standaard-Tabellen"/>
              <w:rPr>
                <w:iCs/>
                <w:lang w:val="en-US"/>
              </w:rPr>
            </w:pPr>
            <w:r w:rsidRPr="00605379">
              <w:rPr>
                <w:iCs/>
                <w:lang w:val="en-US"/>
              </w:rPr>
              <w:t>“</w:t>
            </w:r>
            <w:r w:rsidRPr="00461536">
              <w:rPr>
                <w:iCs/>
                <w:lang w:val="en-US"/>
              </w:rPr>
              <w:t>EFFICACY TESTS IN A REPELLENT PRODUCT FOR MOSQUITOES</w:t>
            </w:r>
          </w:p>
          <w:p w14:paraId="46F2D702" w14:textId="1C39D78B" w:rsidR="00A93E0A" w:rsidRPr="00085D9B" w:rsidRDefault="00A93E0A" w:rsidP="00A93E0A">
            <w:pPr>
              <w:pStyle w:val="Standaard-Tabellen"/>
              <w:rPr>
                <w:rFonts w:cs="00nkk"/>
                <w:lang w:val="en-US" w:eastAsia="en-US"/>
              </w:rPr>
            </w:pPr>
            <w:r w:rsidRPr="00B66836">
              <w:rPr>
                <w:iCs/>
                <w:lang w:val="fr-BE"/>
              </w:rPr>
              <w:t xml:space="preserve">Aedes </w:t>
            </w:r>
            <w:proofErr w:type="spellStart"/>
            <w:r w:rsidRPr="00DF3789">
              <w:rPr>
                <w:iCs/>
                <w:lang w:val="fr-BE"/>
              </w:rPr>
              <w:t>albopictus</w:t>
            </w:r>
            <w:proofErr w:type="spellEnd"/>
            <w:r w:rsidRPr="00B66836">
              <w:rPr>
                <w:iCs/>
                <w:lang w:val="fr-BE"/>
              </w:rPr>
              <w:t xml:space="preserve"> (DIPTERA: CULICIDA</w:t>
            </w:r>
            <w:r>
              <w:rPr>
                <w:iCs/>
                <w:lang w:val="fr-BE"/>
              </w:rPr>
              <w:t>E)”</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6D2F3AE5" w14:textId="720EAF8F" w:rsidR="00A93E0A" w:rsidRPr="00085D9B" w:rsidRDefault="00A93E0A" w:rsidP="00A93E0A">
            <w:pPr>
              <w:autoSpaceDE w:val="0"/>
              <w:autoSpaceDN w:val="0"/>
              <w:adjustRightInd w:val="0"/>
              <w:rPr>
                <w:rFonts w:cs="00nkk"/>
                <w:lang w:val="en-US" w:eastAsia="en-US"/>
              </w:rPr>
            </w:pPr>
            <w:r w:rsidRPr="00540BB0">
              <w:t>RMQAAL - 039843.R1</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47F354DC" w14:textId="3871E667" w:rsidR="00A93E0A" w:rsidRPr="00085D9B" w:rsidRDefault="00A93E0A" w:rsidP="00A93E0A">
            <w:pPr>
              <w:autoSpaceDE w:val="0"/>
              <w:autoSpaceDN w:val="0"/>
              <w:adjustRightInd w:val="0"/>
              <w:rPr>
                <w:rFonts w:cs="00nkk"/>
                <w:lang w:val="en-US" w:eastAsia="en-US"/>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D0B4487" w14:textId="04A0D52A" w:rsidR="00A93E0A" w:rsidRDefault="00A93E0A" w:rsidP="00A93E0A">
            <w:pPr>
              <w:pStyle w:val="Standaard-Tabellen"/>
              <w:rPr>
                <w:rFonts w:cs="00nkk"/>
                <w:lang w:val="en-US" w:eastAsia="en-US"/>
              </w:rPr>
            </w:pPr>
            <w:r>
              <w:t>2017-08-28</w:t>
            </w:r>
          </w:p>
        </w:tc>
      </w:tr>
      <w:tr w:rsidR="00A93E0A" w:rsidRPr="007D7CD6" w14:paraId="1730C87B"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67C693B2" w14:textId="291E5445" w:rsidR="00A93E0A" w:rsidRDefault="00A93E0A" w:rsidP="00A93E0A">
            <w:pPr>
              <w:pStyle w:val="Standaard-Tabellen"/>
            </w:pPr>
            <w:r w:rsidRPr="00C23622">
              <w:rPr>
                <w:iCs/>
                <w:lang w:val="en-US"/>
              </w:rPr>
              <w:t xml:space="preserve">P. H. </w:t>
            </w:r>
            <w:proofErr w:type="spellStart"/>
            <w:r w:rsidRPr="00C23622">
              <w:rPr>
                <w:iCs/>
                <w:lang w:val="en-US"/>
              </w:rPr>
              <w:t>Herculano</w:t>
            </w:r>
            <w:proofErr w:type="spellEnd"/>
            <w:r w:rsidRPr="00C23622">
              <w:rPr>
                <w:iCs/>
                <w:lang w:val="en-US"/>
              </w:rPr>
              <w:t>, &amp; G. P. Machado</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81CF3DF" w14:textId="0B93B4C2" w:rsidR="00A93E0A" w:rsidRDefault="00A93E0A" w:rsidP="00A93E0A">
            <w:pPr>
              <w:pStyle w:val="Standaard-Tabellen"/>
            </w:pPr>
            <w:r>
              <w:t>2017</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3C8A3A36" w14:textId="77777777" w:rsidR="00A93E0A" w:rsidRPr="00461536" w:rsidRDefault="00A93E0A" w:rsidP="00A93E0A">
            <w:pPr>
              <w:pStyle w:val="Standaard-Tabellen"/>
              <w:rPr>
                <w:iCs/>
                <w:lang w:val="en-US"/>
              </w:rPr>
            </w:pPr>
            <w:r w:rsidRPr="00605379">
              <w:rPr>
                <w:iCs/>
                <w:lang w:val="en-US"/>
              </w:rPr>
              <w:t>“</w:t>
            </w:r>
            <w:r w:rsidRPr="00461536">
              <w:rPr>
                <w:iCs/>
                <w:lang w:val="en-US"/>
              </w:rPr>
              <w:t>EFFICACY TESTS IN A REPELLENT PRODUCT FOR MOSQUITOES</w:t>
            </w:r>
          </w:p>
          <w:p w14:paraId="1DE80B40" w14:textId="77777777" w:rsidR="00A93E0A" w:rsidRDefault="00A93E0A" w:rsidP="00A93E0A">
            <w:pPr>
              <w:pStyle w:val="Standaard-Tabellen"/>
              <w:rPr>
                <w:i/>
                <w:iCs/>
                <w:lang w:val="fr-BE"/>
              </w:rPr>
            </w:pPr>
            <w:proofErr w:type="spellStart"/>
            <w:r>
              <w:rPr>
                <w:i/>
                <w:iCs/>
                <w:lang w:val="fr-BE"/>
              </w:rPr>
              <w:t>Anopheles</w:t>
            </w:r>
            <w:proofErr w:type="spellEnd"/>
            <w:r>
              <w:rPr>
                <w:i/>
                <w:iCs/>
                <w:lang w:val="fr-BE"/>
              </w:rPr>
              <w:t xml:space="preserve"> </w:t>
            </w:r>
            <w:proofErr w:type="spellStart"/>
            <w:r>
              <w:rPr>
                <w:i/>
                <w:iCs/>
                <w:lang w:val="fr-BE"/>
              </w:rPr>
              <w:t>aquasalis</w:t>
            </w:r>
            <w:proofErr w:type="spellEnd"/>
          </w:p>
          <w:p w14:paraId="19C4948C" w14:textId="6A0463B9" w:rsidR="00A93E0A" w:rsidRPr="00085D9B" w:rsidRDefault="00A93E0A" w:rsidP="00A93E0A">
            <w:pPr>
              <w:pStyle w:val="Standaard-Tabellen"/>
              <w:rPr>
                <w:rFonts w:cs="00nkk"/>
                <w:lang w:val="en-US" w:eastAsia="en-US"/>
              </w:rPr>
            </w:pPr>
            <w:r w:rsidRPr="00B66836">
              <w:rPr>
                <w:iCs/>
                <w:lang w:val="fr-BE"/>
              </w:rPr>
              <w:t xml:space="preserve"> (DIPTERA: CULI</w:t>
            </w:r>
            <w:r>
              <w:rPr>
                <w:iCs/>
                <w:lang w:val="fr-BE"/>
              </w:rPr>
              <w:t>CIDAE)”</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25836CDE" w14:textId="4572A95E" w:rsidR="00A93E0A" w:rsidRPr="00085D9B" w:rsidRDefault="00A93E0A" w:rsidP="00A93E0A">
            <w:pPr>
              <w:autoSpaceDE w:val="0"/>
              <w:autoSpaceDN w:val="0"/>
              <w:adjustRightInd w:val="0"/>
              <w:rPr>
                <w:rFonts w:cs="00nkk"/>
                <w:lang w:val="en-US" w:eastAsia="en-US"/>
              </w:rPr>
            </w:pPr>
            <w:r w:rsidRPr="00540BB0">
              <w:t>RMQANE-  039843.R1</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3DF4485B" w14:textId="5AD849F9" w:rsidR="00A93E0A" w:rsidRPr="00085D9B" w:rsidRDefault="00A93E0A" w:rsidP="00A93E0A">
            <w:pPr>
              <w:autoSpaceDE w:val="0"/>
              <w:autoSpaceDN w:val="0"/>
              <w:adjustRightInd w:val="0"/>
              <w:rPr>
                <w:rFonts w:cs="00nkk"/>
                <w:lang w:val="en-US" w:eastAsia="en-US"/>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F889E61" w14:textId="369AB298" w:rsidR="00A93E0A" w:rsidRDefault="00A93E0A" w:rsidP="00A93E0A">
            <w:pPr>
              <w:pStyle w:val="Standaard-Tabellen"/>
              <w:rPr>
                <w:rFonts w:cs="00nkk"/>
                <w:lang w:val="en-US" w:eastAsia="en-US"/>
              </w:rPr>
            </w:pPr>
            <w:r>
              <w:t>2017-08-28</w:t>
            </w:r>
          </w:p>
        </w:tc>
      </w:tr>
      <w:tr w:rsidR="00A93E0A" w:rsidRPr="007D7CD6" w14:paraId="40CF007E"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7E5B3B38" w14:textId="67C24297" w:rsidR="00A93E0A" w:rsidRDefault="00A93E0A" w:rsidP="00A93E0A">
            <w:pPr>
              <w:pStyle w:val="Standaard-Tabellen"/>
            </w:pPr>
            <w:r w:rsidRPr="00C23622">
              <w:rPr>
                <w:iCs/>
                <w:lang w:val="en-US"/>
              </w:rPr>
              <w:t xml:space="preserve">P. H. </w:t>
            </w:r>
            <w:proofErr w:type="spellStart"/>
            <w:r w:rsidRPr="00C23622">
              <w:rPr>
                <w:iCs/>
                <w:lang w:val="en-US"/>
              </w:rPr>
              <w:t>Herculano</w:t>
            </w:r>
            <w:proofErr w:type="spellEnd"/>
            <w:r w:rsidRPr="00C23622">
              <w:rPr>
                <w:iCs/>
                <w:lang w:val="en-US"/>
              </w:rPr>
              <w:t>, &amp; G. P. Machado</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CFBD725" w14:textId="22817EBD" w:rsidR="00A93E0A" w:rsidRDefault="00A93E0A" w:rsidP="00A93E0A">
            <w:pPr>
              <w:pStyle w:val="Standaard-Tabellen"/>
            </w:pPr>
            <w:r>
              <w:t>2017</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5CE7D101" w14:textId="77777777" w:rsidR="00A93E0A" w:rsidRPr="00461536" w:rsidRDefault="00A93E0A" w:rsidP="00A93E0A">
            <w:pPr>
              <w:pStyle w:val="Standaard-Tabellen"/>
              <w:rPr>
                <w:iCs/>
                <w:lang w:val="en-US"/>
              </w:rPr>
            </w:pPr>
            <w:r w:rsidRPr="00605379">
              <w:rPr>
                <w:iCs/>
                <w:lang w:val="en-US"/>
              </w:rPr>
              <w:t>“</w:t>
            </w:r>
            <w:r w:rsidRPr="00461536">
              <w:rPr>
                <w:iCs/>
                <w:lang w:val="en-US"/>
              </w:rPr>
              <w:t>EFFICACY TESTS IN A REPELLENT PRODUCT FOR MOSQUITOES</w:t>
            </w:r>
          </w:p>
          <w:p w14:paraId="34796D66" w14:textId="444A03FB" w:rsidR="00A93E0A" w:rsidRPr="00085D9B" w:rsidRDefault="00A93E0A" w:rsidP="00A93E0A">
            <w:pPr>
              <w:pStyle w:val="Standaard-Tabellen"/>
              <w:rPr>
                <w:rFonts w:cs="00nkk"/>
                <w:lang w:val="en-US" w:eastAsia="en-US"/>
              </w:rPr>
            </w:pPr>
            <w:r>
              <w:rPr>
                <w:i/>
                <w:iCs/>
                <w:lang w:val="fr-BE"/>
              </w:rPr>
              <w:t xml:space="preserve">Culex </w:t>
            </w:r>
            <w:proofErr w:type="spellStart"/>
            <w:r>
              <w:rPr>
                <w:i/>
                <w:iCs/>
                <w:lang w:val="fr-BE"/>
              </w:rPr>
              <w:t>quinquefasciatus</w:t>
            </w:r>
            <w:proofErr w:type="spellEnd"/>
            <w:r>
              <w:rPr>
                <w:i/>
                <w:iCs/>
                <w:lang w:val="fr-BE"/>
              </w:rPr>
              <w:t xml:space="preserve"> </w:t>
            </w:r>
            <w:r w:rsidRPr="00B66836">
              <w:rPr>
                <w:iCs/>
                <w:lang w:val="fr-BE"/>
              </w:rPr>
              <w:t>(DIPTERA: CULICIDAE)”</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3166BC6B" w14:textId="66878E3F" w:rsidR="00A93E0A" w:rsidRPr="00085D9B" w:rsidRDefault="00A93E0A" w:rsidP="00A93E0A">
            <w:pPr>
              <w:autoSpaceDE w:val="0"/>
              <w:autoSpaceDN w:val="0"/>
              <w:adjustRightInd w:val="0"/>
              <w:rPr>
                <w:rFonts w:cs="00nkk"/>
                <w:lang w:val="en-US" w:eastAsia="en-US"/>
              </w:rPr>
            </w:pPr>
            <w:r w:rsidRPr="00540BB0">
              <w:t>RMQCQ-039843.R1</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4D5730F5" w14:textId="7968ED76" w:rsidR="00A93E0A" w:rsidRPr="00085D9B" w:rsidRDefault="00A93E0A" w:rsidP="00A93E0A">
            <w:pPr>
              <w:autoSpaceDE w:val="0"/>
              <w:autoSpaceDN w:val="0"/>
              <w:adjustRightInd w:val="0"/>
              <w:rPr>
                <w:rFonts w:cs="00nkk"/>
                <w:lang w:val="en-US" w:eastAsia="en-US"/>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4FE09E9" w14:textId="496ABB42" w:rsidR="00A93E0A" w:rsidRDefault="00A93E0A" w:rsidP="00A93E0A">
            <w:pPr>
              <w:pStyle w:val="Standaard-Tabellen"/>
              <w:rPr>
                <w:rFonts w:cs="00nkk"/>
                <w:lang w:val="en-US" w:eastAsia="en-US"/>
              </w:rPr>
            </w:pPr>
            <w:r>
              <w:t>2017-08-28</w:t>
            </w:r>
          </w:p>
        </w:tc>
      </w:tr>
      <w:tr w:rsidR="00A93E0A" w:rsidRPr="007D7CD6" w14:paraId="4D1B3535"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3106F2CF" w14:textId="1E9EA254" w:rsidR="00A93E0A" w:rsidRDefault="00A93E0A" w:rsidP="00A93E0A">
            <w:pPr>
              <w:pStyle w:val="Standaard-Tabellen"/>
            </w:pPr>
            <w:r w:rsidRPr="00C23622">
              <w:rPr>
                <w:iCs/>
                <w:lang w:val="en-US"/>
              </w:rPr>
              <w:t xml:space="preserve">P. H. </w:t>
            </w:r>
            <w:proofErr w:type="spellStart"/>
            <w:r w:rsidRPr="00C23622">
              <w:rPr>
                <w:iCs/>
                <w:lang w:val="en-US"/>
              </w:rPr>
              <w:t>Herculano</w:t>
            </w:r>
            <w:proofErr w:type="spellEnd"/>
            <w:r w:rsidRPr="00C23622">
              <w:rPr>
                <w:iCs/>
                <w:lang w:val="en-US"/>
              </w:rPr>
              <w:t>, &amp; G. P. Machado</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729DAAC4" w14:textId="46C631B4" w:rsidR="00A93E0A" w:rsidRDefault="00A93E0A" w:rsidP="00A93E0A">
            <w:pPr>
              <w:pStyle w:val="Standaard-Tabellen"/>
            </w:pPr>
            <w:r>
              <w:t>2017</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3C6DA147" w14:textId="77777777" w:rsidR="00A93E0A" w:rsidRPr="00461536" w:rsidRDefault="00A93E0A" w:rsidP="00A93E0A">
            <w:pPr>
              <w:pStyle w:val="Standaard-Tabellen"/>
              <w:rPr>
                <w:iCs/>
                <w:lang w:val="en-US"/>
              </w:rPr>
            </w:pPr>
            <w:r w:rsidRPr="00605379">
              <w:rPr>
                <w:iCs/>
                <w:lang w:val="en-US"/>
              </w:rPr>
              <w:t>“</w:t>
            </w:r>
            <w:r w:rsidRPr="00461536">
              <w:rPr>
                <w:iCs/>
                <w:lang w:val="en-US"/>
              </w:rPr>
              <w:t>EFFICACY TESTS IN A REPELLENT PRODUCT FOR MOSQUITOES</w:t>
            </w:r>
          </w:p>
          <w:p w14:paraId="25AD0A8E" w14:textId="54D1074B" w:rsidR="00A93E0A" w:rsidRPr="00085D9B" w:rsidRDefault="00A93E0A" w:rsidP="00A93E0A">
            <w:pPr>
              <w:pStyle w:val="Standaard-Tabellen"/>
              <w:rPr>
                <w:rFonts w:cs="00nkk"/>
                <w:lang w:val="en-US" w:eastAsia="en-US"/>
              </w:rPr>
            </w:pPr>
            <w:r w:rsidRPr="00DA528D">
              <w:rPr>
                <w:iCs/>
                <w:lang w:val="fr-BE"/>
              </w:rPr>
              <w:t xml:space="preserve">Aedes </w:t>
            </w:r>
            <w:proofErr w:type="spellStart"/>
            <w:r w:rsidRPr="00DA528D">
              <w:rPr>
                <w:iCs/>
                <w:lang w:val="fr-BE"/>
              </w:rPr>
              <w:t>aegypti</w:t>
            </w:r>
            <w:proofErr w:type="spellEnd"/>
            <w:r w:rsidRPr="00DA528D">
              <w:rPr>
                <w:iCs/>
                <w:lang w:val="fr-BE"/>
              </w:rPr>
              <w:t xml:space="preserve"> (DIPTERA: CULICIDAE)</w:t>
            </w:r>
            <w:r>
              <w:rPr>
                <w:iCs/>
                <w:lang w:val="fr-BE"/>
              </w:rPr>
              <w:t>”</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7211B4AA" w14:textId="77777777" w:rsidR="00A93E0A" w:rsidRDefault="00A93E0A" w:rsidP="00A93E0A">
            <w:pPr>
              <w:pStyle w:val="Standaard-Tabellen"/>
            </w:pPr>
            <w:r w:rsidRPr="00183CBD">
              <w:t>RMQAA – 039843.R</w:t>
            </w:r>
          </w:p>
          <w:p w14:paraId="7A7AAC0B" w14:textId="77777777" w:rsidR="00A93E0A" w:rsidRPr="00085D9B" w:rsidRDefault="00A93E0A" w:rsidP="00A93E0A">
            <w:pPr>
              <w:autoSpaceDE w:val="0"/>
              <w:autoSpaceDN w:val="0"/>
              <w:adjustRightInd w:val="0"/>
              <w:rPr>
                <w:rFonts w:cs="00nkk"/>
                <w:lang w:val="en-US"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4F27269E" w14:textId="2C4CD798" w:rsidR="00A93E0A" w:rsidRPr="00085D9B" w:rsidRDefault="00A93E0A" w:rsidP="00A93E0A">
            <w:pPr>
              <w:autoSpaceDE w:val="0"/>
              <w:autoSpaceDN w:val="0"/>
              <w:adjustRightInd w:val="0"/>
              <w:rPr>
                <w:rFonts w:cs="00nkk"/>
                <w:lang w:val="en-US" w:eastAsia="en-US"/>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C0168B8" w14:textId="1AF7A32F" w:rsidR="00A93E0A" w:rsidRDefault="00A93E0A" w:rsidP="00A93E0A">
            <w:pPr>
              <w:pStyle w:val="Standaard-Tabellen"/>
              <w:rPr>
                <w:rFonts w:cs="00nkk"/>
                <w:lang w:val="en-US" w:eastAsia="en-US"/>
              </w:rPr>
            </w:pPr>
            <w:r>
              <w:t>2017-08-28</w:t>
            </w:r>
          </w:p>
        </w:tc>
      </w:tr>
      <w:tr w:rsidR="00A93E0A" w:rsidRPr="007D7CD6" w14:paraId="77855579"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17C01338" w14:textId="293C080F" w:rsidR="00A93E0A" w:rsidRDefault="00A93E0A" w:rsidP="00A93E0A">
            <w:pPr>
              <w:pStyle w:val="Standaard-Tabellen"/>
            </w:pPr>
            <w:r w:rsidRPr="00C23622">
              <w:rPr>
                <w:iCs/>
                <w:lang w:val="en-US"/>
              </w:rPr>
              <w:t xml:space="preserve">P. H. </w:t>
            </w:r>
            <w:proofErr w:type="spellStart"/>
            <w:r w:rsidRPr="00C23622">
              <w:rPr>
                <w:iCs/>
                <w:lang w:val="en-US"/>
              </w:rPr>
              <w:t>Herculano</w:t>
            </w:r>
            <w:proofErr w:type="spellEnd"/>
            <w:r w:rsidRPr="00C23622">
              <w:rPr>
                <w:iCs/>
                <w:lang w:val="en-US"/>
              </w:rPr>
              <w:t>, &amp; G. P. Machado</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3EADFD2C" w14:textId="7F0DF3F3" w:rsidR="00A93E0A" w:rsidRDefault="00A93E0A" w:rsidP="00A93E0A">
            <w:pPr>
              <w:pStyle w:val="Standaard-Tabellen"/>
            </w:pPr>
            <w:r>
              <w:t>2017</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55549C93" w14:textId="77777777" w:rsidR="00A93E0A" w:rsidRPr="00461536" w:rsidRDefault="00A93E0A" w:rsidP="00A93E0A">
            <w:pPr>
              <w:pStyle w:val="Standaard-Tabellen"/>
              <w:rPr>
                <w:iCs/>
                <w:lang w:val="en-US"/>
              </w:rPr>
            </w:pPr>
            <w:r w:rsidRPr="00605379">
              <w:rPr>
                <w:iCs/>
                <w:lang w:val="en-US"/>
              </w:rPr>
              <w:t>“</w:t>
            </w:r>
            <w:r w:rsidRPr="00461536">
              <w:rPr>
                <w:iCs/>
                <w:lang w:val="en-US"/>
              </w:rPr>
              <w:t>EFFICACY TESTS IN A REPELLENT PRODUCT FOR MOSQUITOES</w:t>
            </w:r>
          </w:p>
          <w:p w14:paraId="33D652CF" w14:textId="2A079170" w:rsidR="00A93E0A" w:rsidRPr="00085D9B" w:rsidRDefault="00A93E0A" w:rsidP="00A93E0A">
            <w:pPr>
              <w:pStyle w:val="Standaard-Tabellen"/>
              <w:rPr>
                <w:rFonts w:cs="00nkk"/>
                <w:lang w:val="en-US" w:eastAsia="en-US"/>
              </w:rPr>
            </w:pPr>
            <w:r w:rsidRPr="00B66836">
              <w:rPr>
                <w:iCs/>
                <w:lang w:val="fr-BE"/>
              </w:rPr>
              <w:t xml:space="preserve">Aedes </w:t>
            </w:r>
            <w:proofErr w:type="spellStart"/>
            <w:r w:rsidRPr="00DF3789">
              <w:rPr>
                <w:iCs/>
                <w:lang w:val="fr-BE"/>
              </w:rPr>
              <w:t>albopictus</w:t>
            </w:r>
            <w:proofErr w:type="spellEnd"/>
            <w:r w:rsidRPr="00B66836">
              <w:rPr>
                <w:iCs/>
                <w:lang w:val="fr-BE"/>
              </w:rPr>
              <w:t xml:space="preserve"> (DIPTERA: CULICIDA</w:t>
            </w:r>
            <w:r>
              <w:rPr>
                <w:iCs/>
                <w:lang w:val="fr-BE"/>
              </w:rPr>
              <w:t>E)”</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7F634DF3" w14:textId="77777777" w:rsidR="00A93E0A" w:rsidRDefault="00A93E0A" w:rsidP="00A93E0A">
            <w:pPr>
              <w:pStyle w:val="Standaard-Tabellen"/>
            </w:pPr>
            <w:r w:rsidRPr="00183CBD">
              <w:t>039843 R - RMQAAL</w:t>
            </w:r>
          </w:p>
          <w:p w14:paraId="4033902A" w14:textId="77777777" w:rsidR="00A93E0A" w:rsidRPr="00085D9B" w:rsidRDefault="00A93E0A" w:rsidP="00A93E0A">
            <w:pPr>
              <w:autoSpaceDE w:val="0"/>
              <w:autoSpaceDN w:val="0"/>
              <w:adjustRightInd w:val="0"/>
              <w:rPr>
                <w:rFonts w:cs="00nkk"/>
                <w:lang w:val="en-US" w:eastAsia="en-US"/>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52E613E" w14:textId="1FB2626F" w:rsidR="00A93E0A" w:rsidRPr="00085D9B" w:rsidRDefault="00A93E0A" w:rsidP="00A93E0A">
            <w:pPr>
              <w:autoSpaceDE w:val="0"/>
              <w:autoSpaceDN w:val="0"/>
              <w:adjustRightInd w:val="0"/>
              <w:rPr>
                <w:rFonts w:cs="00nkk"/>
                <w:lang w:val="en-US" w:eastAsia="en-US"/>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F555407" w14:textId="1976F93E" w:rsidR="00A93E0A" w:rsidRDefault="00A93E0A" w:rsidP="00A93E0A">
            <w:pPr>
              <w:pStyle w:val="Standaard-Tabellen"/>
              <w:rPr>
                <w:rFonts w:cs="00nkk"/>
                <w:lang w:val="en-US" w:eastAsia="en-US"/>
              </w:rPr>
            </w:pPr>
            <w:r>
              <w:t>2017-08-28</w:t>
            </w:r>
          </w:p>
        </w:tc>
      </w:tr>
      <w:tr w:rsidR="00A93E0A" w:rsidRPr="007D7CD6" w14:paraId="34BB841B"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692E6A0B" w14:textId="04448CDA" w:rsidR="00A93E0A" w:rsidRDefault="00A93E0A" w:rsidP="00A93E0A">
            <w:pPr>
              <w:pStyle w:val="Standaard-Tabellen"/>
            </w:pPr>
            <w:r w:rsidRPr="00C23622">
              <w:rPr>
                <w:iCs/>
                <w:lang w:val="en-US"/>
              </w:rPr>
              <w:t xml:space="preserve">P. H. </w:t>
            </w:r>
            <w:proofErr w:type="spellStart"/>
            <w:r w:rsidRPr="00C23622">
              <w:rPr>
                <w:iCs/>
                <w:lang w:val="en-US"/>
              </w:rPr>
              <w:t>Herculano</w:t>
            </w:r>
            <w:proofErr w:type="spellEnd"/>
            <w:r w:rsidRPr="00C23622">
              <w:rPr>
                <w:iCs/>
                <w:lang w:val="en-US"/>
              </w:rPr>
              <w:t>, &amp; G. P. Machado</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34A708F4" w14:textId="54DC4C0E" w:rsidR="00A93E0A" w:rsidRDefault="00A93E0A" w:rsidP="00A93E0A">
            <w:pPr>
              <w:pStyle w:val="Standaard-Tabellen"/>
            </w:pPr>
            <w:r>
              <w:t>2017</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225E8C28" w14:textId="77777777" w:rsidR="00A93E0A" w:rsidRPr="00461536" w:rsidRDefault="00A93E0A" w:rsidP="00A93E0A">
            <w:pPr>
              <w:pStyle w:val="Standaard-Tabellen"/>
              <w:rPr>
                <w:iCs/>
                <w:lang w:val="en-US"/>
              </w:rPr>
            </w:pPr>
            <w:r w:rsidRPr="00605379">
              <w:rPr>
                <w:iCs/>
                <w:lang w:val="en-US"/>
              </w:rPr>
              <w:t>“</w:t>
            </w:r>
            <w:r w:rsidRPr="00461536">
              <w:rPr>
                <w:iCs/>
                <w:lang w:val="en-US"/>
              </w:rPr>
              <w:t>EFFICACY TESTS IN A REPELLENT PRODUCT FOR MOSQUITOES</w:t>
            </w:r>
          </w:p>
          <w:p w14:paraId="2033908F" w14:textId="77777777" w:rsidR="00A93E0A" w:rsidRDefault="00A93E0A" w:rsidP="00A93E0A">
            <w:pPr>
              <w:pStyle w:val="Standaard-Tabellen"/>
              <w:rPr>
                <w:i/>
                <w:iCs/>
                <w:lang w:val="fr-BE"/>
              </w:rPr>
            </w:pPr>
            <w:proofErr w:type="spellStart"/>
            <w:r>
              <w:rPr>
                <w:i/>
                <w:iCs/>
                <w:lang w:val="fr-BE"/>
              </w:rPr>
              <w:t>Anopheles</w:t>
            </w:r>
            <w:proofErr w:type="spellEnd"/>
            <w:r>
              <w:rPr>
                <w:i/>
                <w:iCs/>
                <w:lang w:val="fr-BE"/>
              </w:rPr>
              <w:t xml:space="preserve"> </w:t>
            </w:r>
            <w:proofErr w:type="spellStart"/>
            <w:r>
              <w:rPr>
                <w:i/>
                <w:iCs/>
                <w:lang w:val="fr-BE"/>
              </w:rPr>
              <w:t>aquasalis</w:t>
            </w:r>
            <w:proofErr w:type="spellEnd"/>
          </w:p>
          <w:p w14:paraId="070F5422" w14:textId="753D7000" w:rsidR="00A93E0A" w:rsidRPr="00085D9B" w:rsidRDefault="00A93E0A" w:rsidP="00A93E0A">
            <w:pPr>
              <w:pStyle w:val="Standaard-Tabellen"/>
              <w:rPr>
                <w:rFonts w:cs="00nkk"/>
                <w:lang w:val="en-US" w:eastAsia="en-US"/>
              </w:rPr>
            </w:pPr>
            <w:r w:rsidRPr="00B66836">
              <w:rPr>
                <w:iCs/>
                <w:lang w:val="fr-BE"/>
              </w:rPr>
              <w:t xml:space="preserve"> (DIPTERA: CULI</w:t>
            </w:r>
            <w:r>
              <w:rPr>
                <w:iCs/>
                <w:lang w:val="fr-BE"/>
              </w:rPr>
              <w:t>CIDAE)”</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721B4782" w14:textId="50FE96BA" w:rsidR="00A93E0A" w:rsidRPr="00085D9B" w:rsidRDefault="00A93E0A" w:rsidP="00A93E0A">
            <w:pPr>
              <w:autoSpaceDE w:val="0"/>
              <w:autoSpaceDN w:val="0"/>
              <w:adjustRightInd w:val="0"/>
              <w:rPr>
                <w:rFonts w:cs="00nkk"/>
                <w:lang w:val="en-US" w:eastAsia="en-US"/>
              </w:rPr>
            </w:pPr>
            <w:r w:rsidRPr="00183CBD">
              <w:t>RMQANE – 039843.R</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B93380C" w14:textId="51E9389B" w:rsidR="00A93E0A" w:rsidRPr="00085D9B" w:rsidRDefault="00A93E0A" w:rsidP="00A93E0A">
            <w:pPr>
              <w:autoSpaceDE w:val="0"/>
              <w:autoSpaceDN w:val="0"/>
              <w:adjustRightInd w:val="0"/>
              <w:rPr>
                <w:rFonts w:cs="00nkk"/>
                <w:lang w:val="en-US" w:eastAsia="en-US"/>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9D9D489" w14:textId="7B2D86BE" w:rsidR="00A93E0A" w:rsidRDefault="00A93E0A" w:rsidP="00A93E0A">
            <w:pPr>
              <w:pStyle w:val="Standaard-Tabellen"/>
              <w:rPr>
                <w:rFonts w:cs="00nkk"/>
                <w:lang w:val="en-US" w:eastAsia="en-US"/>
              </w:rPr>
            </w:pPr>
            <w:r>
              <w:t>2017-08-28</w:t>
            </w:r>
          </w:p>
        </w:tc>
      </w:tr>
      <w:tr w:rsidR="00A93E0A" w:rsidRPr="007D7CD6" w14:paraId="00BF9E5C"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3A46D60A" w14:textId="1C973191" w:rsidR="00A93E0A" w:rsidRDefault="00A93E0A" w:rsidP="00A93E0A">
            <w:pPr>
              <w:pStyle w:val="Standaard-Tabellen"/>
            </w:pPr>
            <w:r w:rsidRPr="00C23622">
              <w:rPr>
                <w:iCs/>
                <w:lang w:val="en-US"/>
              </w:rPr>
              <w:t xml:space="preserve">P. H. </w:t>
            </w:r>
            <w:proofErr w:type="spellStart"/>
            <w:r w:rsidRPr="00C23622">
              <w:rPr>
                <w:iCs/>
                <w:lang w:val="en-US"/>
              </w:rPr>
              <w:t>Herculano</w:t>
            </w:r>
            <w:proofErr w:type="spellEnd"/>
            <w:r w:rsidRPr="00C23622">
              <w:rPr>
                <w:iCs/>
                <w:lang w:val="en-US"/>
              </w:rPr>
              <w:t>, &amp; G. P. Machado</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A8E00D8" w14:textId="6F555BF8" w:rsidR="00A93E0A" w:rsidRDefault="00A93E0A" w:rsidP="00A93E0A">
            <w:pPr>
              <w:pStyle w:val="Standaard-Tabellen"/>
            </w:pPr>
            <w:r>
              <w:t>2017</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38B62032" w14:textId="77777777" w:rsidR="00A93E0A" w:rsidRPr="00461536" w:rsidRDefault="00A93E0A" w:rsidP="00A93E0A">
            <w:pPr>
              <w:pStyle w:val="Standaard-Tabellen"/>
              <w:rPr>
                <w:iCs/>
                <w:lang w:val="en-US"/>
              </w:rPr>
            </w:pPr>
            <w:r w:rsidRPr="00605379">
              <w:rPr>
                <w:iCs/>
                <w:lang w:val="en-US"/>
              </w:rPr>
              <w:t>“</w:t>
            </w:r>
            <w:r w:rsidRPr="00461536">
              <w:rPr>
                <w:iCs/>
                <w:lang w:val="en-US"/>
              </w:rPr>
              <w:t>EFFICACY TESTS IN A REPELLENT PRODUCT FOR MOSQUITOES</w:t>
            </w:r>
          </w:p>
          <w:p w14:paraId="44C335AF" w14:textId="3DFDF59B" w:rsidR="00A93E0A" w:rsidRPr="00085D9B" w:rsidRDefault="00A93E0A" w:rsidP="00A93E0A">
            <w:pPr>
              <w:pStyle w:val="Standaard-Tabellen"/>
              <w:rPr>
                <w:rFonts w:cs="00nkk"/>
                <w:lang w:val="en-US" w:eastAsia="en-US"/>
              </w:rPr>
            </w:pPr>
            <w:r>
              <w:rPr>
                <w:i/>
                <w:iCs/>
                <w:lang w:val="fr-BE"/>
              </w:rPr>
              <w:t xml:space="preserve">Culex </w:t>
            </w:r>
            <w:proofErr w:type="spellStart"/>
            <w:r>
              <w:rPr>
                <w:i/>
                <w:iCs/>
                <w:lang w:val="fr-BE"/>
              </w:rPr>
              <w:t>quinquefasciatus</w:t>
            </w:r>
            <w:proofErr w:type="spellEnd"/>
            <w:r>
              <w:rPr>
                <w:i/>
                <w:iCs/>
                <w:lang w:val="fr-BE"/>
              </w:rPr>
              <w:t xml:space="preserve"> </w:t>
            </w:r>
            <w:r w:rsidRPr="00B66836">
              <w:rPr>
                <w:iCs/>
                <w:lang w:val="fr-BE"/>
              </w:rPr>
              <w:t>(DIPTERA: CULICIDAE)”</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0FEF64E7" w14:textId="52C4142C" w:rsidR="00A93E0A" w:rsidRPr="00085D9B" w:rsidRDefault="00A93E0A" w:rsidP="00A93E0A">
            <w:pPr>
              <w:autoSpaceDE w:val="0"/>
              <w:autoSpaceDN w:val="0"/>
              <w:adjustRightInd w:val="0"/>
              <w:rPr>
                <w:rFonts w:cs="00nkk"/>
                <w:lang w:val="en-US" w:eastAsia="en-US"/>
              </w:rPr>
            </w:pPr>
            <w:r w:rsidRPr="00183CBD">
              <w:t>RMQCQ – 039843.R</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6DFE9BBA" w14:textId="4746C628" w:rsidR="00A93E0A" w:rsidRPr="00085D9B" w:rsidRDefault="00A93E0A" w:rsidP="00A93E0A">
            <w:pPr>
              <w:autoSpaceDE w:val="0"/>
              <w:autoSpaceDN w:val="0"/>
              <w:adjustRightInd w:val="0"/>
              <w:rPr>
                <w:rFonts w:cs="00nkk"/>
                <w:lang w:val="en-US" w:eastAsia="en-US"/>
              </w:rPr>
            </w:pPr>
            <w:r>
              <w:t xml:space="preserve">Merck </w:t>
            </w:r>
            <w:proofErr w:type="spellStart"/>
            <w: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BA9160C" w14:textId="012CD523" w:rsidR="00A93E0A" w:rsidRDefault="00A93E0A" w:rsidP="00A93E0A">
            <w:pPr>
              <w:pStyle w:val="Standaard-Tabellen"/>
              <w:rPr>
                <w:rFonts w:cs="00nkk"/>
                <w:lang w:val="en-US" w:eastAsia="en-US"/>
              </w:rPr>
            </w:pPr>
            <w:r>
              <w:t>2017-08-28</w:t>
            </w:r>
          </w:p>
        </w:tc>
      </w:tr>
      <w:tr w:rsidR="00446629" w:rsidRPr="007D7CD6" w14:paraId="10B262F5"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21AD5B23" w14:textId="77777777" w:rsidR="00446629" w:rsidRPr="007D7CD6" w:rsidRDefault="00446629" w:rsidP="00446629">
            <w:pPr>
              <w:pStyle w:val="Standaard-Tabellen"/>
            </w:pPr>
            <w:r w:rsidRPr="00BF5148">
              <w:rPr>
                <w:highlight w:val="black"/>
              </w:rPr>
              <w:t>Hurley, J.M.</w:t>
            </w:r>
            <w:r>
              <w:t xml:space="preserve"> (a)</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8E10A1" w14:textId="77777777" w:rsidR="00446629" w:rsidRPr="007D7CD6" w:rsidRDefault="00446629" w:rsidP="00446629">
            <w:pPr>
              <w:pStyle w:val="Standaard-Tabellen"/>
            </w:pPr>
            <w:r>
              <w:t>2006</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6F20ABD4" w14:textId="77777777" w:rsidR="00446629" w:rsidRPr="007D7CD6" w:rsidRDefault="00446629" w:rsidP="00446629">
            <w:pPr>
              <w:pStyle w:val="Standaard-Tabellen"/>
            </w:pPr>
            <w:r w:rsidRPr="00085D9B">
              <w:rPr>
                <w:rFonts w:cs="00nkk"/>
                <w:lang w:val="en-US" w:eastAsia="en-US"/>
              </w:rPr>
              <w:t>Acute dermal irritation study of</w:t>
            </w:r>
            <w:r>
              <w:rPr>
                <w:rFonts w:cs="00nkk"/>
                <w:lang w:val="en-US" w:eastAsia="en-US"/>
              </w:rPr>
              <w:t xml:space="preserve"> WV29-01</w:t>
            </w:r>
            <w:r w:rsidRPr="00085D9B">
              <w:rPr>
                <w:rFonts w:cs="00nkk"/>
                <w:lang w:val="en-US" w:eastAsia="en-US"/>
              </w:rPr>
              <w:t xml:space="preserve"> Insect Repellent </w:t>
            </w:r>
            <w:r>
              <w:rPr>
                <w:rFonts w:cs="00nkk"/>
                <w:lang w:val="en-US" w:eastAsia="en-US"/>
              </w:rPr>
              <w:t xml:space="preserve">Lotion </w:t>
            </w:r>
            <w:r w:rsidRPr="00085D9B">
              <w:rPr>
                <w:rFonts w:cs="00nkk"/>
                <w:lang w:val="en-US" w:eastAsia="en-US"/>
              </w:rPr>
              <w:t>in albino rabbits</w:t>
            </w:r>
            <w:r>
              <w:rPr>
                <w:rFonts w:ascii="00nkk" w:hAnsi="00nkk" w:cs="00nkk"/>
                <w:sz w:val="12"/>
                <w:szCs w:val="12"/>
                <w:lang w:val="en-US" w:eastAsia="en-US"/>
              </w:rPr>
              <w:t>.</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536CDED2" w14:textId="77777777" w:rsidR="00446629" w:rsidRPr="00BF5148" w:rsidRDefault="00446629" w:rsidP="00446629">
            <w:pPr>
              <w:autoSpaceDE w:val="0"/>
              <w:autoSpaceDN w:val="0"/>
              <w:adjustRightInd w:val="0"/>
              <w:rPr>
                <w:rFonts w:cs="00nkk"/>
                <w:highlight w:val="black"/>
                <w:lang w:val="en-US" w:eastAsia="en-US"/>
              </w:rPr>
            </w:pPr>
            <w:r w:rsidRPr="00BF5148">
              <w:rPr>
                <w:rFonts w:cs="00nkk"/>
                <w:highlight w:val="black"/>
                <w:lang w:val="en-US" w:eastAsia="en-US"/>
              </w:rPr>
              <w:t>WIL-</w:t>
            </w:r>
          </w:p>
          <w:p w14:paraId="12AD1368" w14:textId="77777777" w:rsidR="00446629" w:rsidRPr="00BF5148" w:rsidRDefault="00446629" w:rsidP="00446629">
            <w:pPr>
              <w:pStyle w:val="Standaard-Tabellen"/>
              <w:rPr>
                <w:highlight w:val="yellow"/>
              </w:rPr>
            </w:pPr>
            <w:r w:rsidRPr="00BF5148">
              <w:rPr>
                <w:rFonts w:cs="00nkk"/>
                <w:highlight w:val="black"/>
                <w:lang w:val="en-US" w:eastAsia="en-US"/>
              </w:rPr>
              <w:t>585002</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4CE2C97" w14:textId="77777777" w:rsidR="00446629" w:rsidRPr="00085D9B" w:rsidRDefault="00446629" w:rsidP="00446629">
            <w:pPr>
              <w:autoSpaceDE w:val="0"/>
              <w:autoSpaceDN w:val="0"/>
              <w:adjustRightInd w:val="0"/>
              <w:rPr>
                <w:rFonts w:cs="00nkk"/>
                <w:lang w:val="en-US" w:eastAsia="en-US"/>
              </w:rPr>
            </w:pPr>
            <w:r w:rsidRPr="00085D9B">
              <w:rPr>
                <w:rFonts w:cs="00nkk"/>
                <w:lang w:val="en-US" w:eastAsia="en-US"/>
              </w:rPr>
              <w:t>Merck</w:t>
            </w:r>
          </w:p>
          <w:p w14:paraId="44914BFC" w14:textId="77777777" w:rsidR="00446629" w:rsidRPr="007D7CD6" w:rsidRDefault="00446629" w:rsidP="00446629">
            <w:pPr>
              <w:pStyle w:val="Standaard-Tabellen"/>
            </w:pPr>
            <w:proofErr w:type="spellStart"/>
            <w:r w:rsidRPr="00085D9B">
              <w:rPr>
                <w:rFonts w:cs="00nkk"/>
                <w:lang w:val="en-US" w:eastAsia="en-US"/>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51CE60E" w14:textId="77777777" w:rsidR="00446629" w:rsidRPr="007D7CD6" w:rsidRDefault="00446629" w:rsidP="00446629">
            <w:pPr>
              <w:pStyle w:val="Standaard-Tabellen"/>
            </w:pPr>
            <w:r>
              <w:rPr>
                <w:rFonts w:cs="00nkk"/>
                <w:lang w:val="en-US" w:eastAsia="en-US"/>
              </w:rPr>
              <w:t>2006-09-</w:t>
            </w:r>
            <w:r w:rsidRPr="00085D9B">
              <w:rPr>
                <w:rFonts w:cs="00nkk"/>
                <w:lang w:val="en-US" w:eastAsia="en-US"/>
              </w:rPr>
              <w:t>15</w:t>
            </w:r>
          </w:p>
        </w:tc>
      </w:tr>
      <w:tr w:rsidR="00446629" w:rsidRPr="007D7CD6" w14:paraId="5DBAF088"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268B0980" w14:textId="77777777" w:rsidR="00446629" w:rsidRPr="007D7CD6" w:rsidRDefault="00446629" w:rsidP="00446629">
            <w:pPr>
              <w:pStyle w:val="Standaard-Tabellen"/>
            </w:pPr>
            <w:r w:rsidRPr="00BF5148">
              <w:rPr>
                <w:highlight w:val="black"/>
              </w:rPr>
              <w:t>Hurley, J.M.</w:t>
            </w:r>
            <w:r>
              <w:t xml:space="preserve"> (b)</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3EF84BB1" w14:textId="77777777" w:rsidR="00446629" w:rsidRPr="007D7CD6" w:rsidRDefault="00446629" w:rsidP="00446629">
            <w:pPr>
              <w:pStyle w:val="Standaard-Tabellen"/>
            </w:pPr>
            <w:r>
              <w:t>2006</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567C971F" w14:textId="77777777" w:rsidR="00446629" w:rsidRPr="00DB36F8" w:rsidRDefault="00446629" w:rsidP="00446629">
            <w:pPr>
              <w:autoSpaceDE w:val="0"/>
              <w:autoSpaceDN w:val="0"/>
              <w:adjustRightInd w:val="0"/>
              <w:rPr>
                <w:rFonts w:cs="19wnc"/>
                <w:lang w:val="en-US" w:eastAsia="en-US"/>
              </w:rPr>
            </w:pPr>
            <w:r w:rsidRPr="00DB36F8">
              <w:rPr>
                <w:rFonts w:cs="19wnc"/>
                <w:lang w:val="en-US" w:eastAsia="en-US"/>
              </w:rPr>
              <w:t>Acute Eye Irritation Study of</w:t>
            </w:r>
          </w:p>
          <w:p w14:paraId="04BE6797" w14:textId="77777777" w:rsidR="00446629" w:rsidRPr="007D7CD6" w:rsidRDefault="00446629" w:rsidP="00446629">
            <w:pPr>
              <w:pStyle w:val="Standaard-Tabellen"/>
            </w:pPr>
            <w:r>
              <w:rPr>
                <w:rFonts w:cs="00nkk"/>
                <w:lang w:val="en-US" w:eastAsia="en-US"/>
              </w:rPr>
              <w:t>WV29-01</w:t>
            </w:r>
            <w:r w:rsidRPr="00085D9B">
              <w:rPr>
                <w:rFonts w:cs="00nkk"/>
                <w:lang w:val="en-US" w:eastAsia="en-US"/>
              </w:rPr>
              <w:t xml:space="preserve"> Insect Repellent </w:t>
            </w:r>
            <w:r>
              <w:rPr>
                <w:rFonts w:cs="00nkk"/>
                <w:lang w:val="en-US" w:eastAsia="en-US"/>
              </w:rPr>
              <w:t>Lotion</w:t>
            </w:r>
            <w:r w:rsidRPr="00DB36F8">
              <w:rPr>
                <w:rFonts w:cs="19wnc"/>
                <w:lang w:val="en-US" w:eastAsia="en-US"/>
              </w:rPr>
              <w:t xml:space="preserve"> in albino rabbits.</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1798D1D7" w14:textId="77777777" w:rsidR="00446629" w:rsidRPr="00BF5148" w:rsidRDefault="00446629" w:rsidP="00446629">
            <w:pPr>
              <w:autoSpaceDE w:val="0"/>
              <w:autoSpaceDN w:val="0"/>
              <w:adjustRightInd w:val="0"/>
              <w:rPr>
                <w:rFonts w:cs="00nkk"/>
                <w:highlight w:val="black"/>
                <w:lang w:val="en-US" w:eastAsia="en-US"/>
              </w:rPr>
            </w:pPr>
            <w:r w:rsidRPr="00BF5148">
              <w:rPr>
                <w:rFonts w:cs="00nkk"/>
                <w:highlight w:val="black"/>
                <w:lang w:val="en-US" w:eastAsia="en-US"/>
              </w:rPr>
              <w:t>WIL-</w:t>
            </w:r>
          </w:p>
          <w:p w14:paraId="5CB6F19B" w14:textId="77777777" w:rsidR="00446629" w:rsidRPr="00BF5148" w:rsidRDefault="00446629" w:rsidP="00446629">
            <w:pPr>
              <w:pStyle w:val="Standaard-Tabellen"/>
              <w:rPr>
                <w:highlight w:val="yellow"/>
              </w:rPr>
            </w:pPr>
            <w:r w:rsidRPr="00BF5148">
              <w:rPr>
                <w:rFonts w:cs="00nkk"/>
                <w:highlight w:val="black"/>
                <w:lang w:val="en-US" w:eastAsia="en-US"/>
              </w:rPr>
              <w:t>585003</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15FB29A" w14:textId="77777777" w:rsidR="00446629" w:rsidRPr="00841DCC" w:rsidRDefault="00446629" w:rsidP="00446629">
            <w:pPr>
              <w:autoSpaceDE w:val="0"/>
              <w:autoSpaceDN w:val="0"/>
              <w:adjustRightInd w:val="0"/>
              <w:rPr>
                <w:rFonts w:cs="00nkk"/>
                <w:lang w:val="en-US" w:eastAsia="en-US"/>
              </w:rPr>
            </w:pPr>
            <w:r w:rsidRPr="00841DCC">
              <w:rPr>
                <w:rFonts w:cs="00nkk"/>
                <w:lang w:val="en-US" w:eastAsia="en-US"/>
              </w:rPr>
              <w:t>Merck</w:t>
            </w:r>
          </w:p>
          <w:p w14:paraId="7F53C257" w14:textId="77777777" w:rsidR="00446629" w:rsidRPr="007D7CD6" w:rsidRDefault="00446629" w:rsidP="00446629">
            <w:pPr>
              <w:pStyle w:val="Standaard-Tabellen"/>
            </w:pPr>
            <w:proofErr w:type="spellStart"/>
            <w:r w:rsidRPr="00841DCC">
              <w:rPr>
                <w:rFonts w:cs="00nkk"/>
                <w:lang w:val="en-US" w:eastAsia="en-US"/>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B53824F" w14:textId="77777777" w:rsidR="00446629" w:rsidRPr="007D7CD6" w:rsidRDefault="00446629" w:rsidP="00446629">
            <w:pPr>
              <w:pStyle w:val="Standaard-Tabellen"/>
            </w:pPr>
            <w:r w:rsidRPr="00841DCC">
              <w:rPr>
                <w:rFonts w:cs="00nkk"/>
                <w:lang w:val="en-US" w:eastAsia="en-US"/>
              </w:rPr>
              <w:t>2006-09-15</w:t>
            </w:r>
          </w:p>
        </w:tc>
      </w:tr>
      <w:tr w:rsidR="00446629" w:rsidRPr="007D7CD6" w14:paraId="513E94D9"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67AA7775" w14:textId="77777777" w:rsidR="00446629" w:rsidRPr="007D7CD6" w:rsidRDefault="00446629" w:rsidP="00446629">
            <w:pPr>
              <w:pStyle w:val="Standaard-Tabellen"/>
            </w:pPr>
            <w:r w:rsidRPr="00BF5148">
              <w:rPr>
                <w:highlight w:val="black"/>
              </w:rPr>
              <w:t>Hurley, J.M.</w:t>
            </w:r>
            <w:r>
              <w:t xml:space="preserve"> (c)</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1B5AC7B" w14:textId="77777777" w:rsidR="00446629" w:rsidRPr="007D7CD6" w:rsidRDefault="00446629" w:rsidP="00446629">
            <w:pPr>
              <w:pStyle w:val="Standaard-Tabellen"/>
            </w:pPr>
            <w:r>
              <w:t>2006</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01A6B085" w14:textId="77777777" w:rsidR="00446629" w:rsidRPr="0099578A" w:rsidRDefault="00446629" w:rsidP="00446629">
            <w:pPr>
              <w:autoSpaceDE w:val="0"/>
              <w:autoSpaceDN w:val="0"/>
              <w:adjustRightInd w:val="0"/>
              <w:rPr>
                <w:rFonts w:cs="19wnc"/>
                <w:lang w:val="en-US" w:eastAsia="en-US"/>
              </w:rPr>
            </w:pPr>
            <w:r w:rsidRPr="0099578A">
              <w:rPr>
                <w:rFonts w:cs="19wnc"/>
                <w:lang w:val="en-US" w:eastAsia="en-US"/>
              </w:rPr>
              <w:t xml:space="preserve">Skin </w:t>
            </w:r>
            <w:proofErr w:type="spellStart"/>
            <w:r w:rsidRPr="0099578A">
              <w:rPr>
                <w:rFonts w:cs="19wnc"/>
                <w:lang w:val="en-US" w:eastAsia="en-US"/>
              </w:rPr>
              <w:t>Sensitisation</w:t>
            </w:r>
            <w:proofErr w:type="spellEnd"/>
            <w:r w:rsidRPr="0099578A">
              <w:rPr>
                <w:rFonts w:cs="19wnc"/>
                <w:lang w:val="en-US" w:eastAsia="en-US"/>
              </w:rPr>
              <w:t xml:space="preserve"> Study of </w:t>
            </w:r>
            <w:r>
              <w:rPr>
                <w:rFonts w:cs="00nkk"/>
                <w:lang w:val="en-US" w:eastAsia="en-US"/>
              </w:rPr>
              <w:t>WV29-01</w:t>
            </w:r>
            <w:r w:rsidRPr="00085D9B">
              <w:rPr>
                <w:rFonts w:cs="00nkk"/>
                <w:lang w:val="en-US" w:eastAsia="en-US"/>
              </w:rPr>
              <w:t xml:space="preserve"> Insect Repellent </w:t>
            </w:r>
            <w:r>
              <w:rPr>
                <w:rFonts w:cs="00nkk"/>
                <w:lang w:val="en-US" w:eastAsia="en-US"/>
              </w:rPr>
              <w:t>Lotion</w:t>
            </w:r>
            <w:r w:rsidRPr="0099578A">
              <w:rPr>
                <w:rFonts w:cs="19wnc"/>
                <w:lang w:val="en-US" w:eastAsia="en-US"/>
              </w:rPr>
              <w:t xml:space="preserve"> in albino guinea</w:t>
            </w:r>
          </w:p>
          <w:p w14:paraId="72CE9CE1" w14:textId="77777777" w:rsidR="00446629" w:rsidRPr="007D7CD6" w:rsidRDefault="00446629" w:rsidP="00446629">
            <w:pPr>
              <w:pStyle w:val="Standaard-Tabellen"/>
            </w:pPr>
            <w:r>
              <w:rPr>
                <w:rFonts w:cs="19wnc"/>
                <w:lang w:val="en-US" w:eastAsia="en-US"/>
              </w:rPr>
              <w:t xml:space="preserve">pigs (Modified Buehler </w:t>
            </w:r>
            <w:r w:rsidRPr="0099578A">
              <w:rPr>
                <w:rFonts w:cs="19wnc"/>
                <w:lang w:val="en-US" w:eastAsia="en-US"/>
              </w:rPr>
              <w:t>Method).</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7B655747" w14:textId="77777777" w:rsidR="00446629" w:rsidRPr="00BF5148" w:rsidRDefault="00446629" w:rsidP="00446629">
            <w:pPr>
              <w:autoSpaceDE w:val="0"/>
              <w:autoSpaceDN w:val="0"/>
              <w:adjustRightInd w:val="0"/>
              <w:rPr>
                <w:rFonts w:cs="19wnc"/>
                <w:highlight w:val="black"/>
                <w:lang w:val="en-US" w:eastAsia="en-US"/>
              </w:rPr>
            </w:pPr>
            <w:r w:rsidRPr="00BF5148">
              <w:rPr>
                <w:rFonts w:cs="19wnc"/>
                <w:highlight w:val="black"/>
                <w:lang w:val="en-US" w:eastAsia="en-US"/>
              </w:rPr>
              <w:t>WIL-</w:t>
            </w:r>
          </w:p>
          <w:p w14:paraId="79D2279D" w14:textId="77777777" w:rsidR="00446629" w:rsidRPr="00BF5148" w:rsidRDefault="00446629" w:rsidP="00446629">
            <w:pPr>
              <w:pStyle w:val="Standaard-Tabellen"/>
              <w:rPr>
                <w:highlight w:val="black"/>
              </w:rPr>
            </w:pPr>
            <w:r w:rsidRPr="00BF5148">
              <w:rPr>
                <w:rFonts w:cs="19wnc"/>
                <w:highlight w:val="black"/>
                <w:lang w:val="en-US" w:eastAsia="en-US"/>
              </w:rPr>
              <w:t>585004</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E46B6BD" w14:textId="77777777" w:rsidR="00446629" w:rsidRPr="00085D9B" w:rsidRDefault="00446629" w:rsidP="00446629">
            <w:pPr>
              <w:autoSpaceDE w:val="0"/>
              <w:autoSpaceDN w:val="0"/>
              <w:adjustRightInd w:val="0"/>
              <w:rPr>
                <w:rFonts w:cs="00nkk"/>
                <w:lang w:val="en-US" w:eastAsia="en-US"/>
              </w:rPr>
            </w:pPr>
            <w:r w:rsidRPr="00085D9B">
              <w:rPr>
                <w:rFonts w:cs="00nkk"/>
                <w:lang w:val="en-US" w:eastAsia="en-US"/>
              </w:rPr>
              <w:t>Merck</w:t>
            </w:r>
          </w:p>
          <w:p w14:paraId="49DD1826" w14:textId="77777777" w:rsidR="00446629" w:rsidRPr="007D7CD6" w:rsidRDefault="00446629" w:rsidP="00446629">
            <w:pPr>
              <w:pStyle w:val="Standaard-Tabellen"/>
            </w:pPr>
            <w:proofErr w:type="spellStart"/>
            <w:r w:rsidRPr="00085D9B">
              <w:rPr>
                <w:rFonts w:cs="00nkk"/>
                <w:lang w:val="en-US" w:eastAsia="en-US"/>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1F43914" w14:textId="77777777" w:rsidR="00446629" w:rsidRPr="007D7CD6" w:rsidRDefault="00446629" w:rsidP="00446629">
            <w:pPr>
              <w:pStyle w:val="Standaard-Tabellen"/>
            </w:pPr>
            <w:r w:rsidRPr="00841DCC">
              <w:rPr>
                <w:rFonts w:cs="00nkk"/>
                <w:lang w:val="en-US" w:eastAsia="en-US"/>
              </w:rPr>
              <w:t>2006-09-15</w:t>
            </w:r>
          </w:p>
        </w:tc>
      </w:tr>
      <w:tr w:rsidR="00446629" w:rsidRPr="007D7CD6" w14:paraId="4BB8A2A5" w14:textId="77777777" w:rsidTr="00804DEE">
        <w:tc>
          <w:tcPr>
            <w:tcW w:w="673" w:type="pct"/>
            <w:tcBorders>
              <w:top w:val="single" w:sz="4" w:space="0" w:color="auto"/>
              <w:left w:val="single" w:sz="4" w:space="0" w:color="auto"/>
              <w:bottom w:val="single" w:sz="4" w:space="0" w:color="auto"/>
              <w:right w:val="single" w:sz="4" w:space="0" w:color="auto"/>
            </w:tcBorders>
            <w:shd w:val="clear" w:color="auto" w:fill="auto"/>
          </w:tcPr>
          <w:p w14:paraId="68E127D7" w14:textId="77777777" w:rsidR="00446629" w:rsidRPr="007D7CD6" w:rsidRDefault="00446629" w:rsidP="00446629">
            <w:pPr>
              <w:pStyle w:val="Standaard-Tabellen"/>
            </w:pPr>
            <w:r w:rsidRPr="00BF5148">
              <w:rPr>
                <w:highlight w:val="black"/>
              </w:rPr>
              <w:t>Hurley, J.M.</w:t>
            </w:r>
            <w:r>
              <w:t xml:space="preserve"> (d)</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0C2493C" w14:textId="77777777" w:rsidR="00446629" w:rsidRPr="007D7CD6" w:rsidRDefault="00446629" w:rsidP="00446629">
            <w:pPr>
              <w:pStyle w:val="Standaard-Tabellen"/>
            </w:pPr>
            <w:r>
              <w:t>2006</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58804C60" w14:textId="77777777" w:rsidR="00446629" w:rsidRPr="007D7CD6" w:rsidRDefault="00446629" w:rsidP="00446629">
            <w:pPr>
              <w:pStyle w:val="Standaard-Tabellen"/>
            </w:pPr>
            <w:r>
              <w:rPr>
                <w:rFonts w:cs="41hbs"/>
                <w:lang w:val="en-US" w:eastAsia="en-US"/>
              </w:rPr>
              <w:t xml:space="preserve">Acute dermal toxicity study of </w:t>
            </w:r>
            <w:r>
              <w:rPr>
                <w:rFonts w:cs="00nkk"/>
                <w:lang w:val="en-US" w:eastAsia="en-US"/>
              </w:rPr>
              <w:t>WV29-01</w:t>
            </w:r>
            <w:r w:rsidRPr="00085D9B">
              <w:rPr>
                <w:rFonts w:cs="00nkk"/>
                <w:lang w:val="en-US" w:eastAsia="en-US"/>
              </w:rPr>
              <w:t xml:space="preserve"> Insect Repellent </w:t>
            </w:r>
            <w:r>
              <w:rPr>
                <w:rFonts w:cs="00nkk"/>
                <w:lang w:val="en-US" w:eastAsia="en-US"/>
              </w:rPr>
              <w:t>Lotion</w:t>
            </w:r>
            <w:r w:rsidRPr="00D91E8E">
              <w:rPr>
                <w:rFonts w:cs="41hbs"/>
                <w:lang w:val="en-US" w:eastAsia="en-US"/>
              </w:rPr>
              <w:t xml:space="preserve"> in albino rats.</w:t>
            </w:r>
          </w:p>
        </w:tc>
        <w:tc>
          <w:tcPr>
            <w:tcW w:w="1066" w:type="pct"/>
            <w:tcBorders>
              <w:top w:val="single" w:sz="4" w:space="0" w:color="auto"/>
              <w:left w:val="single" w:sz="4" w:space="0" w:color="auto"/>
              <w:bottom w:val="single" w:sz="4" w:space="0" w:color="auto"/>
              <w:right w:val="single" w:sz="4" w:space="0" w:color="auto"/>
            </w:tcBorders>
            <w:shd w:val="clear" w:color="auto" w:fill="auto"/>
          </w:tcPr>
          <w:p w14:paraId="4CFEE6F3" w14:textId="77777777" w:rsidR="00446629" w:rsidRPr="00BF5148" w:rsidRDefault="00446629" w:rsidP="00446629">
            <w:pPr>
              <w:autoSpaceDE w:val="0"/>
              <w:autoSpaceDN w:val="0"/>
              <w:adjustRightInd w:val="0"/>
              <w:rPr>
                <w:rFonts w:cs="41hbs"/>
                <w:highlight w:val="black"/>
                <w:lang w:val="en-US" w:eastAsia="en-US"/>
              </w:rPr>
            </w:pPr>
            <w:r w:rsidRPr="00BF5148">
              <w:rPr>
                <w:rFonts w:cs="41hbs"/>
                <w:highlight w:val="black"/>
                <w:lang w:val="en-US" w:eastAsia="en-US"/>
              </w:rPr>
              <w:t>WIL-</w:t>
            </w:r>
          </w:p>
          <w:p w14:paraId="69EEDD94" w14:textId="77777777" w:rsidR="00446629" w:rsidRPr="00BF5148" w:rsidRDefault="00446629" w:rsidP="00446629">
            <w:pPr>
              <w:pStyle w:val="Standaard-Tabellen"/>
              <w:rPr>
                <w:highlight w:val="yellow"/>
              </w:rPr>
            </w:pPr>
            <w:r w:rsidRPr="00BF5148">
              <w:rPr>
                <w:rFonts w:cs="41hbs"/>
                <w:highlight w:val="black"/>
                <w:lang w:val="en-US" w:eastAsia="en-US"/>
              </w:rPr>
              <w:t>585001</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BB766C9" w14:textId="77777777" w:rsidR="00446629" w:rsidRPr="00841DCC" w:rsidRDefault="00446629" w:rsidP="00446629">
            <w:pPr>
              <w:autoSpaceDE w:val="0"/>
              <w:autoSpaceDN w:val="0"/>
              <w:adjustRightInd w:val="0"/>
              <w:rPr>
                <w:rFonts w:cs="00nkk"/>
                <w:lang w:val="en-US" w:eastAsia="en-US"/>
              </w:rPr>
            </w:pPr>
            <w:r w:rsidRPr="00841DCC">
              <w:rPr>
                <w:rFonts w:cs="00nkk"/>
                <w:lang w:val="en-US" w:eastAsia="en-US"/>
              </w:rPr>
              <w:t>Merck</w:t>
            </w:r>
          </w:p>
          <w:p w14:paraId="15EEF5B4" w14:textId="77777777" w:rsidR="00446629" w:rsidRPr="007D7CD6" w:rsidRDefault="00446629" w:rsidP="00446629">
            <w:pPr>
              <w:pStyle w:val="Standaard-Tabellen"/>
            </w:pPr>
            <w:proofErr w:type="spellStart"/>
            <w:r w:rsidRPr="00841DCC">
              <w:rPr>
                <w:rFonts w:cs="00nkk"/>
                <w:lang w:val="en-US" w:eastAsia="en-US"/>
              </w:rPr>
              <w:t>KGaA</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B54B536" w14:textId="77777777" w:rsidR="00446629" w:rsidRPr="007D7CD6" w:rsidRDefault="00446629" w:rsidP="00446629">
            <w:pPr>
              <w:pStyle w:val="Standaard-Tabellen"/>
            </w:pPr>
            <w:r w:rsidRPr="00841DCC">
              <w:rPr>
                <w:rFonts w:cs="41hbs"/>
                <w:lang w:val="en-US" w:eastAsia="en-US"/>
              </w:rPr>
              <w:t>2006-09-15</w:t>
            </w:r>
          </w:p>
        </w:tc>
      </w:tr>
    </w:tbl>
    <w:p w14:paraId="04E71069" w14:textId="3502BCF7" w:rsidR="00F65B8F" w:rsidRDefault="00F65B8F" w:rsidP="00F65B8F">
      <w:pPr>
        <w:rPr>
          <w:rFonts w:eastAsia="Calibri"/>
          <w:lang w:eastAsia="en-US"/>
        </w:rPr>
      </w:pPr>
    </w:p>
    <w:p w14:paraId="14B44001" w14:textId="77777777" w:rsidR="00C85279" w:rsidRPr="00C85279" w:rsidRDefault="00C85279" w:rsidP="00C85279">
      <w:pPr>
        <w:rPr>
          <w:rFonts w:eastAsia="Calibri"/>
          <w:lang w:eastAsia="en-US"/>
        </w:rPr>
      </w:pPr>
    </w:p>
    <w:p w14:paraId="45182D77" w14:textId="6208253A" w:rsidR="00C85279" w:rsidRPr="00C85279" w:rsidRDefault="00C85279" w:rsidP="00C85279">
      <w:pPr>
        <w:rPr>
          <w:rFonts w:eastAsia="Calibri"/>
          <w:sz w:val="24"/>
          <w:szCs w:val="24"/>
          <w:lang w:eastAsia="en-US"/>
        </w:rPr>
      </w:pPr>
      <w:r w:rsidRPr="00C85279">
        <w:rPr>
          <w:rFonts w:eastAsia="Calibri"/>
          <w:sz w:val="24"/>
          <w:szCs w:val="24"/>
          <w:highlight w:val="green"/>
          <w:lang w:eastAsia="en-US"/>
        </w:rPr>
        <w:t>Minor change (2023)</w:t>
      </w:r>
    </w:p>
    <w:p w14:paraId="489B0563" w14:textId="4578900F" w:rsidR="00C85279" w:rsidRDefault="00C85279" w:rsidP="00C85279">
      <w:pPr>
        <w:pStyle w:val="Lgende"/>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731"/>
        <w:gridCol w:w="1236"/>
        <w:gridCol w:w="1313"/>
        <w:gridCol w:w="993"/>
        <w:gridCol w:w="1065"/>
        <w:gridCol w:w="978"/>
        <w:gridCol w:w="937"/>
        <w:gridCol w:w="1007"/>
      </w:tblGrid>
      <w:tr w:rsidR="00C85279" w:rsidRPr="005A20B5" w14:paraId="444B6FED" w14:textId="77777777" w:rsidTr="00342271">
        <w:trPr>
          <w:trHeight w:val="1046"/>
        </w:trPr>
        <w:tc>
          <w:tcPr>
            <w:tcW w:w="608" w:type="pct"/>
            <w:shd w:val="clear" w:color="auto" w:fill="FFFFCC"/>
            <w:hideMark/>
          </w:tcPr>
          <w:p w14:paraId="7E2A95B5" w14:textId="77777777" w:rsidR="00C85279" w:rsidRPr="005A20B5" w:rsidRDefault="00C85279" w:rsidP="00342271">
            <w:pPr>
              <w:rPr>
                <w:b/>
                <w:bCs/>
                <w:color w:val="000000" w:themeColor="text1"/>
                <w:sz w:val="18"/>
                <w:szCs w:val="18"/>
              </w:rPr>
            </w:pPr>
            <w:r w:rsidRPr="005A20B5">
              <w:rPr>
                <w:b/>
                <w:bCs/>
                <w:color w:val="000000" w:themeColor="text1"/>
                <w:sz w:val="18"/>
                <w:szCs w:val="18"/>
              </w:rPr>
              <w:t>Author (s)</w:t>
            </w:r>
          </w:p>
        </w:tc>
        <w:tc>
          <w:tcPr>
            <w:tcW w:w="390" w:type="pct"/>
            <w:shd w:val="clear" w:color="auto" w:fill="FFFFCC"/>
          </w:tcPr>
          <w:p w14:paraId="42BE2C6D" w14:textId="77777777" w:rsidR="00C85279" w:rsidRPr="005A20B5" w:rsidRDefault="00C85279" w:rsidP="00342271">
            <w:pPr>
              <w:rPr>
                <w:b/>
                <w:bCs/>
                <w:color w:val="000000" w:themeColor="text1"/>
                <w:sz w:val="18"/>
                <w:szCs w:val="18"/>
              </w:rPr>
            </w:pPr>
            <w:r w:rsidRPr="005A20B5">
              <w:rPr>
                <w:b/>
                <w:bCs/>
                <w:color w:val="000000" w:themeColor="text1"/>
                <w:sz w:val="18"/>
                <w:szCs w:val="18"/>
              </w:rPr>
              <w:t>Year</w:t>
            </w:r>
          </w:p>
          <w:p w14:paraId="14BB2C30" w14:textId="77777777" w:rsidR="00C85279" w:rsidRPr="005A20B5" w:rsidRDefault="00C85279" w:rsidP="00342271">
            <w:pPr>
              <w:rPr>
                <w:b/>
                <w:bCs/>
                <w:color w:val="000000" w:themeColor="text1"/>
                <w:sz w:val="18"/>
                <w:szCs w:val="18"/>
              </w:rPr>
            </w:pPr>
          </w:p>
          <w:p w14:paraId="6B9AF810" w14:textId="77777777" w:rsidR="00C85279" w:rsidRPr="005A20B5" w:rsidRDefault="00C85279" w:rsidP="00342271">
            <w:pPr>
              <w:rPr>
                <w:b/>
                <w:bCs/>
                <w:color w:val="000000" w:themeColor="text1"/>
                <w:sz w:val="18"/>
                <w:szCs w:val="18"/>
              </w:rPr>
            </w:pPr>
            <w:r w:rsidRPr="005A20B5">
              <w:rPr>
                <w:b/>
                <w:bCs/>
                <w:color w:val="000000" w:themeColor="text1"/>
                <w:sz w:val="18"/>
                <w:szCs w:val="18"/>
              </w:rPr>
              <w:t>Report date</w:t>
            </w:r>
          </w:p>
        </w:tc>
        <w:tc>
          <w:tcPr>
            <w:tcW w:w="657" w:type="pct"/>
            <w:shd w:val="clear" w:color="auto" w:fill="FFFFCC"/>
            <w:hideMark/>
          </w:tcPr>
          <w:p w14:paraId="332B7AB8" w14:textId="77777777" w:rsidR="00C85279" w:rsidRPr="005A20B5" w:rsidRDefault="00C85279" w:rsidP="00342271">
            <w:pPr>
              <w:rPr>
                <w:b/>
                <w:bCs/>
                <w:i/>
                <w:color w:val="000000" w:themeColor="text1"/>
                <w:sz w:val="18"/>
                <w:szCs w:val="18"/>
              </w:rPr>
            </w:pPr>
            <w:r w:rsidRPr="005A20B5">
              <w:rPr>
                <w:b/>
                <w:bCs/>
                <w:color w:val="000000" w:themeColor="text1"/>
                <w:sz w:val="18"/>
                <w:szCs w:val="18"/>
              </w:rPr>
              <w:t xml:space="preserve">Reference No. </w:t>
            </w:r>
            <w:r w:rsidRPr="005A20B5">
              <w:rPr>
                <w:b/>
                <w:bCs/>
                <w:i/>
                <w:color w:val="000000" w:themeColor="text1"/>
                <w:sz w:val="18"/>
                <w:szCs w:val="18"/>
              </w:rPr>
              <w:t>(Annex III requirement)</w:t>
            </w:r>
          </w:p>
          <w:p w14:paraId="260FB6E4" w14:textId="77777777" w:rsidR="00C85279" w:rsidRPr="005A20B5" w:rsidRDefault="00C85279" w:rsidP="00342271">
            <w:pPr>
              <w:rPr>
                <w:b/>
                <w:bCs/>
                <w:color w:val="000000" w:themeColor="text1"/>
                <w:sz w:val="18"/>
                <w:szCs w:val="18"/>
              </w:rPr>
            </w:pPr>
            <w:r w:rsidRPr="005A20B5">
              <w:rPr>
                <w:b/>
                <w:bCs/>
                <w:color w:val="000000" w:themeColor="text1"/>
                <w:sz w:val="18"/>
                <w:szCs w:val="18"/>
              </w:rPr>
              <w:t>/</w:t>
            </w:r>
          </w:p>
          <w:p w14:paraId="43E81EB2" w14:textId="77777777" w:rsidR="00C85279" w:rsidRPr="005A20B5" w:rsidRDefault="00C85279" w:rsidP="00342271">
            <w:pPr>
              <w:rPr>
                <w:b/>
                <w:bCs/>
                <w:i/>
                <w:color w:val="000000" w:themeColor="text1"/>
                <w:sz w:val="18"/>
                <w:szCs w:val="18"/>
              </w:rPr>
            </w:pPr>
            <w:r w:rsidRPr="005A20B5">
              <w:rPr>
                <w:b/>
                <w:bCs/>
                <w:color w:val="000000" w:themeColor="text1"/>
                <w:sz w:val="18"/>
                <w:szCs w:val="18"/>
              </w:rPr>
              <w:t>IUCLID Section No.</w:t>
            </w:r>
          </w:p>
        </w:tc>
        <w:tc>
          <w:tcPr>
            <w:tcW w:w="698" w:type="pct"/>
            <w:shd w:val="clear" w:color="auto" w:fill="FFFFCC"/>
            <w:hideMark/>
          </w:tcPr>
          <w:p w14:paraId="3AEE72A6" w14:textId="77777777" w:rsidR="00C85279" w:rsidRPr="005A20B5" w:rsidRDefault="00C85279" w:rsidP="00342271">
            <w:pPr>
              <w:rPr>
                <w:b/>
                <w:bCs/>
                <w:color w:val="000000" w:themeColor="text1"/>
                <w:sz w:val="18"/>
                <w:szCs w:val="18"/>
              </w:rPr>
            </w:pPr>
            <w:r w:rsidRPr="005A20B5">
              <w:rPr>
                <w:b/>
                <w:bCs/>
                <w:color w:val="000000" w:themeColor="text1"/>
                <w:sz w:val="18"/>
                <w:szCs w:val="18"/>
              </w:rPr>
              <w:t>IUCLID Document name</w:t>
            </w:r>
          </w:p>
        </w:tc>
        <w:tc>
          <w:tcPr>
            <w:tcW w:w="528" w:type="pct"/>
            <w:shd w:val="clear" w:color="auto" w:fill="FFFFCC"/>
            <w:hideMark/>
          </w:tcPr>
          <w:p w14:paraId="68B117EE" w14:textId="77777777" w:rsidR="00C85279" w:rsidRPr="005A20B5" w:rsidRDefault="00C85279" w:rsidP="00342271">
            <w:pPr>
              <w:rPr>
                <w:b/>
                <w:bCs/>
                <w:color w:val="000000" w:themeColor="text1"/>
                <w:sz w:val="18"/>
                <w:szCs w:val="18"/>
              </w:rPr>
            </w:pPr>
            <w:r w:rsidRPr="005A20B5">
              <w:rPr>
                <w:b/>
                <w:bCs/>
                <w:color w:val="000000" w:themeColor="text1"/>
                <w:sz w:val="18"/>
                <w:szCs w:val="18"/>
              </w:rPr>
              <w:t>Title.</w:t>
            </w:r>
          </w:p>
          <w:p w14:paraId="6CEFE631" w14:textId="77777777" w:rsidR="00C85279" w:rsidRPr="005A20B5" w:rsidRDefault="00C85279" w:rsidP="00342271">
            <w:pPr>
              <w:rPr>
                <w:b/>
                <w:bCs/>
                <w:color w:val="000000" w:themeColor="text1"/>
                <w:sz w:val="18"/>
                <w:szCs w:val="18"/>
              </w:rPr>
            </w:pPr>
            <w:r w:rsidRPr="005A20B5">
              <w:rPr>
                <w:b/>
                <w:bCs/>
                <w:color w:val="000000" w:themeColor="text1"/>
                <w:sz w:val="18"/>
                <w:szCs w:val="18"/>
              </w:rPr>
              <w:t>Report No.</w:t>
            </w:r>
          </w:p>
          <w:p w14:paraId="4A5ED2BF" w14:textId="77777777" w:rsidR="00C85279" w:rsidRPr="005A20B5" w:rsidRDefault="00C85279" w:rsidP="00342271">
            <w:pPr>
              <w:rPr>
                <w:b/>
                <w:bCs/>
                <w:i/>
                <w:color w:val="000000" w:themeColor="text1"/>
                <w:sz w:val="18"/>
                <w:szCs w:val="18"/>
              </w:rPr>
            </w:pPr>
            <w:r w:rsidRPr="005A20B5">
              <w:rPr>
                <w:b/>
                <w:bCs/>
                <w:color w:val="000000" w:themeColor="text1"/>
                <w:sz w:val="18"/>
                <w:szCs w:val="18"/>
              </w:rPr>
              <w:br/>
            </w:r>
          </w:p>
        </w:tc>
        <w:tc>
          <w:tcPr>
            <w:tcW w:w="566" w:type="pct"/>
            <w:shd w:val="clear" w:color="auto" w:fill="FFFFCC"/>
          </w:tcPr>
          <w:p w14:paraId="32C7C76C" w14:textId="77777777" w:rsidR="00C85279" w:rsidRPr="005A20B5" w:rsidRDefault="00C85279" w:rsidP="00342271">
            <w:pPr>
              <w:rPr>
                <w:b/>
                <w:bCs/>
                <w:color w:val="000000" w:themeColor="text1"/>
                <w:sz w:val="18"/>
                <w:szCs w:val="18"/>
              </w:rPr>
            </w:pPr>
            <w:r w:rsidRPr="005A20B5">
              <w:rPr>
                <w:b/>
                <w:bCs/>
                <w:color w:val="000000" w:themeColor="text1"/>
                <w:sz w:val="18"/>
                <w:szCs w:val="18"/>
              </w:rPr>
              <w:t xml:space="preserve">Type of publication </w:t>
            </w:r>
          </w:p>
          <w:p w14:paraId="353A5280" w14:textId="77777777" w:rsidR="00C85279" w:rsidRPr="005A20B5" w:rsidRDefault="00C85279" w:rsidP="00342271">
            <w:pPr>
              <w:rPr>
                <w:b/>
                <w:bCs/>
                <w:color w:val="000000" w:themeColor="text1"/>
                <w:sz w:val="18"/>
                <w:szCs w:val="18"/>
              </w:rPr>
            </w:pPr>
          </w:p>
        </w:tc>
        <w:tc>
          <w:tcPr>
            <w:tcW w:w="520" w:type="pct"/>
            <w:shd w:val="clear" w:color="auto" w:fill="FFFFCC"/>
          </w:tcPr>
          <w:p w14:paraId="197BD14B" w14:textId="77777777" w:rsidR="00C85279" w:rsidRPr="005A20B5" w:rsidRDefault="00C85279" w:rsidP="00342271">
            <w:pPr>
              <w:rPr>
                <w:b/>
                <w:bCs/>
                <w:color w:val="000000" w:themeColor="text1"/>
                <w:sz w:val="18"/>
                <w:szCs w:val="18"/>
              </w:rPr>
            </w:pPr>
            <w:r w:rsidRPr="005A20B5">
              <w:rPr>
                <w:b/>
                <w:bCs/>
                <w:color w:val="000000" w:themeColor="text1"/>
                <w:sz w:val="18"/>
                <w:szCs w:val="18"/>
              </w:rPr>
              <w:t>Source (where different from company)</w:t>
            </w:r>
          </w:p>
          <w:p w14:paraId="3E18E717" w14:textId="77777777" w:rsidR="00C85279" w:rsidRPr="005A20B5" w:rsidRDefault="00C85279" w:rsidP="00342271">
            <w:pPr>
              <w:rPr>
                <w:b/>
                <w:bCs/>
                <w:color w:val="000000" w:themeColor="text1"/>
                <w:sz w:val="18"/>
                <w:szCs w:val="18"/>
              </w:rPr>
            </w:pPr>
          </w:p>
          <w:p w14:paraId="5C6623B6" w14:textId="77777777" w:rsidR="00C85279" w:rsidRPr="005A20B5" w:rsidRDefault="00C85279" w:rsidP="00342271">
            <w:pPr>
              <w:rPr>
                <w:b/>
                <w:bCs/>
                <w:color w:val="000000" w:themeColor="text1"/>
                <w:sz w:val="18"/>
                <w:szCs w:val="18"/>
              </w:rPr>
            </w:pPr>
            <w:r w:rsidRPr="005A20B5">
              <w:rPr>
                <w:b/>
                <w:bCs/>
                <w:color w:val="000000" w:themeColor="text1"/>
                <w:sz w:val="18"/>
                <w:szCs w:val="18"/>
              </w:rPr>
              <w:t>Study sponsor</w:t>
            </w:r>
          </w:p>
        </w:tc>
        <w:tc>
          <w:tcPr>
            <w:tcW w:w="498" w:type="pct"/>
            <w:shd w:val="clear" w:color="auto" w:fill="FFFFCC"/>
            <w:hideMark/>
          </w:tcPr>
          <w:p w14:paraId="5574EC76" w14:textId="77777777" w:rsidR="00C85279" w:rsidRPr="005A20B5" w:rsidRDefault="00C85279" w:rsidP="00342271">
            <w:pPr>
              <w:rPr>
                <w:b/>
                <w:bCs/>
                <w:color w:val="000000" w:themeColor="text1"/>
                <w:sz w:val="18"/>
                <w:szCs w:val="18"/>
              </w:rPr>
            </w:pPr>
            <w:r w:rsidRPr="005A20B5">
              <w:rPr>
                <w:b/>
                <w:bCs/>
                <w:color w:val="000000" w:themeColor="text1"/>
                <w:sz w:val="18"/>
                <w:szCs w:val="18"/>
              </w:rPr>
              <w:t xml:space="preserve">GLP </w:t>
            </w:r>
          </w:p>
          <w:p w14:paraId="01A04190" w14:textId="77777777" w:rsidR="00C85279" w:rsidRPr="005A20B5" w:rsidRDefault="00C85279" w:rsidP="00342271">
            <w:pPr>
              <w:rPr>
                <w:b/>
                <w:bCs/>
                <w:sz w:val="18"/>
                <w:szCs w:val="18"/>
              </w:rPr>
            </w:pPr>
            <w:r w:rsidRPr="005A20B5">
              <w:rPr>
                <w:b/>
                <w:bCs/>
                <w:color w:val="000000" w:themeColor="text1"/>
                <w:sz w:val="18"/>
                <w:szCs w:val="18"/>
              </w:rPr>
              <w:t>(Yes/No)</w:t>
            </w:r>
          </w:p>
          <w:p w14:paraId="7BFFEADB" w14:textId="77777777" w:rsidR="00C85279" w:rsidRPr="005A20B5" w:rsidRDefault="00C85279" w:rsidP="00342271">
            <w:pPr>
              <w:rPr>
                <w:b/>
                <w:bCs/>
                <w:color w:val="000000" w:themeColor="text1"/>
                <w:sz w:val="18"/>
                <w:szCs w:val="18"/>
              </w:rPr>
            </w:pPr>
          </w:p>
        </w:tc>
        <w:tc>
          <w:tcPr>
            <w:tcW w:w="536" w:type="pct"/>
            <w:shd w:val="clear" w:color="auto" w:fill="FFFFCC"/>
            <w:hideMark/>
          </w:tcPr>
          <w:p w14:paraId="23E1C095" w14:textId="77777777" w:rsidR="00C85279" w:rsidRDefault="00C85279" w:rsidP="00342271">
            <w:pPr>
              <w:rPr>
                <w:b/>
                <w:bCs/>
                <w:color w:val="000000" w:themeColor="text1"/>
                <w:sz w:val="18"/>
                <w:szCs w:val="18"/>
              </w:rPr>
            </w:pPr>
            <w:r w:rsidRPr="005A20B5">
              <w:rPr>
                <w:b/>
                <w:bCs/>
                <w:color w:val="000000" w:themeColor="text1"/>
                <w:sz w:val="18"/>
                <w:szCs w:val="18"/>
              </w:rPr>
              <w:t>Data Protection Claimed</w:t>
            </w:r>
          </w:p>
          <w:p w14:paraId="26A5DE3C" w14:textId="77777777" w:rsidR="00C85279" w:rsidRPr="005A20B5" w:rsidRDefault="00C85279" w:rsidP="00342271">
            <w:pPr>
              <w:rPr>
                <w:b/>
                <w:bCs/>
                <w:color w:val="000000" w:themeColor="text1"/>
                <w:sz w:val="18"/>
                <w:szCs w:val="18"/>
              </w:rPr>
            </w:pPr>
            <w:r w:rsidRPr="005A20B5">
              <w:rPr>
                <w:b/>
                <w:bCs/>
                <w:color w:val="000000" w:themeColor="text1"/>
                <w:sz w:val="18"/>
                <w:szCs w:val="18"/>
              </w:rPr>
              <w:t>(Yes/No)</w:t>
            </w:r>
          </w:p>
        </w:tc>
      </w:tr>
      <w:tr w:rsidR="00C85279" w:rsidRPr="00E74FA8" w14:paraId="6630846E" w14:textId="77777777" w:rsidTr="00342271">
        <w:trPr>
          <w:trHeight w:val="1046"/>
        </w:trPr>
        <w:tc>
          <w:tcPr>
            <w:tcW w:w="608" w:type="pct"/>
            <w:tcBorders>
              <w:bottom w:val="single" w:sz="4" w:space="0" w:color="auto"/>
            </w:tcBorders>
            <w:hideMark/>
          </w:tcPr>
          <w:p w14:paraId="1D119F8E" w14:textId="77777777" w:rsidR="00C85279" w:rsidRPr="00E74FA8" w:rsidRDefault="00C85279" w:rsidP="00342271">
            <w:pPr>
              <w:rPr>
                <w:bCs/>
                <w:sz w:val="18"/>
                <w:szCs w:val="18"/>
              </w:rPr>
            </w:pPr>
            <w:proofErr w:type="spellStart"/>
            <w:r w:rsidRPr="00E74FA8">
              <w:rPr>
                <w:sz w:val="18"/>
                <w:szCs w:val="18"/>
              </w:rPr>
              <w:lastRenderedPageBreak/>
              <w:t>Fieseler</w:t>
            </w:r>
            <w:proofErr w:type="spellEnd"/>
            <w:r w:rsidRPr="00E74FA8">
              <w:rPr>
                <w:sz w:val="18"/>
                <w:szCs w:val="18"/>
              </w:rPr>
              <w:t>, A.</w:t>
            </w:r>
          </w:p>
        </w:tc>
        <w:tc>
          <w:tcPr>
            <w:tcW w:w="390" w:type="pct"/>
            <w:tcBorders>
              <w:bottom w:val="single" w:sz="4" w:space="0" w:color="auto"/>
            </w:tcBorders>
            <w:hideMark/>
          </w:tcPr>
          <w:p w14:paraId="4822D6DD" w14:textId="77777777" w:rsidR="00C85279" w:rsidRPr="00E74FA8" w:rsidRDefault="00C85279" w:rsidP="00342271">
            <w:pPr>
              <w:rPr>
                <w:sz w:val="18"/>
                <w:szCs w:val="18"/>
              </w:rPr>
            </w:pPr>
            <w:r w:rsidRPr="00E74FA8">
              <w:rPr>
                <w:sz w:val="18"/>
                <w:szCs w:val="18"/>
              </w:rPr>
              <w:t>2023</w:t>
            </w:r>
          </w:p>
          <w:p w14:paraId="7B99B2AD" w14:textId="77777777" w:rsidR="00C85279" w:rsidRPr="00E74FA8" w:rsidRDefault="00C85279" w:rsidP="00342271">
            <w:pPr>
              <w:rPr>
                <w:bCs/>
                <w:sz w:val="18"/>
                <w:szCs w:val="18"/>
              </w:rPr>
            </w:pPr>
          </w:p>
          <w:p w14:paraId="5268813F" w14:textId="77777777" w:rsidR="00C85279" w:rsidRPr="00E74FA8" w:rsidRDefault="00C85279" w:rsidP="00342271">
            <w:pPr>
              <w:rPr>
                <w:bCs/>
                <w:sz w:val="18"/>
                <w:szCs w:val="18"/>
              </w:rPr>
            </w:pPr>
            <w:r w:rsidRPr="00E74FA8">
              <w:rPr>
                <w:bCs/>
                <w:sz w:val="18"/>
                <w:szCs w:val="18"/>
              </w:rPr>
              <w:t>13-04-2023</w:t>
            </w:r>
          </w:p>
        </w:tc>
        <w:tc>
          <w:tcPr>
            <w:tcW w:w="657" w:type="pct"/>
            <w:tcBorders>
              <w:bottom w:val="single" w:sz="4" w:space="0" w:color="auto"/>
            </w:tcBorders>
          </w:tcPr>
          <w:p w14:paraId="0E332508" w14:textId="77777777" w:rsidR="00C85279" w:rsidRPr="00E74FA8" w:rsidRDefault="00C85279" w:rsidP="00342271">
            <w:pPr>
              <w:rPr>
                <w:bCs/>
                <w:sz w:val="18"/>
                <w:szCs w:val="18"/>
              </w:rPr>
            </w:pPr>
            <w:r w:rsidRPr="00E74FA8">
              <w:rPr>
                <w:bCs/>
                <w:sz w:val="18"/>
                <w:szCs w:val="18"/>
              </w:rPr>
              <w:t>3.4.1.2.</w:t>
            </w:r>
          </w:p>
        </w:tc>
        <w:tc>
          <w:tcPr>
            <w:tcW w:w="698" w:type="pct"/>
            <w:tcBorders>
              <w:bottom w:val="single" w:sz="4" w:space="0" w:color="auto"/>
            </w:tcBorders>
            <w:hideMark/>
          </w:tcPr>
          <w:p w14:paraId="5B2060E6" w14:textId="77777777" w:rsidR="00C85279" w:rsidRPr="00E74FA8" w:rsidRDefault="00C85279" w:rsidP="00342271">
            <w:pPr>
              <w:rPr>
                <w:bCs/>
                <w:sz w:val="18"/>
                <w:szCs w:val="18"/>
              </w:rPr>
            </w:pPr>
            <w:r w:rsidRPr="00E74FA8">
              <w:rPr>
                <w:sz w:val="18"/>
                <w:szCs w:val="18"/>
              </w:rPr>
              <w:t>Insect Repellent Lotion with 10% IR3535® (MDA-A-197-01): Storage Stability at Ambient Temperature</w:t>
            </w:r>
          </w:p>
        </w:tc>
        <w:tc>
          <w:tcPr>
            <w:tcW w:w="528" w:type="pct"/>
            <w:tcBorders>
              <w:bottom w:val="single" w:sz="4" w:space="0" w:color="auto"/>
            </w:tcBorders>
            <w:hideMark/>
          </w:tcPr>
          <w:p w14:paraId="04322BDA" w14:textId="77777777" w:rsidR="00C85279" w:rsidRPr="00E74FA8" w:rsidRDefault="00C85279" w:rsidP="00342271">
            <w:pPr>
              <w:rPr>
                <w:bCs/>
                <w:sz w:val="18"/>
                <w:szCs w:val="18"/>
              </w:rPr>
            </w:pPr>
            <w:r w:rsidRPr="00E74FA8">
              <w:rPr>
                <w:sz w:val="18"/>
                <w:szCs w:val="18"/>
              </w:rPr>
              <w:t>152061228</w:t>
            </w:r>
          </w:p>
        </w:tc>
        <w:tc>
          <w:tcPr>
            <w:tcW w:w="566" w:type="pct"/>
            <w:tcBorders>
              <w:bottom w:val="single" w:sz="4" w:space="0" w:color="auto"/>
            </w:tcBorders>
          </w:tcPr>
          <w:p w14:paraId="13C90AF0" w14:textId="77777777" w:rsidR="00C85279" w:rsidRPr="00E74FA8" w:rsidRDefault="00C85279" w:rsidP="00342271">
            <w:pPr>
              <w:rPr>
                <w:bCs/>
                <w:sz w:val="18"/>
                <w:szCs w:val="18"/>
              </w:rPr>
            </w:pPr>
            <w:r w:rsidRPr="00E74FA8">
              <w:rPr>
                <w:bCs/>
                <w:sz w:val="18"/>
                <w:szCs w:val="18"/>
              </w:rPr>
              <w:t>Test report</w:t>
            </w:r>
          </w:p>
        </w:tc>
        <w:tc>
          <w:tcPr>
            <w:tcW w:w="520" w:type="pct"/>
            <w:tcBorders>
              <w:bottom w:val="single" w:sz="4" w:space="0" w:color="auto"/>
            </w:tcBorders>
            <w:hideMark/>
          </w:tcPr>
          <w:p w14:paraId="22B54A45" w14:textId="77777777" w:rsidR="00C85279" w:rsidRPr="00E74FA8" w:rsidRDefault="00C85279" w:rsidP="00342271">
            <w:pPr>
              <w:rPr>
                <w:bCs/>
                <w:sz w:val="18"/>
                <w:szCs w:val="18"/>
              </w:rPr>
            </w:pPr>
            <w:r w:rsidRPr="00E74FA8">
              <w:rPr>
                <w:sz w:val="18"/>
                <w:szCs w:val="18"/>
              </w:rPr>
              <w:t xml:space="preserve">Merck </w:t>
            </w:r>
            <w:proofErr w:type="spellStart"/>
            <w:r w:rsidRPr="00E74FA8">
              <w:rPr>
                <w:sz w:val="18"/>
                <w:szCs w:val="18"/>
              </w:rPr>
              <w:t>KGaA</w:t>
            </w:r>
            <w:proofErr w:type="spellEnd"/>
          </w:p>
        </w:tc>
        <w:tc>
          <w:tcPr>
            <w:tcW w:w="498" w:type="pct"/>
            <w:tcBorders>
              <w:bottom w:val="single" w:sz="4" w:space="0" w:color="auto"/>
            </w:tcBorders>
          </w:tcPr>
          <w:p w14:paraId="1FEEEB92" w14:textId="77777777" w:rsidR="00C85279" w:rsidRPr="00E74FA8" w:rsidRDefault="00C85279" w:rsidP="00342271">
            <w:pPr>
              <w:rPr>
                <w:bCs/>
                <w:sz w:val="18"/>
                <w:szCs w:val="18"/>
              </w:rPr>
            </w:pPr>
            <w:r w:rsidRPr="00E74FA8">
              <w:rPr>
                <w:bCs/>
                <w:sz w:val="18"/>
                <w:szCs w:val="18"/>
              </w:rPr>
              <w:t>Yes</w:t>
            </w:r>
          </w:p>
        </w:tc>
        <w:tc>
          <w:tcPr>
            <w:tcW w:w="536" w:type="pct"/>
            <w:tcBorders>
              <w:bottom w:val="single" w:sz="4" w:space="0" w:color="auto"/>
            </w:tcBorders>
          </w:tcPr>
          <w:p w14:paraId="2BD003DA" w14:textId="77777777" w:rsidR="00C85279" w:rsidRPr="00E74FA8" w:rsidRDefault="00C85279" w:rsidP="00342271">
            <w:pPr>
              <w:rPr>
                <w:bCs/>
                <w:sz w:val="18"/>
                <w:szCs w:val="18"/>
              </w:rPr>
            </w:pPr>
            <w:r w:rsidRPr="00E74FA8">
              <w:rPr>
                <w:bCs/>
                <w:sz w:val="18"/>
                <w:szCs w:val="18"/>
              </w:rPr>
              <w:t>Yes</w:t>
            </w:r>
          </w:p>
        </w:tc>
      </w:tr>
      <w:tr w:rsidR="00C85279" w:rsidRPr="00E74FA8" w14:paraId="2B4815F2" w14:textId="77777777" w:rsidTr="00342271">
        <w:trPr>
          <w:trHeight w:val="1046"/>
        </w:trPr>
        <w:tc>
          <w:tcPr>
            <w:tcW w:w="608" w:type="pct"/>
            <w:tcBorders>
              <w:top w:val="single" w:sz="4" w:space="0" w:color="auto"/>
              <w:right w:val="single" w:sz="4" w:space="0" w:color="auto"/>
            </w:tcBorders>
            <w:hideMark/>
          </w:tcPr>
          <w:p w14:paraId="6E555FAD" w14:textId="77777777" w:rsidR="00C85279" w:rsidRPr="00E74FA8" w:rsidRDefault="00C85279" w:rsidP="00342271">
            <w:pPr>
              <w:rPr>
                <w:bCs/>
                <w:sz w:val="18"/>
                <w:szCs w:val="18"/>
              </w:rPr>
            </w:pPr>
            <w:proofErr w:type="spellStart"/>
            <w:r w:rsidRPr="00E74FA8">
              <w:rPr>
                <w:bCs/>
                <w:sz w:val="18"/>
                <w:szCs w:val="18"/>
              </w:rPr>
              <w:t>Schuchmann</w:t>
            </w:r>
            <w:proofErr w:type="spellEnd"/>
            <w:r w:rsidRPr="00E74FA8">
              <w:rPr>
                <w:bCs/>
                <w:sz w:val="18"/>
                <w:szCs w:val="18"/>
              </w:rPr>
              <w:t>, H.</w:t>
            </w:r>
          </w:p>
        </w:tc>
        <w:tc>
          <w:tcPr>
            <w:tcW w:w="390" w:type="pct"/>
            <w:tcBorders>
              <w:top w:val="single" w:sz="4" w:space="0" w:color="auto"/>
              <w:left w:val="single" w:sz="4" w:space="0" w:color="auto"/>
              <w:right w:val="single" w:sz="4" w:space="0" w:color="auto"/>
            </w:tcBorders>
            <w:hideMark/>
          </w:tcPr>
          <w:p w14:paraId="5C446961" w14:textId="77777777" w:rsidR="00C85279" w:rsidRPr="00E74FA8" w:rsidRDefault="00C85279" w:rsidP="00342271">
            <w:pPr>
              <w:rPr>
                <w:sz w:val="18"/>
                <w:szCs w:val="18"/>
              </w:rPr>
            </w:pPr>
            <w:r w:rsidRPr="00E74FA8">
              <w:rPr>
                <w:sz w:val="18"/>
                <w:szCs w:val="18"/>
              </w:rPr>
              <w:t>2023</w:t>
            </w:r>
          </w:p>
          <w:p w14:paraId="478BA00E" w14:textId="77777777" w:rsidR="00C85279" w:rsidRPr="00E74FA8" w:rsidRDefault="00C85279" w:rsidP="00342271">
            <w:pPr>
              <w:rPr>
                <w:bCs/>
                <w:sz w:val="18"/>
                <w:szCs w:val="18"/>
              </w:rPr>
            </w:pPr>
          </w:p>
          <w:p w14:paraId="52880F8D" w14:textId="77777777" w:rsidR="00C85279" w:rsidRPr="00E74FA8" w:rsidRDefault="00C85279" w:rsidP="00342271">
            <w:pPr>
              <w:rPr>
                <w:bCs/>
                <w:sz w:val="18"/>
                <w:szCs w:val="18"/>
              </w:rPr>
            </w:pPr>
            <w:r w:rsidRPr="00E74FA8">
              <w:rPr>
                <w:bCs/>
                <w:sz w:val="18"/>
                <w:szCs w:val="18"/>
              </w:rPr>
              <w:t>14-06-2023</w:t>
            </w:r>
          </w:p>
        </w:tc>
        <w:tc>
          <w:tcPr>
            <w:tcW w:w="657" w:type="pct"/>
            <w:tcBorders>
              <w:top w:val="single" w:sz="4" w:space="0" w:color="auto"/>
              <w:left w:val="single" w:sz="4" w:space="0" w:color="auto"/>
              <w:right w:val="single" w:sz="4" w:space="0" w:color="auto"/>
            </w:tcBorders>
            <w:hideMark/>
          </w:tcPr>
          <w:p w14:paraId="48C98597" w14:textId="77777777" w:rsidR="00C85279" w:rsidRPr="00E74FA8" w:rsidRDefault="00C85279" w:rsidP="00342271">
            <w:pPr>
              <w:rPr>
                <w:bCs/>
                <w:sz w:val="18"/>
                <w:szCs w:val="18"/>
              </w:rPr>
            </w:pPr>
            <w:r w:rsidRPr="00E74FA8">
              <w:rPr>
                <w:bCs/>
                <w:sz w:val="18"/>
                <w:szCs w:val="18"/>
              </w:rPr>
              <w:t>3.4.1.2.</w:t>
            </w:r>
          </w:p>
        </w:tc>
        <w:tc>
          <w:tcPr>
            <w:tcW w:w="698" w:type="pct"/>
            <w:tcBorders>
              <w:top w:val="single" w:sz="4" w:space="0" w:color="auto"/>
              <w:left w:val="single" w:sz="4" w:space="0" w:color="auto"/>
              <w:right w:val="single" w:sz="4" w:space="0" w:color="auto"/>
            </w:tcBorders>
            <w:hideMark/>
          </w:tcPr>
          <w:p w14:paraId="7616C4DF" w14:textId="77777777" w:rsidR="00C85279" w:rsidRPr="00E74FA8" w:rsidRDefault="00C85279" w:rsidP="00342271">
            <w:pPr>
              <w:rPr>
                <w:bCs/>
                <w:sz w:val="18"/>
                <w:szCs w:val="18"/>
              </w:rPr>
            </w:pPr>
            <w:r w:rsidRPr="00E74FA8">
              <w:rPr>
                <w:bCs/>
                <w:sz w:val="18"/>
                <w:szCs w:val="18"/>
              </w:rPr>
              <w:t>IR3535_Density Reference Lotion</w:t>
            </w:r>
          </w:p>
        </w:tc>
        <w:tc>
          <w:tcPr>
            <w:tcW w:w="528" w:type="pct"/>
            <w:tcBorders>
              <w:top w:val="single" w:sz="4" w:space="0" w:color="auto"/>
              <w:left w:val="single" w:sz="4" w:space="0" w:color="auto"/>
              <w:right w:val="single" w:sz="4" w:space="0" w:color="auto"/>
            </w:tcBorders>
            <w:hideMark/>
          </w:tcPr>
          <w:p w14:paraId="628BA91A" w14:textId="77777777" w:rsidR="00C85279" w:rsidRPr="00E74FA8" w:rsidRDefault="00C85279" w:rsidP="00342271">
            <w:pPr>
              <w:rPr>
                <w:bCs/>
                <w:sz w:val="18"/>
                <w:szCs w:val="18"/>
              </w:rPr>
            </w:pPr>
            <w:r w:rsidRPr="00E74FA8">
              <w:rPr>
                <w:bCs/>
                <w:sz w:val="18"/>
                <w:szCs w:val="18"/>
              </w:rPr>
              <w:t>2023-0052</w:t>
            </w:r>
          </w:p>
        </w:tc>
        <w:tc>
          <w:tcPr>
            <w:tcW w:w="566" w:type="pct"/>
            <w:tcBorders>
              <w:top w:val="single" w:sz="4" w:space="0" w:color="auto"/>
              <w:left w:val="single" w:sz="4" w:space="0" w:color="auto"/>
              <w:right w:val="single" w:sz="4" w:space="0" w:color="auto"/>
            </w:tcBorders>
            <w:hideMark/>
          </w:tcPr>
          <w:p w14:paraId="22E341A9" w14:textId="77777777" w:rsidR="00C85279" w:rsidRPr="00E74FA8" w:rsidRDefault="00C85279" w:rsidP="00342271">
            <w:pPr>
              <w:rPr>
                <w:bCs/>
                <w:sz w:val="18"/>
                <w:szCs w:val="18"/>
              </w:rPr>
            </w:pPr>
            <w:r w:rsidRPr="00E74FA8">
              <w:rPr>
                <w:bCs/>
                <w:sz w:val="18"/>
                <w:szCs w:val="18"/>
              </w:rPr>
              <w:t>Test report</w:t>
            </w:r>
          </w:p>
        </w:tc>
        <w:tc>
          <w:tcPr>
            <w:tcW w:w="520" w:type="pct"/>
            <w:tcBorders>
              <w:top w:val="single" w:sz="4" w:space="0" w:color="auto"/>
              <w:left w:val="single" w:sz="4" w:space="0" w:color="auto"/>
              <w:right w:val="single" w:sz="4" w:space="0" w:color="auto"/>
            </w:tcBorders>
            <w:hideMark/>
          </w:tcPr>
          <w:p w14:paraId="035AA380" w14:textId="77777777" w:rsidR="00C85279" w:rsidRPr="00E74FA8" w:rsidRDefault="00C85279" w:rsidP="00342271">
            <w:pPr>
              <w:rPr>
                <w:bCs/>
                <w:sz w:val="18"/>
                <w:szCs w:val="18"/>
              </w:rPr>
            </w:pPr>
            <w:r w:rsidRPr="00E74FA8">
              <w:rPr>
                <w:sz w:val="18"/>
                <w:szCs w:val="18"/>
              </w:rPr>
              <w:t xml:space="preserve">Merck </w:t>
            </w:r>
            <w:proofErr w:type="spellStart"/>
            <w:r w:rsidRPr="00E74FA8">
              <w:rPr>
                <w:sz w:val="18"/>
                <w:szCs w:val="18"/>
              </w:rPr>
              <w:t>KGaA</w:t>
            </w:r>
            <w:proofErr w:type="spellEnd"/>
          </w:p>
        </w:tc>
        <w:tc>
          <w:tcPr>
            <w:tcW w:w="498" w:type="pct"/>
            <w:tcBorders>
              <w:top w:val="single" w:sz="4" w:space="0" w:color="auto"/>
              <w:left w:val="single" w:sz="4" w:space="0" w:color="auto"/>
              <w:right w:val="single" w:sz="4" w:space="0" w:color="auto"/>
            </w:tcBorders>
            <w:hideMark/>
          </w:tcPr>
          <w:p w14:paraId="473F1454" w14:textId="77777777" w:rsidR="00C85279" w:rsidRPr="00E74FA8" w:rsidRDefault="00C85279" w:rsidP="00342271">
            <w:pPr>
              <w:rPr>
                <w:bCs/>
                <w:sz w:val="18"/>
                <w:szCs w:val="18"/>
              </w:rPr>
            </w:pPr>
            <w:r>
              <w:rPr>
                <w:bCs/>
                <w:sz w:val="18"/>
                <w:szCs w:val="18"/>
              </w:rPr>
              <w:t>No</w:t>
            </w:r>
          </w:p>
        </w:tc>
        <w:tc>
          <w:tcPr>
            <w:tcW w:w="536" w:type="pct"/>
            <w:tcBorders>
              <w:top w:val="single" w:sz="4" w:space="0" w:color="auto"/>
              <w:left w:val="single" w:sz="4" w:space="0" w:color="auto"/>
            </w:tcBorders>
            <w:hideMark/>
          </w:tcPr>
          <w:p w14:paraId="59FBC882" w14:textId="77777777" w:rsidR="00C85279" w:rsidRPr="00E74FA8" w:rsidRDefault="00C85279" w:rsidP="00342271">
            <w:pPr>
              <w:rPr>
                <w:bCs/>
                <w:sz w:val="18"/>
                <w:szCs w:val="18"/>
              </w:rPr>
            </w:pPr>
            <w:r w:rsidRPr="00E74FA8">
              <w:rPr>
                <w:bCs/>
                <w:sz w:val="18"/>
                <w:szCs w:val="18"/>
              </w:rPr>
              <w:t>Yes</w:t>
            </w:r>
          </w:p>
        </w:tc>
      </w:tr>
    </w:tbl>
    <w:p w14:paraId="077E9BEA" w14:textId="77777777" w:rsidR="00C85279" w:rsidRPr="00B06767" w:rsidRDefault="00C85279" w:rsidP="00C85279">
      <w:bookmarkStart w:id="371" w:name="_Toc41304167"/>
      <w:bookmarkStart w:id="372" w:name="_Toc41304303"/>
      <w:bookmarkStart w:id="373" w:name="_Toc41304168"/>
      <w:bookmarkStart w:id="374" w:name="_Toc41304304"/>
      <w:bookmarkStart w:id="375" w:name="_Toc41304169"/>
      <w:bookmarkStart w:id="376" w:name="_Toc41304305"/>
      <w:bookmarkEnd w:id="371"/>
      <w:bookmarkEnd w:id="372"/>
      <w:bookmarkEnd w:id="373"/>
      <w:bookmarkEnd w:id="374"/>
      <w:bookmarkEnd w:id="375"/>
      <w:bookmarkEnd w:id="376"/>
    </w:p>
    <w:p w14:paraId="7E06BF88" w14:textId="0504D9B1" w:rsidR="00C85279" w:rsidRDefault="00C85279" w:rsidP="00F65B8F">
      <w:pPr>
        <w:rPr>
          <w:rFonts w:eastAsia="Calibri"/>
          <w:lang w:eastAsia="en-US"/>
        </w:rPr>
      </w:pPr>
    </w:p>
    <w:p w14:paraId="2620020A" w14:textId="77777777" w:rsidR="00C85279" w:rsidRDefault="00C85279" w:rsidP="00F65B8F">
      <w:pPr>
        <w:rPr>
          <w:rFonts w:eastAsia="Calibri"/>
          <w:lang w:eastAsia="en-US"/>
        </w:rPr>
      </w:pPr>
    </w:p>
    <w:p w14:paraId="2F6D3B47" w14:textId="77777777" w:rsidR="00F65B8F" w:rsidRPr="00F65B8F" w:rsidRDefault="00F65B8F" w:rsidP="00F65B8F">
      <w:pPr>
        <w:pStyle w:val="Titre2"/>
      </w:pPr>
      <w:bookmarkStart w:id="377" w:name="_Toc389729190"/>
      <w:bookmarkStart w:id="378" w:name="_Toc403472828"/>
      <w:bookmarkStart w:id="379" w:name="_Toc425344134"/>
      <w:bookmarkStart w:id="380" w:name="_Toc12967220"/>
      <w:r w:rsidRPr="00F65B8F">
        <w:t>Output tables from exposure assessment tools</w:t>
      </w:r>
      <w:bookmarkEnd w:id="377"/>
      <w:bookmarkEnd w:id="378"/>
      <w:bookmarkEnd w:id="379"/>
      <w:bookmarkEnd w:id="380"/>
    </w:p>
    <w:p w14:paraId="0C87CFF0" w14:textId="77777777" w:rsidR="00217E6F" w:rsidRPr="00527EBF" w:rsidRDefault="00217E6F" w:rsidP="00217E6F">
      <w:pPr>
        <w:pStyle w:val="Titre3"/>
        <w:rPr>
          <w:rFonts w:eastAsia="Calibri"/>
          <w:lang w:eastAsia="en-US"/>
        </w:rPr>
      </w:pPr>
      <w:bookmarkStart w:id="381" w:name="_Toc462646776"/>
      <w:bookmarkStart w:id="382" w:name="_Toc12967221"/>
      <w:r>
        <w:rPr>
          <w:rFonts w:eastAsia="Calibri"/>
          <w:lang w:eastAsia="en-US"/>
        </w:rPr>
        <w:t>Human exposure calculations</w:t>
      </w:r>
      <w:bookmarkEnd w:id="381"/>
      <w:bookmarkEnd w:id="382"/>
    </w:p>
    <w:bookmarkStart w:id="383" w:name="_Toc389729191"/>
    <w:bookmarkStart w:id="384" w:name="_Toc403472829"/>
    <w:bookmarkStart w:id="385" w:name="_Toc425344135"/>
    <w:p w14:paraId="4A26C19F" w14:textId="59B351CE" w:rsidR="00BD6A10" w:rsidRPr="00323550" w:rsidRDefault="001A6781" w:rsidP="00BD6A10">
      <w:pPr>
        <w:rPr>
          <w:rFonts w:eastAsia="Calibri"/>
          <w:lang w:eastAsia="en-US"/>
        </w:rPr>
      </w:pPr>
      <w:r>
        <w:rPr>
          <w:rFonts w:eastAsia="Calibri"/>
          <w:lang w:eastAsia="en-US"/>
        </w:rPr>
        <w:object w:dxaOrig="1543" w:dyaOrig="991" w14:anchorId="69915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9" o:title=""/>
          </v:shape>
          <o:OLEObject Type="Embed" ProgID="Excel.Sheet.12" ShapeID="_x0000_i1025" DrawAspect="Content" ObjectID="_1761994843" r:id="rId20"/>
        </w:object>
      </w:r>
      <w:r w:rsidR="00097526">
        <w:rPr>
          <w:rFonts w:eastAsia="Calibri"/>
          <w:lang w:eastAsia="en-US"/>
        </w:rPr>
        <w:t xml:space="preserve">   </w:t>
      </w:r>
      <w:r>
        <w:rPr>
          <w:rFonts w:eastAsia="Calibri"/>
          <w:lang w:eastAsia="en-US"/>
        </w:rPr>
        <w:object w:dxaOrig="1543" w:dyaOrig="991" w14:anchorId="484AE81E">
          <v:shape id="_x0000_i1026" type="#_x0000_t75" style="width:77.4pt;height:49.8pt" o:ole="">
            <v:imagedata r:id="rId21" o:title=""/>
          </v:shape>
          <o:OLEObject Type="Embed" ProgID="Excel.Sheet.12" ShapeID="_x0000_i1026" DrawAspect="Icon" ObjectID="_1761994844" r:id="rId22"/>
        </w:object>
      </w:r>
    </w:p>
    <w:p w14:paraId="0E65AFB4" w14:textId="77777777" w:rsidR="00F65B8F" w:rsidRPr="00F65B8F" w:rsidRDefault="00F65B8F" w:rsidP="00F65B8F">
      <w:pPr>
        <w:pStyle w:val="Titre2"/>
      </w:pPr>
      <w:bookmarkStart w:id="386" w:name="_Toc12967222"/>
      <w:r w:rsidRPr="00F65B8F">
        <w:t>New information on the active substance</w:t>
      </w:r>
      <w:bookmarkEnd w:id="383"/>
      <w:bookmarkEnd w:id="384"/>
      <w:bookmarkEnd w:id="385"/>
      <w:bookmarkEnd w:id="386"/>
    </w:p>
    <w:p w14:paraId="6E125512" w14:textId="77777777" w:rsidR="00F65B8F" w:rsidRPr="00933CE9" w:rsidRDefault="00217E6F" w:rsidP="00F65B8F">
      <w:pPr>
        <w:rPr>
          <w:rFonts w:eastAsia="Calibri"/>
          <w:lang w:eastAsia="en-US"/>
        </w:rPr>
      </w:pPr>
      <w:r>
        <w:rPr>
          <w:rFonts w:eastAsia="Calibri"/>
          <w:lang w:eastAsia="en-US"/>
        </w:rPr>
        <w:t>Not applicable</w:t>
      </w:r>
    </w:p>
    <w:p w14:paraId="505674B8" w14:textId="77777777" w:rsidR="00F65B8F" w:rsidRPr="00F65B8F" w:rsidRDefault="00F65B8F" w:rsidP="00F65B8F">
      <w:pPr>
        <w:pStyle w:val="Titre2"/>
      </w:pPr>
      <w:bookmarkStart w:id="387" w:name="_Toc389729192"/>
      <w:bookmarkStart w:id="388" w:name="_Toc403472830"/>
      <w:bookmarkStart w:id="389" w:name="_Toc425344136"/>
      <w:bookmarkStart w:id="390" w:name="_Toc12967223"/>
      <w:r w:rsidRPr="00F65B8F">
        <w:t>Residue behaviour</w:t>
      </w:r>
      <w:bookmarkEnd w:id="387"/>
      <w:bookmarkEnd w:id="388"/>
      <w:bookmarkEnd w:id="389"/>
      <w:bookmarkEnd w:id="390"/>
    </w:p>
    <w:p w14:paraId="1FC8A750" w14:textId="1A3D5B7F" w:rsidR="00F65B8F" w:rsidRPr="007D78DC" w:rsidRDefault="00804DEE" w:rsidP="00F65B8F">
      <w:pPr>
        <w:rPr>
          <w:rFonts w:eastAsia="Calibri"/>
          <w:lang w:val="de-DE" w:eastAsia="en-US"/>
        </w:rPr>
      </w:pPr>
      <w:r>
        <w:rPr>
          <w:rFonts w:eastAsia="Calibri"/>
          <w:lang w:val="de-DE" w:eastAsia="en-US"/>
        </w:rPr>
        <w:t xml:space="preserve">Not </w:t>
      </w:r>
      <w:proofErr w:type="spellStart"/>
      <w:r>
        <w:rPr>
          <w:rFonts w:eastAsia="Calibri"/>
          <w:lang w:val="de-DE" w:eastAsia="en-US"/>
        </w:rPr>
        <w:t>applicable</w:t>
      </w:r>
      <w:proofErr w:type="spellEnd"/>
    </w:p>
    <w:p w14:paraId="6FC77430" w14:textId="77777777" w:rsidR="00F65B8F" w:rsidRPr="00F65B8F" w:rsidRDefault="00F65B8F" w:rsidP="00F65B8F">
      <w:pPr>
        <w:pStyle w:val="Titre2"/>
      </w:pPr>
      <w:bookmarkStart w:id="391" w:name="_Toc389729193"/>
      <w:bookmarkStart w:id="392" w:name="_Toc403472831"/>
      <w:bookmarkStart w:id="393" w:name="_Toc425344137"/>
      <w:bookmarkStart w:id="394" w:name="_Toc12967224"/>
      <w:r w:rsidRPr="00F65B8F">
        <w:t>Summaries of the efficacy studies (B.5.10.1-xx)</w:t>
      </w:r>
      <w:bookmarkEnd w:id="391"/>
      <w:bookmarkEnd w:id="392"/>
      <w:bookmarkEnd w:id="393"/>
      <w:bookmarkEnd w:id="394"/>
    </w:p>
    <w:p w14:paraId="51C14441" w14:textId="77777777" w:rsidR="00F65B8F" w:rsidRPr="00305B11" w:rsidRDefault="00217E6F" w:rsidP="00F65B8F">
      <w:pPr>
        <w:rPr>
          <w:rFonts w:eastAsia="Calibri"/>
          <w:lang w:eastAsia="en-US"/>
        </w:rPr>
      </w:pPr>
      <w:r>
        <w:rPr>
          <w:rFonts w:eastAsia="Calibri"/>
          <w:lang w:eastAsia="en-US"/>
        </w:rPr>
        <w:t>Not relevant, IUCLID file available.</w:t>
      </w:r>
    </w:p>
    <w:p w14:paraId="7E646453" w14:textId="77777777" w:rsidR="00F65B8F" w:rsidRPr="00F65B8F" w:rsidRDefault="00F65B8F" w:rsidP="00F65B8F">
      <w:pPr>
        <w:pStyle w:val="Titre2"/>
      </w:pPr>
      <w:bookmarkStart w:id="395" w:name="_Toc389729199"/>
      <w:bookmarkStart w:id="396" w:name="_Toc403472832"/>
      <w:bookmarkStart w:id="397" w:name="_Toc425344138"/>
      <w:bookmarkStart w:id="398" w:name="_Toc12967225"/>
      <w:r w:rsidRPr="00F65B8F">
        <w:t>Confidential annex</w:t>
      </w:r>
      <w:bookmarkEnd w:id="395"/>
      <w:bookmarkEnd w:id="396"/>
      <w:bookmarkEnd w:id="397"/>
      <w:bookmarkEnd w:id="398"/>
      <w:r w:rsidRPr="00F65B8F">
        <w:t xml:space="preserve"> </w:t>
      </w:r>
    </w:p>
    <w:p w14:paraId="6C69C7E0" w14:textId="77777777" w:rsidR="00F65B8F" w:rsidRPr="00017CF8" w:rsidRDefault="00217E6F" w:rsidP="00F65B8F">
      <w:pPr>
        <w:rPr>
          <w:rFonts w:eastAsia="Calibri"/>
          <w:lang w:val="de-DE" w:eastAsia="en-US"/>
        </w:rPr>
      </w:pPr>
      <w:r>
        <w:rPr>
          <w:rFonts w:eastAsia="Calibri"/>
          <w:lang w:val="de-DE" w:eastAsia="en-US"/>
        </w:rPr>
        <w:t xml:space="preserve">Yes, </w:t>
      </w:r>
      <w:proofErr w:type="spellStart"/>
      <w:r>
        <w:rPr>
          <w:rFonts w:eastAsia="Calibri"/>
          <w:lang w:val="de-DE" w:eastAsia="en-US"/>
        </w:rPr>
        <w:t>see</w:t>
      </w:r>
      <w:proofErr w:type="spellEnd"/>
      <w:r>
        <w:rPr>
          <w:rFonts w:eastAsia="Calibri"/>
          <w:lang w:val="de-DE" w:eastAsia="en-US"/>
        </w:rPr>
        <w:t xml:space="preserve"> </w:t>
      </w:r>
      <w:proofErr w:type="spellStart"/>
      <w:r>
        <w:rPr>
          <w:rFonts w:eastAsia="Calibri"/>
          <w:lang w:val="de-DE" w:eastAsia="en-US"/>
        </w:rPr>
        <w:t>seperate</w:t>
      </w:r>
      <w:proofErr w:type="spellEnd"/>
      <w:r>
        <w:rPr>
          <w:rFonts w:eastAsia="Calibri"/>
          <w:lang w:val="de-DE" w:eastAsia="en-US"/>
        </w:rPr>
        <w:t xml:space="preserve"> </w:t>
      </w:r>
      <w:proofErr w:type="spellStart"/>
      <w:r>
        <w:rPr>
          <w:rFonts w:eastAsia="Calibri"/>
          <w:lang w:val="de-DE" w:eastAsia="en-US"/>
        </w:rPr>
        <w:t>document</w:t>
      </w:r>
      <w:proofErr w:type="spellEnd"/>
      <w:r>
        <w:rPr>
          <w:rFonts w:eastAsia="Calibri"/>
          <w:lang w:val="de-DE" w:eastAsia="en-US"/>
        </w:rPr>
        <w:t>.</w:t>
      </w:r>
    </w:p>
    <w:p w14:paraId="3125C2CE" w14:textId="77777777" w:rsidR="00F65B8F" w:rsidRPr="00F65B8F" w:rsidRDefault="00F65B8F" w:rsidP="00F65B8F">
      <w:pPr>
        <w:pStyle w:val="Titre2"/>
      </w:pPr>
      <w:bookmarkStart w:id="399" w:name="_Toc389729200"/>
      <w:bookmarkStart w:id="400" w:name="_Toc403472833"/>
      <w:bookmarkStart w:id="401" w:name="_Toc425344139"/>
      <w:bookmarkStart w:id="402" w:name="_Toc12967226"/>
      <w:r w:rsidRPr="00F65B8F">
        <w:t>Other</w:t>
      </w:r>
      <w:bookmarkEnd w:id="399"/>
      <w:bookmarkEnd w:id="400"/>
      <w:bookmarkEnd w:id="401"/>
      <w:bookmarkEnd w:id="402"/>
    </w:p>
    <w:p w14:paraId="10AF1801" w14:textId="7ABBB43F" w:rsidR="00C442A7" w:rsidRPr="00957052" w:rsidRDefault="00804DEE" w:rsidP="00F65B8F">
      <w:pPr>
        <w:rPr>
          <w:lang w:val="en-US" w:eastAsia="en-US"/>
        </w:rPr>
      </w:pPr>
      <w:r>
        <w:rPr>
          <w:lang w:val="en-US" w:eastAsia="en-US"/>
        </w:rPr>
        <w:t>Not applicable</w:t>
      </w:r>
    </w:p>
    <w:p w14:paraId="28389690" w14:textId="77777777" w:rsidR="00653427" w:rsidRPr="00BD2EF1" w:rsidRDefault="00653427" w:rsidP="00A249BD">
      <w:pPr>
        <w:rPr>
          <w:lang w:eastAsia="en-US"/>
        </w:rPr>
      </w:pPr>
    </w:p>
    <w:sectPr w:rsidR="00653427" w:rsidRPr="00BD2EF1" w:rsidSect="00881426">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65CD" w14:textId="77777777" w:rsidR="00BF5148" w:rsidRDefault="00BF5148" w:rsidP="005C1A2A">
      <w:pPr>
        <w:spacing w:before="0" w:after="0"/>
      </w:pPr>
      <w:r>
        <w:separator/>
      </w:r>
    </w:p>
  </w:endnote>
  <w:endnote w:type="continuationSeparator" w:id="0">
    <w:p w14:paraId="424477B2" w14:textId="77777777" w:rsidR="00BF5148" w:rsidRDefault="00BF5148" w:rsidP="005C1A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36ji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00nkk">
    <w:altName w:val="Calibri"/>
    <w:panose1 w:val="00000000000000000000"/>
    <w:charset w:val="00"/>
    <w:family w:val="auto"/>
    <w:notTrueType/>
    <w:pitch w:val="default"/>
    <w:sig w:usb0="00000003" w:usb1="00000000" w:usb2="00000000" w:usb3="00000000" w:csb0="00000001" w:csb1="00000000"/>
  </w:font>
  <w:font w:name="19wnc">
    <w:panose1 w:val="00000000000000000000"/>
    <w:charset w:val="00"/>
    <w:family w:val="auto"/>
    <w:notTrueType/>
    <w:pitch w:val="default"/>
    <w:sig w:usb0="00000003" w:usb1="00000000" w:usb2="00000000" w:usb3="00000000" w:csb0="00000001" w:csb1="00000000"/>
  </w:font>
  <w:font w:name="41hb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66D6" w14:textId="77777777" w:rsidR="00BF5148" w:rsidRDefault="00BF51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4F2F" w14:textId="7070B698" w:rsidR="00BF5148" w:rsidRDefault="00BF5148" w:rsidP="005C1A2A">
    <w:pPr>
      <w:pStyle w:val="Pieddepage"/>
      <w:pBdr>
        <w:top w:val="single" w:sz="4" w:space="1" w:color="auto"/>
      </w:pBdr>
      <w:jc w:val="right"/>
    </w:pPr>
    <w:r>
      <w:rPr>
        <w:noProof/>
      </w:rPr>
      <w:fldChar w:fldCharType="begin"/>
    </w:r>
    <w:r>
      <w:rPr>
        <w:noProof/>
      </w:rPr>
      <w:instrText xml:space="preserve"> PAGE   \* MERGEFORMAT </w:instrText>
    </w:r>
    <w:r>
      <w:rPr>
        <w:noProof/>
      </w:rPr>
      <w:fldChar w:fldCharType="separate"/>
    </w:r>
    <w:r w:rsidR="00901C2F">
      <w:rPr>
        <w:noProof/>
      </w:rPr>
      <w:t>18</w:t>
    </w:r>
    <w:r>
      <w:rPr>
        <w:noProof/>
      </w:rPr>
      <w:fldChar w:fldCharType="end"/>
    </w:r>
    <w:r>
      <w:t xml:space="preserve"> / </w:t>
    </w:r>
    <w:r>
      <w:rPr>
        <w:noProof/>
      </w:rPr>
      <w:fldChar w:fldCharType="begin"/>
    </w:r>
    <w:r>
      <w:rPr>
        <w:noProof/>
      </w:rPr>
      <w:instrText xml:space="preserve"> NUMPAGES   \* MERGEFORMAT </w:instrText>
    </w:r>
    <w:r>
      <w:rPr>
        <w:noProof/>
      </w:rPr>
      <w:fldChar w:fldCharType="separate"/>
    </w:r>
    <w:r w:rsidR="00901C2F">
      <w:rPr>
        <w:noProof/>
      </w:rPr>
      <w:t>102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DFCA" w14:textId="77777777" w:rsidR="00BF5148" w:rsidRDefault="00BF51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A744" w14:textId="77777777" w:rsidR="00BF5148" w:rsidRDefault="00BF5148" w:rsidP="005C1A2A">
      <w:pPr>
        <w:spacing w:before="0" w:after="0"/>
      </w:pPr>
      <w:r>
        <w:separator/>
      </w:r>
    </w:p>
  </w:footnote>
  <w:footnote w:type="continuationSeparator" w:id="0">
    <w:p w14:paraId="45896308" w14:textId="77777777" w:rsidR="00BF5148" w:rsidRDefault="00BF5148" w:rsidP="005C1A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E39A" w14:textId="77777777" w:rsidR="00BF5148" w:rsidRDefault="00BF51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insideH w:val="single" w:sz="4" w:space="0" w:color="auto"/>
      </w:tblBorders>
      <w:tblLook w:val="04A0" w:firstRow="1" w:lastRow="0" w:firstColumn="1" w:lastColumn="0" w:noHBand="0" w:noVBand="1"/>
    </w:tblPr>
    <w:tblGrid>
      <w:gridCol w:w="1923"/>
      <w:gridCol w:w="5625"/>
      <w:gridCol w:w="1864"/>
    </w:tblGrid>
    <w:tr w:rsidR="00BF5148" w14:paraId="7841E3D7" w14:textId="77777777" w:rsidTr="0028480A">
      <w:tc>
        <w:tcPr>
          <w:tcW w:w="1022" w:type="pct"/>
        </w:tcPr>
        <w:p w14:paraId="046F75AB" w14:textId="77777777" w:rsidR="00BF5148" w:rsidRDefault="00BF5148" w:rsidP="005C1A2A">
          <w:pPr>
            <w:pStyle w:val="En-tte"/>
            <w:jc w:val="center"/>
          </w:pPr>
          <w:r>
            <w:t>BELGIUM</w:t>
          </w:r>
        </w:p>
      </w:tc>
      <w:tc>
        <w:tcPr>
          <w:tcW w:w="2988" w:type="pct"/>
        </w:tcPr>
        <w:p w14:paraId="4301E29C" w14:textId="77777777" w:rsidR="00BF5148" w:rsidRDefault="00BF5148" w:rsidP="00885FF8">
          <w:pPr>
            <w:pStyle w:val="En-tte"/>
            <w:jc w:val="center"/>
          </w:pPr>
          <w:r>
            <w:t>Insect Repellent Lotion IR3535</w:t>
          </w:r>
          <w:r>
            <w:rPr>
              <w:vertAlign w:val="superscript"/>
            </w:rPr>
            <w:t>®</w:t>
          </w:r>
          <w:r>
            <w:t xml:space="preserve"> 10%</w:t>
          </w:r>
        </w:p>
      </w:tc>
      <w:tc>
        <w:tcPr>
          <w:tcW w:w="990" w:type="pct"/>
        </w:tcPr>
        <w:p w14:paraId="3A5F6210" w14:textId="77777777" w:rsidR="00BF5148" w:rsidRDefault="00BF5148" w:rsidP="005C1A2A">
          <w:pPr>
            <w:pStyle w:val="En-tte"/>
            <w:jc w:val="center"/>
          </w:pPr>
          <w:r>
            <w:t>PT19</w:t>
          </w:r>
        </w:p>
      </w:tc>
    </w:tr>
  </w:tbl>
  <w:p w14:paraId="12CE9BC1" w14:textId="77777777" w:rsidR="00BF5148" w:rsidRPr="005C1A2A" w:rsidRDefault="00BF5148" w:rsidP="005C1A2A">
    <w:pPr>
      <w:pStyle w:val="En-tte"/>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85FF" w14:textId="77777777" w:rsidR="00BF5148" w:rsidRDefault="00BF514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1284"/>
      <w:gridCol w:w="5562"/>
      <w:gridCol w:w="2566"/>
    </w:tblGrid>
    <w:tr w:rsidR="00C85279" w14:paraId="72C84234" w14:textId="77777777" w:rsidTr="005F65E6">
      <w:trPr>
        <w:trHeight w:val="329"/>
      </w:trPr>
      <w:tc>
        <w:tcPr>
          <w:tcW w:w="682" w:type="pct"/>
          <w:tcBorders>
            <w:bottom w:val="single" w:sz="4" w:space="0" w:color="000000"/>
          </w:tcBorders>
          <w:shd w:val="clear" w:color="auto" w:fill="auto"/>
          <w:vAlign w:val="center"/>
        </w:tcPr>
        <w:p w14:paraId="121446D6" w14:textId="77777777" w:rsidR="00C85279" w:rsidRDefault="00C85279">
          <w:pPr>
            <w:autoSpaceDE w:val="0"/>
            <w:jc w:val="center"/>
            <w:rPr>
              <w:rFonts w:cs="Times"/>
              <w:color w:val="000000"/>
              <w:sz w:val="18"/>
              <w:szCs w:val="18"/>
            </w:rPr>
          </w:pPr>
          <w:r>
            <w:rPr>
              <w:rFonts w:cs="Times"/>
              <w:color w:val="000000"/>
              <w:sz w:val="18"/>
              <w:szCs w:val="18"/>
            </w:rPr>
            <w:t>BE</w:t>
          </w:r>
        </w:p>
      </w:tc>
      <w:tc>
        <w:tcPr>
          <w:tcW w:w="2955" w:type="pct"/>
          <w:tcBorders>
            <w:bottom w:val="single" w:sz="4" w:space="0" w:color="000000"/>
          </w:tcBorders>
          <w:shd w:val="clear" w:color="auto" w:fill="auto"/>
          <w:vAlign w:val="center"/>
        </w:tcPr>
        <w:p w14:paraId="2EEE3DEF" w14:textId="77777777" w:rsidR="00C85279" w:rsidRDefault="00C85279">
          <w:pPr>
            <w:autoSpaceDE w:val="0"/>
            <w:jc w:val="center"/>
            <w:rPr>
              <w:rFonts w:cs="Times"/>
              <w:color w:val="000000"/>
              <w:sz w:val="18"/>
              <w:szCs w:val="18"/>
            </w:rPr>
          </w:pPr>
          <w:r w:rsidRPr="00C53264">
            <w:rPr>
              <w:rFonts w:cs="Times"/>
              <w:color w:val="000000"/>
              <w:sz w:val="18"/>
              <w:szCs w:val="18"/>
            </w:rPr>
            <w:t>Insect Repellent Lotion IR3535® 10%</w:t>
          </w:r>
        </w:p>
      </w:tc>
      <w:tc>
        <w:tcPr>
          <w:tcW w:w="1364" w:type="pct"/>
          <w:tcBorders>
            <w:bottom w:val="single" w:sz="4" w:space="0" w:color="000000"/>
          </w:tcBorders>
          <w:shd w:val="clear" w:color="auto" w:fill="auto"/>
          <w:vAlign w:val="center"/>
        </w:tcPr>
        <w:p w14:paraId="04CACA87" w14:textId="77777777" w:rsidR="00C85279" w:rsidRDefault="00C85279">
          <w:pPr>
            <w:autoSpaceDE w:val="0"/>
            <w:jc w:val="center"/>
          </w:pPr>
          <w:r>
            <w:rPr>
              <w:rFonts w:cs="Times"/>
              <w:color w:val="000000"/>
              <w:sz w:val="18"/>
              <w:szCs w:val="18"/>
            </w:rPr>
            <w:t>PT19</w:t>
          </w:r>
        </w:p>
      </w:tc>
    </w:tr>
  </w:tbl>
  <w:p w14:paraId="07A0C8B1" w14:textId="77777777" w:rsidR="00C85279" w:rsidRDefault="00C852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0D8"/>
    <w:multiLevelType w:val="hybridMultilevel"/>
    <w:tmpl w:val="097892D0"/>
    <w:lvl w:ilvl="0" w:tplc="D0B08E38">
      <w:start w:val="1"/>
      <w:numFmt w:val="upperRoman"/>
      <w:pStyle w:val="Titre5"/>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C452820"/>
    <w:multiLevelType w:val="hybridMultilevel"/>
    <w:tmpl w:val="D244043A"/>
    <w:lvl w:ilvl="0" w:tplc="A31ACA5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0906F5C"/>
    <w:multiLevelType w:val="hybridMultilevel"/>
    <w:tmpl w:val="C6AE98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20706A"/>
    <w:multiLevelType w:val="hybridMultilevel"/>
    <w:tmpl w:val="D054C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8A6DD8"/>
    <w:multiLevelType w:val="hybridMultilevel"/>
    <w:tmpl w:val="59B0451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DB21A1"/>
    <w:multiLevelType w:val="hybridMultilevel"/>
    <w:tmpl w:val="C1E87354"/>
    <w:lvl w:ilvl="0" w:tplc="2C3ED65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B2D206F"/>
    <w:multiLevelType w:val="hybridMultilevel"/>
    <w:tmpl w:val="EB34CBD0"/>
    <w:lvl w:ilvl="0" w:tplc="5CDE181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187345"/>
    <w:multiLevelType w:val="hybridMultilevel"/>
    <w:tmpl w:val="D06C4838"/>
    <w:lvl w:ilvl="0" w:tplc="2C3ED65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3BD11CF"/>
    <w:multiLevelType w:val="hybridMultilevel"/>
    <w:tmpl w:val="B76E8E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D2224B"/>
    <w:multiLevelType w:val="hybridMultilevel"/>
    <w:tmpl w:val="9A88E7DC"/>
    <w:lvl w:ilvl="0" w:tplc="2C3ED654">
      <w:numFmt w:val="bullet"/>
      <w:lvlText w:val="-"/>
      <w:lvlJc w:val="left"/>
      <w:pPr>
        <w:ind w:left="360" w:hanging="360"/>
      </w:pPr>
      <w:rPr>
        <w:rFonts w:ascii="Verdana" w:eastAsia="Times New Roman" w:hAnsi="Verdana" w:cs="Times New Roman" w:hint="default"/>
      </w:rPr>
    </w:lvl>
    <w:lvl w:ilvl="1" w:tplc="2C3ED654">
      <w:numFmt w:val="bullet"/>
      <w:lvlText w:val="-"/>
      <w:lvlJc w:val="left"/>
      <w:pPr>
        <w:ind w:left="1785" w:hanging="705"/>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D05F2B"/>
    <w:multiLevelType w:val="hybridMultilevel"/>
    <w:tmpl w:val="E75AEB14"/>
    <w:lvl w:ilvl="0" w:tplc="4946650A">
      <w:start w:val="1"/>
      <w:numFmt w:val="upp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A02178D"/>
    <w:multiLevelType w:val="hybridMultilevel"/>
    <w:tmpl w:val="0FBAD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E113FD"/>
    <w:multiLevelType w:val="hybridMultilevel"/>
    <w:tmpl w:val="50E84D0C"/>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0D5F7E"/>
    <w:multiLevelType w:val="hybridMultilevel"/>
    <w:tmpl w:val="54687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4D52E9"/>
    <w:multiLevelType w:val="hybridMultilevel"/>
    <w:tmpl w:val="17F2050E"/>
    <w:lvl w:ilvl="0" w:tplc="EF16B938">
      <w:start w:val="3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D50400"/>
    <w:multiLevelType w:val="hybridMultilevel"/>
    <w:tmpl w:val="7A661B8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43BB9"/>
    <w:multiLevelType w:val="hybridMultilevel"/>
    <w:tmpl w:val="C7BE4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1E7925"/>
    <w:multiLevelType w:val="hybridMultilevel"/>
    <w:tmpl w:val="D9F081E4"/>
    <w:lvl w:ilvl="0" w:tplc="BB16AF76">
      <w:start w:val="1"/>
      <w:numFmt w:val="decimal"/>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FC1EEA"/>
    <w:multiLevelType w:val="hybridMultilevel"/>
    <w:tmpl w:val="A54E217A"/>
    <w:lvl w:ilvl="0" w:tplc="04130017">
      <w:start w:val="1"/>
      <w:numFmt w:val="low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9" w15:restartNumberingAfterBreak="0">
    <w:nsid w:val="55B267B8"/>
    <w:multiLevelType w:val="hybridMultilevel"/>
    <w:tmpl w:val="80048A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87C60AB"/>
    <w:multiLevelType w:val="hybridMultilevel"/>
    <w:tmpl w:val="24563ED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F6C7090"/>
    <w:multiLevelType w:val="hybridMultilevel"/>
    <w:tmpl w:val="9FA279F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60708C"/>
    <w:multiLevelType w:val="multilevel"/>
    <w:tmpl w:val="22DEE2C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6A7313F4"/>
    <w:multiLevelType w:val="hybridMultilevel"/>
    <w:tmpl w:val="71FE9EFC"/>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3B18D1"/>
    <w:multiLevelType w:val="hybridMultilevel"/>
    <w:tmpl w:val="411EA4A6"/>
    <w:lvl w:ilvl="0" w:tplc="2C3ED654">
      <w:numFmt w:val="bullet"/>
      <w:lvlText w:val="-"/>
      <w:lvlJc w:val="left"/>
      <w:pPr>
        <w:ind w:left="720" w:hanging="360"/>
      </w:pPr>
      <w:rPr>
        <w:rFonts w:ascii="Verdana" w:eastAsia="Times New Roman" w:hAnsi="Verdana" w:cs="Times New Roman" w:hint="default"/>
      </w:rPr>
    </w:lvl>
    <w:lvl w:ilvl="1" w:tplc="D496280E">
      <w:numFmt w:val="bullet"/>
      <w:lvlText w:val="•"/>
      <w:lvlJc w:val="left"/>
      <w:pPr>
        <w:ind w:left="2145" w:hanging="705"/>
      </w:pPr>
      <w:rPr>
        <w:rFonts w:ascii="Verdana" w:eastAsia="Times New Roman" w:hAnsi="Verdana"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80B1A78"/>
    <w:multiLevelType w:val="hybridMultilevel"/>
    <w:tmpl w:val="7FE26A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C0230CE"/>
    <w:multiLevelType w:val="hybridMultilevel"/>
    <w:tmpl w:val="19948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8713841">
    <w:abstractNumId w:val="22"/>
  </w:num>
  <w:num w:numId="2" w16cid:durableId="38436503">
    <w:abstractNumId w:val="20"/>
  </w:num>
  <w:num w:numId="3" w16cid:durableId="1222247551">
    <w:abstractNumId w:val="0"/>
    <w:lvlOverride w:ilvl="0">
      <w:startOverride w:val="1"/>
    </w:lvlOverride>
  </w:num>
  <w:num w:numId="4" w16cid:durableId="1391928348">
    <w:abstractNumId w:val="0"/>
    <w:lvlOverride w:ilvl="0">
      <w:startOverride w:val="1"/>
    </w:lvlOverride>
  </w:num>
  <w:num w:numId="5" w16cid:durableId="677123236">
    <w:abstractNumId w:val="0"/>
    <w:lvlOverride w:ilvl="0">
      <w:startOverride w:val="1"/>
    </w:lvlOverride>
  </w:num>
  <w:num w:numId="6" w16cid:durableId="163011523">
    <w:abstractNumId w:val="18"/>
  </w:num>
  <w:num w:numId="7" w16cid:durableId="1657298613">
    <w:abstractNumId w:val="0"/>
    <w:lvlOverride w:ilvl="0">
      <w:startOverride w:val="1"/>
    </w:lvlOverride>
  </w:num>
  <w:num w:numId="8" w16cid:durableId="295794380">
    <w:abstractNumId w:val="16"/>
  </w:num>
  <w:num w:numId="9" w16cid:durableId="135150537">
    <w:abstractNumId w:val="3"/>
  </w:num>
  <w:num w:numId="10" w16cid:durableId="420293656">
    <w:abstractNumId w:val="24"/>
  </w:num>
  <w:num w:numId="11" w16cid:durableId="1573546544">
    <w:abstractNumId w:val="21"/>
  </w:num>
  <w:num w:numId="12" w16cid:durableId="939294618">
    <w:abstractNumId w:val="1"/>
  </w:num>
  <w:num w:numId="13" w16cid:durableId="1936546599">
    <w:abstractNumId w:val="0"/>
    <w:lvlOverride w:ilvl="0">
      <w:startOverride w:val="1"/>
    </w:lvlOverride>
  </w:num>
  <w:num w:numId="14" w16cid:durableId="1432816302">
    <w:abstractNumId w:val="10"/>
  </w:num>
  <w:num w:numId="15" w16cid:durableId="1402483614">
    <w:abstractNumId w:val="7"/>
  </w:num>
  <w:num w:numId="16" w16cid:durableId="1025713455">
    <w:abstractNumId w:val="0"/>
  </w:num>
  <w:num w:numId="17" w16cid:durableId="2076853441">
    <w:abstractNumId w:val="6"/>
  </w:num>
  <w:num w:numId="18" w16cid:durableId="1506747282">
    <w:abstractNumId w:val="5"/>
  </w:num>
  <w:num w:numId="19" w16cid:durableId="1477188491">
    <w:abstractNumId w:val="11"/>
  </w:num>
  <w:num w:numId="20" w16cid:durableId="368453252">
    <w:abstractNumId w:val="19"/>
  </w:num>
  <w:num w:numId="21" w16cid:durableId="757558644">
    <w:abstractNumId w:val="25"/>
  </w:num>
  <w:num w:numId="22" w16cid:durableId="856625399">
    <w:abstractNumId w:val="14"/>
  </w:num>
  <w:num w:numId="23" w16cid:durableId="1116214537">
    <w:abstractNumId w:val="4"/>
  </w:num>
  <w:num w:numId="24" w16cid:durableId="153448283">
    <w:abstractNumId w:val="15"/>
  </w:num>
  <w:num w:numId="25" w16cid:durableId="781537169">
    <w:abstractNumId w:val="17"/>
  </w:num>
  <w:num w:numId="26" w16cid:durableId="2013488316">
    <w:abstractNumId w:val="8"/>
  </w:num>
  <w:num w:numId="27" w16cid:durableId="1671567311">
    <w:abstractNumId w:val="9"/>
  </w:num>
  <w:num w:numId="28" w16cid:durableId="1935043507">
    <w:abstractNumId w:val="26"/>
  </w:num>
  <w:num w:numId="29" w16cid:durableId="1203396738">
    <w:abstractNumId w:val="13"/>
  </w:num>
  <w:num w:numId="30" w16cid:durableId="1716612215">
    <w:abstractNumId w:val="23"/>
  </w:num>
  <w:num w:numId="31" w16cid:durableId="153182658">
    <w:abstractNumId w:val="12"/>
  </w:num>
  <w:num w:numId="32" w16cid:durableId="35464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2A"/>
    <w:rsid w:val="00013838"/>
    <w:rsid w:val="00014D1C"/>
    <w:rsid w:val="00015252"/>
    <w:rsid w:val="00024D2F"/>
    <w:rsid w:val="00030E6B"/>
    <w:rsid w:val="00031B96"/>
    <w:rsid w:val="00032631"/>
    <w:rsid w:val="00040711"/>
    <w:rsid w:val="00044956"/>
    <w:rsid w:val="000466DA"/>
    <w:rsid w:val="0005639E"/>
    <w:rsid w:val="000602FD"/>
    <w:rsid w:val="0006359B"/>
    <w:rsid w:val="00070345"/>
    <w:rsid w:val="000809E0"/>
    <w:rsid w:val="000819E5"/>
    <w:rsid w:val="00092E70"/>
    <w:rsid w:val="00097526"/>
    <w:rsid w:val="000A631A"/>
    <w:rsid w:val="000A7856"/>
    <w:rsid w:val="000A7EDB"/>
    <w:rsid w:val="000B11B7"/>
    <w:rsid w:val="000B55E3"/>
    <w:rsid w:val="000C0C72"/>
    <w:rsid w:val="000C2F96"/>
    <w:rsid w:val="000C37FB"/>
    <w:rsid w:val="000C6C40"/>
    <w:rsid w:val="000C76F8"/>
    <w:rsid w:val="000D0175"/>
    <w:rsid w:val="000D1DFB"/>
    <w:rsid w:val="000D2F1A"/>
    <w:rsid w:val="000E030A"/>
    <w:rsid w:val="000E33CE"/>
    <w:rsid w:val="000F4416"/>
    <w:rsid w:val="000F5177"/>
    <w:rsid w:val="00104B49"/>
    <w:rsid w:val="001072F3"/>
    <w:rsid w:val="00114686"/>
    <w:rsid w:val="0012573C"/>
    <w:rsid w:val="00127FFD"/>
    <w:rsid w:val="00140213"/>
    <w:rsid w:val="00147D38"/>
    <w:rsid w:val="00153531"/>
    <w:rsid w:val="00154E49"/>
    <w:rsid w:val="0015701C"/>
    <w:rsid w:val="00157768"/>
    <w:rsid w:val="0016251D"/>
    <w:rsid w:val="001655F6"/>
    <w:rsid w:val="001664F0"/>
    <w:rsid w:val="00166994"/>
    <w:rsid w:val="0017400F"/>
    <w:rsid w:val="00180A4E"/>
    <w:rsid w:val="00184655"/>
    <w:rsid w:val="0018547B"/>
    <w:rsid w:val="001864ED"/>
    <w:rsid w:val="00191D86"/>
    <w:rsid w:val="001A4735"/>
    <w:rsid w:val="001A6781"/>
    <w:rsid w:val="001B4894"/>
    <w:rsid w:val="001B62F3"/>
    <w:rsid w:val="001B6665"/>
    <w:rsid w:val="001C0966"/>
    <w:rsid w:val="001C0C62"/>
    <w:rsid w:val="001C76CA"/>
    <w:rsid w:val="001D31A4"/>
    <w:rsid w:val="001D4153"/>
    <w:rsid w:val="001E039E"/>
    <w:rsid w:val="001E0FD7"/>
    <w:rsid w:val="001E58C0"/>
    <w:rsid w:val="001F193A"/>
    <w:rsid w:val="001F2793"/>
    <w:rsid w:val="001F2BF9"/>
    <w:rsid w:val="001F67A8"/>
    <w:rsid w:val="00202BCA"/>
    <w:rsid w:val="00215A5D"/>
    <w:rsid w:val="00217E6F"/>
    <w:rsid w:val="002261BB"/>
    <w:rsid w:val="002262B2"/>
    <w:rsid w:val="0023414E"/>
    <w:rsid w:val="002351CF"/>
    <w:rsid w:val="002433E2"/>
    <w:rsid w:val="00243CE6"/>
    <w:rsid w:val="00244449"/>
    <w:rsid w:val="00244648"/>
    <w:rsid w:val="0025195E"/>
    <w:rsid w:val="00252C74"/>
    <w:rsid w:val="00253B4F"/>
    <w:rsid w:val="00261684"/>
    <w:rsid w:val="00264446"/>
    <w:rsid w:val="00264F86"/>
    <w:rsid w:val="00277205"/>
    <w:rsid w:val="00277778"/>
    <w:rsid w:val="00283AD8"/>
    <w:rsid w:val="0028480A"/>
    <w:rsid w:val="00284ED4"/>
    <w:rsid w:val="00290444"/>
    <w:rsid w:val="00291987"/>
    <w:rsid w:val="002924BC"/>
    <w:rsid w:val="002952A0"/>
    <w:rsid w:val="002A1426"/>
    <w:rsid w:val="002A22B1"/>
    <w:rsid w:val="002A41F1"/>
    <w:rsid w:val="002B148F"/>
    <w:rsid w:val="002C1382"/>
    <w:rsid w:val="002C4887"/>
    <w:rsid w:val="002C597D"/>
    <w:rsid w:val="002D398C"/>
    <w:rsid w:val="002D43CA"/>
    <w:rsid w:val="002E0A8E"/>
    <w:rsid w:val="002E1D83"/>
    <w:rsid w:val="002F3EED"/>
    <w:rsid w:val="002F75CF"/>
    <w:rsid w:val="00301071"/>
    <w:rsid w:val="00301ACE"/>
    <w:rsid w:val="003030E0"/>
    <w:rsid w:val="00304C1D"/>
    <w:rsid w:val="0031337C"/>
    <w:rsid w:val="003210A7"/>
    <w:rsid w:val="00321DAD"/>
    <w:rsid w:val="003249B1"/>
    <w:rsid w:val="00330EEF"/>
    <w:rsid w:val="00332AD5"/>
    <w:rsid w:val="00334E40"/>
    <w:rsid w:val="003359A3"/>
    <w:rsid w:val="00341203"/>
    <w:rsid w:val="00343871"/>
    <w:rsid w:val="00350E4B"/>
    <w:rsid w:val="00351921"/>
    <w:rsid w:val="003557EF"/>
    <w:rsid w:val="003631A9"/>
    <w:rsid w:val="00363EA8"/>
    <w:rsid w:val="003649B1"/>
    <w:rsid w:val="003667FF"/>
    <w:rsid w:val="00370417"/>
    <w:rsid w:val="003720C3"/>
    <w:rsid w:val="003839E7"/>
    <w:rsid w:val="00383C04"/>
    <w:rsid w:val="00394188"/>
    <w:rsid w:val="00396124"/>
    <w:rsid w:val="00396330"/>
    <w:rsid w:val="003A654A"/>
    <w:rsid w:val="003B2A6D"/>
    <w:rsid w:val="003B7B32"/>
    <w:rsid w:val="003C5B0B"/>
    <w:rsid w:val="003D0249"/>
    <w:rsid w:val="003D091C"/>
    <w:rsid w:val="003D41D9"/>
    <w:rsid w:val="003D567A"/>
    <w:rsid w:val="003D5898"/>
    <w:rsid w:val="003E39B1"/>
    <w:rsid w:val="003E408E"/>
    <w:rsid w:val="003F1510"/>
    <w:rsid w:val="003F2970"/>
    <w:rsid w:val="003F405A"/>
    <w:rsid w:val="003F6FF1"/>
    <w:rsid w:val="0040039B"/>
    <w:rsid w:val="00401305"/>
    <w:rsid w:val="00414873"/>
    <w:rsid w:val="00422BE1"/>
    <w:rsid w:val="00425EF7"/>
    <w:rsid w:val="00430419"/>
    <w:rsid w:val="00441FE6"/>
    <w:rsid w:val="0044562C"/>
    <w:rsid w:val="00446629"/>
    <w:rsid w:val="00446E79"/>
    <w:rsid w:val="004542EE"/>
    <w:rsid w:val="0046173F"/>
    <w:rsid w:val="0046213E"/>
    <w:rsid w:val="004661F9"/>
    <w:rsid w:val="00476E64"/>
    <w:rsid w:val="004776D5"/>
    <w:rsid w:val="00485970"/>
    <w:rsid w:val="004947C2"/>
    <w:rsid w:val="004974EA"/>
    <w:rsid w:val="004A02EA"/>
    <w:rsid w:val="004A769D"/>
    <w:rsid w:val="004B7BBD"/>
    <w:rsid w:val="004C2CC5"/>
    <w:rsid w:val="004C4A20"/>
    <w:rsid w:val="004D4659"/>
    <w:rsid w:val="004D53D9"/>
    <w:rsid w:val="004E0003"/>
    <w:rsid w:val="004F036A"/>
    <w:rsid w:val="004F2A41"/>
    <w:rsid w:val="004F3EC2"/>
    <w:rsid w:val="004F4C6E"/>
    <w:rsid w:val="00505B8E"/>
    <w:rsid w:val="0051114E"/>
    <w:rsid w:val="005118E6"/>
    <w:rsid w:val="005125C1"/>
    <w:rsid w:val="00513A45"/>
    <w:rsid w:val="005178F2"/>
    <w:rsid w:val="005301B6"/>
    <w:rsid w:val="00535727"/>
    <w:rsid w:val="00542AEC"/>
    <w:rsid w:val="0055132D"/>
    <w:rsid w:val="005538E7"/>
    <w:rsid w:val="0055507B"/>
    <w:rsid w:val="00557546"/>
    <w:rsid w:val="00560D99"/>
    <w:rsid w:val="00564058"/>
    <w:rsid w:val="00565DAF"/>
    <w:rsid w:val="005705F9"/>
    <w:rsid w:val="00571B34"/>
    <w:rsid w:val="00572F6D"/>
    <w:rsid w:val="00580309"/>
    <w:rsid w:val="005846DA"/>
    <w:rsid w:val="00586AC3"/>
    <w:rsid w:val="00590F22"/>
    <w:rsid w:val="00591CBC"/>
    <w:rsid w:val="005930EA"/>
    <w:rsid w:val="005A36DE"/>
    <w:rsid w:val="005A5761"/>
    <w:rsid w:val="005A5F5C"/>
    <w:rsid w:val="005A726B"/>
    <w:rsid w:val="005B163C"/>
    <w:rsid w:val="005B54FA"/>
    <w:rsid w:val="005B60B4"/>
    <w:rsid w:val="005C010D"/>
    <w:rsid w:val="005C0BD4"/>
    <w:rsid w:val="005C1A2A"/>
    <w:rsid w:val="005C388F"/>
    <w:rsid w:val="005D2D7B"/>
    <w:rsid w:val="005D678E"/>
    <w:rsid w:val="005D794B"/>
    <w:rsid w:val="005F1210"/>
    <w:rsid w:val="005F222D"/>
    <w:rsid w:val="005F2EC7"/>
    <w:rsid w:val="005F31FF"/>
    <w:rsid w:val="006013F2"/>
    <w:rsid w:val="00604E84"/>
    <w:rsid w:val="00630CED"/>
    <w:rsid w:val="00636A04"/>
    <w:rsid w:val="00643CC1"/>
    <w:rsid w:val="006456DE"/>
    <w:rsid w:val="00653427"/>
    <w:rsid w:val="006575B1"/>
    <w:rsid w:val="0065791B"/>
    <w:rsid w:val="00673EEC"/>
    <w:rsid w:val="006826A6"/>
    <w:rsid w:val="00685BC2"/>
    <w:rsid w:val="00687DB8"/>
    <w:rsid w:val="00695A51"/>
    <w:rsid w:val="006A26FC"/>
    <w:rsid w:val="006A4875"/>
    <w:rsid w:val="006A5547"/>
    <w:rsid w:val="006A680F"/>
    <w:rsid w:val="006A7A1F"/>
    <w:rsid w:val="006B6791"/>
    <w:rsid w:val="006B7D13"/>
    <w:rsid w:val="006C18C7"/>
    <w:rsid w:val="006C2DFC"/>
    <w:rsid w:val="006C2EAE"/>
    <w:rsid w:val="006D3505"/>
    <w:rsid w:val="006E4A9A"/>
    <w:rsid w:val="006E5C77"/>
    <w:rsid w:val="006F2452"/>
    <w:rsid w:val="00700E0E"/>
    <w:rsid w:val="00702526"/>
    <w:rsid w:val="00705AB5"/>
    <w:rsid w:val="00711D96"/>
    <w:rsid w:val="007169B4"/>
    <w:rsid w:val="0072135A"/>
    <w:rsid w:val="00723ECB"/>
    <w:rsid w:val="0073736F"/>
    <w:rsid w:val="00737C4D"/>
    <w:rsid w:val="0074364C"/>
    <w:rsid w:val="007478D4"/>
    <w:rsid w:val="007614DB"/>
    <w:rsid w:val="00762F10"/>
    <w:rsid w:val="00766F64"/>
    <w:rsid w:val="007718E7"/>
    <w:rsid w:val="007747FA"/>
    <w:rsid w:val="007809D8"/>
    <w:rsid w:val="007852DF"/>
    <w:rsid w:val="007872B8"/>
    <w:rsid w:val="007969A3"/>
    <w:rsid w:val="007A7C32"/>
    <w:rsid w:val="007B39B6"/>
    <w:rsid w:val="007B48F1"/>
    <w:rsid w:val="007C0BA5"/>
    <w:rsid w:val="007C5F36"/>
    <w:rsid w:val="007C7216"/>
    <w:rsid w:val="007D2C70"/>
    <w:rsid w:val="007E0DA8"/>
    <w:rsid w:val="007E1F7E"/>
    <w:rsid w:val="007E5F71"/>
    <w:rsid w:val="007F48C4"/>
    <w:rsid w:val="008012D7"/>
    <w:rsid w:val="00804DE2"/>
    <w:rsid w:val="00804DEE"/>
    <w:rsid w:val="00806B6C"/>
    <w:rsid w:val="00806DC5"/>
    <w:rsid w:val="0081348A"/>
    <w:rsid w:val="00816022"/>
    <w:rsid w:val="008204E5"/>
    <w:rsid w:val="00822912"/>
    <w:rsid w:val="00824292"/>
    <w:rsid w:val="00824F95"/>
    <w:rsid w:val="00830954"/>
    <w:rsid w:val="008340DD"/>
    <w:rsid w:val="00836936"/>
    <w:rsid w:val="008369AE"/>
    <w:rsid w:val="008375F5"/>
    <w:rsid w:val="00842E5F"/>
    <w:rsid w:val="00845157"/>
    <w:rsid w:val="008459ED"/>
    <w:rsid w:val="00860B50"/>
    <w:rsid w:val="00864D2F"/>
    <w:rsid w:val="008710EC"/>
    <w:rsid w:val="00872FF6"/>
    <w:rsid w:val="008737BD"/>
    <w:rsid w:val="00873FD6"/>
    <w:rsid w:val="008754A9"/>
    <w:rsid w:val="008758E2"/>
    <w:rsid w:val="00881426"/>
    <w:rsid w:val="00885FF8"/>
    <w:rsid w:val="00893B08"/>
    <w:rsid w:val="008A3D8E"/>
    <w:rsid w:val="008A5DCE"/>
    <w:rsid w:val="008B0654"/>
    <w:rsid w:val="008B31CE"/>
    <w:rsid w:val="008B55EC"/>
    <w:rsid w:val="008C09F4"/>
    <w:rsid w:val="008C0D5A"/>
    <w:rsid w:val="008C5876"/>
    <w:rsid w:val="008D28BE"/>
    <w:rsid w:val="008D32F3"/>
    <w:rsid w:val="008E2686"/>
    <w:rsid w:val="008E4153"/>
    <w:rsid w:val="008E5634"/>
    <w:rsid w:val="008E7541"/>
    <w:rsid w:val="008F077F"/>
    <w:rsid w:val="008F144D"/>
    <w:rsid w:val="008F57C6"/>
    <w:rsid w:val="008F7670"/>
    <w:rsid w:val="00900DBB"/>
    <w:rsid w:val="00901C2F"/>
    <w:rsid w:val="00915973"/>
    <w:rsid w:val="00915E9E"/>
    <w:rsid w:val="00916E77"/>
    <w:rsid w:val="00916FF9"/>
    <w:rsid w:val="00920E0A"/>
    <w:rsid w:val="009228AE"/>
    <w:rsid w:val="00924507"/>
    <w:rsid w:val="00926BBC"/>
    <w:rsid w:val="009276C3"/>
    <w:rsid w:val="00933ABE"/>
    <w:rsid w:val="009402E1"/>
    <w:rsid w:val="00941A0F"/>
    <w:rsid w:val="00943A25"/>
    <w:rsid w:val="009506B8"/>
    <w:rsid w:val="00950BFA"/>
    <w:rsid w:val="00951BCB"/>
    <w:rsid w:val="00953ADE"/>
    <w:rsid w:val="00957052"/>
    <w:rsid w:val="00966A3B"/>
    <w:rsid w:val="009823CF"/>
    <w:rsid w:val="00983576"/>
    <w:rsid w:val="00986D06"/>
    <w:rsid w:val="00995523"/>
    <w:rsid w:val="009A1D30"/>
    <w:rsid w:val="009A43F4"/>
    <w:rsid w:val="009A44D6"/>
    <w:rsid w:val="009A562B"/>
    <w:rsid w:val="009B000D"/>
    <w:rsid w:val="009B3AC6"/>
    <w:rsid w:val="009B483F"/>
    <w:rsid w:val="009B5B0E"/>
    <w:rsid w:val="009C5EA2"/>
    <w:rsid w:val="009D4AEF"/>
    <w:rsid w:val="009E5EEE"/>
    <w:rsid w:val="009E63AD"/>
    <w:rsid w:val="009F3229"/>
    <w:rsid w:val="00A005AF"/>
    <w:rsid w:val="00A14D85"/>
    <w:rsid w:val="00A16580"/>
    <w:rsid w:val="00A179AF"/>
    <w:rsid w:val="00A17B9C"/>
    <w:rsid w:val="00A21B0B"/>
    <w:rsid w:val="00A249BD"/>
    <w:rsid w:val="00A41F6C"/>
    <w:rsid w:val="00A45C07"/>
    <w:rsid w:val="00A47105"/>
    <w:rsid w:val="00A62BC7"/>
    <w:rsid w:val="00A652BF"/>
    <w:rsid w:val="00A66740"/>
    <w:rsid w:val="00A717FA"/>
    <w:rsid w:val="00A71D04"/>
    <w:rsid w:val="00A82975"/>
    <w:rsid w:val="00A82E4F"/>
    <w:rsid w:val="00A93E0A"/>
    <w:rsid w:val="00AA45C2"/>
    <w:rsid w:val="00AC0612"/>
    <w:rsid w:val="00AC2E20"/>
    <w:rsid w:val="00AC3531"/>
    <w:rsid w:val="00AD0B64"/>
    <w:rsid w:val="00AD1758"/>
    <w:rsid w:val="00AE09AD"/>
    <w:rsid w:val="00AE17B0"/>
    <w:rsid w:val="00AE1BC9"/>
    <w:rsid w:val="00AE5069"/>
    <w:rsid w:val="00AE638E"/>
    <w:rsid w:val="00AF139D"/>
    <w:rsid w:val="00AF230A"/>
    <w:rsid w:val="00AF254E"/>
    <w:rsid w:val="00AF361D"/>
    <w:rsid w:val="00B02DBE"/>
    <w:rsid w:val="00B10136"/>
    <w:rsid w:val="00B14C05"/>
    <w:rsid w:val="00B467CF"/>
    <w:rsid w:val="00B52A6E"/>
    <w:rsid w:val="00B7041E"/>
    <w:rsid w:val="00B77E24"/>
    <w:rsid w:val="00B812EE"/>
    <w:rsid w:val="00B822A9"/>
    <w:rsid w:val="00B8547B"/>
    <w:rsid w:val="00B93A6B"/>
    <w:rsid w:val="00B97B9E"/>
    <w:rsid w:val="00BB2DB4"/>
    <w:rsid w:val="00BB2F81"/>
    <w:rsid w:val="00BC11C3"/>
    <w:rsid w:val="00BC290C"/>
    <w:rsid w:val="00BC6810"/>
    <w:rsid w:val="00BD2EF1"/>
    <w:rsid w:val="00BD5429"/>
    <w:rsid w:val="00BD5A49"/>
    <w:rsid w:val="00BD6A10"/>
    <w:rsid w:val="00BE71A6"/>
    <w:rsid w:val="00BE7522"/>
    <w:rsid w:val="00BF1682"/>
    <w:rsid w:val="00BF44CB"/>
    <w:rsid w:val="00BF5148"/>
    <w:rsid w:val="00BF5444"/>
    <w:rsid w:val="00C018F7"/>
    <w:rsid w:val="00C07E47"/>
    <w:rsid w:val="00C20709"/>
    <w:rsid w:val="00C2153A"/>
    <w:rsid w:val="00C2329A"/>
    <w:rsid w:val="00C27321"/>
    <w:rsid w:val="00C421B8"/>
    <w:rsid w:val="00C442A7"/>
    <w:rsid w:val="00C45200"/>
    <w:rsid w:val="00C463FD"/>
    <w:rsid w:val="00C470BB"/>
    <w:rsid w:val="00C47EF2"/>
    <w:rsid w:val="00C51063"/>
    <w:rsid w:val="00C5456F"/>
    <w:rsid w:val="00C5528E"/>
    <w:rsid w:val="00C556BB"/>
    <w:rsid w:val="00C574E1"/>
    <w:rsid w:val="00C578CE"/>
    <w:rsid w:val="00C6210D"/>
    <w:rsid w:val="00C623F5"/>
    <w:rsid w:val="00C76EAE"/>
    <w:rsid w:val="00C77296"/>
    <w:rsid w:val="00C82D5E"/>
    <w:rsid w:val="00C84F68"/>
    <w:rsid w:val="00C85279"/>
    <w:rsid w:val="00C9149C"/>
    <w:rsid w:val="00CA153C"/>
    <w:rsid w:val="00CA23D2"/>
    <w:rsid w:val="00CA4B9A"/>
    <w:rsid w:val="00CA648B"/>
    <w:rsid w:val="00CB0677"/>
    <w:rsid w:val="00CB280B"/>
    <w:rsid w:val="00CB485F"/>
    <w:rsid w:val="00CC3AED"/>
    <w:rsid w:val="00CC4A95"/>
    <w:rsid w:val="00CC79C2"/>
    <w:rsid w:val="00CD0400"/>
    <w:rsid w:val="00CE60DF"/>
    <w:rsid w:val="00CF11F9"/>
    <w:rsid w:val="00CF2128"/>
    <w:rsid w:val="00CF3C7C"/>
    <w:rsid w:val="00D06C56"/>
    <w:rsid w:val="00D06CFE"/>
    <w:rsid w:val="00D07963"/>
    <w:rsid w:val="00D1527D"/>
    <w:rsid w:val="00D21344"/>
    <w:rsid w:val="00D230A9"/>
    <w:rsid w:val="00D35B88"/>
    <w:rsid w:val="00D469B6"/>
    <w:rsid w:val="00D473EA"/>
    <w:rsid w:val="00D61F3A"/>
    <w:rsid w:val="00D63FA7"/>
    <w:rsid w:val="00D66334"/>
    <w:rsid w:val="00D70353"/>
    <w:rsid w:val="00D70C38"/>
    <w:rsid w:val="00D71B8F"/>
    <w:rsid w:val="00D73DBA"/>
    <w:rsid w:val="00D75097"/>
    <w:rsid w:val="00D75CCF"/>
    <w:rsid w:val="00D84EF1"/>
    <w:rsid w:val="00D94088"/>
    <w:rsid w:val="00D966EF"/>
    <w:rsid w:val="00D96ADA"/>
    <w:rsid w:val="00DA2EA7"/>
    <w:rsid w:val="00DA3C10"/>
    <w:rsid w:val="00DC22E2"/>
    <w:rsid w:val="00DC46DD"/>
    <w:rsid w:val="00DC5E41"/>
    <w:rsid w:val="00DE0D09"/>
    <w:rsid w:val="00DE3A31"/>
    <w:rsid w:val="00DF214A"/>
    <w:rsid w:val="00DF2B0B"/>
    <w:rsid w:val="00DF2E29"/>
    <w:rsid w:val="00DF4781"/>
    <w:rsid w:val="00DF6AC3"/>
    <w:rsid w:val="00E01438"/>
    <w:rsid w:val="00E018F0"/>
    <w:rsid w:val="00E06728"/>
    <w:rsid w:val="00E12E4A"/>
    <w:rsid w:val="00E134B5"/>
    <w:rsid w:val="00E2566D"/>
    <w:rsid w:val="00E26E24"/>
    <w:rsid w:val="00E348F7"/>
    <w:rsid w:val="00E40FD4"/>
    <w:rsid w:val="00E51EA0"/>
    <w:rsid w:val="00E52E28"/>
    <w:rsid w:val="00E55625"/>
    <w:rsid w:val="00E56D9B"/>
    <w:rsid w:val="00E6143E"/>
    <w:rsid w:val="00E6182E"/>
    <w:rsid w:val="00E62B94"/>
    <w:rsid w:val="00E70B1C"/>
    <w:rsid w:val="00E7111C"/>
    <w:rsid w:val="00E749D3"/>
    <w:rsid w:val="00E77458"/>
    <w:rsid w:val="00E82046"/>
    <w:rsid w:val="00E94D4A"/>
    <w:rsid w:val="00E94ED0"/>
    <w:rsid w:val="00E9574C"/>
    <w:rsid w:val="00E96DC1"/>
    <w:rsid w:val="00EA33FC"/>
    <w:rsid w:val="00EB1910"/>
    <w:rsid w:val="00EB316C"/>
    <w:rsid w:val="00EB5E7D"/>
    <w:rsid w:val="00EC6035"/>
    <w:rsid w:val="00EC7BE2"/>
    <w:rsid w:val="00ED2843"/>
    <w:rsid w:val="00ED53D0"/>
    <w:rsid w:val="00EF011C"/>
    <w:rsid w:val="00EF0FF2"/>
    <w:rsid w:val="00EF32BF"/>
    <w:rsid w:val="00F05B87"/>
    <w:rsid w:val="00F10CBA"/>
    <w:rsid w:val="00F113BC"/>
    <w:rsid w:val="00F27F32"/>
    <w:rsid w:val="00F345FA"/>
    <w:rsid w:val="00F36A4F"/>
    <w:rsid w:val="00F41048"/>
    <w:rsid w:val="00F45270"/>
    <w:rsid w:val="00F53EB1"/>
    <w:rsid w:val="00F54E10"/>
    <w:rsid w:val="00F555A0"/>
    <w:rsid w:val="00F57048"/>
    <w:rsid w:val="00F65B8F"/>
    <w:rsid w:val="00F76D84"/>
    <w:rsid w:val="00F86B42"/>
    <w:rsid w:val="00F91C4D"/>
    <w:rsid w:val="00F941B0"/>
    <w:rsid w:val="00F97A93"/>
    <w:rsid w:val="00FA1978"/>
    <w:rsid w:val="00FB489C"/>
    <w:rsid w:val="00FB4C2D"/>
    <w:rsid w:val="00FC060E"/>
    <w:rsid w:val="00FC3AF4"/>
    <w:rsid w:val="00FD0DC3"/>
    <w:rsid w:val="00FD7375"/>
    <w:rsid w:val="00FE0250"/>
    <w:rsid w:val="00FE39B7"/>
    <w:rsid w:val="00FE61C2"/>
    <w:rsid w:val="00FF1CD8"/>
    <w:rsid w:val="00FF4DE1"/>
    <w:rsid w:val="00FF690F"/>
    <w:rsid w:val="00FF76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0D21F477"/>
  <w15:docId w15:val="{FACADC1C-044F-44EA-B0E6-1A7B49DC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3A"/>
    <w:pPr>
      <w:spacing w:before="60" w:after="60" w:line="240" w:lineRule="auto"/>
    </w:pPr>
    <w:rPr>
      <w:rFonts w:ascii="Verdana" w:eastAsia="Times New Roman" w:hAnsi="Verdana" w:cs="Times New Roman"/>
      <w:sz w:val="20"/>
      <w:szCs w:val="20"/>
      <w:lang w:val="en-GB" w:eastAsia="de-DE"/>
    </w:rPr>
  </w:style>
  <w:style w:type="paragraph" w:styleId="Titre1">
    <w:name w:val="heading 1"/>
    <w:next w:val="Normal"/>
    <w:link w:val="Titre1Car"/>
    <w:qFormat/>
    <w:rsid w:val="00C5528E"/>
    <w:pPr>
      <w:keepNext/>
      <w:numPr>
        <w:numId w:val="1"/>
      </w:numPr>
      <w:spacing w:after="360" w:line="240" w:lineRule="auto"/>
      <w:outlineLvl w:val="0"/>
    </w:pPr>
    <w:rPr>
      <w:rFonts w:ascii="Verdana" w:eastAsia="Calibri" w:hAnsi="Verdana" w:cs="Times New Roman"/>
      <w:b/>
      <w:caps/>
      <w:sz w:val="32"/>
      <w:szCs w:val="20"/>
      <w:lang w:val="en-GB" w:eastAsia="de-DE"/>
    </w:rPr>
  </w:style>
  <w:style w:type="paragraph" w:styleId="Titre2">
    <w:name w:val="heading 2"/>
    <w:basedOn w:val="Normal"/>
    <w:next w:val="Normal"/>
    <w:link w:val="Titre2Car"/>
    <w:unhideWhenUsed/>
    <w:qFormat/>
    <w:rsid w:val="00C5528E"/>
    <w:pPr>
      <w:keepNext/>
      <w:numPr>
        <w:ilvl w:val="1"/>
        <w:numId w:val="1"/>
      </w:numPr>
      <w:tabs>
        <w:tab w:val="left" w:pos="567"/>
        <w:tab w:val="left" w:pos="1134"/>
      </w:tabs>
      <w:spacing w:before="120" w:after="120"/>
      <w:outlineLvl w:val="1"/>
    </w:pPr>
    <w:rPr>
      <w:rFonts w:eastAsia="Calibri"/>
      <w:b/>
      <w:caps/>
      <w:sz w:val="28"/>
      <w:lang w:eastAsia="en-US"/>
    </w:rPr>
  </w:style>
  <w:style w:type="paragraph" w:styleId="Titre3">
    <w:name w:val="heading 3"/>
    <w:basedOn w:val="Normal"/>
    <w:next w:val="Normal"/>
    <w:link w:val="Titre3Car"/>
    <w:unhideWhenUsed/>
    <w:qFormat/>
    <w:rsid w:val="00C5528E"/>
    <w:pPr>
      <w:keepNext/>
      <w:numPr>
        <w:ilvl w:val="2"/>
        <w:numId w:val="1"/>
      </w:numPr>
      <w:spacing w:after="240"/>
      <w:outlineLvl w:val="2"/>
    </w:pPr>
    <w:rPr>
      <w:b/>
      <w:sz w:val="26"/>
    </w:rPr>
  </w:style>
  <w:style w:type="paragraph" w:styleId="Titre4">
    <w:name w:val="heading 4"/>
    <w:basedOn w:val="Normal"/>
    <w:next w:val="Normal"/>
    <w:link w:val="Titre4Car"/>
    <w:unhideWhenUsed/>
    <w:qFormat/>
    <w:rsid w:val="008E2686"/>
    <w:pPr>
      <w:keepNext/>
      <w:numPr>
        <w:ilvl w:val="3"/>
        <w:numId w:val="1"/>
      </w:numPr>
      <w:spacing w:before="240" w:after="120"/>
      <w:jc w:val="both"/>
      <w:outlineLvl w:val="3"/>
    </w:pPr>
    <w:rPr>
      <w:rFonts w:eastAsia="Calibri"/>
      <w:i/>
      <w:sz w:val="24"/>
      <w:szCs w:val="24"/>
      <w:lang w:eastAsia="en-US"/>
    </w:rPr>
  </w:style>
  <w:style w:type="paragraph" w:styleId="Titre5">
    <w:name w:val="heading 5"/>
    <w:basedOn w:val="Normal"/>
    <w:next w:val="Normal"/>
    <w:link w:val="Titre5Car"/>
    <w:unhideWhenUsed/>
    <w:qFormat/>
    <w:rsid w:val="007E5F71"/>
    <w:pPr>
      <w:keepNext/>
      <w:numPr>
        <w:numId w:val="16"/>
      </w:numPr>
      <w:spacing w:before="240" w:after="120"/>
      <w:outlineLvl w:val="4"/>
    </w:pPr>
    <w:rPr>
      <w:rFonts w:eastAsia="Calibri"/>
      <w:b/>
      <w:i/>
      <w:sz w:val="24"/>
      <w:lang w:val="en-US" w:eastAsia="en-US"/>
    </w:rPr>
  </w:style>
  <w:style w:type="paragraph" w:styleId="Titre6">
    <w:name w:val="heading 6"/>
    <w:basedOn w:val="Normal"/>
    <w:next w:val="Normal"/>
    <w:link w:val="Titre6Car"/>
    <w:unhideWhenUsed/>
    <w:qFormat/>
    <w:rsid w:val="00C5528E"/>
    <w:pPr>
      <w:keepNext/>
      <w:spacing w:before="120"/>
      <w:outlineLvl w:val="5"/>
    </w:pPr>
    <w:rPr>
      <w:rFonts w:eastAsia="Calibri"/>
      <w:i/>
      <w:sz w:val="22"/>
      <w:u w:val="single"/>
      <w:lang w:val="de-DE" w:eastAsia="en-US"/>
    </w:rPr>
  </w:style>
  <w:style w:type="paragraph" w:styleId="Titre7">
    <w:name w:val="heading 7"/>
    <w:basedOn w:val="Normal"/>
    <w:next w:val="Normal"/>
    <w:link w:val="Titre7Car"/>
    <w:unhideWhenUsed/>
    <w:qFormat/>
    <w:rsid w:val="00C5528E"/>
    <w:pPr>
      <w:keepNext/>
      <w:spacing w:before="120"/>
      <w:outlineLvl w:val="6"/>
    </w:pPr>
    <w:rPr>
      <w:rFonts w:eastAsia="Calibri"/>
      <w:b/>
      <w:i/>
      <w:lang w:val="de-DE" w:eastAsia="en-US"/>
    </w:rPr>
  </w:style>
  <w:style w:type="paragraph" w:styleId="Titre8">
    <w:name w:val="heading 8"/>
    <w:basedOn w:val="Normal"/>
    <w:next w:val="Normal"/>
    <w:link w:val="Titre8Car"/>
    <w:uiPriority w:val="9"/>
    <w:unhideWhenUsed/>
    <w:qFormat/>
    <w:rsid w:val="00C5528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5528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5528E"/>
    <w:rPr>
      <w:rFonts w:ascii="Verdana" w:eastAsia="Calibri" w:hAnsi="Verdana" w:cs="Times New Roman"/>
      <w:b/>
      <w:caps/>
      <w:sz w:val="32"/>
      <w:szCs w:val="20"/>
      <w:lang w:val="en-GB" w:eastAsia="de-DE"/>
    </w:rPr>
  </w:style>
  <w:style w:type="character" w:customStyle="1" w:styleId="Titre2Car">
    <w:name w:val="Titre 2 Car"/>
    <w:basedOn w:val="Policepardfaut"/>
    <w:link w:val="Titre2"/>
    <w:rsid w:val="00C5528E"/>
    <w:rPr>
      <w:rFonts w:ascii="Verdana" w:eastAsia="Calibri" w:hAnsi="Verdana" w:cs="Times New Roman"/>
      <w:b/>
      <w:caps/>
      <w:sz w:val="28"/>
      <w:szCs w:val="20"/>
      <w:lang w:val="en-GB"/>
    </w:rPr>
  </w:style>
  <w:style w:type="character" w:customStyle="1" w:styleId="Titre3Car">
    <w:name w:val="Titre 3 Car"/>
    <w:basedOn w:val="Policepardfaut"/>
    <w:link w:val="Titre3"/>
    <w:rsid w:val="00C5528E"/>
    <w:rPr>
      <w:rFonts w:ascii="Verdana" w:eastAsia="Times New Roman" w:hAnsi="Verdana" w:cs="Times New Roman"/>
      <w:b/>
      <w:sz w:val="26"/>
      <w:szCs w:val="20"/>
      <w:lang w:val="en-GB" w:eastAsia="de-DE"/>
    </w:rPr>
  </w:style>
  <w:style w:type="character" w:customStyle="1" w:styleId="Titre4Car">
    <w:name w:val="Titre 4 Car"/>
    <w:basedOn w:val="Policepardfaut"/>
    <w:link w:val="Titre4"/>
    <w:rsid w:val="008E2686"/>
    <w:rPr>
      <w:rFonts w:ascii="Verdana" w:eastAsia="Calibri" w:hAnsi="Verdana" w:cs="Times New Roman"/>
      <w:i/>
      <w:sz w:val="24"/>
      <w:szCs w:val="24"/>
      <w:lang w:val="en-GB"/>
    </w:rPr>
  </w:style>
  <w:style w:type="character" w:customStyle="1" w:styleId="Titre5Car">
    <w:name w:val="Titre 5 Car"/>
    <w:basedOn w:val="Policepardfaut"/>
    <w:link w:val="Titre5"/>
    <w:rsid w:val="007E5F71"/>
    <w:rPr>
      <w:rFonts w:ascii="Verdana" w:eastAsia="Calibri" w:hAnsi="Verdana" w:cs="Times New Roman"/>
      <w:b/>
      <w:i/>
      <w:sz w:val="24"/>
      <w:szCs w:val="20"/>
      <w:lang w:val="en-US"/>
    </w:rPr>
  </w:style>
  <w:style w:type="character" w:customStyle="1" w:styleId="Titre6Car">
    <w:name w:val="Titre 6 Car"/>
    <w:basedOn w:val="Policepardfaut"/>
    <w:link w:val="Titre6"/>
    <w:rsid w:val="00C5528E"/>
    <w:rPr>
      <w:rFonts w:ascii="Verdana" w:eastAsia="Calibri" w:hAnsi="Verdana" w:cs="Times New Roman"/>
      <w:i/>
      <w:szCs w:val="20"/>
      <w:u w:val="single"/>
      <w:lang w:val="de-DE"/>
    </w:rPr>
  </w:style>
  <w:style w:type="character" w:customStyle="1" w:styleId="Titre7Car">
    <w:name w:val="Titre 7 Car"/>
    <w:basedOn w:val="Policepardfaut"/>
    <w:link w:val="Titre7"/>
    <w:rsid w:val="00C5528E"/>
    <w:rPr>
      <w:rFonts w:ascii="Verdana" w:eastAsia="Calibri" w:hAnsi="Verdana" w:cs="Times New Roman"/>
      <w:b/>
      <w:i/>
      <w:sz w:val="20"/>
      <w:szCs w:val="20"/>
      <w:lang w:val="de-DE"/>
    </w:rPr>
  </w:style>
  <w:style w:type="character" w:customStyle="1" w:styleId="Titre8Car">
    <w:name w:val="Titre 8 Car"/>
    <w:basedOn w:val="Policepardfaut"/>
    <w:link w:val="Titre8"/>
    <w:uiPriority w:val="9"/>
    <w:semiHidden/>
    <w:rsid w:val="00C5528E"/>
    <w:rPr>
      <w:rFonts w:asciiTheme="majorHAnsi" w:eastAsiaTheme="majorEastAsia" w:hAnsiTheme="majorHAnsi" w:cstheme="majorBidi"/>
      <w:color w:val="272727" w:themeColor="text1" w:themeTint="D8"/>
      <w:sz w:val="21"/>
      <w:szCs w:val="21"/>
      <w:lang w:val="en-GB" w:eastAsia="de-DE"/>
    </w:rPr>
  </w:style>
  <w:style w:type="character" w:customStyle="1" w:styleId="Titre9Car">
    <w:name w:val="Titre 9 Car"/>
    <w:basedOn w:val="Policepardfaut"/>
    <w:link w:val="Titre9"/>
    <w:uiPriority w:val="9"/>
    <w:semiHidden/>
    <w:rsid w:val="00C5528E"/>
    <w:rPr>
      <w:rFonts w:asciiTheme="majorHAnsi" w:eastAsiaTheme="majorEastAsia" w:hAnsiTheme="majorHAnsi" w:cstheme="majorBidi"/>
      <w:i/>
      <w:iCs/>
      <w:color w:val="272727" w:themeColor="text1" w:themeTint="D8"/>
      <w:sz w:val="21"/>
      <w:szCs w:val="21"/>
      <w:lang w:val="en-GB" w:eastAsia="de-DE"/>
    </w:rPr>
  </w:style>
  <w:style w:type="paragraph" w:styleId="En-tte">
    <w:name w:val="header"/>
    <w:basedOn w:val="Normal"/>
    <w:link w:val="En-tteCar"/>
    <w:uiPriority w:val="99"/>
    <w:unhideWhenUsed/>
    <w:rsid w:val="005C1A2A"/>
    <w:pPr>
      <w:tabs>
        <w:tab w:val="center" w:pos="4513"/>
        <w:tab w:val="right" w:pos="9026"/>
      </w:tabs>
    </w:pPr>
  </w:style>
  <w:style w:type="character" w:customStyle="1" w:styleId="En-tteCar">
    <w:name w:val="En-tête Car"/>
    <w:basedOn w:val="Policepardfaut"/>
    <w:link w:val="En-tte"/>
    <w:uiPriority w:val="99"/>
    <w:rsid w:val="005C1A2A"/>
    <w:rPr>
      <w:rFonts w:ascii="Verdana" w:eastAsia="Times New Roman" w:hAnsi="Verdana" w:cs="Times New Roman"/>
      <w:sz w:val="20"/>
      <w:szCs w:val="20"/>
      <w:lang w:val="en-GB" w:eastAsia="de-DE"/>
    </w:rPr>
  </w:style>
  <w:style w:type="paragraph" w:styleId="Pieddepage">
    <w:name w:val="footer"/>
    <w:basedOn w:val="Normal"/>
    <w:link w:val="PieddepageCar"/>
    <w:uiPriority w:val="99"/>
    <w:unhideWhenUsed/>
    <w:rsid w:val="005C1A2A"/>
    <w:pPr>
      <w:tabs>
        <w:tab w:val="center" w:pos="4513"/>
        <w:tab w:val="right" w:pos="9026"/>
      </w:tabs>
    </w:pPr>
  </w:style>
  <w:style w:type="character" w:customStyle="1" w:styleId="PieddepageCar">
    <w:name w:val="Pied de page Car"/>
    <w:basedOn w:val="Policepardfaut"/>
    <w:link w:val="Pieddepage"/>
    <w:uiPriority w:val="99"/>
    <w:rsid w:val="005C1A2A"/>
    <w:rPr>
      <w:rFonts w:ascii="Verdana" w:eastAsia="Times New Roman" w:hAnsi="Verdana" w:cs="Times New Roman"/>
      <w:sz w:val="20"/>
      <w:szCs w:val="20"/>
      <w:lang w:val="en-GB" w:eastAsia="de-DE"/>
    </w:rPr>
  </w:style>
  <w:style w:type="table" w:styleId="Grilledutableau">
    <w:name w:val="Table Grid"/>
    <w:basedOn w:val="TableauNormal"/>
    <w:uiPriority w:val="39"/>
    <w:rsid w:val="005C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uiPriority w:val="99"/>
    <w:qFormat/>
    <w:rsid w:val="00DA3C10"/>
    <w:pPr>
      <w:ind w:left="720"/>
    </w:pPr>
  </w:style>
  <w:style w:type="paragraph" w:styleId="TM1">
    <w:name w:val="toc 1"/>
    <w:basedOn w:val="Normal"/>
    <w:next w:val="Normal"/>
    <w:autoRedefine/>
    <w:uiPriority w:val="39"/>
    <w:unhideWhenUsed/>
    <w:rsid w:val="00A14D85"/>
    <w:pPr>
      <w:spacing w:after="100"/>
    </w:pPr>
    <w:rPr>
      <w:b/>
      <w:caps/>
    </w:rPr>
  </w:style>
  <w:style w:type="character" w:styleId="Lienhypertexte">
    <w:name w:val="Hyperlink"/>
    <w:basedOn w:val="Policepardfaut"/>
    <w:uiPriority w:val="99"/>
    <w:unhideWhenUsed/>
    <w:rsid w:val="00DA3C10"/>
    <w:rPr>
      <w:color w:val="0563C1" w:themeColor="hyperlink"/>
      <w:u w:val="single"/>
    </w:rPr>
  </w:style>
  <w:style w:type="paragraph" w:customStyle="1" w:styleId="Explanatorynotes">
    <w:name w:val="Explanatory notes"/>
    <w:basedOn w:val="Normal"/>
    <w:link w:val="ExplanatorynotesChar"/>
    <w:qFormat/>
    <w:rsid w:val="006456DE"/>
    <w:pPr>
      <w:widowControl w:val="0"/>
      <w:shd w:val="clear" w:color="auto" w:fill="FFFFFF"/>
      <w:autoSpaceDE w:val="0"/>
      <w:autoSpaceDN w:val="0"/>
      <w:adjustRightInd w:val="0"/>
      <w:jc w:val="both"/>
    </w:pPr>
    <w:rPr>
      <w:rFonts w:ascii="Times New Roman" w:hAnsi="Times New Roman"/>
      <w:i/>
    </w:rPr>
  </w:style>
  <w:style w:type="character" w:customStyle="1" w:styleId="ExplanatorynotesChar">
    <w:name w:val="Explanatory notes Char"/>
    <w:basedOn w:val="Policepardfaut"/>
    <w:link w:val="Explanatorynotes"/>
    <w:rsid w:val="006456DE"/>
    <w:rPr>
      <w:rFonts w:ascii="Times New Roman" w:eastAsia="Times New Roman" w:hAnsi="Times New Roman" w:cs="Times New Roman"/>
      <w:i/>
      <w:sz w:val="20"/>
      <w:szCs w:val="20"/>
      <w:shd w:val="clear" w:color="auto" w:fill="FFFFFF"/>
      <w:lang w:val="en-GB" w:eastAsia="de-DE"/>
    </w:rPr>
  </w:style>
  <w:style w:type="paragraph" w:customStyle="1" w:styleId="Examples">
    <w:name w:val="Examples"/>
    <w:basedOn w:val="Normal"/>
    <w:link w:val="ExamplesChar"/>
    <w:qFormat/>
    <w:rsid w:val="006456DE"/>
    <w:pPr>
      <w:widowControl w:val="0"/>
      <w:shd w:val="clear" w:color="auto" w:fill="FFFFFF"/>
      <w:autoSpaceDE w:val="0"/>
      <w:autoSpaceDN w:val="0"/>
      <w:adjustRightInd w:val="0"/>
      <w:jc w:val="both"/>
    </w:pPr>
    <w:rPr>
      <w:rFonts w:ascii="Times New Roman" w:hAnsi="Times New Roman"/>
      <w:i/>
      <w:color w:val="FF0000"/>
    </w:rPr>
  </w:style>
  <w:style w:type="character" w:customStyle="1" w:styleId="ExamplesChar">
    <w:name w:val="Examples Char"/>
    <w:basedOn w:val="Policepardfaut"/>
    <w:link w:val="Examples"/>
    <w:rsid w:val="006456DE"/>
    <w:rPr>
      <w:rFonts w:ascii="Times New Roman" w:eastAsia="Times New Roman" w:hAnsi="Times New Roman" w:cs="Times New Roman"/>
      <w:i/>
      <w:color w:val="FF0000"/>
      <w:sz w:val="20"/>
      <w:szCs w:val="20"/>
      <w:shd w:val="clear" w:color="auto" w:fill="FFFFFF"/>
      <w:lang w:val="en-GB" w:eastAsia="de-DE"/>
    </w:rPr>
  </w:style>
  <w:style w:type="paragraph" w:styleId="Notedebasdepage">
    <w:name w:val="footnote text"/>
    <w:basedOn w:val="Normal"/>
    <w:link w:val="NotedebasdepageCar"/>
    <w:uiPriority w:val="99"/>
    <w:semiHidden/>
    <w:rsid w:val="00943A25"/>
    <w:pPr>
      <w:spacing w:before="0" w:after="0"/>
      <w:ind w:left="284" w:hanging="284"/>
    </w:pPr>
    <w:rPr>
      <w:position w:val="4"/>
    </w:rPr>
  </w:style>
  <w:style w:type="character" w:customStyle="1" w:styleId="NotedebasdepageCar">
    <w:name w:val="Note de bas de page Car"/>
    <w:basedOn w:val="Policepardfaut"/>
    <w:link w:val="Notedebasdepage"/>
    <w:uiPriority w:val="99"/>
    <w:semiHidden/>
    <w:rsid w:val="00943A25"/>
    <w:rPr>
      <w:rFonts w:ascii="Verdana" w:eastAsia="Times New Roman" w:hAnsi="Verdana" w:cs="Times New Roman"/>
      <w:position w:val="4"/>
      <w:sz w:val="20"/>
      <w:szCs w:val="20"/>
      <w:lang w:val="en-GB" w:eastAsia="de-DE"/>
    </w:rPr>
  </w:style>
  <w:style w:type="character" w:styleId="Appelnotedebasdep">
    <w:name w:val="footnote reference"/>
    <w:uiPriority w:val="99"/>
    <w:rsid w:val="00943A25"/>
    <w:rPr>
      <w:position w:val="8"/>
      <w:sz w:val="16"/>
    </w:rPr>
  </w:style>
  <w:style w:type="paragraph" w:customStyle="1" w:styleId="Standaard-Tabellen">
    <w:name w:val="Standaard-Tabellen"/>
    <w:basedOn w:val="Normal"/>
    <w:link w:val="Standaard-TabellenChar"/>
    <w:qFormat/>
    <w:rsid w:val="00FF76D2"/>
    <w:pPr>
      <w:spacing w:before="0" w:after="0"/>
    </w:pPr>
    <w:rPr>
      <w:bCs/>
      <w:sz w:val="18"/>
      <w:szCs w:val="24"/>
      <w:lang w:eastAsia="en-GB"/>
    </w:rPr>
  </w:style>
  <w:style w:type="character" w:customStyle="1" w:styleId="Standaard-TabellenChar">
    <w:name w:val="Standaard-Tabellen Char"/>
    <w:basedOn w:val="Policepardfaut"/>
    <w:link w:val="Standaard-Tabellen"/>
    <w:rsid w:val="00FF76D2"/>
    <w:rPr>
      <w:rFonts w:ascii="Verdana" w:eastAsia="Times New Roman" w:hAnsi="Verdana" w:cs="Times New Roman"/>
      <w:bCs/>
      <w:sz w:val="18"/>
      <w:szCs w:val="24"/>
      <w:lang w:val="en-GB" w:eastAsia="en-GB"/>
    </w:rPr>
  </w:style>
  <w:style w:type="character" w:styleId="Accentuationlgre">
    <w:name w:val="Subtle Emphasis"/>
    <w:uiPriority w:val="19"/>
    <w:qFormat/>
    <w:rsid w:val="00C82D5E"/>
    <w:rPr>
      <w:rFonts w:ascii="Verdana" w:hAnsi="Verdana"/>
      <w:i/>
      <w:iCs/>
      <w:color w:val="808080"/>
      <w:sz w:val="18"/>
    </w:rPr>
  </w:style>
  <w:style w:type="paragraph" w:customStyle="1" w:styleId="Voetnoot">
    <w:name w:val="Voetnoot"/>
    <w:basedOn w:val="Notedebasdepage"/>
    <w:link w:val="VoetnootChar"/>
    <w:qFormat/>
    <w:rsid w:val="008B0654"/>
    <w:pPr>
      <w:ind w:left="170" w:hanging="170"/>
    </w:pPr>
    <w:rPr>
      <w:sz w:val="16"/>
      <w:szCs w:val="16"/>
    </w:rPr>
  </w:style>
  <w:style w:type="character" w:customStyle="1" w:styleId="VoetnootChar">
    <w:name w:val="Voetnoot Char"/>
    <w:basedOn w:val="NotedebasdepageCar"/>
    <w:link w:val="Voetnoot"/>
    <w:rsid w:val="008B0654"/>
    <w:rPr>
      <w:rFonts w:ascii="Verdana" w:eastAsia="Times New Roman" w:hAnsi="Verdana" w:cs="Times New Roman"/>
      <w:position w:val="4"/>
      <w:sz w:val="16"/>
      <w:szCs w:val="16"/>
      <w:lang w:val="en-GB" w:eastAsia="de-DE"/>
    </w:rPr>
  </w:style>
  <w:style w:type="paragraph" w:styleId="TM7">
    <w:name w:val="toc 7"/>
    <w:basedOn w:val="Normal"/>
    <w:next w:val="Normal"/>
    <w:autoRedefine/>
    <w:uiPriority w:val="39"/>
    <w:unhideWhenUsed/>
    <w:rsid w:val="0031337C"/>
    <w:pPr>
      <w:spacing w:after="100"/>
      <w:ind w:left="1200"/>
    </w:pPr>
  </w:style>
  <w:style w:type="paragraph" w:customStyle="1" w:styleId="Absatz">
    <w:name w:val="Absatz"/>
    <w:basedOn w:val="Normal"/>
    <w:rsid w:val="00157768"/>
    <w:pPr>
      <w:spacing w:before="0" w:after="0"/>
      <w:ind w:left="1729"/>
    </w:pPr>
    <w:rPr>
      <w:rFonts w:ascii="Times New Roman" w:hAnsi="Times New Roman"/>
    </w:rPr>
  </w:style>
  <w:style w:type="paragraph" w:customStyle="1" w:styleId="Default">
    <w:name w:val="Default"/>
    <w:rsid w:val="00157768"/>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TM2">
    <w:name w:val="toc 2"/>
    <w:basedOn w:val="Normal"/>
    <w:next w:val="Normal"/>
    <w:autoRedefine/>
    <w:uiPriority w:val="39"/>
    <w:unhideWhenUsed/>
    <w:rsid w:val="00A14D85"/>
    <w:pPr>
      <w:spacing w:after="100"/>
      <w:ind w:left="200"/>
    </w:pPr>
    <w:rPr>
      <w:caps/>
    </w:rPr>
  </w:style>
  <w:style w:type="paragraph" w:styleId="TM3">
    <w:name w:val="toc 3"/>
    <w:basedOn w:val="Normal"/>
    <w:next w:val="Normal"/>
    <w:autoRedefine/>
    <w:uiPriority w:val="39"/>
    <w:unhideWhenUsed/>
    <w:rsid w:val="00A14D85"/>
    <w:pPr>
      <w:spacing w:after="100"/>
      <w:ind w:left="400"/>
    </w:pPr>
    <w:rPr>
      <w:i/>
    </w:rPr>
  </w:style>
  <w:style w:type="paragraph" w:styleId="TM4">
    <w:name w:val="toc 4"/>
    <w:basedOn w:val="Normal"/>
    <w:next w:val="Normal"/>
    <w:autoRedefine/>
    <w:uiPriority w:val="39"/>
    <w:unhideWhenUsed/>
    <w:rsid w:val="009E5EEE"/>
    <w:pPr>
      <w:tabs>
        <w:tab w:val="left" w:pos="1760"/>
        <w:tab w:val="right" w:leader="dot" w:pos="9402"/>
      </w:tabs>
      <w:spacing w:after="100"/>
      <w:ind w:left="600"/>
    </w:pPr>
  </w:style>
  <w:style w:type="paragraph" w:styleId="TM5">
    <w:name w:val="toc 5"/>
    <w:basedOn w:val="Normal"/>
    <w:next w:val="Normal"/>
    <w:autoRedefine/>
    <w:uiPriority w:val="39"/>
    <w:unhideWhenUsed/>
    <w:rsid w:val="00A14D85"/>
    <w:pPr>
      <w:spacing w:after="100"/>
      <w:ind w:left="800"/>
    </w:pPr>
    <w:rPr>
      <w:i/>
      <w:color w:val="000000" w:themeColor="text1"/>
      <w:sz w:val="18"/>
    </w:rPr>
  </w:style>
  <w:style w:type="paragraph" w:styleId="TM6">
    <w:name w:val="toc 6"/>
    <w:basedOn w:val="Normal"/>
    <w:next w:val="Normal"/>
    <w:autoRedefine/>
    <w:uiPriority w:val="39"/>
    <w:unhideWhenUsed/>
    <w:rsid w:val="00A14D85"/>
    <w:pPr>
      <w:spacing w:before="0" w:after="100" w:line="259" w:lineRule="auto"/>
      <w:ind w:left="1100"/>
    </w:pPr>
    <w:rPr>
      <w:rFonts w:asciiTheme="minorHAnsi" w:eastAsiaTheme="minorEastAsia" w:hAnsiTheme="minorHAnsi" w:cstheme="minorBidi"/>
      <w:sz w:val="22"/>
      <w:szCs w:val="22"/>
      <w:lang w:val="nl-NL" w:eastAsia="nl-NL"/>
    </w:rPr>
  </w:style>
  <w:style w:type="paragraph" w:styleId="TM8">
    <w:name w:val="toc 8"/>
    <w:basedOn w:val="Normal"/>
    <w:next w:val="Normal"/>
    <w:autoRedefine/>
    <w:uiPriority w:val="39"/>
    <w:unhideWhenUsed/>
    <w:rsid w:val="00A14D85"/>
    <w:pPr>
      <w:spacing w:before="0" w:after="100" w:line="259" w:lineRule="auto"/>
      <w:ind w:left="1540"/>
    </w:pPr>
    <w:rPr>
      <w:rFonts w:asciiTheme="minorHAnsi" w:eastAsiaTheme="minorEastAsia" w:hAnsiTheme="minorHAnsi" w:cstheme="minorBidi"/>
      <w:sz w:val="22"/>
      <w:szCs w:val="22"/>
      <w:lang w:val="nl-NL" w:eastAsia="nl-NL"/>
    </w:rPr>
  </w:style>
  <w:style w:type="paragraph" w:styleId="TM9">
    <w:name w:val="toc 9"/>
    <w:basedOn w:val="Normal"/>
    <w:next w:val="Normal"/>
    <w:autoRedefine/>
    <w:uiPriority w:val="39"/>
    <w:unhideWhenUsed/>
    <w:rsid w:val="00A14D85"/>
    <w:pPr>
      <w:spacing w:before="0" w:after="100" w:line="259" w:lineRule="auto"/>
      <w:ind w:left="1760"/>
    </w:pPr>
    <w:rPr>
      <w:rFonts w:asciiTheme="minorHAnsi" w:eastAsiaTheme="minorEastAsia" w:hAnsiTheme="minorHAnsi" w:cstheme="minorBidi"/>
      <w:sz w:val="22"/>
      <w:szCs w:val="22"/>
      <w:lang w:val="nl-NL" w:eastAsia="nl-NL"/>
    </w:rPr>
  </w:style>
  <w:style w:type="paragraph" w:styleId="Commentaire">
    <w:name w:val="annotation text"/>
    <w:basedOn w:val="Normal"/>
    <w:link w:val="CommentaireCar"/>
    <w:uiPriority w:val="99"/>
    <w:unhideWhenUsed/>
    <w:rsid w:val="00E94D4A"/>
    <w:pPr>
      <w:jc w:val="both"/>
    </w:pPr>
  </w:style>
  <w:style w:type="character" w:customStyle="1" w:styleId="CommentaireCar">
    <w:name w:val="Commentaire Car"/>
    <w:basedOn w:val="Policepardfaut"/>
    <w:link w:val="Commentaire"/>
    <w:uiPriority w:val="99"/>
    <w:rsid w:val="00E94D4A"/>
    <w:rPr>
      <w:rFonts w:ascii="Verdana" w:eastAsia="Times New Roman" w:hAnsi="Verdana" w:cs="Times New Roman"/>
      <w:sz w:val="20"/>
      <w:szCs w:val="20"/>
      <w:lang w:val="en-GB" w:eastAsia="de-DE"/>
    </w:rPr>
  </w:style>
  <w:style w:type="character" w:styleId="Marquedecommentaire">
    <w:name w:val="annotation reference"/>
    <w:uiPriority w:val="99"/>
    <w:semiHidden/>
    <w:unhideWhenUsed/>
    <w:rsid w:val="00E94D4A"/>
    <w:rPr>
      <w:sz w:val="16"/>
    </w:rPr>
  </w:style>
  <w:style w:type="paragraph" w:styleId="Textedebulles">
    <w:name w:val="Balloon Text"/>
    <w:basedOn w:val="Normal"/>
    <w:link w:val="TextedebullesCar"/>
    <w:uiPriority w:val="99"/>
    <w:semiHidden/>
    <w:unhideWhenUsed/>
    <w:rsid w:val="00E94D4A"/>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4D4A"/>
    <w:rPr>
      <w:rFonts w:ascii="Segoe UI" w:eastAsia="Times New Roman" w:hAnsi="Segoe UI" w:cs="Segoe UI"/>
      <w:sz w:val="18"/>
      <w:szCs w:val="18"/>
      <w:lang w:val="en-GB" w:eastAsia="de-DE"/>
    </w:rPr>
  </w:style>
  <w:style w:type="paragraph" w:styleId="Objetducommentaire">
    <w:name w:val="annotation subject"/>
    <w:basedOn w:val="Commentaire"/>
    <w:next w:val="Commentaire"/>
    <w:link w:val="ObjetducommentaireCar"/>
    <w:uiPriority w:val="99"/>
    <w:semiHidden/>
    <w:unhideWhenUsed/>
    <w:rsid w:val="00E94D4A"/>
    <w:pPr>
      <w:jc w:val="left"/>
    </w:pPr>
    <w:rPr>
      <w:b/>
      <w:bCs/>
    </w:rPr>
  </w:style>
  <w:style w:type="character" w:customStyle="1" w:styleId="ObjetducommentaireCar">
    <w:name w:val="Objet du commentaire Car"/>
    <w:basedOn w:val="CommentaireCar"/>
    <w:link w:val="Objetducommentaire"/>
    <w:uiPriority w:val="99"/>
    <w:semiHidden/>
    <w:rsid w:val="00E94D4A"/>
    <w:rPr>
      <w:rFonts w:ascii="Verdana" w:eastAsia="Times New Roman" w:hAnsi="Verdana" w:cs="Times New Roman"/>
      <w:b/>
      <w:bCs/>
      <w:sz w:val="20"/>
      <w:szCs w:val="20"/>
      <w:lang w:val="en-GB" w:eastAsia="de-DE"/>
    </w:rPr>
  </w:style>
  <w:style w:type="paragraph" w:styleId="Paragraphedeliste">
    <w:name w:val="List Paragraph"/>
    <w:basedOn w:val="Normal"/>
    <w:link w:val="ParagraphedelisteCar"/>
    <w:uiPriority w:val="34"/>
    <w:qFormat/>
    <w:rsid w:val="00425EF7"/>
    <w:pPr>
      <w:ind w:left="720"/>
      <w:contextualSpacing/>
    </w:pPr>
  </w:style>
  <w:style w:type="character" w:customStyle="1" w:styleId="ParagraphedelisteCar">
    <w:name w:val="Paragraphe de liste Car"/>
    <w:link w:val="Paragraphedeliste"/>
    <w:uiPriority w:val="34"/>
    <w:rsid w:val="00C018F7"/>
    <w:rPr>
      <w:rFonts w:ascii="Verdana" w:eastAsia="Times New Roman" w:hAnsi="Verdana" w:cs="Times New Roman"/>
      <w:sz w:val="20"/>
      <w:szCs w:val="20"/>
      <w:lang w:val="en-GB" w:eastAsia="de-DE"/>
    </w:rPr>
  </w:style>
  <w:style w:type="character" w:customStyle="1" w:styleId="MarkerenChar">
    <w:name w:val="Markeren Char"/>
    <w:link w:val="Markeren"/>
    <w:locked/>
    <w:rsid w:val="003720C3"/>
    <w:rPr>
      <w:rFonts w:ascii="Verdana" w:eastAsia="Calibri" w:hAnsi="Verdana"/>
      <w:b/>
      <w:color w:val="2F5496"/>
      <w:lang w:val="en-GB"/>
    </w:rPr>
  </w:style>
  <w:style w:type="paragraph" w:customStyle="1" w:styleId="Markeren">
    <w:name w:val="Markeren"/>
    <w:basedOn w:val="Normal"/>
    <w:link w:val="MarkerenChar"/>
    <w:qFormat/>
    <w:rsid w:val="003720C3"/>
    <w:pPr>
      <w:jc w:val="both"/>
    </w:pPr>
    <w:rPr>
      <w:rFonts w:eastAsia="Calibri" w:cstheme="minorBidi"/>
      <w:b/>
      <w:color w:val="2F5496"/>
      <w:sz w:val="22"/>
      <w:szCs w:val="22"/>
      <w:lang w:eastAsia="en-US"/>
    </w:rPr>
  </w:style>
  <w:style w:type="character" w:styleId="Textedelespacerserv">
    <w:name w:val="Placeholder Text"/>
    <w:basedOn w:val="Policepardfaut"/>
    <w:uiPriority w:val="99"/>
    <w:semiHidden/>
    <w:rsid w:val="003720C3"/>
    <w:rPr>
      <w:color w:val="808080"/>
    </w:rPr>
  </w:style>
  <w:style w:type="paragraph" w:styleId="NormalWeb">
    <w:name w:val="Normal (Web)"/>
    <w:basedOn w:val="Normal"/>
    <w:uiPriority w:val="99"/>
    <w:semiHidden/>
    <w:unhideWhenUsed/>
    <w:rsid w:val="00FF690F"/>
    <w:pPr>
      <w:spacing w:before="100" w:beforeAutospacing="1" w:after="100" w:afterAutospacing="1"/>
    </w:pPr>
    <w:rPr>
      <w:rFonts w:ascii="Times New Roman" w:hAnsi="Times New Roman"/>
      <w:sz w:val="24"/>
      <w:szCs w:val="24"/>
      <w:lang w:val="nl-NL" w:eastAsia="nl-NL"/>
    </w:rPr>
  </w:style>
  <w:style w:type="character" w:customStyle="1" w:styleId="apple-converted-space">
    <w:name w:val="apple-converted-space"/>
    <w:basedOn w:val="Policepardfaut"/>
    <w:rsid w:val="00FF690F"/>
  </w:style>
  <w:style w:type="paragraph" w:customStyle="1" w:styleId="Standard-italics">
    <w:name w:val="Standard-italics"/>
    <w:basedOn w:val="Normal"/>
    <w:rsid w:val="007169B4"/>
    <w:pPr>
      <w:keepNext/>
    </w:pPr>
    <w:rPr>
      <w:i/>
    </w:rPr>
  </w:style>
  <w:style w:type="paragraph" w:customStyle="1" w:styleId="Texte2">
    <w:name w:val="Texte2"/>
    <w:basedOn w:val="Normal"/>
    <w:rsid w:val="00C76EAE"/>
    <w:pPr>
      <w:spacing w:before="0" w:after="0"/>
      <w:ind w:left="720"/>
      <w:jc w:val="both"/>
    </w:pPr>
    <w:rPr>
      <w:rFonts w:ascii="Times" w:hAnsi="Times"/>
      <w:noProof/>
      <w:sz w:val="24"/>
    </w:rPr>
  </w:style>
  <w:style w:type="paragraph" w:customStyle="1" w:styleId="Listenabsatz2">
    <w:name w:val="Listenabsatz2"/>
    <w:basedOn w:val="Normal"/>
    <w:uiPriority w:val="99"/>
    <w:qFormat/>
    <w:rsid w:val="00C018F7"/>
    <w:pPr>
      <w:ind w:left="720"/>
    </w:pPr>
  </w:style>
  <w:style w:type="paragraph" w:customStyle="1" w:styleId="text">
    <w:name w:val="text"/>
    <w:basedOn w:val="Normal"/>
    <w:link w:val="textChar"/>
    <w:rsid w:val="00C018F7"/>
    <w:pPr>
      <w:spacing w:before="0" w:after="0"/>
    </w:pPr>
    <w:rPr>
      <w:rFonts w:ascii="Times New Roman" w:hAnsi="Times New Roman"/>
      <w:sz w:val="24"/>
      <w:lang w:val="en-US"/>
    </w:rPr>
  </w:style>
  <w:style w:type="character" w:customStyle="1" w:styleId="textChar">
    <w:name w:val="text Char"/>
    <w:basedOn w:val="Policepardfaut"/>
    <w:link w:val="text"/>
    <w:rsid w:val="00C018F7"/>
    <w:rPr>
      <w:rFonts w:ascii="Times New Roman" w:eastAsia="Times New Roman" w:hAnsi="Times New Roman" w:cs="Times New Roman"/>
      <w:sz w:val="24"/>
      <w:szCs w:val="20"/>
      <w:lang w:val="en-US" w:eastAsia="de-DE"/>
    </w:rPr>
  </w:style>
  <w:style w:type="paragraph" w:customStyle="1" w:styleId="NormalJustified">
    <w:name w:val="Normal + Justified"/>
    <w:basedOn w:val="Normal"/>
    <w:rsid w:val="00C018F7"/>
    <w:pPr>
      <w:spacing w:before="0" w:after="120" w:line="276" w:lineRule="auto"/>
      <w:jc w:val="both"/>
    </w:pPr>
    <w:rPr>
      <w:rFonts w:ascii="Times" w:hAnsi="Times" w:cs="Arial"/>
      <w:bCs/>
    </w:rPr>
  </w:style>
  <w:style w:type="paragraph" w:styleId="Corpsdetexte">
    <w:name w:val="Body Text"/>
    <w:aliases w:val="Body Text1,Leipäteksti Char,Text"/>
    <w:basedOn w:val="Normal"/>
    <w:link w:val="CorpsdetexteCar"/>
    <w:rsid w:val="00E56D9B"/>
    <w:pPr>
      <w:spacing w:before="0" w:after="120"/>
      <w:jc w:val="both"/>
    </w:pPr>
    <w:rPr>
      <w:rFonts w:ascii="Times New Roman" w:hAnsi="Times New Roman"/>
      <w:sz w:val="24"/>
      <w:szCs w:val="24"/>
      <w:lang w:eastAsia="en-GB"/>
    </w:rPr>
  </w:style>
  <w:style w:type="character" w:customStyle="1" w:styleId="CorpsdetexteCar">
    <w:name w:val="Corps de texte Car"/>
    <w:aliases w:val="Body Text1 Car,Leipäteksti Char Car,Text Car"/>
    <w:basedOn w:val="Policepardfaut"/>
    <w:link w:val="Corpsdetexte"/>
    <w:rsid w:val="00E56D9B"/>
    <w:rPr>
      <w:rFonts w:ascii="Times New Roman" w:eastAsia="Times New Roman" w:hAnsi="Times New Roman" w:cs="Times New Roman"/>
      <w:sz w:val="24"/>
      <w:szCs w:val="24"/>
      <w:lang w:val="en-GB" w:eastAsia="en-GB"/>
    </w:rPr>
  </w:style>
  <w:style w:type="paragraph" w:styleId="Rvision">
    <w:name w:val="Revision"/>
    <w:hidden/>
    <w:uiPriority w:val="99"/>
    <w:semiHidden/>
    <w:rsid w:val="009E5EEE"/>
    <w:pPr>
      <w:spacing w:after="0" w:line="240" w:lineRule="auto"/>
    </w:pPr>
    <w:rPr>
      <w:rFonts w:ascii="Verdana" w:eastAsia="Times New Roman" w:hAnsi="Verdana" w:cs="Times New Roman"/>
      <w:sz w:val="20"/>
      <w:szCs w:val="20"/>
      <w:lang w:val="en-GB" w:eastAsia="de-DE"/>
    </w:rPr>
  </w:style>
  <w:style w:type="character" w:styleId="Mentionnonrsolue">
    <w:name w:val="Unresolved Mention"/>
    <w:basedOn w:val="Policepardfaut"/>
    <w:uiPriority w:val="99"/>
    <w:semiHidden/>
    <w:unhideWhenUsed/>
    <w:rsid w:val="006C2DFC"/>
    <w:rPr>
      <w:color w:val="808080"/>
      <w:shd w:val="clear" w:color="auto" w:fill="E6E6E6"/>
    </w:rPr>
  </w:style>
  <w:style w:type="paragraph" w:styleId="Lgende">
    <w:name w:val="caption"/>
    <w:basedOn w:val="Normal"/>
    <w:next w:val="Normal"/>
    <w:autoRedefine/>
    <w:unhideWhenUsed/>
    <w:qFormat/>
    <w:rsid w:val="00C85279"/>
    <w:pPr>
      <w:widowControl w:val="0"/>
      <w:spacing w:before="120" w:after="120"/>
    </w:pPr>
    <w:rPr>
      <w:b/>
      <w:bCs/>
      <w:snapToGrid w:val="0"/>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0391">
      <w:bodyDiv w:val="1"/>
      <w:marLeft w:val="0"/>
      <w:marRight w:val="0"/>
      <w:marTop w:val="0"/>
      <w:marBottom w:val="0"/>
      <w:divBdr>
        <w:top w:val="none" w:sz="0" w:space="0" w:color="auto"/>
        <w:left w:val="none" w:sz="0" w:space="0" w:color="auto"/>
        <w:bottom w:val="none" w:sz="0" w:space="0" w:color="auto"/>
        <w:right w:val="none" w:sz="0" w:space="0" w:color="auto"/>
      </w:divBdr>
    </w:div>
    <w:div w:id="81879967">
      <w:bodyDiv w:val="1"/>
      <w:marLeft w:val="0"/>
      <w:marRight w:val="0"/>
      <w:marTop w:val="0"/>
      <w:marBottom w:val="0"/>
      <w:divBdr>
        <w:top w:val="none" w:sz="0" w:space="0" w:color="auto"/>
        <w:left w:val="none" w:sz="0" w:space="0" w:color="auto"/>
        <w:bottom w:val="none" w:sz="0" w:space="0" w:color="auto"/>
        <w:right w:val="none" w:sz="0" w:space="0" w:color="auto"/>
      </w:divBdr>
    </w:div>
    <w:div w:id="103769177">
      <w:bodyDiv w:val="1"/>
      <w:marLeft w:val="0"/>
      <w:marRight w:val="0"/>
      <w:marTop w:val="0"/>
      <w:marBottom w:val="0"/>
      <w:divBdr>
        <w:top w:val="none" w:sz="0" w:space="0" w:color="auto"/>
        <w:left w:val="none" w:sz="0" w:space="0" w:color="auto"/>
        <w:bottom w:val="none" w:sz="0" w:space="0" w:color="auto"/>
        <w:right w:val="none" w:sz="0" w:space="0" w:color="auto"/>
      </w:divBdr>
    </w:div>
    <w:div w:id="167208844">
      <w:bodyDiv w:val="1"/>
      <w:marLeft w:val="0"/>
      <w:marRight w:val="0"/>
      <w:marTop w:val="0"/>
      <w:marBottom w:val="0"/>
      <w:divBdr>
        <w:top w:val="none" w:sz="0" w:space="0" w:color="auto"/>
        <w:left w:val="none" w:sz="0" w:space="0" w:color="auto"/>
        <w:bottom w:val="none" w:sz="0" w:space="0" w:color="auto"/>
        <w:right w:val="none" w:sz="0" w:space="0" w:color="auto"/>
      </w:divBdr>
    </w:div>
    <w:div w:id="185028635">
      <w:bodyDiv w:val="1"/>
      <w:marLeft w:val="0"/>
      <w:marRight w:val="0"/>
      <w:marTop w:val="0"/>
      <w:marBottom w:val="0"/>
      <w:divBdr>
        <w:top w:val="none" w:sz="0" w:space="0" w:color="auto"/>
        <w:left w:val="none" w:sz="0" w:space="0" w:color="auto"/>
        <w:bottom w:val="none" w:sz="0" w:space="0" w:color="auto"/>
        <w:right w:val="none" w:sz="0" w:space="0" w:color="auto"/>
      </w:divBdr>
    </w:div>
    <w:div w:id="198519118">
      <w:bodyDiv w:val="1"/>
      <w:marLeft w:val="0"/>
      <w:marRight w:val="0"/>
      <w:marTop w:val="0"/>
      <w:marBottom w:val="0"/>
      <w:divBdr>
        <w:top w:val="none" w:sz="0" w:space="0" w:color="auto"/>
        <w:left w:val="none" w:sz="0" w:space="0" w:color="auto"/>
        <w:bottom w:val="none" w:sz="0" w:space="0" w:color="auto"/>
        <w:right w:val="none" w:sz="0" w:space="0" w:color="auto"/>
      </w:divBdr>
    </w:div>
    <w:div w:id="217326681">
      <w:bodyDiv w:val="1"/>
      <w:marLeft w:val="0"/>
      <w:marRight w:val="0"/>
      <w:marTop w:val="0"/>
      <w:marBottom w:val="0"/>
      <w:divBdr>
        <w:top w:val="none" w:sz="0" w:space="0" w:color="auto"/>
        <w:left w:val="none" w:sz="0" w:space="0" w:color="auto"/>
        <w:bottom w:val="none" w:sz="0" w:space="0" w:color="auto"/>
        <w:right w:val="none" w:sz="0" w:space="0" w:color="auto"/>
      </w:divBdr>
    </w:div>
    <w:div w:id="310865062">
      <w:bodyDiv w:val="1"/>
      <w:marLeft w:val="0"/>
      <w:marRight w:val="0"/>
      <w:marTop w:val="0"/>
      <w:marBottom w:val="0"/>
      <w:divBdr>
        <w:top w:val="none" w:sz="0" w:space="0" w:color="auto"/>
        <w:left w:val="none" w:sz="0" w:space="0" w:color="auto"/>
        <w:bottom w:val="none" w:sz="0" w:space="0" w:color="auto"/>
        <w:right w:val="none" w:sz="0" w:space="0" w:color="auto"/>
      </w:divBdr>
    </w:div>
    <w:div w:id="311757410">
      <w:bodyDiv w:val="1"/>
      <w:marLeft w:val="0"/>
      <w:marRight w:val="0"/>
      <w:marTop w:val="0"/>
      <w:marBottom w:val="0"/>
      <w:divBdr>
        <w:top w:val="none" w:sz="0" w:space="0" w:color="auto"/>
        <w:left w:val="none" w:sz="0" w:space="0" w:color="auto"/>
        <w:bottom w:val="none" w:sz="0" w:space="0" w:color="auto"/>
        <w:right w:val="none" w:sz="0" w:space="0" w:color="auto"/>
      </w:divBdr>
    </w:div>
    <w:div w:id="352464390">
      <w:bodyDiv w:val="1"/>
      <w:marLeft w:val="0"/>
      <w:marRight w:val="0"/>
      <w:marTop w:val="0"/>
      <w:marBottom w:val="0"/>
      <w:divBdr>
        <w:top w:val="none" w:sz="0" w:space="0" w:color="auto"/>
        <w:left w:val="none" w:sz="0" w:space="0" w:color="auto"/>
        <w:bottom w:val="none" w:sz="0" w:space="0" w:color="auto"/>
        <w:right w:val="none" w:sz="0" w:space="0" w:color="auto"/>
      </w:divBdr>
    </w:div>
    <w:div w:id="365564938">
      <w:bodyDiv w:val="1"/>
      <w:marLeft w:val="0"/>
      <w:marRight w:val="0"/>
      <w:marTop w:val="0"/>
      <w:marBottom w:val="0"/>
      <w:divBdr>
        <w:top w:val="none" w:sz="0" w:space="0" w:color="auto"/>
        <w:left w:val="none" w:sz="0" w:space="0" w:color="auto"/>
        <w:bottom w:val="none" w:sz="0" w:space="0" w:color="auto"/>
        <w:right w:val="none" w:sz="0" w:space="0" w:color="auto"/>
      </w:divBdr>
    </w:div>
    <w:div w:id="404229344">
      <w:bodyDiv w:val="1"/>
      <w:marLeft w:val="0"/>
      <w:marRight w:val="0"/>
      <w:marTop w:val="0"/>
      <w:marBottom w:val="0"/>
      <w:divBdr>
        <w:top w:val="none" w:sz="0" w:space="0" w:color="auto"/>
        <w:left w:val="none" w:sz="0" w:space="0" w:color="auto"/>
        <w:bottom w:val="none" w:sz="0" w:space="0" w:color="auto"/>
        <w:right w:val="none" w:sz="0" w:space="0" w:color="auto"/>
      </w:divBdr>
    </w:div>
    <w:div w:id="425155191">
      <w:bodyDiv w:val="1"/>
      <w:marLeft w:val="0"/>
      <w:marRight w:val="0"/>
      <w:marTop w:val="0"/>
      <w:marBottom w:val="0"/>
      <w:divBdr>
        <w:top w:val="none" w:sz="0" w:space="0" w:color="auto"/>
        <w:left w:val="none" w:sz="0" w:space="0" w:color="auto"/>
        <w:bottom w:val="none" w:sz="0" w:space="0" w:color="auto"/>
        <w:right w:val="none" w:sz="0" w:space="0" w:color="auto"/>
      </w:divBdr>
    </w:div>
    <w:div w:id="433088110">
      <w:bodyDiv w:val="1"/>
      <w:marLeft w:val="0"/>
      <w:marRight w:val="0"/>
      <w:marTop w:val="0"/>
      <w:marBottom w:val="0"/>
      <w:divBdr>
        <w:top w:val="none" w:sz="0" w:space="0" w:color="auto"/>
        <w:left w:val="none" w:sz="0" w:space="0" w:color="auto"/>
        <w:bottom w:val="none" w:sz="0" w:space="0" w:color="auto"/>
        <w:right w:val="none" w:sz="0" w:space="0" w:color="auto"/>
      </w:divBdr>
    </w:div>
    <w:div w:id="434207533">
      <w:bodyDiv w:val="1"/>
      <w:marLeft w:val="0"/>
      <w:marRight w:val="0"/>
      <w:marTop w:val="0"/>
      <w:marBottom w:val="0"/>
      <w:divBdr>
        <w:top w:val="none" w:sz="0" w:space="0" w:color="auto"/>
        <w:left w:val="none" w:sz="0" w:space="0" w:color="auto"/>
        <w:bottom w:val="none" w:sz="0" w:space="0" w:color="auto"/>
        <w:right w:val="none" w:sz="0" w:space="0" w:color="auto"/>
      </w:divBdr>
    </w:div>
    <w:div w:id="464473525">
      <w:bodyDiv w:val="1"/>
      <w:marLeft w:val="0"/>
      <w:marRight w:val="0"/>
      <w:marTop w:val="0"/>
      <w:marBottom w:val="0"/>
      <w:divBdr>
        <w:top w:val="none" w:sz="0" w:space="0" w:color="auto"/>
        <w:left w:val="none" w:sz="0" w:space="0" w:color="auto"/>
        <w:bottom w:val="none" w:sz="0" w:space="0" w:color="auto"/>
        <w:right w:val="none" w:sz="0" w:space="0" w:color="auto"/>
      </w:divBdr>
    </w:div>
    <w:div w:id="477110125">
      <w:bodyDiv w:val="1"/>
      <w:marLeft w:val="0"/>
      <w:marRight w:val="0"/>
      <w:marTop w:val="0"/>
      <w:marBottom w:val="0"/>
      <w:divBdr>
        <w:top w:val="none" w:sz="0" w:space="0" w:color="auto"/>
        <w:left w:val="none" w:sz="0" w:space="0" w:color="auto"/>
        <w:bottom w:val="none" w:sz="0" w:space="0" w:color="auto"/>
        <w:right w:val="none" w:sz="0" w:space="0" w:color="auto"/>
      </w:divBdr>
    </w:div>
    <w:div w:id="491334041">
      <w:bodyDiv w:val="1"/>
      <w:marLeft w:val="0"/>
      <w:marRight w:val="0"/>
      <w:marTop w:val="0"/>
      <w:marBottom w:val="0"/>
      <w:divBdr>
        <w:top w:val="none" w:sz="0" w:space="0" w:color="auto"/>
        <w:left w:val="none" w:sz="0" w:space="0" w:color="auto"/>
        <w:bottom w:val="none" w:sz="0" w:space="0" w:color="auto"/>
        <w:right w:val="none" w:sz="0" w:space="0" w:color="auto"/>
      </w:divBdr>
    </w:div>
    <w:div w:id="665524310">
      <w:bodyDiv w:val="1"/>
      <w:marLeft w:val="0"/>
      <w:marRight w:val="0"/>
      <w:marTop w:val="0"/>
      <w:marBottom w:val="0"/>
      <w:divBdr>
        <w:top w:val="none" w:sz="0" w:space="0" w:color="auto"/>
        <w:left w:val="none" w:sz="0" w:space="0" w:color="auto"/>
        <w:bottom w:val="none" w:sz="0" w:space="0" w:color="auto"/>
        <w:right w:val="none" w:sz="0" w:space="0" w:color="auto"/>
      </w:divBdr>
    </w:div>
    <w:div w:id="774521894">
      <w:bodyDiv w:val="1"/>
      <w:marLeft w:val="0"/>
      <w:marRight w:val="0"/>
      <w:marTop w:val="0"/>
      <w:marBottom w:val="0"/>
      <w:divBdr>
        <w:top w:val="none" w:sz="0" w:space="0" w:color="auto"/>
        <w:left w:val="none" w:sz="0" w:space="0" w:color="auto"/>
        <w:bottom w:val="none" w:sz="0" w:space="0" w:color="auto"/>
        <w:right w:val="none" w:sz="0" w:space="0" w:color="auto"/>
      </w:divBdr>
    </w:div>
    <w:div w:id="800808762">
      <w:bodyDiv w:val="1"/>
      <w:marLeft w:val="0"/>
      <w:marRight w:val="0"/>
      <w:marTop w:val="0"/>
      <w:marBottom w:val="0"/>
      <w:divBdr>
        <w:top w:val="none" w:sz="0" w:space="0" w:color="auto"/>
        <w:left w:val="none" w:sz="0" w:space="0" w:color="auto"/>
        <w:bottom w:val="none" w:sz="0" w:space="0" w:color="auto"/>
        <w:right w:val="none" w:sz="0" w:space="0" w:color="auto"/>
      </w:divBdr>
    </w:div>
    <w:div w:id="806119190">
      <w:bodyDiv w:val="1"/>
      <w:marLeft w:val="0"/>
      <w:marRight w:val="0"/>
      <w:marTop w:val="0"/>
      <w:marBottom w:val="0"/>
      <w:divBdr>
        <w:top w:val="none" w:sz="0" w:space="0" w:color="auto"/>
        <w:left w:val="none" w:sz="0" w:space="0" w:color="auto"/>
        <w:bottom w:val="none" w:sz="0" w:space="0" w:color="auto"/>
        <w:right w:val="none" w:sz="0" w:space="0" w:color="auto"/>
      </w:divBdr>
    </w:div>
    <w:div w:id="830020148">
      <w:bodyDiv w:val="1"/>
      <w:marLeft w:val="0"/>
      <w:marRight w:val="0"/>
      <w:marTop w:val="0"/>
      <w:marBottom w:val="0"/>
      <w:divBdr>
        <w:top w:val="none" w:sz="0" w:space="0" w:color="auto"/>
        <w:left w:val="none" w:sz="0" w:space="0" w:color="auto"/>
        <w:bottom w:val="none" w:sz="0" w:space="0" w:color="auto"/>
        <w:right w:val="none" w:sz="0" w:space="0" w:color="auto"/>
      </w:divBdr>
    </w:div>
    <w:div w:id="841434292">
      <w:bodyDiv w:val="1"/>
      <w:marLeft w:val="0"/>
      <w:marRight w:val="0"/>
      <w:marTop w:val="0"/>
      <w:marBottom w:val="0"/>
      <w:divBdr>
        <w:top w:val="none" w:sz="0" w:space="0" w:color="auto"/>
        <w:left w:val="none" w:sz="0" w:space="0" w:color="auto"/>
        <w:bottom w:val="none" w:sz="0" w:space="0" w:color="auto"/>
        <w:right w:val="none" w:sz="0" w:space="0" w:color="auto"/>
      </w:divBdr>
    </w:div>
    <w:div w:id="861169747">
      <w:bodyDiv w:val="1"/>
      <w:marLeft w:val="0"/>
      <w:marRight w:val="0"/>
      <w:marTop w:val="0"/>
      <w:marBottom w:val="0"/>
      <w:divBdr>
        <w:top w:val="none" w:sz="0" w:space="0" w:color="auto"/>
        <w:left w:val="none" w:sz="0" w:space="0" w:color="auto"/>
        <w:bottom w:val="none" w:sz="0" w:space="0" w:color="auto"/>
        <w:right w:val="none" w:sz="0" w:space="0" w:color="auto"/>
      </w:divBdr>
    </w:div>
    <w:div w:id="875198614">
      <w:bodyDiv w:val="1"/>
      <w:marLeft w:val="0"/>
      <w:marRight w:val="0"/>
      <w:marTop w:val="0"/>
      <w:marBottom w:val="0"/>
      <w:divBdr>
        <w:top w:val="none" w:sz="0" w:space="0" w:color="auto"/>
        <w:left w:val="none" w:sz="0" w:space="0" w:color="auto"/>
        <w:bottom w:val="none" w:sz="0" w:space="0" w:color="auto"/>
        <w:right w:val="none" w:sz="0" w:space="0" w:color="auto"/>
      </w:divBdr>
    </w:div>
    <w:div w:id="893808369">
      <w:bodyDiv w:val="1"/>
      <w:marLeft w:val="0"/>
      <w:marRight w:val="0"/>
      <w:marTop w:val="0"/>
      <w:marBottom w:val="0"/>
      <w:divBdr>
        <w:top w:val="none" w:sz="0" w:space="0" w:color="auto"/>
        <w:left w:val="none" w:sz="0" w:space="0" w:color="auto"/>
        <w:bottom w:val="none" w:sz="0" w:space="0" w:color="auto"/>
        <w:right w:val="none" w:sz="0" w:space="0" w:color="auto"/>
      </w:divBdr>
    </w:div>
    <w:div w:id="940645820">
      <w:bodyDiv w:val="1"/>
      <w:marLeft w:val="0"/>
      <w:marRight w:val="0"/>
      <w:marTop w:val="0"/>
      <w:marBottom w:val="0"/>
      <w:divBdr>
        <w:top w:val="none" w:sz="0" w:space="0" w:color="auto"/>
        <w:left w:val="none" w:sz="0" w:space="0" w:color="auto"/>
        <w:bottom w:val="none" w:sz="0" w:space="0" w:color="auto"/>
        <w:right w:val="none" w:sz="0" w:space="0" w:color="auto"/>
      </w:divBdr>
    </w:div>
    <w:div w:id="971784605">
      <w:bodyDiv w:val="1"/>
      <w:marLeft w:val="0"/>
      <w:marRight w:val="0"/>
      <w:marTop w:val="0"/>
      <w:marBottom w:val="0"/>
      <w:divBdr>
        <w:top w:val="none" w:sz="0" w:space="0" w:color="auto"/>
        <w:left w:val="none" w:sz="0" w:space="0" w:color="auto"/>
        <w:bottom w:val="none" w:sz="0" w:space="0" w:color="auto"/>
        <w:right w:val="none" w:sz="0" w:space="0" w:color="auto"/>
      </w:divBdr>
    </w:div>
    <w:div w:id="1012563352">
      <w:bodyDiv w:val="1"/>
      <w:marLeft w:val="0"/>
      <w:marRight w:val="0"/>
      <w:marTop w:val="0"/>
      <w:marBottom w:val="0"/>
      <w:divBdr>
        <w:top w:val="none" w:sz="0" w:space="0" w:color="auto"/>
        <w:left w:val="none" w:sz="0" w:space="0" w:color="auto"/>
        <w:bottom w:val="none" w:sz="0" w:space="0" w:color="auto"/>
        <w:right w:val="none" w:sz="0" w:space="0" w:color="auto"/>
      </w:divBdr>
    </w:div>
    <w:div w:id="1150516963">
      <w:bodyDiv w:val="1"/>
      <w:marLeft w:val="0"/>
      <w:marRight w:val="0"/>
      <w:marTop w:val="0"/>
      <w:marBottom w:val="0"/>
      <w:divBdr>
        <w:top w:val="none" w:sz="0" w:space="0" w:color="auto"/>
        <w:left w:val="none" w:sz="0" w:space="0" w:color="auto"/>
        <w:bottom w:val="none" w:sz="0" w:space="0" w:color="auto"/>
        <w:right w:val="none" w:sz="0" w:space="0" w:color="auto"/>
      </w:divBdr>
    </w:div>
    <w:div w:id="1153064911">
      <w:bodyDiv w:val="1"/>
      <w:marLeft w:val="0"/>
      <w:marRight w:val="0"/>
      <w:marTop w:val="0"/>
      <w:marBottom w:val="0"/>
      <w:divBdr>
        <w:top w:val="none" w:sz="0" w:space="0" w:color="auto"/>
        <w:left w:val="none" w:sz="0" w:space="0" w:color="auto"/>
        <w:bottom w:val="none" w:sz="0" w:space="0" w:color="auto"/>
        <w:right w:val="none" w:sz="0" w:space="0" w:color="auto"/>
      </w:divBdr>
    </w:div>
    <w:div w:id="1204758243">
      <w:bodyDiv w:val="1"/>
      <w:marLeft w:val="0"/>
      <w:marRight w:val="0"/>
      <w:marTop w:val="0"/>
      <w:marBottom w:val="0"/>
      <w:divBdr>
        <w:top w:val="none" w:sz="0" w:space="0" w:color="auto"/>
        <w:left w:val="none" w:sz="0" w:space="0" w:color="auto"/>
        <w:bottom w:val="none" w:sz="0" w:space="0" w:color="auto"/>
        <w:right w:val="none" w:sz="0" w:space="0" w:color="auto"/>
      </w:divBdr>
    </w:div>
    <w:div w:id="1235747579">
      <w:bodyDiv w:val="1"/>
      <w:marLeft w:val="0"/>
      <w:marRight w:val="0"/>
      <w:marTop w:val="0"/>
      <w:marBottom w:val="0"/>
      <w:divBdr>
        <w:top w:val="none" w:sz="0" w:space="0" w:color="auto"/>
        <w:left w:val="none" w:sz="0" w:space="0" w:color="auto"/>
        <w:bottom w:val="none" w:sz="0" w:space="0" w:color="auto"/>
        <w:right w:val="none" w:sz="0" w:space="0" w:color="auto"/>
      </w:divBdr>
    </w:div>
    <w:div w:id="1242367799">
      <w:bodyDiv w:val="1"/>
      <w:marLeft w:val="0"/>
      <w:marRight w:val="0"/>
      <w:marTop w:val="0"/>
      <w:marBottom w:val="0"/>
      <w:divBdr>
        <w:top w:val="none" w:sz="0" w:space="0" w:color="auto"/>
        <w:left w:val="none" w:sz="0" w:space="0" w:color="auto"/>
        <w:bottom w:val="none" w:sz="0" w:space="0" w:color="auto"/>
        <w:right w:val="none" w:sz="0" w:space="0" w:color="auto"/>
      </w:divBdr>
    </w:div>
    <w:div w:id="1258246168">
      <w:bodyDiv w:val="1"/>
      <w:marLeft w:val="0"/>
      <w:marRight w:val="0"/>
      <w:marTop w:val="0"/>
      <w:marBottom w:val="0"/>
      <w:divBdr>
        <w:top w:val="none" w:sz="0" w:space="0" w:color="auto"/>
        <w:left w:val="none" w:sz="0" w:space="0" w:color="auto"/>
        <w:bottom w:val="none" w:sz="0" w:space="0" w:color="auto"/>
        <w:right w:val="none" w:sz="0" w:space="0" w:color="auto"/>
      </w:divBdr>
    </w:div>
    <w:div w:id="1283538054">
      <w:bodyDiv w:val="1"/>
      <w:marLeft w:val="0"/>
      <w:marRight w:val="0"/>
      <w:marTop w:val="0"/>
      <w:marBottom w:val="0"/>
      <w:divBdr>
        <w:top w:val="none" w:sz="0" w:space="0" w:color="auto"/>
        <w:left w:val="none" w:sz="0" w:space="0" w:color="auto"/>
        <w:bottom w:val="none" w:sz="0" w:space="0" w:color="auto"/>
        <w:right w:val="none" w:sz="0" w:space="0" w:color="auto"/>
      </w:divBdr>
    </w:div>
    <w:div w:id="1305770659">
      <w:bodyDiv w:val="1"/>
      <w:marLeft w:val="0"/>
      <w:marRight w:val="0"/>
      <w:marTop w:val="0"/>
      <w:marBottom w:val="0"/>
      <w:divBdr>
        <w:top w:val="none" w:sz="0" w:space="0" w:color="auto"/>
        <w:left w:val="none" w:sz="0" w:space="0" w:color="auto"/>
        <w:bottom w:val="none" w:sz="0" w:space="0" w:color="auto"/>
        <w:right w:val="none" w:sz="0" w:space="0" w:color="auto"/>
      </w:divBdr>
    </w:div>
    <w:div w:id="1324970487">
      <w:bodyDiv w:val="1"/>
      <w:marLeft w:val="0"/>
      <w:marRight w:val="0"/>
      <w:marTop w:val="0"/>
      <w:marBottom w:val="0"/>
      <w:divBdr>
        <w:top w:val="none" w:sz="0" w:space="0" w:color="auto"/>
        <w:left w:val="none" w:sz="0" w:space="0" w:color="auto"/>
        <w:bottom w:val="none" w:sz="0" w:space="0" w:color="auto"/>
        <w:right w:val="none" w:sz="0" w:space="0" w:color="auto"/>
      </w:divBdr>
    </w:div>
    <w:div w:id="1328707501">
      <w:bodyDiv w:val="1"/>
      <w:marLeft w:val="0"/>
      <w:marRight w:val="0"/>
      <w:marTop w:val="0"/>
      <w:marBottom w:val="0"/>
      <w:divBdr>
        <w:top w:val="none" w:sz="0" w:space="0" w:color="auto"/>
        <w:left w:val="none" w:sz="0" w:space="0" w:color="auto"/>
        <w:bottom w:val="none" w:sz="0" w:space="0" w:color="auto"/>
        <w:right w:val="none" w:sz="0" w:space="0" w:color="auto"/>
      </w:divBdr>
    </w:div>
    <w:div w:id="1402681736">
      <w:bodyDiv w:val="1"/>
      <w:marLeft w:val="0"/>
      <w:marRight w:val="0"/>
      <w:marTop w:val="0"/>
      <w:marBottom w:val="0"/>
      <w:divBdr>
        <w:top w:val="none" w:sz="0" w:space="0" w:color="auto"/>
        <w:left w:val="none" w:sz="0" w:space="0" w:color="auto"/>
        <w:bottom w:val="none" w:sz="0" w:space="0" w:color="auto"/>
        <w:right w:val="none" w:sz="0" w:space="0" w:color="auto"/>
      </w:divBdr>
    </w:div>
    <w:div w:id="1417752071">
      <w:bodyDiv w:val="1"/>
      <w:marLeft w:val="0"/>
      <w:marRight w:val="0"/>
      <w:marTop w:val="0"/>
      <w:marBottom w:val="0"/>
      <w:divBdr>
        <w:top w:val="none" w:sz="0" w:space="0" w:color="auto"/>
        <w:left w:val="none" w:sz="0" w:space="0" w:color="auto"/>
        <w:bottom w:val="none" w:sz="0" w:space="0" w:color="auto"/>
        <w:right w:val="none" w:sz="0" w:space="0" w:color="auto"/>
      </w:divBdr>
    </w:div>
    <w:div w:id="1474591917">
      <w:bodyDiv w:val="1"/>
      <w:marLeft w:val="0"/>
      <w:marRight w:val="0"/>
      <w:marTop w:val="0"/>
      <w:marBottom w:val="0"/>
      <w:divBdr>
        <w:top w:val="none" w:sz="0" w:space="0" w:color="auto"/>
        <w:left w:val="none" w:sz="0" w:space="0" w:color="auto"/>
        <w:bottom w:val="none" w:sz="0" w:space="0" w:color="auto"/>
        <w:right w:val="none" w:sz="0" w:space="0" w:color="auto"/>
      </w:divBdr>
    </w:div>
    <w:div w:id="1481772249">
      <w:bodyDiv w:val="1"/>
      <w:marLeft w:val="0"/>
      <w:marRight w:val="0"/>
      <w:marTop w:val="0"/>
      <w:marBottom w:val="0"/>
      <w:divBdr>
        <w:top w:val="none" w:sz="0" w:space="0" w:color="auto"/>
        <w:left w:val="none" w:sz="0" w:space="0" w:color="auto"/>
        <w:bottom w:val="none" w:sz="0" w:space="0" w:color="auto"/>
        <w:right w:val="none" w:sz="0" w:space="0" w:color="auto"/>
      </w:divBdr>
    </w:div>
    <w:div w:id="1512724793">
      <w:bodyDiv w:val="1"/>
      <w:marLeft w:val="0"/>
      <w:marRight w:val="0"/>
      <w:marTop w:val="0"/>
      <w:marBottom w:val="0"/>
      <w:divBdr>
        <w:top w:val="none" w:sz="0" w:space="0" w:color="auto"/>
        <w:left w:val="none" w:sz="0" w:space="0" w:color="auto"/>
        <w:bottom w:val="none" w:sz="0" w:space="0" w:color="auto"/>
        <w:right w:val="none" w:sz="0" w:space="0" w:color="auto"/>
      </w:divBdr>
    </w:div>
    <w:div w:id="1520772709">
      <w:bodyDiv w:val="1"/>
      <w:marLeft w:val="0"/>
      <w:marRight w:val="0"/>
      <w:marTop w:val="0"/>
      <w:marBottom w:val="0"/>
      <w:divBdr>
        <w:top w:val="none" w:sz="0" w:space="0" w:color="auto"/>
        <w:left w:val="none" w:sz="0" w:space="0" w:color="auto"/>
        <w:bottom w:val="none" w:sz="0" w:space="0" w:color="auto"/>
        <w:right w:val="none" w:sz="0" w:space="0" w:color="auto"/>
      </w:divBdr>
    </w:div>
    <w:div w:id="1529027970">
      <w:bodyDiv w:val="1"/>
      <w:marLeft w:val="0"/>
      <w:marRight w:val="0"/>
      <w:marTop w:val="0"/>
      <w:marBottom w:val="0"/>
      <w:divBdr>
        <w:top w:val="none" w:sz="0" w:space="0" w:color="auto"/>
        <w:left w:val="none" w:sz="0" w:space="0" w:color="auto"/>
        <w:bottom w:val="none" w:sz="0" w:space="0" w:color="auto"/>
        <w:right w:val="none" w:sz="0" w:space="0" w:color="auto"/>
      </w:divBdr>
    </w:div>
    <w:div w:id="1538395317">
      <w:bodyDiv w:val="1"/>
      <w:marLeft w:val="0"/>
      <w:marRight w:val="0"/>
      <w:marTop w:val="0"/>
      <w:marBottom w:val="0"/>
      <w:divBdr>
        <w:top w:val="none" w:sz="0" w:space="0" w:color="auto"/>
        <w:left w:val="none" w:sz="0" w:space="0" w:color="auto"/>
        <w:bottom w:val="none" w:sz="0" w:space="0" w:color="auto"/>
        <w:right w:val="none" w:sz="0" w:space="0" w:color="auto"/>
      </w:divBdr>
    </w:div>
    <w:div w:id="1654868130">
      <w:bodyDiv w:val="1"/>
      <w:marLeft w:val="0"/>
      <w:marRight w:val="0"/>
      <w:marTop w:val="0"/>
      <w:marBottom w:val="0"/>
      <w:divBdr>
        <w:top w:val="none" w:sz="0" w:space="0" w:color="auto"/>
        <w:left w:val="none" w:sz="0" w:space="0" w:color="auto"/>
        <w:bottom w:val="none" w:sz="0" w:space="0" w:color="auto"/>
        <w:right w:val="none" w:sz="0" w:space="0" w:color="auto"/>
      </w:divBdr>
    </w:div>
    <w:div w:id="1655914289">
      <w:bodyDiv w:val="1"/>
      <w:marLeft w:val="0"/>
      <w:marRight w:val="0"/>
      <w:marTop w:val="0"/>
      <w:marBottom w:val="0"/>
      <w:divBdr>
        <w:top w:val="none" w:sz="0" w:space="0" w:color="auto"/>
        <w:left w:val="none" w:sz="0" w:space="0" w:color="auto"/>
        <w:bottom w:val="none" w:sz="0" w:space="0" w:color="auto"/>
        <w:right w:val="none" w:sz="0" w:space="0" w:color="auto"/>
      </w:divBdr>
    </w:div>
    <w:div w:id="1693065432">
      <w:bodyDiv w:val="1"/>
      <w:marLeft w:val="0"/>
      <w:marRight w:val="0"/>
      <w:marTop w:val="0"/>
      <w:marBottom w:val="0"/>
      <w:divBdr>
        <w:top w:val="none" w:sz="0" w:space="0" w:color="auto"/>
        <w:left w:val="none" w:sz="0" w:space="0" w:color="auto"/>
        <w:bottom w:val="none" w:sz="0" w:space="0" w:color="auto"/>
        <w:right w:val="none" w:sz="0" w:space="0" w:color="auto"/>
      </w:divBdr>
    </w:div>
    <w:div w:id="1702510591">
      <w:bodyDiv w:val="1"/>
      <w:marLeft w:val="0"/>
      <w:marRight w:val="0"/>
      <w:marTop w:val="0"/>
      <w:marBottom w:val="0"/>
      <w:divBdr>
        <w:top w:val="none" w:sz="0" w:space="0" w:color="auto"/>
        <w:left w:val="none" w:sz="0" w:space="0" w:color="auto"/>
        <w:bottom w:val="none" w:sz="0" w:space="0" w:color="auto"/>
        <w:right w:val="none" w:sz="0" w:space="0" w:color="auto"/>
      </w:divBdr>
    </w:div>
    <w:div w:id="1706833444">
      <w:bodyDiv w:val="1"/>
      <w:marLeft w:val="0"/>
      <w:marRight w:val="0"/>
      <w:marTop w:val="0"/>
      <w:marBottom w:val="0"/>
      <w:divBdr>
        <w:top w:val="none" w:sz="0" w:space="0" w:color="auto"/>
        <w:left w:val="none" w:sz="0" w:space="0" w:color="auto"/>
        <w:bottom w:val="none" w:sz="0" w:space="0" w:color="auto"/>
        <w:right w:val="none" w:sz="0" w:space="0" w:color="auto"/>
      </w:divBdr>
    </w:div>
    <w:div w:id="1769425634">
      <w:bodyDiv w:val="1"/>
      <w:marLeft w:val="0"/>
      <w:marRight w:val="0"/>
      <w:marTop w:val="0"/>
      <w:marBottom w:val="0"/>
      <w:divBdr>
        <w:top w:val="none" w:sz="0" w:space="0" w:color="auto"/>
        <w:left w:val="none" w:sz="0" w:space="0" w:color="auto"/>
        <w:bottom w:val="none" w:sz="0" w:space="0" w:color="auto"/>
        <w:right w:val="none" w:sz="0" w:space="0" w:color="auto"/>
      </w:divBdr>
    </w:div>
    <w:div w:id="1824007952">
      <w:bodyDiv w:val="1"/>
      <w:marLeft w:val="0"/>
      <w:marRight w:val="0"/>
      <w:marTop w:val="0"/>
      <w:marBottom w:val="0"/>
      <w:divBdr>
        <w:top w:val="none" w:sz="0" w:space="0" w:color="auto"/>
        <w:left w:val="none" w:sz="0" w:space="0" w:color="auto"/>
        <w:bottom w:val="none" w:sz="0" w:space="0" w:color="auto"/>
        <w:right w:val="none" w:sz="0" w:space="0" w:color="auto"/>
      </w:divBdr>
    </w:div>
    <w:div w:id="1828784430">
      <w:bodyDiv w:val="1"/>
      <w:marLeft w:val="0"/>
      <w:marRight w:val="0"/>
      <w:marTop w:val="0"/>
      <w:marBottom w:val="0"/>
      <w:divBdr>
        <w:top w:val="none" w:sz="0" w:space="0" w:color="auto"/>
        <w:left w:val="none" w:sz="0" w:space="0" w:color="auto"/>
        <w:bottom w:val="none" w:sz="0" w:space="0" w:color="auto"/>
        <w:right w:val="none" w:sz="0" w:space="0" w:color="auto"/>
      </w:divBdr>
    </w:div>
    <w:div w:id="1842306799">
      <w:bodyDiv w:val="1"/>
      <w:marLeft w:val="0"/>
      <w:marRight w:val="0"/>
      <w:marTop w:val="0"/>
      <w:marBottom w:val="0"/>
      <w:divBdr>
        <w:top w:val="none" w:sz="0" w:space="0" w:color="auto"/>
        <w:left w:val="none" w:sz="0" w:space="0" w:color="auto"/>
        <w:bottom w:val="none" w:sz="0" w:space="0" w:color="auto"/>
        <w:right w:val="none" w:sz="0" w:space="0" w:color="auto"/>
      </w:divBdr>
    </w:div>
    <w:div w:id="1880508233">
      <w:bodyDiv w:val="1"/>
      <w:marLeft w:val="0"/>
      <w:marRight w:val="0"/>
      <w:marTop w:val="0"/>
      <w:marBottom w:val="0"/>
      <w:divBdr>
        <w:top w:val="none" w:sz="0" w:space="0" w:color="auto"/>
        <w:left w:val="none" w:sz="0" w:space="0" w:color="auto"/>
        <w:bottom w:val="none" w:sz="0" w:space="0" w:color="auto"/>
        <w:right w:val="none" w:sz="0" w:space="0" w:color="auto"/>
      </w:divBdr>
    </w:div>
    <w:div w:id="1890872960">
      <w:bodyDiv w:val="1"/>
      <w:marLeft w:val="0"/>
      <w:marRight w:val="0"/>
      <w:marTop w:val="0"/>
      <w:marBottom w:val="0"/>
      <w:divBdr>
        <w:top w:val="none" w:sz="0" w:space="0" w:color="auto"/>
        <w:left w:val="none" w:sz="0" w:space="0" w:color="auto"/>
        <w:bottom w:val="none" w:sz="0" w:space="0" w:color="auto"/>
        <w:right w:val="none" w:sz="0" w:space="0" w:color="auto"/>
      </w:divBdr>
    </w:div>
    <w:div w:id="1955094223">
      <w:bodyDiv w:val="1"/>
      <w:marLeft w:val="0"/>
      <w:marRight w:val="0"/>
      <w:marTop w:val="0"/>
      <w:marBottom w:val="0"/>
      <w:divBdr>
        <w:top w:val="none" w:sz="0" w:space="0" w:color="auto"/>
        <w:left w:val="none" w:sz="0" w:space="0" w:color="auto"/>
        <w:bottom w:val="none" w:sz="0" w:space="0" w:color="auto"/>
        <w:right w:val="none" w:sz="0" w:space="0" w:color="auto"/>
      </w:divBdr>
    </w:div>
    <w:div w:id="1960212151">
      <w:bodyDiv w:val="1"/>
      <w:marLeft w:val="0"/>
      <w:marRight w:val="0"/>
      <w:marTop w:val="0"/>
      <w:marBottom w:val="0"/>
      <w:divBdr>
        <w:top w:val="none" w:sz="0" w:space="0" w:color="auto"/>
        <w:left w:val="none" w:sz="0" w:space="0" w:color="auto"/>
        <w:bottom w:val="none" w:sz="0" w:space="0" w:color="auto"/>
        <w:right w:val="none" w:sz="0" w:space="0" w:color="auto"/>
      </w:divBdr>
    </w:div>
    <w:div w:id="1984460504">
      <w:bodyDiv w:val="1"/>
      <w:marLeft w:val="0"/>
      <w:marRight w:val="0"/>
      <w:marTop w:val="0"/>
      <w:marBottom w:val="0"/>
      <w:divBdr>
        <w:top w:val="none" w:sz="0" w:space="0" w:color="auto"/>
        <w:left w:val="none" w:sz="0" w:space="0" w:color="auto"/>
        <w:bottom w:val="none" w:sz="0" w:space="0" w:color="auto"/>
        <w:right w:val="none" w:sz="0" w:space="0" w:color="auto"/>
      </w:divBdr>
    </w:div>
    <w:div w:id="1999647110">
      <w:bodyDiv w:val="1"/>
      <w:marLeft w:val="0"/>
      <w:marRight w:val="0"/>
      <w:marTop w:val="0"/>
      <w:marBottom w:val="0"/>
      <w:divBdr>
        <w:top w:val="none" w:sz="0" w:space="0" w:color="auto"/>
        <w:left w:val="none" w:sz="0" w:space="0" w:color="auto"/>
        <w:bottom w:val="none" w:sz="0" w:space="0" w:color="auto"/>
        <w:right w:val="none" w:sz="0" w:space="0" w:color="auto"/>
      </w:divBdr>
    </w:div>
    <w:div w:id="2002848206">
      <w:bodyDiv w:val="1"/>
      <w:marLeft w:val="0"/>
      <w:marRight w:val="0"/>
      <w:marTop w:val="0"/>
      <w:marBottom w:val="0"/>
      <w:divBdr>
        <w:top w:val="none" w:sz="0" w:space="0" w:color="auto"/>
        <w:left w:val="none" w:sz="0" w:space="0" w:color="auto"/>
        <w:bottom w:val="none" w:sz="0" w:space="0" w:color="auto"/>
        <w:right w:val="none" w:sz="0" w:space="0" w:color="auto"/>
      </w:divBdr>
    </w:div>
    <w:div w:id="2007828835">
      <w:bodyDiv w:val="1"/>
      <w:marLeft w:val="0"/>
      <w:marRight w:val="0"/>
      <w:marTop w:val="0"/>
      <w:marBottom w:val="0"/>
      <w:divBdr>
        <w:top w:val="none" w:sz="0" w:space="0" w:color="auto"/>
        <w:left w:val="none" w:sz="0" w:space="0" w:color="auto"/>
        <w:bottom w:val="none" w:sz="0" w:space="0" w:color="auto"/>
        <w:right w:val="none" w:sz="0" w:space="0" w:color="auto"/>
      </w:divBdr>
    </w:div>
    <w:div w:id="2011056737">
      <w:bodyDiv w:val="1"/>
      <w:marLeft w:val="0"/>
      <w:marRight w:val="0"/>
      <w:marTop w:val="0"/>
      <w:marBottom w:val="0"/>
      <w:divBdr>
        <w:top w:val="none" w:sz="0" w:space="0" w:color="auto"/>
        <w:left w:val="none" w:sz="0" w:space="0" w:color="auto"/>
        <w:bottom w:val="none" w:sz="0" w:space="0" w:color="auto"/>
        <w:right w:val="none" w:sz="0" w:space="0" w:color="auto"/>
      </w:divBdr>
    </w:div>
    <w:div w:id="2024819721">
      <w:bodyDiv w:val="1"/>
      <w:marLeft w:val="0"/>
      <w:marRight w:val="0"/>
      <w:marTop w:val="0"/>
      <w:marBottom w:val="0"/>
      <w:divBdr>
        <w:top w:val="none" w:sz="0" w:space="0" w:color="auto"/>
        <w:left w:val="none" w:sz="0" w:space="0" w:color="auto"/>
        <w:bottom w:val="none" w:sz="0" w:space="0" w:color="auto"/>
        <w:right w:val="none" w:sz="0" w:space="0" w:color="auto"/>
      </w:divBdr>
    </w:div>
    <w:div w:id="2069499621">
      <w:bodyDiv w:val="1"/>
      <w:marLeft w:val="0"/>
      <w:marRight w:val="0"/>
      <w:marTop w:val="0"/>
      <w:marBottom w:val="0"/>
      <w:divBdr>
        <w:top w:val="none" w:sz="0" w:space="0" w:color="auto"/>
        <w:left w:val="none" w:sz="0" w:space="0" w:color="auto"/>
        <w:bottom w:val="none" w:sz="0" w:space="0" w:color="auto"/>
        <w:right w:val="none" w:sz="0" w:space="0" w:color="auto"/>
      </w:divBdr>
    </w:div>
    <w:div w:id="2094814384">
      <w:bodyDiv w:val="1"/>
      <w:marLeft w:val="0"/>
      <w:marRight w:val="0"/>
      <w:marTop w:val="0"/>
      <w:marBottom w:val="0"/>
      <w:divBdr>
        <w:top w:val="none" w:sz="0" w:space="0" w:color="auto"/>
        <w:left w:val="none" w:sz="0" w:space="0" w:color="auto"/>
        <w:bottom w:val="none" w:sz="0" w:space="0" w:color="auto"/>
        <w:right w:val="none" w:sz="0" w:space="0" w:color="auto"/>
      </w:divBdr>
    </w:div>
    <w:div w:id="21028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package" Target="embeddings/Microsoft_Excel_Worksheet1.xlsx"/></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E58A-E712-48D5-8ED8-8FF3F63D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106</Pages>
  <Words>26216</Words>
  <Characters>144191</Characters>
  <Application>Microsoft Office Word</Application>
  <DocSecurity>0</DocSecurity>
  <Lines>1201</Lines>
  <Paragraphs>340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health.fgov.be</Company>
  <LinksUpToDate>false</LinksUpToDate>
  <CharactersWithSpaces>170067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Charlotte</dc:creator>
  <cp:keywords/>
  <dc:description/>
  <cp:lastModifiedBy>Christelle Spronck (SPF Santé Publique - FOD Volksgezondheid)</cp:lastModifiedBy>
  <cp:revision>9</cp:revision>
  <cp:lastPrinted>2019-11-04T07:30:00Z</cp:lastPrinted>
  <dcterms:created xsi:type="dcterms:W3CDTF">2019-10-31T09:45:00Z</dcterms:created>
  <dcterms:modified xsi:type="dcterms:W3CDTF">2023-11-20T13:14:00Z</dcterms:modified>
</cp:coreProperties>
</file>